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style4.xml" ContentType="application/vnd.ms-office.chartstyle+xml"/>
  <Override PartName="/word/theme/themeOverride5.xml" ContentType="application/vnd.openxmlformats-officedocument.themeOverride+xml"/>
  <Override PartName="/word/charts/chart7.xml" ContentType="application/vnd.openxmlformats-officedocument.drawingml.chart+xml"/>
  <Override PartName="/word/charts/colors5.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olors4.xml" ContentType="application/vnd.ms-office.chartcolorstyle+xml"/>
  <Override PartName="/word/theme/themeOverride6.xml" ContentType="application/vnd.openxmlformats-officedocument.themeOverride+xml"/>
  <Override PartName="/word/charts/style5.xml" ContentType="application/vnd.ms-office.chartstyle+xml"/>
  <Override PartName="/word/theme/themeOverride8.xml" ContentType="application/vnd.openxmlformats-officedocument.themeOverride+xml"/>
  <Override PartName="/word/charts/chart8.xml" ContentType="application/vnd.openxmlformats-officedocument.drawingml.chart+xml"/>
  <Override PartName="/word/theme/theme1.xml" ContentType="application/vnd.openxmlformats-officedocument.theme+xml"/>
  <Override PartName="/word/theme/themeOverride4.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olors3.xml" ContentType="application/vnd.ms-office.chartcolorstyle+xml"/>
  <Override PartName="/word/charts/chart4.xml" ContentType="application/vnd.openxmlformats-officedocument.drawingml.chart+xml"/>
  <Override PartName="/word/charts/chart1.xml" ContentType="application/vnd.openxmlformats-officedocument.drawingml.chart+xml"/>
  <Override PartName="/word/charts/colors1.xml" ContentType="application/vnd.ms-office.chartcolorstyle+xml"/>
  <Override PartName="/word/charts/chart3.xml" ContentType="application/vnd.openxmlformats-officedocument.drawingml.chart+xml"/>
  <Override PartName="/word/charts/style3.xml" ContentType="application/vnd.ms-office.chartstyle+xml"/>
  <Override PartName="/word/theme/themeOverride3.xml" ContentType="application/vnd.openxmlformats-officedocument.themeOverride+xml"/>
  <Override PartName="/word/charts/style1.xml" ContentType="application/vnd.ms-office.chartstyle+xml"/>
  <Override PartName="/word/theme/themeOverride1.xml" ContentType="application/vnd.openxmlformats-officedocument.themeOverride+xml"/>
  <Override PartName="/word/theme/themeOverride2.xml" ContentType="application/vnd.openxmlformats-officedocument.themeOverride+xml"/>
  <Override PartName="/word/charts/chart2.xml" ContentType="application/vnd.openxmlformats-officedocument.drawingml.chart+xml"/>
  <Override PartName="/word/charts/colors2.xml" ContentType="application/vnd.ms-office.chartcolorstyle+xml"/>
  <Override PartName="/word/charts/style2.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B1D039" w14:textId="77777777" w:rsidR="007D23C1" w:rsidRDefault="007D23C1" w:rsidP="007D23C1">
      <w:bookmarkStart w:id="0" w:name="_Toc432437392"/>
    </w:p>
    <w:p w14:paraId="54EC5EF8" w14:textId="77777777" w:rsidR="007D23C1" w:rsidRDefault="007D23C1" w:rsidP="007D23C1"/>
    <w:p w14:paraId="56419C76" w14:textId="77777777" w:rsidR="007D23C1" w:rsidRDefault="007D23C1" w:rsidP="007D23C1"/>
    <w:p w14:paraId="2DEAB2FA" w14:textId="530DDF70" w:rsidR="007D23C1" w:rsidRDefault="007D23C1" w:rsidP="007D23C1">
      <w:r w:rsidRPr="007D23C1">
        <w:rPr>
          <w:noProof/>
        </w:rPr>
        <w:drawing>
          <wp:inline distT="0" distB="0" distL="0" distR="0" wp14:anchorId="3F92B5CF" wp14:editId="0CE6DA43">
            <wp:extent cx="6645910" cy="4436743"/>
            <wp:effectExtent l="0" t="0" r="2540" b="2540"/>
            <wp:docPr id="11" name="Picture 11" descr="The image shows 4 stacks of coins of increasing height. On top of each stack a small plant is growing. A hand holding a small watering can is about to water the plants. In the background are out of focu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pmc.gov.au\dfs\Group\All Staff\Graphic Design\2022 Photography\Michael Ridgeway Beta Getty pic\GettyImages-11646686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436743"/>
                    </a:xfrm>
                    <a:prstGeom prst="rect">
                      <a:avLst/>
                    </a:prstGeom>
                    <a:noFill/>
                    <a:ln>
                      <a:noFill/>
                    </a:ln>
                  </pic:spPr>
                </pic:pic>
              </a:graphicData>
            </a:graphic>
          </wp:inline>
        </w:drawing>
      </w:r>
    </w:p>
    <w:p w14:paraId="1FE0DC9E" w14:textId="77777777" w:rsidR="007D23C1" w:rsidRPr="00C31D4E" w:rsidRDefault="007D23C1" w:rsidP="007D23C1">
      <w:pPr>
        <w:pStyle w:val="Heading1"/>
        <w:spacing w:after="240"/>
        <w:ind w:left="4394"/>
        <w:rPr>
          <w:sz w:val="72"/>
          <w:szCs w:val="80"/>
        </w:rPr>
      </w:pPr>
      <w:r w:rsidRPr="00C31D4E">
        <w:rPr>
          <w:sz w:val="72"/>
          <w:szCs w:val="80"/>
        </w:rPr>
        <w:t>YourSuper Comparison Tool</w:t>
      </w:r>
    </w:p>
    <w:p w14:paraId="107C4AEE" w14:textId="77777777" w:rsidR="007D23C1" w:rsidRPr="008C5EFF" w:rsidRDefault="007D23C1" w:rsidP="007D23C1">
      <w:pPr>
        <w:spacing w:after="40"/>
        <w:ind w:left="4395"/>
        <w:rPr>
          <w:rFonts w:asciiTheme="majorHAnsi" w:hAnsiTheme="majorHAnsi" w:cstheme="majorHAnsi"/>
          <w:b/>
          <w:sz w:val="32"/>
          <w:szCs w:val="32"/>
        </w:rPr>
      </w:pPr>
      <w:r>
        <w:rPr>
          <w:rFonts w:asciiTheme="majorHAnsi" w:hAnsiTheme="majorHAnsi" w:cstheme="majorHAnsi"/>
          <w:b/>
          <w:sz w:val="32"/>
          <w:szCs w:val="32"/>
        </w:rPr>
        <w:t xml:space="preserve">Results from a survey and two survey experiments </w:t>
      </w:r>
    </w:p>
    <w:p w14:paraId="0B53426A" w14:textId="69B8F8CE" w:rsidR="007D23C1" w:rsidRPr="008C5EFF" w:rsidRDefault="008F0800" w:rsidP="007D23C1">
      <w:pPr>
        <w:spacing w:before="240" w:after="40"/>
        <w:ind w:left="4395"/>
        <w:rPr>
          <w:rFonts w:asciiTheme="majorHAnsi" w:hAnsiTheme="majorHAnsi" w:cstheme="majorHAnsi"/>
          <w:b/>
          <w:color w:val="117479" w:themeColor="accent2"/>
          <w:sz w:val="24"/>
        </w:rPr>
        <w:sectPr w:rsidR="007D23C1" w:rsidRPr="008C5EFF" w:rsidSect="008D551E">
          <w:headerReference w:type="default" r:id="rId12"/>
          <w:pgSz w:w="11906" w:h="16838" w:code="9"/>
          <w:pgMar w:top="2126" w:right="720" w:bottom="567" w:left="720" w:header="567" w:footer="567" w:gutter="0"/>
          <w:pgNumType w:start="0"/>
          <w:cols w:space="708"/>
          <w:docGrid w:linePitch="360"/>
        </w:sectPr>
      </w:pPr>
      <w:r w:rsidRPr="00F52AF1">
        <w:rPr>
          <w:rFonts w:asciiTheme="majorHAnsi" w:hAnsiTheme="majorHAnsi" w:cstheme="majorHAnsi"/>
          <w:b/>
          <w:color w:val="117479" w:themeColor="accent2"/>
          <w:sz w:val="24"/>
        </w:rPr>
        <w:t>Octo</w:t>
      </w:r>
      <w:r w:rsidR="007D23C1" w:rsidRPr="00F52AF1">
        <w:rPr>
          <w:rFonts w:asciiTheme="majorHAnsi" w:hAnsiTheme="majorHAnsi" w:cstheme="majorHAnsi"/>
          <w:b/>
          <w:color w:val="117479" w:themeColor="accent2"/>
          <w:sz w:val="24"/>
        </w:rPr>
        <w:t>ber</w:t>
      </w:r>
      <w:r w:rsidR="007D23C1">
        <w:rPr>
          <w:rFonts w:asciiTheme="majorHAnsi" w:hAnsiTheme="majorHAnsi" w:cstheme="majorHAnsi"/>
          <w:b/>
          <w:color w:val="117479" w:themeColor="accent2"/>
          <w:sz w:val="24"/>
        </w:rPr>
        <w:t xml:space="preserve"> 2022</w:t>
      </w:r>
    </w:p>
    <w:p w14:paraId="7A709FE6" w14:textId="77777777"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320CC4CF" w:rsidR="00EB0609" w:rsidRDefault="00EB0609" w:rsidP="00E72621">
      <w:pPr>
        <w:spacing w:after="0"/>
      </w:pPr>
      <w:r>
        <w:t>Managing Director</w:t>
      </w:r>
      <w:r w:rsidR="00302400">
        <w:t xml:space="preserve"> </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3" w:history="1">
        <w:r w:rsidR="000A1B0D" w:rsidRPr="00AF312A">
          <w:rPr>
            <w:rStyle w:val="Hyperlink"/>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4EBAAA86" w14:textId="0BAA3C2E" w:rsidR="00EB0609" w:rsidRDefault="007479AD" w:rsidP="00E72621">
      <w:pPr>
        <w:spacing w:before="120" w:after="120"/>
      </w:pPr>
      <w:r w:rsidRPr="007479AD">
        <w:t>Australian Taxation Office Behavioural Insights Unit</w:t>
      </w:r>
      <w:r>
        <w:t xml:space="preserve"> staff who contributed to this report were</w:t>
      </w:r>
      <w:r w:rsidR="00D42F8B">
        <w:t>:</w:t>
      </w:r>
      <w:r>
        <w:t xml:space="preserve"> Georgia Conduit, Indrani Das, and Luzian Ong</w:t>
      </w:r>
      <w:r w:rsidR="00EB0609">
        <w:t xml:space="preserve">. </w:t>
      </w:r>
      <w:r>
        <w:t xml:space="preserve">BETA staff </w:t>
      </w:r>
      <w:r w:rsidR="00EB0609">
        <w:t xml:space="preserve">(current and former) who contributed to the report were: </w:t>
      </w:r>
      <w:r w:rsidR="00C31D4E">
        <w:t>Harry Greenwell, Laura Bennetts Kneebone, Dan</w:t>
      </w:r>
      <w:r w:rsidR="00B01499">
        <w:t>iel</w:t>
      </w:r>
      <w:r w:rsidR="00C31D4E">
        <w:t xml:space="preserve"> Carr, Michael Ridgway, Jack Hodge </w:t>
      </w:r>
      <w:r w:rsidR="00EB0609">
        <w:t xml:space="preserve">and </w:t>
      </w:r>
      <w:r w:rsidR="00C31D4E">
        <w:t>Michael Bleasdale</w:t>
      </w:r>
      <w:r w:rsidR="00EB0609">
        <w:t>.</w:t>
      </w:r>
      <w:r w:rsidRPr="007479AD">
        <w:t xml:space="preserve"> </w:t>
      </w:r>
    </w:p>
    <w:p w14:paraId="6A2CC37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5253EF45" w14:textId="40308D3E" w:rsidR="00EB0609" w:rsidRDefault="00EB0609" w:rsidP="00E72621">
      <w:pPr>
        <w:spacing w:before="120" w:after="120"/>
      </w:pPr>
      <w:r>
        <w:t xml:space="preserve">Thank you to the </w:t>
      </w:r>
      <w:r w:rsidR="001F2E45">
        <w:t>Treasury</w:t>
      </w:r>
      <w:r>
        <w:t xml:space="preserve"> for their support and valuable contribution in making this project happen. In particular, thanks to </w:t>
      </w:r>
      <w:r w:rsidR="00902D0A">
        <w:t xml:space="preserve">Ben Dolman, Alex Maevsky, Bianca Bauer, and Katarina Trinh </w:t>
      </w:r>
      <w:r>
        <w:t>for their work on this project.</w:t>
      </w:r>
      <w:r w:rsidR="00902D0A">
        <w:t xml:space="preserve"> </w:t>
      </w:r>
      <w:r w:rsidR="0078166E">
        <w:t>T</w:t>
      </w:r>
      <w:r w:rsidR="00EA05CC">
        <w:t>hanks also to ATO’s Design and Digital experience teams.</w:t>
      </w:r>
      <w:r w:rsidR="00EA05CC">
        <w:rPr>
          <w:highlight w:val="yellow"/>
        </w:rPr>
        <w:t xml:space="preserve"> </w:t>
      </w:r>
    </w:p>
    <w:p w14:paraId="1883F348" w14:textId="0709381D" w:rsidR="00AE7D22" w:rsidRPr="00AE7D22" w:rsidRDefault="00EB0609" w:rsidP="00AE7D22">
      <w:pPr>
        <w:spacing w:before="120" w:after="120"/>
        <w:rPr>
          <w:color w:val="188A79" w:themeColor="accent1" w:themeShade="BF"/>
          <w:u w:val="single"/>
        </w:rPr>
        <w:sectPr w:rsidR="00AE7D22" w:rsidRPr="00AE7D22" w:rsidSect="008253C4">
          <w:headerReference w:type="default" r:id="rId14"/>
          <w:footerReference w:type="default" r:id="rId15"/>
          <w:pgSz w:w="11906" w:h="16838" w:code="9"/>
          <w:pgMar w:top="2041" w:right="2381" w:bottom="1247" w:left="1247" w:header="720" w:footer="851" w:gutter="0"/>
          <w:cols w:space="708"/>
          <w:docGrid w:linePitch="360"/>
        </w:sectPr>
      </w:pPr>
      <w:r>
        <w:t xml:space="preserve">The </w:t>
      </w:r>
      <w:r w:rsidR="00D74406">
        <w:t xml:space="preserve">trial was pre-registered on </w:t>
      </w:r>
      <w:r>
        <w:t>the American Economic Association registry:</w:t>
      </w:r>
      <w:r w:rsidR="00D42F8B">
        <w:br/>
      </w:r>
      <w:hyperlink r:id="rId16" w:history="1">
        <w:r w:rsidR="003A6469">
          <w:rPr>
            <w:rStyle w:val="Hyperlink"/>
          </w:rPr>
          <w:t>https://www.socialscienceregistry.org/trials/6995</w:t>
        </w:r>
      </w:hyperlink>
    </w:p>
    <w:p w14:paraId="1918BF77" w14:textId="77777777" w:rsidR="00AE7D22" w:rsidRPr="003E6102" w:rsidRDefault="00AE7D22" w:rsidP="00AE7D22">
      <w:pPr>
        <w:pStyle w:val="TOCHeading"/>
        <w:pBdr>
          <w:bottom w:val="single" w:sz="24" w:space="21" w:color="20B9A3" w:themeColor="accent1"/>
        </w:pBdr>
      </w:pPr>
      <w:r w:rsidRPr="003E6102">
        <w:lastRenderedPageBreak/>
        <w:t>Who?</w:t>
      </w:r>
    </w:p>
    <w:p w14:paraId="6575F572" w14:textId="77777777" w:rsidR="00AE7D22" w:rsidRPr="001540CB" w:rsidRDefault="00AE7D22" w:rsidP="00AE7D22">
      <w:pPr>
        <w:pStyle w:val="Heading3"/>
        <w:rPr>
          <w:color w:val="FFFFFF" w:themeColor="background1"/>
        </w:rPr>
      </w:pPr>
      <w:r w:rsidRPr="001540CB">
        <w:rPr>
          <w:color w:val="FFFFFF" w:themeColor="background1"/>
        </w:rPr>
        <w:t>Who are we?</w:t>
      </w:r>
    </w:p>
    <w:p w14:paraId="7955FF9C" w14:textId="77777777" w:rsidR="00AE7D22" w:rsidRPr="001540CB" w:rsidRDefault="00AE7D22" w:rsidP="00AE7D22">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33C04C5" w14:textId="77777777" w:rsidR="00AE7D22" w:rsidRPr="001540CB" w:rsidRDefault="00AE7D22" w:rsidP="00AE7D22">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608FF891" w14:textId="77777777" w:rsidR="00AE7D22" w:rsidRPr="001540CB" w:rsidRDefault="00AE7D22" w:rsidP="00AE7D22">
      <w:pPr>
        <w:pStyle w:val="Heading3"/>
        <w:rPr>
          <w:color w:val="FFFFFF" w:themeColor="background1"/>
        </w:rPr>
      </w:pPr>
      <w:r w:rsidRPr="001540CB">
        <w:rPr>
          <w:color w:val="FFFFFF" w:themeColor="background1"/>
        </w:rPr>
        <w:t>What is behavioural economics?</w:t>
      </w:r>
    </w:p>
    <w:p w14:paraId="0E3FCE63" w14:textId="77777777" w:rsidR="00AE7D22" w:rsidRPr="001540CB" w:rsidRDefault="00AE7D22" w:rsidP="00AE7D22">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40DD5B2C" w14:textId="77777777" w:rsidR="00AE7D22" w:rsidRPr="001540CB" w:rsidRDefault="00AE7D22" w:rsidP="00AE7D22">
      <w:pPr>
        <w:pStyle w:val="Heading3"/>
        <w:rPr>
          <w:color w:val="FFFFFF" w:themeColor="background1"/>
        </w:rPr>
      </w:pPr>
      <w:r w:rsidRPr="001540CB">
        <w:rPr>
          <w:color w:val="FFFFFF" w:themeColor="background1"/>
        </w:rPr>
        <w:t xml:space="preserve">What are behavioural insights and how are they useful for policy design?  </w:t>
      </w:r>
    </w:p>
    <w:p w14:paraId="06FF6B19" w14:textId="77777777" w:rsidR="00AE7D22" w:rsidRPr="004909C3" w:rsidRDefault="00AE7D22" w:rsidP="00AE7D22">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0FBC55D5" w14:textId="77777777" w:rsidR="00AE7D22" w:rsidRDefault="00AE7D22" w:rsidP="00AE7D22">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47358540" w14:textId="77777777" w:rsidR="00AE7D22" w:rsidRPr="004909C3" w:rsidRDefault="00AE7D22" w:rsidP="00AE7D22">
      <w:pPr>
        <w:pStyle w:val="WhiteNormal"/>
      </w:pPr>
      <w:r w:rsidRPr="004909C3">
        <w:br w:type="page"/>
      </w:r>
    </w:p>
    <w:sdt>
      <w:sdtPr>
        <w:rPr>
          <w:rFonts w:asciiTheme="minorHAnsi" w:eastAsia="Times New Roman" w:hAnsiTheme="minorHAnsi" w:cs="Times New Roman"/>
          <w:b w:val="0"/>
          <w:bCs w:val="0"/>
          <w:color w:val="000000" w:themeColor="text1"/>
          <w:sz w:val="22"/>
          <w:szCs w:val="24"/>
        </w:rPr>
        <w:id w:val="-1066722339"/>
        <w:docPartObj>
          <w:docPartGallery w:val="Table of Contents"/>
          <w:docPartUnique/>
        </w:docPartObj>
      </w:sdtPr>
      <w:sdtEndPr>
        <w:rPr>
          <w:noProof/>
          <w:color w:val="auto"/>
          <w:sz w:val="20"/>
        </w:rPr>
      </w:sdtEndPr>
      <w:sdtContent>
        <w:p w14:paraId="6B45BCEB" w14:textId="77777777" w:rsidR="00AE7D22" w:rsidRPr="0097749C" w:rsidRDefault="00AE7D22" w:rsidP="00AE7D22">
          <w:pPr>
            <w:pStyle w:val="TOCHeading"/>
          </w:pPr>
          <w:r w:rsidRPr="0097749C">
            <w:t>Contents</w:t>
          </w:r>
        </w:p>
        <w:p w14:paraId="1BF672CD" w14:textId="46A7A8AB" w:rsidR="00C74B1C" w:rsidRDefault="00AE7D22">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115187658" w:history="1">
            <w:r w:rsidR="00C74B1C" w:rsidRPr="00CA2ABF">
              <w:rPr>
                <w:rStyle w:val="Hyperlink"/>
              </w:rPr>
              <w:t>Executive summary</w:t>
            </w:r>
            <w:r w:rsidR="00C74B1C">
              <w:rPr>
                <w:webHidden/>
              </w:rPr>
              <w:tab/>
            </w:r>
            <w:r w:rsidR="00C74B1C">
              <w:rPr>
                <w:webHidden/>
              </w:rPr>
              <w:fldChar w:fldCharType="begin"/>
            </w:r>
            <w:r w:rsidR="00C74B1C">
              <w:rPr>
                <w:webHidden/>
              </w:rPr>
              <w:instrText xml:space="preserve"> PAGEREF _Toc115187658 \h </w:instrText>
            </w:r>
            <w:r w:rsidR="00C74B1C">
              <w:rPr>
                <w:webHidden/>
              </w:rPr>
            </w:r>
            <w:r w:rsidR="00C74B1C">
              <w:rPr>
                <w:webHidden/>
              </w:rPr>
              <w:fldChar w:fldCharType="separate"/>
            </w:r>
            <w:r w:rsidR="00C74B1C">
              <w:rPr>
                <w:webHidden/>
              </w:rPr>
              <w:t>4</w:t>
            </w:r>
            <w:r w:rsidR="00C74B1C">
              <w:rPr>
                <w:webHidden/>
              </w:rPr>
              <w:fldChar w:fldCharType="end"/>
            </w:r>
          </w:hyperlink>
        </w:p>
        <w:p w14:paraId="589EE6BB" w14:textId="5DCC1652" w:rsidR="00C74B1C" w:rsidRDefault="00C71CAB">
          <w:pPr>
            <w:pStyle w:val="TOC1"/>
            <w:rPr>
              <w:rFonts w:eastAsiaTheme="minorEastAsia" w:cstheme="minorBidi"/>
              <w:b w:val="0"/>
              <w:color w:val="auto"/>
              <w:sz w:val="22"/>
              <w:szCs w:val="22"/>
            </w:rPr>
          </w:pPr>
          <w:hyperlink w:anchor="_Toc115187659" w:history="1">
            <w:r w:rsidR="00C74B1C" w:rsidRPr="00CA2ABF">
              <w:rPr>
                <w:rStyle w:val="Hyperlink"/>
              </w:rPr>
              <w:t>Why?</w:t>
            </w:r>
            <w:r w:rsidR="00C74B1C">
              <w:rPr>
                <w:webHidden/>
              </w:rPr>
              <w:tab/>
            </w:r>
            <w:r w:rsidR="00C74B1C">
              <w:rPr>
                <w:webHidden/>
              </w:rPr>
              <w:fldChar w:fldCharType="begin"/>
            </w:r>
            <w:r w:rsidR="00C74B1C">
              <w:rPr>
                <w:webHidden/>
              </w:rPr>
              <w:instrText xml:space="preserve"> PAGEREF _Toc115187659 \h </w:instrText>
            </w:r>
            <w:r w:rsidR="00C74B1C">
              <w:rPr>
                <w:webHidden/>
              </w:rPr>
            </w:r>
            <w:r w:rsidR="00C74B1C">
              <w:rPr>
                <w:webHidden/>
              </w:rPr>
              <w:fldChar w:fldCharType="separate"/>
            </w:r>
            <w:r w:rsidR="00C74B1C">
              <w:rPr>
                <w:webHidden/>
              </w:rPr>
              <w:t>6</w:t>
            </w:r>
            <w:r w:rsidR="00C74B1C">
              <w:rPr>
                <w:webHidden/>
              </w:rPr>
              <w:fldChar w:fldCharType="end"/>
            </w:r>
          </w:hyperlink>
        </w:p>
        <w:p w14:paraId="63067FFA" w14:textId="45141A2F" w:rsidR="00C74B1C" w:rsidRDefault="00C71CAB">
          <w:pPr>
            <w:pStyle w:val="TOC1"/>
            <w:rPr>
              <w:rFonts w:eastAsiaTheme="minorEastAsia" w:cstheme="minorBidi"/>
              <w:b w:val="0"/>
              <w:color w:val="auto"/>
              <w:sz w:val="22"/>
              <w:szCs w:val="22"/>
            </w:rPr>
          </w:pPr>
          <w:hyperlink w:anchor="_Toc115187660" w:history="1">
            <w:r w:rsidR="00C74B1C" w:rsidRPr="00CA2ABF">
              <w:rPr>
                <w:rStyle w:val="Hyperlink"/>
              </w:rPr>
              <w:t>What we did</w:t>
            </w:r>
            <w:r w:rsidR="00C74B1C">
              <w:rPr>
                <w:webHidden/>
              </w:rPr>
              <w:tab/>
            </w:r>
            <w:r w:rsidR="00C74B1C">
              <w:rPr>
                <w:webHidden/>
              </w:rPr>
              <w:fldChar w:fldCharType="begin"/>
            </w:r>
            <w:r w:rsidR="00C74B1C">
              <w:rPr>
                <w:webHidden/>
              </w:rPr>
              <w:instrText xml:space="preserve"> PAGEREF _Toc115187660 \h </w:instrText>
            </w:r>
            <w:r w:rsidR="00C74B1C">
              <w:rPr>
                <w:webHidden/>
              </w:rPr>
            </w:r>
            <w:r w:rsidR="00C74B1C">
              <w:rPr>
                <w:webHidden/>
              </w:rPr>
              <w:fldChar w:fldCharType="separate"/>
            </w:r>
            <w:r w:rsidR="00C74B1C">
              <w:rPr>
                <w:webHidden/>
              </w:rPr>
              <w:t>9</w:t>
            </w:r>
            <w:r w:rsidR="00C74B1C">
              <w:rPr>
                <w:webHidden/>
              </w:rPr>
              <w:fldChar w:fldCharType="end"/>
            </w:r>
          </w:hyperlink>
        </w:p>
        <w:p w14:paraId="0B68972E" w14:textId="7888FB51" w:rsidR="00C74B1C" w:rsidRDefault="00C71CAB">
          <w:pPr>
            <w:pStyle w:val="TOC1"/>
            <w:rPr>
              <w:rFonts w:eastAsiaTheme="minorEastAsia" w:cstheme="minorBidi"/>
              <w:b w:val="0"/>
              <w:color w:val="auto"/>
              <w:sz w:val="22"/>
              <w:szCs w:val="22"/>
            </w:rPr>
          </w:pPr>
          <w:hyperlink w:anchor="_Toc115187661" w:history="1">
            <w:r w:rsidR="00C74B1C" w:rsidRPr="00CA2ABF">
              <w:rPr>
                <w:rStyle w:val="Hyperlink"/>
              </w:rPr>
              <w:t>Results</w:t>
            </w:r>
            <w:r w:rsidR="00C74B1C">
              <w:rPr>
                <w:webHidden/>
              </w:rPr>
              <w:tab/>
            </w:r>
            <w:r w:rsidR="00C74B1C">
              <w:rPr>
                <w:webHidden/>
              </w:rPr>
              <w:fldChar w:fldCharType="begin"/>
            </w:r>
            <w:r w:rsidR="00C74B1C">
              <w:rPr>
                <w:webHidden/>
              </w:rPr>
              <w:instrText xml:space="preserve"> PAGEREF _Toc115187661 \h </w:instrText>
            </w:r>
            <w:r w:rsidR="00C74B1C">
              <w:rPr>
                <w:webHidden/>
              </w:rPr>
            </w:r>
            <w:r w:rsidR="00C74B1C">
              <w:rPr>
                <w:webHidden/>
              </w:rPr>
              <w:fldChar w:fldCharType="separate"/>
            </w:r>
            <w:r w:rsidR="00C74B1C">
              <w:rPr>
                <w:webHidden/>
              </w:rPr>
              <w:t>13</w:t>
            </w:r>
            <w:r w:rsidR="00C74B1C">
              <w:rPr>
                <w:webHidden/>
              </w:rPr>
              <w:fldChar w:fldCharType="end"/>
            </w:r>
          </w:hyperlink>
        </w:p>
        <w:p w14:paraId="467C6EC4" w14:textId="039C16EF" w:rsidR="00C74B1C" w:rsidRDefault="00C71CAB">
          <w:pPr>
            <w:pStyle w:val="TOC1"/>
            <w:rPr>
              <w:rFonts w:eastAsiaTheme="minorEastAsia" w:cstheme="minorBidi"/>
              <w:b w:val="0"/>
              <w:color w:val="auto"/>
              <w:sz w:val="22"/>
              <w:szCs w:val="22"/>
            </w:rPr>
          </w:pPr>
          <w:hyperlink w:anchor="_Toc115187662" w:history="1">
            <w:r w:rsidR="00C74B1C" w:rsidRPr="00CA2ABF">
              <w:rPr>
                <w:rStyle w:val="Hyperlink"/>
              </w:rPr>
              <w:t>Discussion and conclusion</w:t>
            </w:r>
            <w:r w:rsidR="00C74B1C">
              <w:rPr>
                <w:webHidden/>
              </w:rPr>
              <w:tab/>
            </w:r>
            <w:r w:rsidR="00C74B1C">
              <w:rPr>
                <w:webHidden/>
              </w:rPr>
              <w:fldChar w:fldCharType="begin"/>
            </w:r>
            <w:r w:rsidR="00C74B1C">
              <w:rPr>
                <w:webHidden/>
              </w:rPr>
              <w:instrText xml:space="preserve"> PAGEREF _Toc115187662 \h </w:instrText>
            </w:r>
            <w:r w:rsidR="00C74B1C">
              <w:rPr>
                <w:webHidden/>
              </w:rPr>
            </w:r>
            <w:r w:rsidR="00C74B1C">
              <w:rPr>
                <w:webHidden/>
              </w:rPr>
              <w:fldChar w:fldCharType="separate"/>
            </w:r>
            <w:r w:rsidR="00C74B1C">
              <w:rPr>
                <w:webHidden/>
              </w:rPr>
              <w:t>20</w:t>
            </w:r>
            <w:r w:rsidR="00C74B1C">
              <w:rPr>
                <w:webHidden/>
              </w:rPr>
              <w:fldChar w:fldCharType="end"/>
            </w:r>
          </w:hyperlink>
        </w:p>
        <w:p w14:paraId="2EB231BE" w14:textId="483A35A5" w:rsidR="00C74B1C" w:rsidRDefault="00C71CAB">
          <w:pPr>
            <w:pStyle w:val="TOC1"/>
            <w:rPr>
              <w:rFonts w:eastAsiaTheme="minorEastAsia" w:cstheme="minorBidi"/>
              <w:b w:val="0"/>
              <w:color w:val="auto"/>
              <w:sz w:val="22"/>
              <w:szCs w:val="22"/>
            </w:rPr>
          </w:pPr>
          <w:hyperlink w:anchor="_Toc115187663" w:history="1">
            <w:r w:rsidR="00C74B1C" w:rsidRPr="00CA2ABF">
              <w:rPr>
                <w:rStyle w:val="Hyperlink"/>
              </w:rPr>
              <w:t>Appendix 1: Evaluation design and analysis</w:t>
            </w:r>
            <w:r w:rsidR="00C74B1C">
              <w:rPr>
                <w:webHidden/>
              </w:rPr>
              <w:tab/>
            </w:r>
            <w:r w:rsidR="00C74B1C">
              <w:rPr>
                <w:webHidden/>
              </w:rPr>
              <w:fldChar w:fldCharType="begin"/>
            </w:r>
            <w:r w:rsidR="00C74B1C">
              <w:rPr>
                <w:webHidden/>
              </w:rPr>
              <w:instrText xml:space="preserve"> PAGEREF _Toc115187663 \h </w:instrText>
            </w:r>
            <w:r w:rsidR="00C74B1C">
              <w:rPr>
                <w:webHidden/>
              </w:rPr>
            </w:r>
            <w:r w:rsidR="00C74B1C">
              <w:rPr>
                <w:webHidden/>
              </w:rPr>
              <w:fldChar w:fldCharType="separate"/>
            </w:r>
            <w:r w:rsidR="00C74B1C">
              <w:rPr>
                <w:webHidden/>
              </w:rPr>
              <w:t>22</w:t>
            </w:r>
            <w:r w:rsidR="00C74B1C">
              <w:rPr>
                <w:webHidden/>
              </w:rPr>
              <w:fldChar w:fldCharType="end"/>
            </w:r>
          </w:hyperlink>
        </w:p>
        <w:p w14:paraId="052B0604" w14:textId="7720D79E" w:rsidR="00C74B1C" w:rsidRDefault="00C71CAB">
          <w:pPr>
            <w:pStyle w:val="TOC1"/>
            <w:rPr>
              <w:rFonts w:eastAsiaTheme="minorEastAsia" w:cstheme="minorBidi"/>
              <w:b w:val="0"/>
              <w:color w:val="auto"/>
              <w:sz w:val="22"/>
              <w:szCs w:val="22"/>
            </w:rPr>
          </w:pPr>
          <w:hyperlink w:anchor="_Toc115187664" w:history="1">
            <w:r w:rsidR="00C74B1C" w:rsidRPr="00CA2ABF">
              <w:rPr>
                <w:rStyle w:val="Hyperlink"/>
              </w:rPr>
              <w:t>Appendix 2: Other survey results</w:t>
            </w:r>
            <w:r w:rsidR="00C74B1C">
              <w:rPr>
                <w:webHidden/>
              </w:rPr>
              <w:tab/>
            </w:r>
            <w:r w:rsidR="00C74B1C">
              <w:rPr>
                <w:webHidden/>
              </w:rPr>
              <w:fldChar w:fldCharType="begin"/>
            </w:r>
            <w:r w:rsidR="00C74B1C">
              <w:rPr>
                <w:webHidden/>
              </w:rPr>
              <w:instrText xml:space="preserve"> PAGEREF _Toc115187664 \h </w:instrText>
            </w:r>
            <w:r w:rsidR="00C74B1C">
              <w:rPr>
                <w:webHidden/>
              </w:rPr>
            </w:r>
            <w:r w:rsidR="00C74B1C">
              <w:rPr>
                <w:webHidden/>
              </w:rPr>
              <w:fldChar w:fldCharType="separate"/>
            </w:r>
            <w:r w:rsidR="00C74B1C">
              <w:rPr>
                <w:webHidden/>
              </w:rPr>
              <w:t>28</w:t>
            </w:r>
            <w:r w:rsidR="00C74B1C">
              <w:rPr>
                <w:webHidden/>
              </w:rPr>
              <w:fldChar w:fldCharType="end"/>
            </w:r>
          </w:hyperlink>
        </w:p>
        <w:p w14:paraId="5E927F93" w14:textId="7D9867A6" w:rsidR="00C74B1C" w:rsidRDefault="00C71CAB">
          <w:pPr>
            <w:pStyle w:val="TOC1"/>
            <w:rPr>
              <w:rFonts w:eastAsiaTheme="minorEastAsia" w:cstheme="minorBidi"/>
              <w:b w:val="0"/>
              <w:color w:val="auto"/>
              <w:sz w:val="22"/>
              <w:szCs w:val="22"/>
            </w:rPr>
          </w:pPr>
          <w:hyperlink w:anchor="_Toc115187665" w:history="1">
            <w:r w:rsidR="00C74B1C" w:rsidRPr="00CA2ABF">
              <w:rPr>
                <w:rStyle w:val="Hyperlink"/>
              </w:rPr>
              <w:t>Appendix 3: Statistical tables for survey experiments</w:t>
            </w:r>
            <w:r w:rsidR="00C74B1C">
              <w:rPr>
                <w:webHidden/>
              </w:rPr>
              <w:tab/>
            </w:r>
            <w:r w:rsidR="00C74B1C">
              <w:rPr>
                <w:webHidden/>
              </w:rPr>
              <w:fldChar w:fldCharType="begin"/>
            </w:r>
            <w:r w:rsidR="00C74B1C">
              <w:rPr>
                <w:webHidden/>
              </w:rPr>
              <w:instrText xml:space="preserve"> PAGEREF _Toc115187665 \h </w:instrText>
            </w:r>
            <w:r w:rsidR="00C74B1C">
              <w:rPr>
                <w:webHidden/>
              </w:rPr>
            </w:r>
            <w:r w:rsidR="00C74B1C">
              <w:rPr>
                <w:webHidden/>
              </w:rPr>
              <w:fldChar w:fldCharType="separate"/>
            </w:r>
            <w:r w:rsidR="00C74B1C">
              <w:rPr>
                <w:webHidden/>
              </w:rPr>
              <w:t>32</w:t>
            </w:r>
            <w:r w:rsidR="00C74B1C">
              <w:rPr>
                <w:webHidden/>
              </w:rPr>
              <w:fldChar w:fldCharType="end"/>
            </w:r>
          </w:hyperlink>
        </w:p>
        <w:p w14:paraId="3535061E" w14:textId="1969E81A" w:rsidR="00C74B1C" w:rsidRDefault="00C71CAB">
          <w:pPr>
            <w:pStyle w:val="TOC1"/>
            <w:rPr>
              <w:rFonts w:eastAsiaTheme="minorEastAsia" w:cstheme="minorBidi"/>
              <w:b w:val="0"/>
              <w:color w:val="auto"/>
              <w:sz w:val="22"/>
              <w:szCs w:val="22"/>
            </w:rPr>
          </w:pPr>
          <w:hyperlink w:anchor="_Toc115187666" w:history="1">
            <w:r w:rsidR="00C74B1C" w:rsidRPr="00CA2ABF">
              <w:rPr>
                <w:rStyle w:val="Hyperlink"/>
              </w:rPr>
              <w:t>Appendix 4: Survey wording</w:t>
            </w:r>
            <w:r w:rsidR="00C74B1C">
              <w:rPr>
                <w:webHidden/>
              </w:rPr>
              <w:tab/>
            </w:r>
            <w:r w:rsidR="00C74B1C">
              <w:rPr>
                <w:webHidden/>
              </w:rPr>
              <w:fldChar w:fldCharType="begin"/>
            </w:r>
            <w:r w:rsidR="00C74B1C">
              <w:rPr>
                <w:webHidden/>
              </w:rPr>
              <w:instrText xml:space="preserve"> PAGEREF _Toc115187666 \h </w:instrText>
            </w:r>
            <w:r w:rsidR="00C74B1C">
              <w:rPr>
                <w:webHidden/>
              </w:rPr>
            </w:r>
            <w:r w:rsidR="00C74B1C">
              <w:rPr>
                <w:webHidden/>
              </w:rPr>
              <w:fldChar w:fldCharType="separate"/>
            </w:r>
            <w:r w:rsidR="00C74B1C">
              <w:rPr>
                <w:webHidden/>
              </w:rPr>
              <w:t>42</w:t>
            </w:r>
            <w:r w:rsidR="00C74B1C">
              <w:rPr>
                <w:webHidden/>
              </w:rPr>
              <w:fldChar w:fldCharType="end"/>
            </w:r>
          </w:hyperlink>
        </w:p>
        <w:p w14:paraId="4E386CF6" w14:textId="2AE99319" w:rsidR="00C74B1C" w:rsidRDefault="00C71CAB">
          <w:pPr>
            <w:pStyle w:val="TOC1"/>
            <w:rPr>
              <w:rFonts w:eastAsiaTheme="minorEastAsia" w:cstheme="minorBidi"/>
              <w:b w:val="0"/>
              <w:color w:val="auto"/>
              <w:sz w:val="22"/>
              <w:szCs w:val="22"/>
            </w:rPr>
          </w:pPr>
          <w:hyperlink w:anchor="_Toc115187667" w:history="1">
            <w:r w:rsidR="00C74B1C" w:rsidRPr="00CA2ABF">
              <w:rPr>
                <w:rStyle w:val="Hyperlink"/>
              </w:rPr>
              <w:t>References</w:t>
            </w:r>
            <w:r w:rsidR="00C74B1C">
              <w:rPr>
                <w:webHidden/>
              </w:rPr>
              <w:tab/>
            </w:r>
            <w:r w:rsidR="00C74B1C">
              <w:rPr>
                <w:webHidden/>
              </w:rPr>
              <w:fldChar w:fldCharType="begin"/>
            </w:r>
            <w:r w:rsidR="00C74B1C">
              <w:rPr>
                <w:webHidden/>
              </w:rPr>
              <w:instrText xml:space="preserve"> PAGEREF _Toc115187667 \h </w:instrText>
            </w:r>
            <w:r w:rsidR="00C74B1C">
              <w:rPr>
                <w:webHidden/>
              </w:rPr>
            </w:r>
            <w:r w:rsidR="00C74B1C">
              <w:rPr>
                <w:webHidden/>
              </w:rPr>
              <w:fldChar w:fldCharType="separate"/>
            </w:r>
            <w:r w:rsidR="00C74B1C">
              <w:rPr>
                <w:webHidden/>
              </w:rPr>
              <w:t>48</w:t>
            </w:r>
            <w:r w:rsidR="00C74B1C">
              <w:rPr>
                <w:webHidden/>
              </w:rPr>
              <w:fldChar w:fldCharType="end"/>
            </w:r>
          </w:hyperlink>
        </w:p>
        <w:p w14:paraId="1D8F122F" w14:textId="4A713A59" w:rsidR="00AE7D22" w:rsidRDefault="00AE7D22" w:rsidP="000A43DC">
          <w:pPr>
            <w:spacing w:after="0" w:line="240" w:lineRule="auto"/>
          </w:pPr>
          <w:r>
            <w:rPr>
              <w:b/>
              <w:noProof/>
              <w:color w:val="FFFFFF" w:themeColor="background1"/>
              <w:sz w:val="28"/>
            </w:rPr>
            <w:fldChar w:fldCharType="end"/>
          </w:r>
        </w:p>
      </w:sdtContent>
    </w:sdt>
    <w:p w14:paraId="14B95092" w14:textId="77777777" w:rsidR="00AE7D22" w:rsidRDefault="00AE7D22" w:rsidP="00AE7D22">
      <w:pPr>
        <w:rPr>
          <w:noProof/>
        </w:rPr>
      </w:pPr>
    </w:p>
    <w:p w14:paraId="2454AD0F" w14:textId="77777777" w:rsidR="00AE7D22" w:rsidRDefault="00AE7D22" w:rsidP="00AE7D22">
      <w:pPr>
        <w:rPr>
          <w:b/>
          <w:noProof/>
          <w:color w:val="FFFFFF" w:themeColor="background1"/>
          <w:sz w:val="28"/>
        </w:rPr>
        <w:sectPr w:rsidR="00AE7D22" w:rsidSect="008253C4">
          <w:headerReference w:type="default" r:id="rId17"/>
          <w:footerReference w:type="default" r:id="rId18"/>
          <w:pgSz w:w="11906" w:h="16838" w:code="9"/>
          <w:pgMar w:top="2041" w:right="2381" w:bottom="1247" w:left="1247" w:header="720" w:footer="851" w:gutter="0"/>
          <w:cols w:space="708"/>
          <w:docGrid w:linePitch="360"/>
        </w:sectPr>
      </w:pPr>
    </w:p>
    <w:p w14:paraId="512B6804" w14:textId="77777777" w:rsidR="00AE7D22" w:rsidRDefault="00AE7D22" w:rsidP="00E72621">
      <w:pPr>
        <w:spacing w:before="120" w:after="120"/>
        <w:rPr>
          <w:rStyle w:val="Hyperlink"/>
        </w:rPr>
      </w:pPr>
    </w:p>
    <w:p w14:paraId="43B77E10" w14:textId="06FBCF7E" w:rsidR="008270EF" w:rsidRDefault="008270EF" w:rsidP="00C71CAB">
      <w:bookmarkStart w:id="1" w:name="_Toc107826697"/>
      <w:bookmarkEnd w:id="0"/>
      <w:r>
        <w:br w:type="page"/>
      </w:r>
    </w:p>
    <w:p w14:paraId="0D4019E1" w14:textId="67EBFA5A" w:rsidR="004B4BC0" w:rsidRPr="00F546B9" w:rsidRDefault="00CA787C" w:rsidP="00191A5D">
      <w:pPr>
        <w:pStyle w:val="Heading2"/>
      </w:pPr>
      <w:bookmarkStart w:id="2" w:name="_Toc109225235"/>
      <w:bookmarkStart w:id="3" w:name="_Toc115096492"/>
      <w:bookmarkStart w:id="4" w:name="_Toc115184214"/>
      <w:bookmarkStart w:id="5" w:name="_Toc115187658"/>
      <w:r w:rsidRPr="00F546B9">
        <w:lastRenderedPageBreak/>
        <w:t>Executive</w:t>
      </w:r>
      <w:r w:rsidR="007C6C73">
        <w:t xml:space="preserve"> </w:t>
      </w:r>
      <w:r w:rsidRPr="00F546B9">
        <w:t>summary</w:t>
      </w:r>
      <w:bookmarkEnd w:id="1"/>
      <w:bookmarkEnd w:id="2"/>
      <w:bookmarkEnd w:id="3"/>
      <w:bookmarkEnd w:id="4"/>
      <w:bookmarkEnd w:id="5"/>
    </w:p>
    <w:p w14:paraId="4257027B" w14:textId="31F3C5DF" w:rsidR="004F6F0C" w:rsidRDefault="004F6F0C" w:rsidP="00BD20D5">
      <w:pPr>
        <w:pStyle w:val="Heading3"/>
      </w:pPr>
      <w:r>
        <w:t>Why we undertook this project</w:t>
      </w:r>
    </w:p>
    <w:p w14:paraId="316A510D" w14:textId="77777777" w:rsidR="00801256" w:rsidRDefault="00801256" w:rsidP="00801256">
      <w:r>
        <w:t xml:space="preserve">Many Australians have invested their savings in superannuation funds that significantly underperform benchmark net returns. This is typically due to a combination of weak returns and high fees. Ultimately, underperformance </w:t>
      </w:r>
      <w:r w:rsidRPr="000A5A48">
        <w:t xml:space="preserve">can lead to retirement savings </w:t>
      </w:r>
      <w:r>
        <w:t xml:space="preserve">that are far </w:t>
      </w:r>
      <w:r w:rsidRPr="000A5A48">
        <w:t xml:space="preserve">lower than they </w:t>
      </w:r>
      <w:r>
        <w:t>might have been</w:t>
      </w:r>
      <w:r w:rsidRPr="000A5A48">
        <w:t xml:space="preserve">. </w:t>
      </w:r>
    </w:p>
    <w:p w14:paraId="732B2DEC" w14:textId="317DF6F8" w:rsidR="00A442A3" w:rsidRPr="00257F6F" w:rsidRDefault="0018049B" w:rsidP="004F6F0C">
      <w:r>
        <w:t xml:space="preserve">The </w:t>
      </w:r>
      <w:r w:rsidR="00DE4058" w:rsidRPr="000A5A48">
        <w:rPr>
          <w:i/>
        </w:rPr>
        <w:t>YourSuper Comparison Tool</w:t>
      </w:r>
      <w:r w:rsidR="00DE4058" w:rsidRPr="000A5A48">
        <w:t xml:space="preserve"> website</w:t>
      </w:r>
      <w:r w:rsidR="00DE4058" w:rsidRPr="00624A68">
        <w:rPr>
          <w:b/>
        </w:rPr>
        <w:t xml:space="preserve"> </w:t>
      </w:r>
      <w:r w:rsidR="00DE4058">
        <w:t>(‘</w:t>
      </w:r>
      <w:r w:rsidR="00025B9A">
        <w:t>the comparison tool</w:t>
      </w:r>
      <w:r w:rsidR="00DE4058">
        <w:t>’)</w:t>
      </w:r>
      <w:r w:rsidR="00DE4058" w:rsidRPr="00864668">
        <w:t xml:space="preserve"> </w:t>
      </w:r>
      <w:r>
        <w:t xml:space="preserve">was developed </w:t>
      </w:r>
      <w:r w:rsidR="00DE4058">
        <w:t xml:space="preserve">to empower superannuation fund members. </w:t>
      </w:r>
      <w:r w:rsidR="00025B9A">
        <w:t>The comparison tool</w:t>
      </w:r>
      <w:r w:rsidR="00DE4058">
        <w:t xml:space="preserve"> </w:t>
      </w:r>
      <w:r w:rsidR="00D42F8B">
        <w:t xml:space="preserve">allows </w:t>
      </w:r>
      <w:r w:rsidR="000A1136" w:rsidRPr="000A1136">
        <w:t xml:space="preserve">people to compare the </w:t>
      </w:r>
      <w:r w:rsidR="00365661">
        <w:t xml:space="preserve">performance and </w:t>
      </w:r>
      <w:r w:rsidR="000A1136" w:rsidRPr="000A1136">
        <w:t xml:space="preserve">fees of </w:t>
      </w:r>
      <w:r w:rsidR="00025B9A">
        <w:t>MyS</w:t>
      </w:r>
      <w:r w:rsidR="000A1136" w:rsidRPr="000A1136">
        <w:t>uper products</w:t>
      </w:r>
      <w:r>
        <w:t>,</w:t>
      </w:r>
      <w:r w:rsidR="00F6164E">
        <w:t xml:space="preserve"> with </w:t>
      </w:r>
      <w:r>
        <w:t xml:space="preserve">the aim of </w:t>
      </w:r>
      <w:r w:rsidR="00A442A3">
        <w:t>making it easier for them to choose a well</w:t>
      </w:r>
      <w:r w:rsidR="00A442A3">
        <w:noBreakHyphen/>
        <w:t>performing product that meets their needs.</w:t>
      </w:r>
      <w:r w:rsidR="00A442A3">
        <w:rPr>
          <w:rFonts w:eastAsia="Helvetica" w:cs="Helvetica"/>
          <w:szCs w:val="22"/>
        </w:rPr>
        <w:t xml:space="preserve">  </w:t>
      </w:r>
    </w:p>
    <w:p w14:paraId="019579A7" w14:textId="2070407C" w:rsidR="00C34AE3" w:rsidRDefault="004F6F0C" w:rsidP="00BD20D5">
      <w:pPr>
        <w:pStyle w:val="Heading3"/>
      </w:pPr>
      <w:r>
        <w:t>What we did</w:t>
      </w:r>
    </w:p>
    <w:p w14:paraId="09ADAE7D" w14:textId="6386C064" w:rsidR="00B01499" w:rsidRDefault="0084568B" w:rsidP="00B43417">
      <w:r w:rsidRPr="000A5A48">
        <w:t xml:space="preserve">The Australian Taxation Office (ATO) </w:t>
      </w:r>
      <w:r w:rsidR="00B01499" w:rsidRPr="000A5A48">
        <w:t xml:space="preserve">led the design and </w:t>
      </w:r>
      <w:r w:rsidRPr="000A5A48">
        <w:t>development of the comparison tool</w:t>
      </w:r>
      <w:r w:rsidR="00B01499" w:rsidRPr="000A5A48">
        <w:t>,</w:t>
      </w:r>
      <w:r w:rsidR="00B01499">
        <w:t xml:space="preserve"> in collaboration with a</w:t>
      </w:r>
      <w:r w:rsidR="00606C44" w:rsidRPr="00606C44">
        <w:t xml:space="preserve"> multi-agency team </w:t>
      </w:r>
      <w:r w:rsidR="00B01499">
        <w:t xml:space="preserve">comprising staff from </w:t>
      </w:r>
      <w:r w:rsidR="00606C44" w:rsidRPr="00606C44">
        <w:t>the Tre</w:t>
      </w:r>
      <w:r>
        <w:t xml:space="preserve">asury, </w:t>
      </w:r>
      <w:r w:rsidR="00606C44" w:rsidRPr="00606C44">
        <w:t>the Australian Securities and Investment Commission</w:t>
      </w:r>
      <w:r w:rsidR="008D39AB">
        <w:t xml:space="preserve"> (ASIC)</w:t>
      </w:r>
      <w:r w:rsidR="00606C44" w:rsidRPr="00606C44">
        <w:t>, the Australian Pruden</w:t>
      </w:r>
      <w:r w:rsidR="00606C44">
        <w:t>tial Regulation</w:t>
      </w:r>
      <w:r w:rsidR="00B01499">
        <w:t xml:space="preserve"> Authority</w:t>
      </w:r>
      <w:r w:rsidR="00E93679">
        <w:t xml:space="preserve"> (APRA)</w:t>
      </w:r>
      <w:r w:rsidR="00116778">
        <w:t>,</w:t>
      </w:r>
      <w:r w:rsidR="00B01499">
        <w:t xml:space="preserve"> and </w:t>
      </w:r>
      <w:r w:rsidR="00B01499" w:rsidRPr="00864668">
        <w:t>the</w:t>
      </w:r>
      <w:r w:rsidR="00B01499">
        <w:t xml:space="preserve"> </w:t>
      </w:r>
      <w:r w:rsidR="00B01499" w:rsidRPr="00E22892">
        <w:t>Behavioural Economics Team of the Australian Government (BETA</w:t>
      </w:r>
      <w:r w:rsidR="00B01499">
        <w:t xml:space="preserve">). </w:t>
      </w:r>
    </w:p>
    <w:p w14:paraId="624E37E2" w14:textId="76DC2537" w:rsidR="00190F06" w:rsidRDefault="00C768A7" w:rsidP="00190F06">
      <w:r w:rsidRPr="000A5A48">
        <w:t>BETA and t</w:t>
      </w:r>
      <w:r w:rsidR="00B01499" w:rsidRPr="000A5A48">
        <w:t xml:space="preserve">he ATO’s Behavioural Insights Unit </w:t>
      </w:r>
      <w:r w:rsidRPr="000A5A48">
        <w:t xml:space="preserve">worked together to </w:t>
      </w:r>
      <w:r w:rsidR="00B01499" w:rsidRPr="000A5A48">
        <w:t xml:space="preserve">contribute </w:t>
      </w:r>
      <w:r w:rsidRPr="000A5A48">
        <w:t xml:space="preserve">behavioural insights </w:t>
      </w:r>
      <w:r w:rsidR="00B01499" w:rsidRPr="000A5A48">
        <w:t>to the design process</w:t>
      </w:r>
      <w:r w:rsidR="001A620F" w:rsidRPr="000A5A48">
        <w:t>.</w:t>
      </w:r>
      <w:r w:rsidRPr="000A5A48">
        <w:t xml:space="preserve"> </w:t>
      </w:r>
      <w:r w:rsidR="005D0281" w:rsidRPr="000A5A48">
        <w:t>This</w:t>
      </w:r>
      <w:r w:rsidR="005D0281">
        <w:t xml:space="preserve"> </w:t>
      </w:r>
      <w:r w:rsidR="00570D87">
        <w:t xml:space="preserve">included </w:t>
      </w:r>
      <w:r w:rsidR="005D0281">
        <w:t xml:space="preserve">running a survey and 2 survey experiments to </w:t>
      </w:r>
      <w:r w:rsidR="00DE4058">
        <w:t>g</w:t>
      </w:r>
      <w:r w:rsidR="001F2E45">
        <w:t>en</w:t>
      </w:r>
      <w:r w:rsidR="005D0281">
        <w:t>erate</w:t>
      </w:r>
      <w:r w:rsidR="00DE4058">
        <w:t xml:space="preserve"> </w:t>
      </w:r>
      <w:r w:rsidR="00801256">
        <w:t xml:space="preserve">relevant </w:t>
      </w:r>
      <w:r w:rsidR="00DE4058">
        <w:t>evidence</w:t>
      </w:r>
      <w:r w:rsidR="001A620F">
        <w:t>.</w:t>
      </w:r>
      <w:r w:rsidR="00820576">
        <w:t xml:space="preserve"> </w:t>
      </w:r>
      <w:r w:rsidR="00190F06">
        <w:t>The survey</w:t>
      </w:r>
      <w:r w:rsidR="00820576">
        <w:t>,</w:t>
      </w:r>
      <w:r w:rsidR="00190F06">
        <w:t xml:space="preserve"> c</w:t>
      </w:r>
      <w:r w:rsidR="00190F06" w:rsidRPr="000D1D99">
        <w:t>ompleted by 2,236 eligible respondents</w:t>
      </w:r>
      <w:r w:rsidR="00234E6D">
        <w:t xml:space="preserve"> in January 2021</w:t>
      </w:r>
      <w:r w:rsidR="00820576">
        <w:t>,</w:t>
      </w:r>
      <w:r w:rsidR="00234E6D">
        <w:t xml:space="preserve"> </w:t>
      </w:r>
      <w:r w:rsidR="00190F06">
        <w:t xml:space="preserve">included questions on: when </w:t>
      </w:r>
      <w:r w:rsidR="00234E6D">
        <w:t>respondents</w:t>
      </w:r>
      <w:r w:rsidR="00190F06">
        <w:t xml:space="preserve"> would be likely to use the comparison tool, the best way to describe a poor performer, and, </w:t>
      </w:r>
      <w:r w:rsidR="00801256">
        <w:t xml:space="preserve">in which </w:t>
      </w:r>
      <w:r w:rsidR="000739EE">
        <w:t xml:space="preserve">format they would prefer </w:t>
      </w:r>
      <w:r w:rsidR="00190F06">
        <w:t>an ‘underperformance notice’</w:t>
      </w:r>
      <w:r w:rsidR="00801256">
        <w:t xml:space="preserve"> (mail or email)</w:t>
      </w:r>
      <w:r w:rsidR="000739EE">
        <w:t>.</w:t>
      </w:r>
      <w:r w:rsidR="00190F06">
        <w:t xml:space="preserve"> </w:t>
      </w:r>
    </w:p>
    <w:p w14:paraId="77CED0C2" w14:textId="1AB69820" w:rsidR="004F6F0C" w:rsidRDefault="004F6F0C" w:rsidP="00BD20D5">
      <w:pPr>
        <w:pStyle w:val="Heading3"/>
      </w:pPr>
      <w:r>
        <w:t>Results and limitations</w:t>
      </w:r>
    </w:p>
    <w:p w14:paraId="245CA2DB" w14:textId="670E232B" w:rsidR="005D0281" w:rsidRDefault="005D0281" w:rsidP="005D0281">
      <w:r>
        <w:t xml:space="preserve">In the first </w:t>
      </w:r>
      <w:r w:rsidR="00820576">
        <w:t>survey</w:t>
      </w:r>
      <w:r>
        <w:t xml:space="preserve"> experiment,</w:t>
      </w:r>
      <w:r w:rsidRPr="005D0281">
        <w:t xml:space="preserve"> </w:t>
      </w:r>
      <w:r>
        <w:t xml:space="preserve">we tested how super products were classified </w:t>
      </w:r>
      <w:r w:rsidR="00FF49AA">
        <w:t xml:space="preserve">and sorted </w:t>
      </w:r>
      <w:r>
        <w:t>on the results page of the comparison tool. They were either placed into 2 categories (‘poor’ or ‘good’ performance) or 3</w:t>
      </w:r>
      <w:r w:rsidR="00FF49AA">
        <w:t> </w:t>
      </w:r>
      <w:r>
        <w:t xml:space="preserve">categories (‘poor’, ‘fair’, or ‘top’ performance). </w:t>
      </w:r>
      <w:r w:rsidR="00EF3817">
        <w:t>As we expected</w:t>
      </w:r>
      <w:r w:rsidRPr="000A5A48">
        <w:t xml:space="preserve">, respondents who saw the </w:t>
      </w:r>
      <w:r w:rsidR="00A43386" w:rsidRPr="000A5A48">
        <w:t xml:space="preserve">additional </w:t>
      </w:r>
      <w:r w:rsidRPr="000A5A48">
        <w:t xml:space="preserve">‘top’ performance category were better at selecting one of the best performing funds than those who saw </w:t>
      </w:r>
      <w:r w:rsidR="00116D67">
        <w:t xml:space="preserve">only </w:t>
      </w:r>
      <w:r w:rsidR="00A43386" w:rsidRPr="000A5A48">
        <w:t xml:space="preserve">2 performance </w:t>
      </w:r>
      <w:r w:rsidRPr="000A5A48">
        <w:t>categories</w:t>
      </w:r>
      <w:r>
        <w:t xml:space="preserve">. </w:t>
      </w:r>
      <w:r w:rsidR="00A14B18">
        <w:t xml:space="preserve"> </w:t>
      </w:r>
    </w:p>
    <w:p w14:paraId="34AF5022" w14:textId="0A803C2C" w:rsidR="005D0281" w:rsidRDefault="005D0281" w:rsidP="005D0281">
      <w:r>
        <w:t>In the second experiment,</w:t>
      </w:r>
      <w:r w:rsidR="00A43386">
        <w:t xml:space="preserve"> we tested different ways to communicate the risk/return trade</w:t>
      </w:r>
      <w:r w:rsidR="00A43386">
        <w:noBreakHyphen/>
        <w:t>off associated with different super products. For example we tested accurate but technical language (such as ‘low risk and low expected return’) against terms that are common in the super industry but where the risk level is implied (such as ‘conservative’, ‘balanced’ and ‘</w:t>
      </w:r>
      <w:r w:rsidR="00A43386" w:rsidRPr="000A5A48">
        <w:t>growth’). R</w:t>
      </w:r>
      <w:r w:rsidRPr="000A5A48">
        <w:t xml:space="preserve">espondents who were presented with </w:t>
      </w:r>
      <w:r w:rsidR="00A43386" w:rsidRPr="000A5A48">
        <w:t xml:space="preserve">common industry terms for risk/return </w:t>
      </w:r>
      <w:r w:rsidRPr="000A5A48">
        <w:t xml:space="preserve">were better at selecting the </w:t>
      </w:r>
      <w:r w:rsidR="002C2871" w:rsidRPr="000A5A48">
        <w:t xml:space="preserve">optimal </w:t>
      </w:r>
      <w:r w:rsidRPr="000A5A48">
        <w:t>option in the scenario presented.</w:t>
      </w:r>
    </w:p>
    <w:p w14:paraId="2A8AEE8D" w14:textId="34FD4E90" w:rsidR="005258F8" w:rsidRDefault="00116D67" w:rsidP="000D1D99">
      <w:r>
        <w:t>O</w:t>
      </w:r>
      <w:r w:rsidR="00EC08EC">
        <w:t>ur overall</w:t>
      </w:r>
      <w:r w:rsidR="00EC08EC" w:rsidRPr="00EC08EC">
        <w:t xml:space="preserve"> judgement is that these results </w:t>
      </w:r>
      <w:r w:rsidR="004F6F0C">
        <w:t xml:space="preserve">are </w:t>
      </w:r>
      <w:r w:rsidR="00EC08EC">
        <w:t xml:space="preserve">likely </w:t>
      </w:r>
      <w:r w:rsidR="004F6F0C">
        <w:t xml:space="preserve">to </w:t>
      </w:r>
      <w:r w:rsidR="00EC08EC">
        <w:t>reflect how people</w:t>
      </w:r>
      <w:r w:rsidR="00EC08EC" w:rsidRPr="00EC08EC">
        <w:t xml:space="preserve"> would respond to these design options</w:t>
      </w:r>
      <w:r>
        <w:t xml:space="preserve"> in the real world</w:t>
      </w:r>
      <w:r w:rsidR="00EC08EC" w:rsidRPr="00EC08EC">
        <w:t xml:space="preserve">. </w:t>
      </w:r>
      <w:r w:rsidR="00EC08EC">
        <w:t xml:space="preserve">Some caution is warranted </w:t>
      </w:r>
      <w:r w:rsidR="00190F06">
        <w:t xml:space="preserve">since survey experiments only test responses </w:t>
      </w:r>
      <w:r w:rsidR="008B2C30">
        <w:t xml:space="preserve">in </w:t>
      </w:r>
      <w:r w:rsidR="00190F06">
        <w:t>a</w:t>
      </w:r>
      <w:r w:rsidR="008B2C30">
        <w:t>n</w:t>
      </w:r>
      <w:r w:rsidR="00190F06">
        <w:t xml:space="preserve"> </w:t>
      </w:r>
      <w:r w:rsidR="008B2C30">
        <w:t>artificial</w:t>
      </w:r>
      <w:r w:rsidR="00190F06">
        <w:t xml:space="preserve"> setting. Furthermore, online survey panels are not </w:t>
      </w:r>
      <w:r w:rsidR="007565CF">
        <w:t xml:space="preserve">fully </w:t>
      </w:r>
      <w:r w:rsidR="00190F06">
        <w:lastRenderedPageBreak/>
        <w:t xml:space="preserve">representative of the general population. </w:t>
      </w:r>
      <w:r w:rsidR="005258F8">
        <w:t>However, we collected a large and diverse sample of superannuation members, and we designed an experiment that sought to mimic real</w:t>
      </w:r>
      <w:r w:rsidR="005258F8">
        <w:noBreakHyphen/>
        <w:t>world decision</w:t>
      </w:r>
      <w:r w:rsidR="005258F8">
        <w:noBreakHyphen/>
        <w:t xml:space="preserve">making. </w:t>
      </w:r>
    </w:p>
    <w:p w14:paraId="194956C2" w14:textId="74BBB2D7" w:rsidR="00311246" w:rsidRDefault="008B2C30" w:rsidP="000D1D99">
      <w:r>
        <w:t xml:space="preserve">This research was considered </w:t>
      </w:r>
      <w:r w:rsidR="003823AB">
        <w:t xml:space="preserve">in the development of the YourSuper comparison tool alongside </w:t>
      </w:r>
      <w:r>
        <w:t xml:space="preserve">user research </w:t>
      </w:r>
      <w:r w:rsidR="003823AB">
        <w:t xml:space="preserve">conducted by the ATO and </w:t>
      </w:r>
      <w:r>
        <w:t>consultation with the super fund industry and other</w:t>
      </w:r>
      <w:r w:rsidR="003823AB">
        <w:t xml:space="preserve"> stakeholders</w:t>
      </w:r>
      <w:r>
        <w:t>.</w:t>
      </w:r>
    </w:p>
    <w:p w14:paraId="28A5F56D" w14:textId="254FF584" w:rsidR="00943FE8" w:rsidRDefault="00727A56" w:rsidP="000D1D99">
      <w:r>
        <w:t>This report is accompanied by a</w:t>
      </w:r>
      <w:r w:rsidR="00943FE8">
        <w:t xml:space="preserve"> sprea</w:t>
      </w:r>
      <w:r>
        <w:t>dsheet appendix</w:t>
      </w:r>
      <w:r w:rsidR="00943FE8">
        <w:t xml:space="preserve"> with full survey results (tabulated). </w:t>
      </w:r>
      <w:r>
        <w:t xml:space="preserve">It is </w:t>
      </w:r>
      <w:r w:rsidR="00943FE8">
        <w:t>available at</w:t>
      </w:r>
      <w:r w:rsidR="003D4097">
        <w:t>:</w:t>
      </w:r>
      <w:r w:rsidR="00943FE8">
        <w:t xml:space="preserve"> </w:t>
      </w:r>
      <w:hyperlink r:id="rId19" w:history="1">
        <w:r w:rsidR="002775B1">
          <w:rPr>
            <w:rStyle w:val="Hyperlink"/>
          </w:rPr>
          <w:t>https://behaviouraleconomics.pmc.gov.au/projects/yoursuper-comparison-tool-results-survey-and-two-survey-experiments</w:t>
        </w:r>
      </w:hyperlink>
    </w:p>
    <w:p w14:paraId="060DADF3" w14:textId="77777777" w:rsidR="00311246" w:rsidRDefault="00311246">
      <w:pPr>
        <w:spacing w:after="0" w:line="240" w:lineRule="auto"/>
      </w:pPr>
      <w:r>
        <w:br w:type="page"/>
      </w:r>
    </w:p>
    <w:p w14:paraId="2421AACD" w14:textId="77777777" w:rsidR="00973B23" w:rsidRDefault="00973B23" w:rsidP="00191A5D">
      <w:pPr>
        <w:pStyle w:val="Heading2"/>
      </w:pPr>
      <w:bookmarkStart w:id="6" w:name="_Toc107826698"/>
      <w:bookmarkStart w:id="7" w:name="_Toc109225236"/>
      <w:bookmarkStart w:id="8" w:name="_Toc115096493"/>
      <w:bookmarkStart w:id="9" w:name="_Toc115184215"/>
      <w:bookmarkStart w:id="10" w:name="_Toc115187659"/>
      <w:r>
        <w:lastRenderedPageBreak/>
        <w:t>Why?</w:t>
      </w:r>
      <w:bookmarkEnd w:id="6"/>
      <w:bookmarkEnd w:id="7"/>
      <w:bookmarkEnd w:id="8"/>
      <w:bookmarkEnd w:id="9"/>
      <w:bookmarkEnd w:id="10"/>
    </w:p>
    <w:p w14:paraId="3AA24B9F" w14:textId="77777777" w:rsidR="00973B23" w:rsidRPr="0068479D" w:rsidRDefault="00E375B4" w:rsidP="00E375B4">
      <w:pPr>
        <w:pStyle w:val="Heading3"/>
      </w:pPr>
      <w:r>
        <w:t>Policy context</w:t>
      </w:r>
    </w:p>
    <w:p w14:paraId="0D71A645" w14:textId="37A1CDD4" w:rsidR="005258F8" w:rsidRDefault="005258F8" w:rsidP="00B2173F">
      <w:pPr>
        <w:rPr>
          <w:rFonts w:eastAsia="Helvetica" w:cs="Helvetica"/>
          <w:szCs w:val="22"/>
        </w:rPr>
      </w:pPr>
      <w:r w:rsidRPr="005258F8">
        <w:rPr>
          <w:rFonts w:eastAsia="Helvetica" w:cs="Helvetica"/>
          <w:szCs w:val="22"/>
        </w:rPr>
        <w:t>Australia</w:t>
      </w:r>
      <w:r>
        <w:rPr>
          <w:rFonts w:eastAsia="Helvetica" w:cs="Helvetica"/>
          <w:szCs w:val="22"/>
        </w:rPr>
        <w:t>’s retirement income policy is based on 3 pillars: compulsory superannuation, the age pension, and voluntary savings (</w:t>
      </w:r>
      <w:r w:rsidR="00E853BA">
        <w:t>Australian Government the Treasury 2020</w:t>
      </w:r>
      <w:r w:rsidR="00920962">
        <w:t>:</w:t>
      </w:r>
      <w:r w:rsidR="00E853BA">
        <w:t>1).</w:t>
      </w:r>
      <w:r>
        <w:rPr>
          <w:rFonts w:eastAsia="Helvetica"/>
        </w:rPr>
        <w:t xml:space="preserve"> </w:t>
      </w:r>
      <w:r>
        <w:rPr>
          <w:rFonts w:eastAsia="Helvetica" w:cs="Helvetica"/>
          <w:szCs w:val="22"/>
        </w:rPr>
        <w:t xml:space="preserve">The </w:t>
      </w:r>
      <w:r w:rsidR="00D87C1B">
        <w:rPr>
          <w:rFonts w:eastAsia="Helvetica" w:cs="Helvetica"/>
          <w:szCs w:val="22"/>
        </w:rPr>
        <w:t xml:space="preserve">Government’s </w:t>
      </w:r>
      <w:r w:rsidRPr="005258F8">
        <w:rPr>
          <w:rFonts w:eastAsia="Helvetica" w:cs="Helvetica"/>
          <w:szCs w:val="22"/>
        </w:rPr>
        <w:t xml:space="preserve">superannuation guarantee </w:t>
      </w:r>
      <w:r>
        <w:rPr>
          <w:rFonts w:eastAsia="Helvetica" w:cs="Helvetica"/>
          <w:szCs w:val="22"/>
        </w:rPr>
        <w:t xml:space="preserve">currently requires employers to contribute </w:t>
      </w:r>
      <w:r w:rsidR="00933CB0" w:rsidRPr="00470580">
        <w:rPr>
          <w:rFonts w:eastAsia="Helvetica" w:cs="Helvetica"/>
          <w:szCs w:val="22"/>
        </w:rPr>
        <w:t>10</w:t>
      </w:r>
      <w:r w:rsidRPr="00470580">
        <w:rPr>
          <w:rFonts w:eastAsia="Helvetica" w:cs="Helvetica"/>
          <w:szCs w:val="22"/>
        </w:rPr>
        <w:t>.5%</w:t>
      </w:r>
      <w:r>
        <w:rPr>
          <w:rFonts w:eastAsia="Helvetica" w:cs="Helvetica"/>
          <w:szCs w:val="22"/>
        </w:rPr>
        <w:t xml:space="preserve"> of employees’ salaries into a superannuation fund, thereby reducing</w:t>
      </w:r>
      <w:r w:rsidRPr="005258F8">
        <w:rPr>
          <w:rFonts w:eastAsia="Helvetica" w:cs="Helvetica"/>
          <w:szCs w:val="22"/>
        </w:rPr>
        <w:t xml:space="preserve"> </w:t>
      </w:r>
      <w:r>
        <w:rPr>
          <w:rFonts w:eastAsia="Helvetica" w:cs="Helvetica"/>
          <w:szCs w:val="22"/>
        </w:rPr>
        <w:t xml:space="preserve">retirees’ </w:t>
      </w:r>
      <w:r w:rsidRPr="005258F8">
        <w:rPr>
          <w:rFonts w:eastAsia="Helvetica" w:cs="Helvetica"/>
          <w:szCs w:val="22"/>
        </w:rPr>
        <w:t xml:space="preserve">reliance on </w:t>
      </w:r>
      <w:r>
        <w:rPr>
          <w:rFonts w:eastAsia="Helvetica" w:cs="Helvetica"/>
          <w:szCs w:val="22"/>
        </w:rPr>
        <w:t xml:space="preserve">the age </w:t>
      </w:r>
      <w:r w:rsidRPr="005258F8">
        <w:rPr>
          <w:rFonts w:eastAsia="Helvetica" w:cs="Helvetica"/>
          <w:szCs w:val="22"/>
        </w:rPr>
        <w:t>pension</w:t>
      </w:r>
      <w:r>
        <w:rPr>
          <w:rFonts w:eastAsia="Helvetica" w:cs="Helvetica"/>
          <w:szCs w:val="22"/>
        </w:rPr>
        <w:t xml:space="preserve">. The decisions super fund members make about </w:t>
      </w:r>
      <w:r w:rsidR="00C44429">
        <w:rPr>
          <w:rFonts w:eastAsia="Helvetica" w:cs="Helvetica"/>
          <w:szCs w:val="22"/>
        </w:rPr>
        <w:t xml:space="preserve">their superannuation </w:t>
      </w:r>
      <w:r w:rsidR="00D87C1B">
        <w:rPr>
          <w:rFonts w:eastAsia="Helvetica" w:cs="Helvetica"/>
          <w:szCs w:val="22"/>
        </w:rPr>
        <w:t xml:space="preserve">throughout their lives </w:t>
      </w:r>
      <w:r w:rsidRPr="005258F8">
        <w:rPr>
          <w:rFonts w:eastAsia="Helvetica" w:cs="Helvetica"/>
          <w:szCs w:val="22"/>
        </w:rPr>
        <w:t xml:space="preserve">can have </w:t>
      </w:r>
      <w:r w:rsidR="00C44429">
        <w:rPr>
          <w:rFonts w:eastAsia="Helvetica" w:cs="Helvetica"/>
          <w:szCs w:val="22"/>
        </w:rPr>
        <w:t xml:space="preserve">a </w:t>
      </w:r>
      <w:r w:rsidRPr="005258F8">
        <w:rPr>
          <w:rFonts w:eastAsia="Helvetica" w:cs="Helvetica"/>
          <w:szCs w:val="22"/>
        </w:rPr>
        <w:t xml:space="preserve">significant impact on </w:t>
      </w:r>
      <w:r w:rsidR="00C44429">
        <w:rPr>
          <w:rFonts w:eastAsia="Helvetica" w:cs="Helvetica"/>
          <w:szCs w:val="22"/>
        </w:rPr>
        <w:t xml:space="preserve">their incomes in retirement. </w:t>
      </w:r>
    </w:p>
    <w:p w14:paraId="11A5C1BA" w14:textId="55620964" w:rsidR="008938FA" w:rsidRDefault="008938FA" w:rsidP="00B2173F">
      <w:r>
        <w:rPr>
          <w:rFonts w:eastAsia="Helvetica" w:cs="Helvetica"/>
          <w:szCs w:val="22"/>
        </w:rPr>
        <w:t>S</w:t>
      </w:r>
      <w:r>
        <w:t xml:space="preserve">uper fund performance </w:t>
      </w:r>
      <w:r w:rsidR="00EC08EC" w:rsidRPr="00EC08EC">
        <w:t>si</w:t>
      </w:r>
      <w:r w:rsidR="00EC08EC">
        <w:t>gnificantly impacts</w:t>
      </w:r>
      <w:r w:rsidR="00823530">
        <w:t xml:space="preserve"> </w:t>
      </w:r>
      <w:r>
        <w:t xml:space="preserve">their members’ retirement savings. For example, </w:t>
      </w:r>
      <w:r w:rsidR="00FE403B">
        <w:rPr>
          <w:rFonts w:eastAsia="Helvetica" w:cs="Helvetica"/>
          <w:szCs w:val="22"/>
        </w:rPr>
        <w:t>t</w:t>
      </w:r>
      <w:r w:rsidR="00E27FF6">
        <w:rPr>
          <w:rFonts w:eastAsia="Helvetica" w:cs="Helvetica"/>
          <w:szCs w:val="22"/>
        </w:rPr>
        <w:t xml:space="preserve">he Productivity Commission’s </w:t>
      </w:r>
      <w:r w:rsidR="00EC08EC">
        <w:rPr>
          <w:rFonts w:eastAsia="Helvetica" w:cs="Helvetica"/>
          <w:szCs w:val="22"/>
        </w:rPr>
        <w:t xml:space="preserve">(PC) </w:t>
      </w:r>
      <w:r w:rsidR="00E27FF6">
        <w:rPr>
          <w:rFonts w:eastAsia="Helvetica" w:cs="Helvetica"/>
          <w:szCs w:val="22"/>
        </w:rPr>
        <w:t xml:space="preserve">Inquiry Report </w:t>
      </w:r>
      <w:r w:rsidR="00E27FF6" w:rsidRPr="00C53000">
        <w:rPr>
          <w:rFonts w:eastAsia="Helvetica" w:cs="Helvetica"/>
          <w:i/>
          <w:szCs w:val="22"/>
        </w:rPr>
        <w:t>Superannuation: Assessing Efficiency and Competitiveness</w:t>
      </w:r>
      <w:r w:rsidR="00E27FF6" w:rsidRPr="00C53000">
        <w:rPr>
          <w:rFonts w:eastAsia="Helvetica" w:cs="Helvetica"/>
          <w:szCs w:val="22"/>
        </w:rPr>
        <w:t xml:space="preserve"> </w:t>
      </w:r>
      <w:r w:rsidR="00E27FF6">
        <w:rPr>
          <w:rFonts w:eastAsia="Helvetica" w:cs="Helvetica"/>
          <w:szCs w:val="22"/>
        </w:rPr>
        <w:t xml:space="preserve">estimated </w:t>
      </w:r>
      <w:r w:rsidR="00E27FF6" w:rsidRPr="008938FA">
        <w:t>that being in an underperforming fund can lead to 54% less in retirement savings compared to being in a high</w:t>
      </w:r>
      <w:r w:rsidR="005258F8">
        <w:noBreakHyphen/>
      </w:r>
      <w:r w:rsidR="00E27FF6" w:rsidRPr="008938FA">
        <w:t xml:space="preserve">performing </w:t>
      </w:r>
      <w:r w:rsidR="00E27FF6">
        <w:t>fund (</w:t>
      </w:r>
      <w:r w:rsidR="00E27FF6" w:rsidRPr="008938FA">
        <w:t>PC 2018</w:t>
      </w:r>
      <w:r w:rsidR="00920962">
        <w:t>a:</w:t>
      </w:r>
      <w:r w:rsidR="009B5D83">
        <w:t>11</w:t>
      </w:r>
      <w:r w:rsidR="00E27FF6" w:rsidRPr="008938FA">
        <w:t>).</w:t>
      </w:r>
      <w:r w:rsidR="00E27FF6">
        <w:rPr>
          <w:rFonts w:eastAsia="Helvetica" w:cs="Helvetica"/>
          <w:szCs w:val="22"/>
        </w:rPr>
        <w:t xml:space="preserve"> </w:t>
      </w:r>
      <w:r>
        <w:t xml:space="preserve">Yet </w:t>
      </w:r>
      <w:r w:rsidR="009015D3">
        <w:t>the PC identified many ‘entrenched underperformers’ (</w:t>
      </w:r>
      <w:r w:rsidR="009015D3">
        <w:rPr>
          <w:rFonts w:eastAsia="Helvetica" w:cs="Helvetica"/>
          <w:szCs w:val="22"/>
        </w:rPr>
        <w:t>that is, super funds that consistently underperform relative to benchmarks</w:t>
      </w:r>
      <w:r w:rsidR="009015D3">
        <w:t xml:space="preserve">) and </w:t>
      </w:r>
      <w:r>
        <w:t xml:space="preserve">many consumers remain in underperforming super products for long periods of time. </w:t>
      </w:r>
    </w:p>
    <w:p w14:paraId="5C39F6B0" w14:textId="2F726DCF" w:rsidR="00EF23EE" w:rsidRDefault="008938FA" w:rsidP="008938FA">
      <w:r>
        <w:t xml:space="preserve">Choosing an appropriate super fund is challenging. </w:t>
      </w:r>
      <w:r w:rsidR="00F767B9">
        <w:t>T</w:t>
      </w:r>
      <w:r>
        <w:t xml:space="preserve">here are </w:t>
      </w:r>
      <w:r w:rsidR="00EF23EE">
        <w:t xml:space="preserve">many </w:t>
      </w:r>
      <w:r>
        <w:t xml:space="preserve">super products available, and several </w:t>
      </w:r>
      <w:r w:rsidR="00EF23EE">
        <w:t xml:space="preserve">complex </w:t>
      </w:r>
      <w:r>
        <w:t>variables to consider</w:t>
      </w:r>
      <w:r w:rsidR="00EB2F1F">
        <w:t>,</w:t>
      </w:r>
      <w:r>
        <w:t xml:space="preserve"> </w:t>
      </w:r>
      <w:r w:rsidR="00EF23EE">
        <w:t>including the product’s past performance, fees, investment strategy, insurance polic</w:t>
      </w:r>
      <w:r w:rsidR="00FE403B">
        <w:t>ies</w:t>
      </w:r>
      <w:r w:rsidR="00EF23EE">
        <w:t xml:space="preserve"> and ethical investment options. </w:t>
      </w:r>
      <w:r w:rsidR="006F535B">
        <w:t xml:space="preserve">Added to this, people lead busy lives and often don’t have time to devote to monitoring the performance of their super fund. </w:t>
      </w:r>
      <w:r w:rsidR="00EB2F1F">
        <w:t>M</w:t>
      </w:r>
      <w:r w:rsidR="006F535B">
        <w:t>any people struggle to understand financial matters in general, with around 30% of Australians having low financial literacy (PC 2018</w:t>
      </w:r>
      <w:r w:rsidR="00920962">
        <w:t>a:</w:t>
      </w:r>
      <w:r w:rsidR="009B5D83">
        <w:t>21</w:t>
      </w:r>
      <w:r w:rsidR="006F535B">
        <w:t xml:space="preserve">). </w:t>
      </w:r>
      <w:r w:rsidR="00EF23EE">
        <w:t>In these conditions, many consumers are likely to find the choice overwhelming</w:t>
      </w:r>
      <w:r w:rsidR="00D750BB">
        <w:t xml:space="preserve"> (Chernev et al, 2015)</w:t>
      </w:r>
      <w:r w:rsidR="00EF23EE">
        <w:t xml:space="preserve">. Often inertia will set in and </w:t>
      </w:r>
      <w:r w:rsidR="00D42F8B">
        <w:t xml:space="preserve">they will </w:t>
      </w:r>
      <w:r w:rsidR="00EF23EE">
        <w:t>make no ‘active’ choice at all</w:t>
      </w:r>
      <w:r w:rsidR="00D42F8B">
        <w:t>,  remain</w:t>
      </w:r>
      <w:r w:rsidR="00EB2F1F">
        <w:t>ing</w:t>
      </w:r>
      <w:r w:rsidR="00D42F8B">
        <w:t xml:space="preserve"> in the same fund, with the same investment strategy</w:t>
      </w:r>
      <w:r w:rsidR="00EB2F1F">
        <w:t xml:space="preserve"> for many years</w:t>
      </w:r>
      <w:r w:rsidR="00EF23EE">
        <w:t>.</w:t>
      </w:r>
    </w:p>
    <w:p w14:paraId="22609181" w14:textId="56F64E2C" w:rsidR="00A442A3" w:rsidRDefault="006F535B" w:rsidP="006F535B">
      <w:pPr>
        <w:rPr>
          <w:rFonts w:eastAsia="Helvetica" w:cs="Helvetica"/>
          <w:szCs w:val="22"/>
        </w:rPr>
      </w:pPr>
      <w:r>
        <w:rPr>
          <w:rFonts w:eastAsia="Helvetica" w:cs="Helvetica"/>
          <w:szCs w:val="22"/>
        </w:rPr>
        <w:t>‘MySuper</w:t>
      </w:r>
      <w:r w:rsidR="0068228F">
        <w:rPr>
          <w:rFonts w:eastAsia="Helvetica" w:cs="Helvetica"/>
          <w:szCs w:val="22"/>
        </w:rPr>
        <w:t>’</w:t>
      </w:r>
      <w:r w:rsidDel="0068228F">
        <w:rPr>
          <w:rFonts w:eastAsia="Helvetica" w:cs="Helvetica"/>
          <w:szCs w:val="22"/>
        </w:rPr>
        <w:t xml:space="preserve"> </w:t>
      </w:r>
      <w:r w:rsidR="0068228F">
        <w:rPr>
          <w:rFonts w:eastAsia="Helvetica" w:cs="Helvetica"/>
          <w:szCs w:val="22"/>
        </w:rPr>
        <w:t xml:space="preserve">is the name given to </w:t>
      </w:r>
      <w:r w:rsidR="00C12584">
        <w:rPr>
          <w:rFonts w:eastAsia="Helvetica" w:cs="Helvetica"/>
          <w:szCs w:val="22"/>
        </w:rPr>
        <w:t xml:space="preserve">default </w:t>
      </w:r>
      <w:r w:rsidR="0068228F">
        <w:rPr>
          <w:rFonts w:eastAsia="Helvetica" w:cs="Helvetica"/>
          <w:szCs w:val="22"/>
        </w:rPr>
        <w:t xml:space="preserve">super products. </w:t>
      </w:r>
      <w:r w:rsidR="00A442A3">
        <w:rPr>
          <w:rFonts w:eastAsia="Helvetica" w:cs="Helvetica"/>
          <w:szCs w:val="22"/>
        </w:rPr>
        <w:t>That is, when employees start</w:t>
      </w:r>
      <w:r w:rsidR="00174B4B">
        <w:rPr>
          <w:rFonts w:eastAsia="Helvetica" w:cs="Helvetica"/>
          <w:szCs w:val="22"/>
        </w:rPr>
        <w:t xml:space="preserve"> a new</w:t>
      </w:r>
      <w:r w:rsidR="00A442A3">
        <w:rPr>
          <w:rFonts w:eastAsia="Helvetica" w:cs="Helvetica"/>
          <w:szCs w:val="22"/>
        </w:rPr>
        <w:t xml:space="preserve"> job, the</w:t>
      </w:r>
      <w:r w:rsidR="00EB2F1F">
        <w:rPr>
          <w:rFonts w:eastAsia="Helvetica" w:cs="Helvetica"/>
          <w:szCs w:val="22"/>
        </w:rPr>
        <w:t xml:space="preserve">ir super can be </w:t>
      </w:r>
      <w:r w:rsidR="00A442A3">
        <w:rPr>
          <w:rFonts w:eastAsia="Helvetica" w:cs="Helvetica"/>
          <w:szCs w:val="22"/>
        </w:rPr>
        <w:t xml:space="preserve">paid into </w:t>
      </w:r>
      <w:r w:rsidR="00174B4B">
        <w:rPr>
          <w:rFonts w:eastAsia="Helvetica" w:cs="Helvetica"/>
          <w:szCs w:val="22"/>
        </w:rPr>
        <w:t>a</w:t>
      </w:r>
      <w:r w:rsidR="00A442A3">
        <w:rPr>
          <w:rFonts w:eastAsia="Helvetica" w:cs="Helvetica"/>
          <w:szCs w:val="22"/>
        </w:rPr>
        <w:t xml:space="preserve"> super fund </w:t>
      </w:r>
      <w:r w:rsidR="00174B4B">
        <w:rPr>
          <w:rFonts w:eastAsia="Helvetica" w:cs="Helvetica"/>
          <w:szCs w:val="22"/>
        </w:rPr>
        <w:t xml:space="preserve">of their choice </w:t>
      </w:r>
      <w:r w:rsidR="00A442A3">
        <w:rPr>
          <w:rFonts w:eastAsia="Helvetica" w:cs="Helvetica"/>
          <w:szCs w:val="22"/>
        </w:rPr>
        <w:t>or into the MySuper product</w:t>
      </w:r>
      <w:r w:rsidR="00174B4B">
        <w:rPr>
          <w:rFonts w:eastAsia="Helvetica" w:cs="Helvetica"/>
          <w:szCs w:val="22"/>
        </w:rPr>
        <w:t xml:space="preserve"> chosen by the employer</w:t>
      </w:r>
      <w:r w:rsidR="00A442A3">
        <w:rPr>
          <w:rFonts w:eastAsia="Helvetica" w:cs="Helvetica"/>
          <w:szCs w:val="22"/>
        </w:rPr>
        <w:t xml:space="preserve">. If </w:t>
      </w:r>
      <w:r w:rsidR="00EB2F1F">
        <w:rPr>
          <w:rFonts w:eastAsia="Helvetica" w:cs="Helvetica"/>
          <w:szCs w:val="22"/>
        </w:rPr>
        <w:t xml:space="preserve">an </w:t>
      </w:r>
      <w:r w:rsidR="00A442A3">
        <w:rPr>
          <w:rFonts w:eastAsia="Helvetica" w:cs="Helvetica"/>
          <w:szCs w:val="22"/>
        </w:rPr>
        <w:t xml:space="preserve">employee doesn’t nominate any super fund (and </w:t>
      </w:r>
      <w:r w:rsidR="000C3D9B">
        <w:rPr>
          <w:rFonts w:eastAsia="Helvetica" w:cs="Helvetica"/>
          <w:szCs w:val="22"/>
        </w:rPr>
        <w:t xml:space="preserve">doesn’t </w:t>
      </w:r>
      <w:r w:rsidR="00A442A3">
        <w:rPr>
          <w:rFonts w:eastAsia="Helvetica" w:cs="Helvetica"/>
          <w:szCs w:val="22"/>
        </w:rPr>
        <w:t xml:space="preserve">have an existing, eligible fund) then the employer </w:t>
      </w:r>
      <w:r w:rsidR="00A442A3" w:rsidRPr="00A442A3">
        <w:rPr>
          <w:rFonts w:eastAsia="Helvetica" w:cs="Helvetica"/>
          <w:i/>
          <w:szCs w:val="22"/>
        </w:rPr>
        <w:t>must</w:t>
      </w:r>
      <w:r w:rsidR="00A442A3">
        <w:rPr>
          <w:rFonts w:eastAsia="Helvetica" w:cs="Helvetica"/>
          <w:szCs w:val="22"/>
        </w:rPr>
        <w:t xml:space="preserve"> pay the employee’s super into </w:t>
      </w:r>
      <w:r w:rsidR="00C85039">
        <w:rPr>
          <w:rFonts w:eastAsia="Helvetica" w:cs="Helvetica"/>
          <w:szCs w:val="22"/>
        </w:rPr>
        <w:t xml:space="preserve">a </w:t>
      </w:r>
      <w:r w:rsidR="00A442A3">
        <w:rPr>
          <w:rFonts w:eastAsia="Helvetica" w:cs="Helvetica"/>
          <w:szCs w:val="22"/>
        </w:rPr>
        <w:t>MySuper product.</w:t>
      </w:r>
      <w:r w:rsidR="008D39AB">
        <w:rPr>
          <w:rFonts w:eastAsia="Helvetica" w:cs="Helvetica"/>
          <w:szCs w:val="22"/>
        </w:rPr>
        <w:t xml:space="preserve"> </w:t>
      </w:r>
    </w:p>
    <w:p w14:paraId="7DE0BB23" w14:textId="27D5DA7A" w:rsidR="00F303C0" w:rsidRDefault="002168DD" w:rsidP="006F535B">
      <w:pPr>
        <w:rPr>
          <w:rFonts w:eastAsia="Helvetica" w:cs="Helvetica"/>
          <w:szCs w:val="22"/>
        </w:rPr>
      </w:pPr>
      <w:r>
        <w:rPr>
          <w:rFonts w:eastAsia="Helvetica" w:cs="Helvetica"/>
          <w:szCs w:val="22"/>
        </w:rPr>
        <w:t>MySuper is</w:t>
      </w:r>
      <w:r w:rsidR="006F535B">
        <w:rPr>
          <w:rFonts w:eastAsia="Helvetica" w:cs="Helvetica"/>
          <w:szCs w:val="22"/>
        </w:rPr>
        <w:t xml:space="preserve"> designed to simplify the choice of super product f</w:t>
      </w:r>
      <w:r w:rsidR="00EF23EE">
        <w:rPr>
          <w:rFonts w:eastAsia="Helvetica" w:cs="Helvetica"/>
          <w:szCs w:val="22"/>
        </w:rPr>
        <w:t>or new entrants to the Australian workforce</w:t>
      </w:r>
      <w:r w:rsidR="006F535B">
        <w:rPr>
          <w:rFonts w:eastAsia="Helvetica" w:cs="Helvetica"/>
          <w:szCs w:val="22"/>
        </w:rPr>
        <w:t xml:space="preserve"> and thus </w:t>
      </w:r>
      <w:r w:rsidR="008D39AB">
        <w:rPr>
          <w:rFonts w:eastAsia="Helvetica" w:cs="Helvetica"/>
          <w:szCs w:val="22"/>
        </w:rPr>
        <w:t>reduce</w:t>
      </w:r>
      <w:r w:rsidR="006F535B">
        <w:rPr>
          <w:rFonts w:eastAsia="Helvetica" w:cs="Helvetica"/>
          <w:szCs w:val="22"/>
        </w:rPr>
        <w:t xml:space="preserve"> the impact of choice overload and inertia. </w:t>
      </w:r>
      <w:r>
        <w:rPr>
          <w:rFonts w:eastAsia="Helvetica" w:cs="Helvetica"/>
          <w:szCs w:val="22"/>
        </w:rPr>
        <w:t>To qualify for MySuper, a</w:t>
      </w:r>
      <w:r w:rsidR="00347586">
        <w:rPr>
          <w:rFonts w:eastAsia="Helvetica" w:cs="Helvetica"/>
          <w:szCs w:val="22"/>
        </w:rPr>
        <w:t xml:space="preserve"> super fund must meet extra requirements set by APRA. </w:t>
      </w:r>
      <w:r w:rsidR="00F303C0">
        <w:rPr>
          <w:rFonts w:eastAsia="Helvetica" w:cs="Helvetica"/>
          <w:szCs w:val="22"/>
        </w:rPr>
        <w:t xml:space="preserve">These </w:t>
      </w:r>
      <w:r w:rsidR="0068228F">
        <w:rPr>
          <w:rFonts w:eastAsia="Helvetica" w:cs="Helvetica"/>
          <w:szCs w:val="22"/>
        </w:rPr>
        <w:t xml:space="preserve">products typically offer lower fees and simple features. </w:t>
      </w:r>
    </w:p>
    <w:p w14:paraId="3AE9A5B3" w14:textId="561489D8" w:rsidR="00E27FF6" w:rsidRDefault="00F303C0" w:rsidP="006F535B">
      <w:pPr>
        <w:rPr>
          <w:rFonts w:eastAsia="Helvetica" w:cs="Helvetica"/>
          <w:szCs w:val="22"/>
        </w:rPr>
      </w:pPr>
      <w:r>
        <w:rPr>
          <w:rFonts w:eastAsia="Helvetica" w:cs="Helvetica"/>
          <w:szCs w:val="22"/>
        </w:rPr>
        <w:t xml:space="preserve">MySuper </w:t>
      </w:r>
      <w:r w:rsidR="00C12584">
        <w:rPr>
          <w:rFonts w:eastAsia="Helvetica" w:cs="Helvetica"/>
          <w:szCs w:val="22"/>
        </w:rPr>
        <w:t xml:space="preserve">products </w:t>
      </w:r>
      <w:r w:rsidR="00347586">
        <w:rPr>
          <w:rFonts w:eastAsia="Helvetica" w:cs="Helvetica"/>
          <w:szCs w:val="22"/>
        </w:rPr>
        <w:t xml:space="preserve">are </w:t>
      </w:r>
      <w:r w:rsidR="002168DD">
        <w:rPr>
          <w:rFonts w:eastAsia="Helvetica" w:cs="Helvetica"/>
          <w:szCs w:val="22"/>
        </w:rPr>
        <w:t>now</w:t>
      </w:r>
      <w:r w:rsidR="00347586">
        <w:rPr>
          <w:rFonts w:eastAsia="Helvetica" w:cs="Helvetica"/>
          <w:szCs w:val="22"/>
        </w:rPr>
        <w:t xml:space="preserve"> a significant part of Australia’s super system. </w:t>
      </w:r>
      <w:r w:rsidR="00E45087">
        <w:rPr>
          <w:rFonts w:eastAsia="Helvetica" w:cs="Helvetica"/>
          <w:szCs w:val="22"/>
        </w:rPr>
        <w:t>As of March 2022</w:t>
      </w:r>
      <w:r w:rsidR="002168DD">
        <w:rPr>
          <w:rFonts w:eastAsia="Helvetica" w:cs="Helvetica"/>
          <w:szCs w:val="22"/>
        </w:rPr>
        <w:t>, a</w:t>
      </w:r>
      <w:r w:rsidR="00347586">
        <w:rPr>
          <w:rFonts w:eastAsia="Helvetica" w:cs="Helvetica"/>
          <w:szCs w:val="22"/>
        </w:rPr>
        <w:t xml:space="preserve">pproximately </w:t>
      </w:r>
      <w:r w:rsidR="002E6757">
        <w:rPr>
          <w:rFonts w:eastAsia="Helvetica" w:cs="Helvetica"/>
          <w:szCs w:val="22"/>
        </w:rPr>
        <w:t>27</w:t>
      </w:r>
      <w:r w:rsidR="004E51C4">
        <w:rPr>
          <w:rFonts w:eastAsia="Helvetica" w:cs="Helvetica"/>
          <w:szCs w:val="22"/>
        </w:rPr>
        <w:t xml:space="preserve">% of all super assets </w:t>
      </w:r>
      <w:r w:rsidR="002168DD">
        <w:rPr>
          <w:rFonts w:eastAsia="Helvetica" w:cs="Helvetica"/>
          <w:szCs w:val="22"/>
        </w:rPr>
        <w:t>we</w:t>
      </w:r>
      <w:r w:rsidR="004E51C4">
        <w:rPr>
          <w:rFonts w:eastAsia="Helvetica" w:cs="Helvetica"/>
          <w:szCs w:val="22"/>
        </w:rPr>
        <w:t xml:space="preserve">re </w:t>
      </w:r>
      <w:r w:rsidR="00EB2F1F">
        <w:rPr>
          <w:rFonts w:eastAsia="Helvetica" w:cs="Helvetica"/>
          <w:szCs w:val="22"/>
        </w:rPr>
        <w:t xml:space="preserve">invested </w:t>
      </w:r>
      <w:r w:rsidR="004E51C4">
        <w:rPr>
          <w:rFonts w:eastAsia="Helvetica" w:cs="Helvetica"/>
          <w:szCs w:val="22"/>
        </w:rPr>
        <w:t xml:space="preserve">in </w:t>
      </w:r>
      <w:r>
        <w:rPr>
          <w:rFonts w:eastAsia="Helvetica" w:cs="Helvetica"/>
          <w:szCs w:val="22"/>
        </w:rPr>
        <w:t xml:space="preserve">these </w:t>
      </w:r>
      <w:r w:rsidR="004E51C4">
        <w:rPr>
          <w:rFonts w:eastAsia="Helvetica" w:cs="Helvetica"/>
          <w:szCs w:val="22"/>
        </w:rPr>
        <w:t xml:space="preserve">products, </w:t>
      </w:r>
      <w:r w:rsidR="00DB6284">
        <w:rPr>
          <w:rFonts w:eastAsia="Helvetica" w:cs="Helvetica"/>
          <w:szCs w:val="22"/>
        </w:rPr>
        <w:t xml:space="preserve">in </w:t>
      </w:r>
      <w:r w:rsidR="00347586">
        <w:rPr>
          <w:rFonts w:eastAsia="Helvetica" w:cs="Helvetica"/>
          <w:szCs w:val="22"/>
        </w:rPr>
        <w:t xml:space="preserve">around </w:t>
      </w:r>
      <w:r w:rsidR="007C27FB">
        <w:rPr>
          <w:rFonts w:eastAsia="Helvetica" w:cs="Helvetica"/>
          <w:szCs w:val="22"/>
        </w:rPr>
        <w:t>14 million</w:t>
      </w:r>
      <w:r w:rsidR="00347586">
        <w:rPr>
          <w:rFonts w:eastAsia="Helvetica" w:cs="Helvetica"/>
          <w:szCs w:val="22"/>
        </w:rPr>
        <w:t xml:space="preserve"> member accounts (</w:t>
      </w:r>
      <w:r w:rsidR="008C495C">
        <w:t>APRA 2022</w:t>
      </w:r>
      <w:r w:rsidR="003347D0">
        <w:t>, and APRA 2021</w:t>
      </w:r>
      <w:r w:rsidR="00663DC2">
        <w:t>:</w:t>
      </w:r>
      <w:r w:rsidR="003347D0">
        <w:t>table 5</w:t>
      </w:r>
      <w:r w:rsidR="00347586">
        <w:t>)</w:t>
      </w:r>
      <w:r w:rsidR="004E51C4">
        <w:rPr>
          <w:rFonts w:eastAsia="Helvetica" w:cs="Helvetica"/>
          <w:szCs w:val="22"/>
        </w:rPr>
        <w:t>.</w:t>
      </w:r>
      <w:r w:rsidR="005258F8">
        <w:rPr>
          <w:rFonts w:eastAsia="Helvetica" w:cs="Helvetica"/>
          <w:szCs w:val="22"/>
        </w:rPr>
        <w:t xml:space="preserve"> However, e</w:t>
      </w:r>
      <w:r w:rsidR="009015D3">
        <w:rPr>
          <w:rFonts w:eastAsia="Helvetica" w:cs="Helvetica"/>
          <w:szCs w:val="22"/>
        </w:rPr>
        <w:t>ven within this highly regulated segment of the market</w:t>
      </w:r>
      <w:r w:rsidR="008137BF">
        <w:rPr>
          <w:rFonts w:eastAsia="Helvetica" w:cs="Helvetica"/>
          <w:szCs w:val="22"/>
        </w:rPr>
        <w:t xml:space="preserve">, the PC found </w:t>
      </w:r>
      <w:r w:rsidR="00FE403B">
        <w:rPr>
          <w:rFonts w:eastAsia="Helvetica" w:cs="Helvetica"/>
          <w:szCs w:val="22"/>
        </w:rPr>
        <w:t xml:space="preserve">that </w:t>
      </w:r>
      <w:r w:rsidR="00FF579C">
        <w:rPr>
          <w:rFonts w:eastAsia="Helvetica" w:cs="Helvetica"/>
          <w:szCs w:val="22"/>
        </w:rPr>
        <w:t xml:space="preserve">more </w:t>
      </w:r>
      <w:r w:rsidR="00EF23EE">
        <w:rPr>
          <w:rFonts w:eastAsia="Helvetica" w:cs="Helvetica"/>
          <w:szCs w:val="22"/>
        </w:rPr>
        <w:t xml:space="preserve">than one million </w:t>
      </w:r>
      <w:r w:rsidR="006F6543">
        <w:rPr>
          <w:rFonts w:eastAsia="Helvetica" w:cs="Helvetica"/>
          <w:szCs w:val="22"/>
        </w:rPr>
        <w:t xml:space="preserve">member accounts were in </w:t>
      </w:r>
      <w:r w:rsidR="006F535B">
        <w:rPr>
          <w:rFonts w:eastAsia="Helvetica" w:cs="Helvetica"/>
          <w:szCs w:val="22"/>
        </w:rPr>
        <w:t xml:space="preserve">MySuper products </w:t>
      </w:r>
      <w:r w:rsidR="006F6543">
        <w:rPr>
          <w:rFonts w:eastAsia="Helvetica" w:cs="Helvetica"/>
          <w:szCs w:val="22"/>
        </w:rPr>
        <w:t xml:space="preserve">that </w:t>
      </w:r>
      <w:r w:rsidR="00EF23EE">
        <w:rPr>
          <w:rFonts w:eastAsia="Helvetica" w:cs="Helvetica"/>
          <w:szCs w:val="22"/>
        </w:rPr>
        <w:t>were underperforming</w:t>
      </w:r>
      <w:r w:rsidR="00E27FF6">
        <w:rPr>
          <w:rFonts w:eastAsia="Helvetica" w:cs="Helvetica"/>
          <w:szCs w:val="22"/>
        </w:rPr>
        <w:t xml:space="preserve"> </w:t>
      </w:r>
      <w:r w:rsidR="00E27FF6">
        <w:t>(PC 2018</w:t>
      </w:r>
      <w:r w:rsidR="00663DC2">
        <w:t>a:</w:t>
      </w:r>
      <w:r w:rsidR="00FF60D7">
        <w:t>13</w:t>
      </w:r>
      <w:r w:rsidR="00E27FF6">
        <w:t>)</w:t>
      </w:r>
      <w:r w:rsidR="00E27FF6">
        <w:rPr>
          <w:rFonts w:eastAsia="Helvetica" w:cs="Helvetica"/>
          <w:szCs w:val="22"/>
        </w:rPr>
        <w:t xml:space="preserve">. </w:t>
      </w:r>
    </w:p>
    <w:p w14:paraId="56012E4C" w14:textId="1F414995" w:rsidR="008938FA" w:rsidRDefault="008938FA" w:rsidP="008938FA">
      <w:r>
        <w:lastRenderedPageBreak/>
        <w:t xml:space="preserve">Finding relevant, accurate performance metrics for super funds can be difficult and time consuming. This makes it difficult </w:t>
      </w:r>
      <w:r w:rsidR="00E67713">
        <w:t xml:space="preserve">for consumers </w:t>
      </w:r>
      <w:r>
        <w:t xml:space="preserve">to assess how </w:t>
      </w:r>
      <w:r w:rsidR="00F767B9">
        <w:t xml:space="preserve">a </w:t>
      </w:r>
      <w:r>
        <w:t xml:space="preserve">super </w:t>
      </w:r>
      <w:r w:rsidR="00F767B9">
        <w:t xml:space="preserve">product compares with </w:t>
      </w:r>
      <w:r>
        <w:t xml:space="preserve">the rest of the market, and which </w:t>
      </w:r>
      <w:r w:rsidR="00116778">
        <w:t>products</w:t>
      </w:r>
      <w:r>
        <w:t xml:space="preserve"> might be better. </w:t>
      </w:r>
      <w:r w:rsidR="00823530">
        <w:t>In</w:t>
      </w:r>
      <w:r w:rsidR="00E12197">
        <w:t xml:space="preserve"> </w:t>
      </w:r>
      <w:r w:rsidR="00E12197" w:rsidRPr="00E12197">
        <w:t>2019</w:t>
      </w:r>
      <w:r w:rsidR="00C85039">
        <w:t>,</w:t>
      </w:r>
      <w:r w:rsidR="00E12197" w:rsidRPr="00E12197">
        <w:t xml:space="preserve"> </w:t>
      </w:r>
      <w:r w:rsidR="00116778">
        <w:t xml:space="preserve">the </w:t>
      </w:r>
      <w:r w:rsidR="00116778" w:rsidRPr="00606C44">
        <w:t>Australian Pruden</w:t>
      </w:r>
      <w:r w:rsidR="00116778">
        <w:t>tial Regulation Authority (APRA)</w:t>
      </w:r>
      <w:r w:rsidR="00823530">
        <w:t xml:space="preserve"> </w:t>
      </w:r>
      <w:r w:rsidR="00116778">
        <w:t>began publishing performance assessments of MySuper products</w:t>
      </w:r>
      <w:r w:rsidR="00E12197">
        <w:t xml:space="preserve"> </w:t>
      </w:r>
      <w:r w:rsidR="00E12197" w:rsidRPr="005D378D">
        <w:t>via a product heatmap</w:t>
      </w:r>
      <w:r w:rsidR="00C85039">
        <w:t xml:space="preserve">, </w:t>
      </w:r>
      <w:r w:rsidR="00C85039" w:rsidRPr="00E12197">
        <w:t>as part of its supervisory focus on ensuring trustees are delivering appropriate outcomes for their members</w:t>
      </w:r>
      <w:r w:rsidR="00116778">
        <w:t xml:space="preserve">. </w:t>
      </w:r>
      <w:r w:rsidR="00E12197" w:rsidRPr="00E12197">
        <w:t xml:space="preserve">APRA’s MySuper product </w:t>
      </w:r>
      <w:r w:rsidR="0038647C">
        <w:t>h</w:t>
      </w:r>
      <w:r w:rsidR="0038647C" w:rsidRPr="00E12197">
        <w:t xml:space="preserve">eatmap </w:t>
      </w:r>
      <w:r w:rsidR="00E12197" w:rsidRPr="00E12197">
        <w:t>was</w:t>
      </w:r>
      <w:r w:rsidR="00E12197">
        <w:t xml:space="preserve"> </w:t>
      </w:r>
      <w:r w:rsidR="00116778">
        <w:t>mainly targeted at super funds, rather than consumers.</w:t>
      </w:r>
    </w:p>
    <w:p w14:paraId="1DCE44CF" w14:textId="26B0A316" w:rsidR="00E67713" w:rsidRDefault="0018049B" w:rsidP="00A442A3">
      <w:pPr>
        <w:rPr>
          <w:rFonts w:eastAsia="Helvetica" w:cs="Helvetica"/>
          <w:szCs w:val="22"/>
        </w:rPr>
      </w:pPr>
      <w:r>
        <w:t xml:space="preserve">To </w:t>
      </w:r>
      <w:r w:rsidR="00257F6F">
        <w:t>address the underperformance of MySuper</w:t>
      </w:r>
      <w:r w:rsidR="00E67713">
        <w:t xml:space="preserve"> funds,</w:t>
      </w:r>
      <w:r w:rsidR="00257F6F">
        <w:t xml:space="preserve"> </w:t>
      </w:r>
      <w:r w:rsidR="000739EE">
        <w:t xml:space="preserve">the </w:t>
      </w:r>
      <w:r w:rsidR="00257F6F" w:rsidRPr="00721F3D">
        <w:rPr>
          <w:rFonts w:eastAsia="Helvetica" w:cs="Helvetica"/>
          <w:i/>
          <w:iCs/>
          <w:szCs w:val="22"/>
        </w:rPr>
        <w:t>Your Future, Your Super</w:t>
      </w:r>
      <w:r w:rsidR="00257F6F">
        <w:rPr>
          <w:rFonts w:eastAsia="Helvetica" w:cs="Helvetica"/>
          <w:szCs w:val="22"/>
        </w:rPr>
        <w:t xml:space="preserve"> r</w:t>
      </w:r>
      <w:r w:rsidR="00257F6F" w:rsidRPr="00B2173F">
        <w:rPr>
          <w:rFonts w:eastAsia="Helvetica" w:cs="Helvetica"/>
          <w:szCs w:val="22"/>
        </w:rPr>
        <w:t xml:space="preserve">eform </w:t>
      </w:r>
      <w:r w:rsidR="00257F6F" w:rsidRPr="0FA9A2F1">
        <w:rPr>
          <w:rFonts w:eastAsia="Helvetica" w:cs="Helvetica"/>
          <w:szCs w:val="22"/>
        </w:rPr>
        <w:t>package</w:t>
      </w:r>
      <w:r w:rsidR="00D42F8B">
        <w:rPr>
          <w:rFonts w:eastAsia="Helvetica" w:cs="Helvetica"/>
          <w:szCs w:val="22"/>
        </w:rPr>
        <w:t xml:space="preserve"> </w:t>
      </w:r>
      <w:r w:rsidR="000739EE">
        <w:rPr>
          <w:rFonts w:eastAsia="Helvetica" w:cs="Helvetica"/>
          <w:szCs w:val="22"/>
        </w:rPr>
        <w:t>included 2 ini</w:t>
      </w:r>
      <w:r w:rsidR="00F6164E">
        <w:rPr>
          <w:rFonts w:eastAsia="Helvetica" w:cs="Helvetica"/>
          <w:szCs w:val="22"/>
        </w:rPr>
        <w:t>ti</w:t>
      </w:r>
      <w:r w:rsidR="000739EE">
        <w:rPr>
          <w:rFonts w:eastAsia="Helvetica" w:cs="Helvetica"/>
          <w:szCs w:val="22"/>
        </w:rPr>
        <w:t>atives</w:t>
      </w:r>
      <w:r w:rsidR="00257F6F">
        <w:rPr>
          <w:rFonts w:eastAsia="Helvetica" w:cs="Helvetica"/>
          <w:szCs w:val="22"/>
        </w:rPr>
        <w:t xml:space="preserve">. </w:t>
      </w:r>
    </w:p>
    <w:p w14:paraId="0A4AD25A" w14:textId="616D412E" w:rsidR="00E67713" w:rsidRPr="00E67713" w:rsidRDefault="00E67713" w:rsidP="00BD20D5">
      <w:pPr>
        <w:pStyle w:val="ListParagraph"/>
        <w:numPr>
          <w:ilvl w:val="0"/>
          <w:numId w:val="28"/>
        </w:numPr>
      </w:pPr>
      <w:r>
        <w:rPr>
          <w:rFonts w:eastAsia="Helvetica" w:cs="Helvetica"/>
          <w:szCs w:val="22"/>
        </w:rPr>
        <w:t>F</w:t>
      </w:r>
      <w:r w:rsidR="00116778" w:rsidRPr="00E67713">
        <w:rPr>
          <w:rFonts w:eastAsia="Helvetica" w:cs="Helvetica"/>
          <w:szCs w:val="22"/>
        </w:rPr>
        <w:t xml:space="preserve">unds with underperforming MySuper products </w:t>
      </w:r>
      <w:r w:rsidR="00257F6F" w:rsidRPr="00E67713">
        <w:rPr>
          <w:rFonts w:eastAsia="Helvetica" w:cs="Helvetica"/>
          <w:szCs w:val="22"/>
        </w:rPr>
        <w:t xml:space="preserve">(based on </w:t>
      </w:r>
      <w:r w:rsidR="00E12197" w:rsidRPr="00E67713">
        <w:rPr>
          <w:rFonts w:eastAsia="Helvetica" w:cs="Helvetica"/>
          <w:szCs w:val="22"/>
        </w:rPr>
        <w:t>one of APRA’s performance indicators contained in the MySuper product heatmap</w:t>
      </w:r>
      <w:r w:rsidR="00257F6F" w:rsidRPr="00E67713">
        <w:rPr>
          <w:rFonts w:eastAsia="Helvetica" w:cs="Helvetica"/>
          <w:szCs w:val="22"/>
        </w:rPr>
        <w:t xml:space="preserve">) </w:t>
      </w:r>
      <w:r w:rsidR="00116778" w:rsidRPr="00E67713">
        <w:rPr>
          <w:rFonts w:eastAsia="Helvetica" w:cs="Helvetica"/>
          <w:szCs w:val="22"/>
        </w:rPr>
        <w:t>would be required to write to their members, notifying them that their product was underperforming.</w:t>
      </w:r>
      <w:r w:rsidR="00A442A3" w:rsidRPr="00E67713">
        <w:rPr>
          <w:rFonts w:eastAsia="Helvetica" w:cs="Helvetica"/>
          <w:szCs w:val="22"/>
        </w:rPr>
        <w:t xml:space="preserve"> The aim of this initiative was to hold super funds to account for underperformance, protect super members from poor outcomes, and encourage funds to lower their costs and fees to boost Australians’ retirement incomes.</w:t>
      </w:r>
      <w:r w:rsidR="00116778" w:rsidRPr="00E67713">
        <w:rPr>
          <w:rFonts w:eastAsia="Helvetica" w:cs="Helvetica"/>
          <w:szCs w:val="22"/>
        </w:rPr>
        <w:t xml:space="preserve"> </w:t>
      </w:r>
    </w:p>
    <w:p w14:paraId="149E9C6F" w14:textId="1A405C70" w:rsidR="00116778" w:rsidRPr="00257F6F" w:rsidRDefault="00116778" w:rsidP="00BD20D5">
      <w:pPr>
        <w:pStyle w:val="ListParagraph"/>
        <w:numPr>
          <w:ilvl w:val="0"/>
          <w:numId w:val="28"/>
        </w:numPr>
      </w:pPr>
      <w:r w:rsidRPr="00E67713">
        <w:rPr>
          <w:rFonts w:eastAsia="Helvetica" w:cs="Helvetica"/>
          <w:szCs w:val="22"/>
        </w:rPr>
        <w:t xml:space="preserve"> </w:t>
      </w:r>
      <w:r w:rsidR="00E67713">
        <w:rPr>
          <w:rFonts w:eastAsia="Helvetica" w:cs="Helvetica"/>
          <w:szCs w:val="22"/>
        </w:rPr>
        <w:t xml:space="preserve">A </w:t>
      </w:r>
      <w:r w:rsidRPr="00E67713">
        <w:rPr>
          <w:rFonts w:eastAsia="Helvetica" w:cs="Helvetica"/>
          <w:szCs w:val="22"/>
        </w:rPr>
        <w:t xml:space="preserve">comparison tool </w:t>
      </w:r>
      <w:r w:rsidR="00E67713">
        <w:rPr>
          <w:rFonts w:eastAsia="Helvetica" w:cs="Helvetica"/>
          <w:szCs w:val="22"/>
        </w:rPr>
        <w:t xml:space="preserve">was created </w:t>
      </w:r>
      <w:r w:rsidR="006C34EE" w:rsidRPr="00E67713">
        <w:rPr>
          <w:rFonts w:eastAsia="Helvetica" w:cs="Helvetica"/>
          <w:szCs w:val="22"/>
        </w:rPr>
        <w:t xml:space="preserve">to </w:t>
      </w:r>
      <w:r w:rsidRPr="00E67713">
        <w:rPr>
          <w:rFonts w:eastAsia="Helvetica" w:cs="Helvetica"/>
          <w:szCs w:val="22"/>
        </w:rPr>
        <w:t>allow consumers to compare the performance of MySuper products.</w:t>
      </w:r>
      <w:r w:rsidR="00A442A3" w:rsidRPr="00E67713">
        <w:rPr>
          <w:rFonts w:eastAsia="Helvetica" w:cs="Helvetica"/>
          <w:szCs w:val="22"/>
        </w:rPr>
        <w:t xml:space="preserve"> </w:t>
      </w:r>
      <w:r w:rsidR="00174B4B" w:rsidRPr="00E67713">
        <w:rPr>
          <w:rFonts w:eastAsia="Helvetica" w:cs="Helvetica"/>
          <w:szCs w:val="22"/>
        </w:rPr>
        <w:t>The comparison tool aims</w:t>
      </w:r>
      <w:r w:rsidR="00A442A3" w:rsidRPr="00E67713">
        <w:rPr>
          <w:rFonts w:eastAsia="Helvetica" w:cs="Helvetica"/>
          <w:szCs w:val="22"/>
        </w:rPr>
        <w:t xml:space="preserve"> to </w:t>
      </w:r>
      <w:r w:rsidR="00A442A3">
        <w:t>empower super members by making it easier for them to choose a well</w:t>
      </w:r>
      <w:r w:rsidR="00A442A3">
        <w:noBreakHyphen/>
        <w:t>performing product that meets their needs.</w:t>
      </w:r>
      <w:r w:rsidR="00A442A3" w:rsidRPr="00E67713">
        <w:rPr>
          <w:rFonts w:eastAsia="Helvetica" w:cs="Helvetica"/>
          <w:szCs w:val="22"/>
        </w:rPr>
        <w:t xml:space="preserve">  </w:t>
      </w:r>
    </w:p>
    <w:p w14:paraId="374FD45F" w14:textId="77777777" w:rsidR="00973B23" w:rsidRPr="001540CB" w:rsidRDefault="000A1193" w:rsidP="001540CB">
      <w:pPr>
        <w:pStyle w:val="Heading3"/>
      </w:pPr>
      <w:r>
        <w:t>The p</w:t>
      </w:r>
      <w:r w:rsidR="00E375B4">
        <w:t>roblem</w:t>
      </w:r>
    </w:p>
    <w:p w14:paraId="01A22C9C" w14:textId="12DDC7D3" w:rsidR="00403A01" w:rsidRDefault="00E76306" w:rsidP="00324FDC">
      <w:r>
        <w:t>It is not easy to d</w:t>
      </w:r>
      <w:r w:rsidR="00403A01">
        <w:t>esign a comparison tool that is easy to use, and help</w:t>
      </w:r>
      <w:r>
        <w:t>s</w:t>
      </w:r>
      <w:r w:rsidR="00403A01">
        <w:t xml:space="preserve"> </w:t>
      </w:r>
      <w:r>
        <w:t xml:space="preserve">people </w:t>
      </w:r>
      <w:r w:rsidR="00403A01">
        <w:t>engage with their superannuation. Seemingly small details can have outsized impact</w:t>
      </w:r>
      <w:r w:rsidR="00823530">
        <w:t xml:space="preserve"> on whether users feel confident to choose a super product that is suitable for them</w:t>
      </w:r>
      <w:r w:rsidR="00403A01">
        <w:t>.</w:t>
      </w:r>
    </w:p>
    <w:p w14:paraId="70744058" w14:textId="14E7DB34" w:rsidR="00FF49AA" w:rsidRDefault="002249B0" w:rsidP="00324FDC">
      <w:r>
        <w:t>There are many government and non</w:t>
      </w:r>
      <w:r>
        <w:noBreakHyphen/>
        <w:t xml:space="preserve">government comparison sites for services such as energy, mobile and internet, insurance, and home loans. </w:t>
      </w:r>
      <w:r w:rsidR="00E76306">
        <w:t xml:space="preserve">Most </w:t>
      </w:r>
      <w:r>
        <w:t xml:space="preserve">have the same basic features: a series of questions to identify what the user is looking for, a summary results page, more detailed pages for individual products, and instructions </w:t>
      </w:r>
      <w:r w:rsidR="00E76306">
        <w:t xml:space="preserve">on switching </w:t>
      </w:r>
      <w:r>
        <w:t xml:space="preserve">to a new product. </w:t>
      </w:r>
    </w:p>
    <w:p w14:paraId="7AA453C1" w14:textId="27757075" w:rsidR="009673B9" w:rsidRDefault="002249B0" w:rsidP="005B39AB">
      <w:r>
        <w:t xml:space="preserve">The </w:t>
      </w:r>
      <w:r w:rsidR="00B73BBF">
        <w:t>Your</w:t>
      </w:r>
      <w:r>
        <w:t xml:space="preserve">Super comparison tool has a similar structure </w:t>
      </w:r>
      <w:r w:rsidR="00FF49AA">
        <w:t xml:space="preserve">to other comparison sites, and </w:t>
      </w:r>
      <w:r>
        <w:t>includes some additional features.</w:t>
      </w:r>
      <w:r w:rsidR="007F492C">
        <w:t xml:space="preserve"> Importantly, </w:t>
      </w:r>
      <w:r w:rsidR="00E76306">
        <w:t xml:space="preserve">it </w:t>
      </w:r>
      <w:r w:rsidR="007F492C">
        <w:t xml:space="preserve">makes use of </w:t>
      </w:r>
      <w:r w:rsidR="00E12197" w:rsidRPr="00E12197">
        <w:t>the outcomes of the legislated performance test</w:t>
      </w:r>
      <w:r w:rsidR="007F492C">
        <w:t>.</w:t>
      </w:r>
      <w:r>
        <w:t xml:space="preserve"> For users who login to </w:t>
      </w:r>
      <w:r w:rsidR="007F492C">
        <w:t>myGov</w:t>
      </w:r>
      <w:r>
        <w:t xml:space="preserve">, </w:t>
      </w:r>
      <w:r w:rsidR="00E76306">
        <w:t>it</w:t>
      </w:r>
      <w:r>
        <w:t xml:space="preserve"> can </w:t>
      </w:r>
      <w:r w:rsidR="00FF49AA">
        <w:t xml:space="preserve">be </w:t>
      </w:r>
      <w:r>
        <w:t>pre</w:t>
      </w:r>
      <w:r>
        <w:noBreakHyphen/>
        <w:t>populate</w:t>
      </w:r>
      <w:r w:rsidR="00FF49AA">
        <w:t>d</w:t>
      </w:r>
      <w:r w:rsidR="00FE403B">
        <w:t xml:space="preserve"> with a </w:t>
      </w:r>
      <w:r w:rsidR="00365661">
        <w:t xml:space="preserve">user’s </w:t>
      </w:r>
      <w:r w:rsidR="00FE403B">
        <w:t>super fund details</w:t>
      </w:r>
      <w:r w:rsidR="00FF49AA">
        <w:t xml:space="preserve">, reducing the number of questions users must answer. </w:t>
      </w:r>
      <w:r w:rsidR="007F492C">
        <w:t>Finally, t</w:t>
      </w:r>
      <w:r w:rsidR="00FF49AA">
        <w:t>he tool directs users to other services and information on superannuation offered by the ATO.</w:t>
      </w:r>
      <w:r>
        <w:t xml:space="preserve"> </w:t>
      </w:r>
    </w:p>
    <w:p w14:paraId="09577086" w14:textId="399E4484" w:rsidR="005B39AB" w:rsidRDefault="00ED61D0" w:rsidP="005B39AB">
      <w:r>
        <w:t xml:space="preserve">Our research </w:t>
      </w:r>
      <w:r w:rsidR="00CF0CC9">
        <w:t>focus</w:t>
      </w:r>
      <w:r>
        <w:t xml:space="preserve">ed on </w:t>
      </w:r>
      <w:r w:rsidR="00D42F8B">
        <w:t>2</w:t>
      </w:r>
      <w:r>
        <w:t xml:space="preserve"> issues</w:t>
      </w:r>
      <w:r w:rsidR="005B39AB">
        <w:t xml:space="preserve"> </w:t>
      </w:r>
      <w:r w:rsidR="00E76306">
        <w:t>relating</w:t>
      </w:r>
      <w:r w:rsidR="005B39AB">
        <w:t xml:space="preserve"> to the design of the </w:t>
      </w:r>
      <w:r w:rsidR="007F492C">
        <w:t>summary results page</w:t>
      </w:r>
      <w:r w:rsidR="005B39AB">
        <w:t xml:space="preserve">. </w:t>
      </w:r>
    </w:p>
    <w:p w14:paraId="3DDC937A" w14:textId="7C7BDA87" w:rsidR="005B39AB" w:rsidRDefault="005B39AB" w:rsidP="005B39AB">
      <w:r>
        <w:t xml:space="preserve">First, </w:t>
      </w:r>
      <w:r w:rsidR="00762234">
        <w:t xml:space="preserve">the policy intent was that </w:t>
      </w:r>
      <w:r>
        <w:t xml:space="preserve">the tool would indicate whether the super product was ‘performing’ or ‘underperforming’, based on </w:t>
      </w:r>
      <w:r w:rsidR="00DF7284" w:rsidRPr="00DF7284">
        <w:t>the legislated performance test outcomes</w:t>
      </w:r>
      <w:r>
        <w:t>. However, this would still leave users to choose from a long list of ‘performing’ funds—a formidable task. Furthermore, investing in a high performing fund (compared to an average one) really matters for retirement savings due to the nature of compounding returns over long periods of time. We wondered whether the choice process could be improved by adding a third performance category (‘top’, ‘</w:t>
      </w:r>
      <w:r w:rsidR="002039D9">
        <w:t xml:space="preserve">fair’ </w:t>
      </w:r>
      <w:r>
        <w:t xml:space="preserve">or ‘poor’). </w:t>
      </w:r>
    </w:p>
    <w:p w14:paraId="2044F6A2" w14:textId="5CA18603" w:rsidR="0079715F" w:rsidRDefault="005B39AB" w:rsidP="000D7463">
      <w:r>
        <w:t xml:space="preserve">Second, </w:t>
      </w:r>
      <w:r w:rsidR="0079715F">
        <w:t xml:space="preserve">superannuation consumers also need to decide on the appropriate </w:t>
      </w:r>
      <w:r>
        <w:t>investment strategy</w:t>
      </w:r>
      <w:r w:rsidR="0079715F">
        <w:t xml:space="preserve"> for their super</w:t>
      </w:r>
      <w:r>
        <w:t>, and the corresponding trade</w:t>
      </w:r>
      <w:r>
        <w:noBreakHyphen/>
        <w:t xml:space="preserve">off between </w:t>
      </w:r>
      <w:r w:rsidR="0087446A">
        <w:t>risk</w:t>
      </w:r>
      <w:r>
        <w:t xml:space="preserve"> and expected </w:t>
      </w:r>
      <w:r w:rsidR="0087446A">
        <w:t>return</w:t>
      </w:r>
      <w:r>
        <w:t>s</w:t>
      </w:r>
      <w:r w:rsidR="00FA208E">
        <w:t xml:space="preserve">. </w:t>
      </w:r>
      <w:r w:rsidR="00941C2D">
        <w:t xml:space="preserve">It </w:t>
      </w:r>
      <w:r w:rsidR="00941C2D">
        <w:lastRenderedPageBreak/>
        <w:t xml:space="preserve">is important that this decision is presented in a way that people understand and allows them to make a choice consistent with their life stage </w:t>
      </w:r>
      <w:r w:rsidR="0079715F">
        <w:t>and preferences. Selection of a sub</w:t>
      </w:r>
      <w:r w:rsidR="0079715F">
        <w:noBreakHyphen/>
        <w:t xml:space="preserve">optimal </w:t>
      </w:r>
      <w:r w:rsidR="0087446A">
        <w:t xml:space="preserve">risk/return </w:t>
      </w:r>
      <w:r w:rsidR="00941C2D">
        <w:t>level can have very large impacts on retirement savings. Most notably, a young person who chose a low</w:t>
      </w:r>
      <w:r w:rsidR="0079715F">
        <w:noBreakHyphen/>
      </w:r>
      <w:r w:rsidR="00941C2D">
        <w:t xml:space="preserve">risk </w:t>
      </w:r>
      <w:r w:rsidR="0079715F">
        <w:t xml:space="preserve">investment </w:t>
      </w:r>
      <w:r w:rsidR="00941C2D">
        <w:t xml:space="preserve">option would have much less at retirement than one who chose </w:t>
      </w:r>
      <w:r w:rsidR="002971E3">
        <w:t xml:space="preserve">an option with </w:t>
      </w:r>
      <w:r w:rsidR="00941C2D">
        <w:t xml:space="preserve">a higher risk </w:t>
      </w:r>
      <w:r w:rsidR="0079715F">
        <w:t>but higher expected return</w:t>
      </w:r>
      <w:r w:rsidR="00941C2D">
        <w:t xml:space="preserve">. </w:t>
      </w:r>
    </w:p>
    <w:p w14:paraId="065B1F94" w14:textId="0B2B3B2F" w:rsidR="003D06D9" w:rsidRDefault="00941C2D" w:rsidP="000D7463">
      <w:r>
        <w:t xml:space="preserve">We were concerned that people may </w:t>
      </w:r>
      <w:r w:rsidR="0079715F">
        <w:t>mis</w:t>
      </w:r>
      <w:r>
        <w:t xml:space="preserve">interpret </w:t>
      </w:r>
      <w:r w:rsidR="00976601">
        <w:t>common terminology around risk</w:t>
      </w:r>
      <w:r w:rsidR="0079715F">
        <w:t xml:space="preserve"> since it can be an emotive term</w:t>
      </w:r>
      <w:r w:rsidR="00976601">
        <w:t xml:space="preserve">. Specifically, </w:t>
      </w:r>
      <w:r w:rsidR="0079715F">
        <w:t>consumers</w:t>
      </w:r>
      <w:r w:rsidR="00976601">
        <w:t xml:space="preserve"> may </w:t>
      </w:r>
      <w:r w:rsidR="00BE089C">
        <w:t xml:space="preserve">not </w:t>
      </w:r>
      <w:r w:rsidR="00976601">
        <w:t>think about risk in terms of volatility</w:t>
      </w:r>
      <w:r w:rsidR="00F303C0">
        <w:t xml:space="preserve"> of their investment portfolio</w:t>
      </w:r>
      <w:r w:rsidR="00976601">
        <w:t xml:space="preserve">, but instead in terms of the chance that they ‘lose their money’. </w:t>
      </w:r>
      <w:r w:rsidR="00BE089C">
        <w:t>Th</w:t>
      </w:r>
      <w:r w:rsidR="0079715F">
        <w:t xml:space="preserve">e latter interpretation </w:t>
      </w:r>
      <w:r w:rsidR="00BE089C">
        <w:t>could lead people to make</w:t>
      </w:r>
      <w:r w:rsidR="00976601">
        <w:t xml:space="preserve"> decisions that are </w:t>
      </w:r>
      <w:r w:rsidR="0079715F">
        <w:t xml:space="preserve">unsuitable for </w:t>
      </w:r>
      <w:r w:rsidR="00976601">
        <w:t xml:space="preserve">their life stage </w:t>
      </w:r>
      <w:r w:rsidR="0079715F">
        <w:t>(especially for young people)</w:t>
      </w:r>
      <w:r w:rsidR="00976601">
        <w:t>.</w:t>
      </w:r>
      <w:r w:rsidR="00270E16">
        <w:t xml:space="preserve"> </w:t>
      </w:r>
      <w:r w:rsidR="0079715F">
        <w:t xml:space="preserve">So, in our second survey experiment, </w:t>
      </w:r>
      <w:r w:rsidR="00D414CD">
        <w:t>we test</w:t>
      </w:r>
      <w:r w:rsidR="0079715F">
        <w:t>ed</w:t>
      </w:r>
      <w:r w:rsidR="00D414CD">
        <w:t xml:space="preserve"> </w:t>
      </w:r>
      <w:r w:rsidR="0079715F">
        <w:t>the effect of different risk terminology on the choice of investment strategy in a particular scenario</w:t>
      </w:r>
      <w:r w:rsidR="00BE089C">
        <w:t>.</w:t>
      </w:r>
    </w:p>
    <w:p w14:paraId="4D2BFF3A" w14:textId="6C2AE9A3" w:rsidR="00973B23" w:rsidRDefault="00973B23" w:rsidP="000D7463">
      <w:r>
        <w:br w:type="page"/>
      </w:r>
    </w:p>
    <w:p w14:paraId="2BEB42D1" w14:textId="77777777" w:rsidR="00191A5D" w:rsidRDefault="008A5FEA" w:rsidP="00533EB3">
      <w:pPr>
        <w:pStyle w:val="Heading2"/>
        <w:ind w:right="56"/>
      </w:pPr>
      <w:bookmarkStart w:id="11" w:name="_Toc107826699"/>
      <w:bookmarkStart w:id="12" w:name="_Toc109225237"/>
      <w:bookmarkStart w:id="13" w:name="_Toc115096494"/>
      <w:bookmarkStart w:id="14" w:name="_Toc115184216"/>
      <w:bookmarkStart w:id="15" w:name="_Toc115187660"/>
      <w:r>
        <w:lastRenderedPageBreak/>
        <w:t>What we did</w:t>
      </w:r>
      <w:bookmarkEnd w:id="11"/>
      <w:bookmarkEnd w:id="12"/>
      <w:bookmarkEnd w:id="13"/>
      <w:bookmarkEnd w:id="14"/>
      <w:bookmarkEnd w:id="15"/>
    </w:p>
    <w:p w14:paraId="7B8ABECB" w14:textId="5FA958EE" w:rsidR="00352ECF" w:rsidRDefault="00256DA0" w:rsidP="00533EB3">
      <w:pPr>
        <w:pStyle w:val="EmphasisPanelBody"/>
        <w:spacing w:after="0"/>
        <w:ind w:right="56"/>
      </w:pPr>
      <w:r>
        <w:t xml:space="preserve">We conducted a survey from 7 to </w:t>
      </w:r>
      <w:r w:rsidR="00352ECF">
        <w:t xml:space="preserve">14 January 2021. It was completed by 2,236 eligible respondents who were </w:t>
      </w:r>
      <w:r w:rsidR="003660E9">
        <w:t xml:space="preserve">close </w:t>
      </w:r>
      <w:r w:rsidR="001F0B81">
        <w:t xml:space="preserve">to </w:t>
      </w:r>
      <w:r w:rsidR="00352ECF">
        <w:t xml:space="preserve">nationally representative in terms of gender, </w:t>
      </w:r>
      <w:r w:rsidR="003660E9">
        <w:t xml:space="preserve">age, and </w:t>
      </w:r>
      <w:r w:rsidR="00352ECF">
        <w:t>metropolitan</w:t>
      </w:r>
      <w:r w:rsidR="003660E9">
        <w:t>/</w:t>
      </w:r>
      <w:r w:rsidR="00352ECF">
        <w:t>regional split</w:t>
      </w:r>
      <w:r w:rsidR="003117A3">
        <w:t xml:space="preserve">. </w:t>
      </w:r>
      <w:r w:rsidR="00352ECF">
        <w:t xml:space="preserve">The survey contained </w:t>
      </w:r>
      <w:r w:rsidR="002249B0">
        <w:t>2 </w:t>
      </w:r>
      <w:r w:rsidR="00352ECF">
        <w:t xml:space="preserve">survey experiments to test </w:t>
      </w:r>
      <w:r w:rsidR="002249B0">
        <w:t xml:space="preserve">the impact of </w:t>
      </w:r>
      <w:r w:rsidR="00352ECF">
        <w:t>the presentation of</w:t>
      </w:r>
      <w:r w:rsidR="00130551">
        <w:t xml:space="preserve"> super</w:t>
      </w:r>
      <w:r w:rsidR="00352ECF">
        <w:t xml:space="preserve"> </w:t>
      </w:r>
      <w:r w:rsidR="002249B0">
        <w:t xml:space="preserve">product </w:t>
      </w:r>
      <w:r w:rsidR="00352ECF">
        <w:t>performance and risk</w:t>
      </w:r>
      <w:r w:rsidR="00130551">
        <w:t xml:space="preserve"> in the comparison tool</w:t>
      </w:r>
      <w:r w:rsidR="00352ECF">
        <w:t xml:space="preserve">. </w:t>
      </w:r>
      <w:r w:rsidR="001E310C">
        <w:t>In addition, we included survey questions to investigate other aspects of engagement with super such as people’s preferences on communication formats and features of the comparison tool.</w:t>
      </w:r>
    </w:p>
    <w:p w14:paraId="76C43D3E" w14:textId="7EC58E21" w:rsidR="00352ECF" w:rsidRPr="00C14A92" w:rsidRDefault="00E95220" w:rsidP="00533EB3">
      <w:pPr>
        <w:pStyle w:val="Heading3"/>
        <w:ind w:right="56"/>
      </w:pPr>
      <w:r>
        <w:t>S</w:t>
      </w:r>
      <w:r w:rsidR="00352ECF">
        <w:t xml:space="preserve">urvey experiment </w:t>
      </w:r>
      <w:r w:rsidR="001E310C">
        <w:t>one</w:t>
      </w:r>
      <w:r w:rsidR="00352ECF">
        <w:t xml:space="preserve"> </w:t>
      </w:r>
      <w:r w:rsidR="009916C5">
        <w:t>–</w:t>
      </w:r>
      <w:r w:rsidR="00352ECF">
        <w:t xml:space="preserve"> presentation of performance</w:t>
      </w:r>
      <w:r w:rsidR="002B4846">
        <w:t xml:space="preserve"> </w:t>
      </w:r>
      <w:r w:rsidR="00ED4AEE">
        <w:t>categories</w:t>
      </w:r>
    </w:p>
    <w:p w14:paraId="78173DB4" w14:textId="7BEA88DD" w:rsidR="00931C2B" w:rsidRDefault="00AF148A" w:rsidP="00931C2B">
      <w:pPr>
        <w:ind w:right="56"/>
      </w:pPr>
      <w:r>
        <w:t xml:space="preserve">The </w:t>
      </w:r>
      <w:r w:rsidR="00701B11">
        <w:t>YourSuper</w:t>
      </w:r>
      <w:r w:rsidR="00931C2B">
        <w:t xml:space="preserve"> comparison tool is available on the ATO website. Users are given the option to access a ‘personalised version’ by logging in through myGov. In this case, key details (their age, current super balance, and super product details) are all pre</w:t>
      </w:r>
      <w:r w:rsidR="00931C2B">
        <w:noBreakHyphen/>
        <w:t>filled. Alternatively, users can access a ‘non</w:t>
      </w:r>
      <w:r w:rsidR="00931C2B">
        <w:noBreakHyphen/>
        <w:t>personalised’ version of the tool, which produces generic results. These results can be customised if the user enter</w:t>
      </w:r>
      <w:r w:rsidR="00992286">
        <w:t>s</w:t>
      </w:r>
      <w:r>
        <w:t xml:space="preserve"> their age and current super balance, </w:t>
      </w:r>
      <w:r w:rsidR="00931C2B">
        <w:t xml:space="preserve">or searches for </w:t>
      </w:r>
      <w:r>
        <w:t xml:space="preserve">their current super product. </w:t>
      </w:r>
    </w:p>
    <w:p w14:paraId="3BE4F10C" w14:textId="398E6170" w:rsidR="00931C2B" w:rsidRDefault="00931C2B" w:rsidP="001A2559">
      <w:pPr>
        <w:ind w:right="56"/>
      </w:pPr>
      <w:r>
        <w:t xml:space="preserve">The main results page of the comparison tool displays a list of super products along with their annual fee and their 7-year net return. In addition, each super product is placed in a performance category. In the first experiment, we varied the number of </w:t>
      </w:r>
      <w:r w:rsidRPr="008419AC">
        <w:t>performance categor</w:t>
      </w:r>
      <w:r>
        <w:t xml:space="preserve">ies (2 or 3), and whether the results were sorted. We tested the impact of these variations on which super product </w:t>
      </w:r>
      <w:r w:rsidR="00992286">
        <w:t>was chosen by</w:t>
      </w:r>
      <w:r>
        <w:t xml:space="preserve"> survey respondents.</w:t>
      </w:r>
    </w:p>
    <w:p w14:paraId="11DFC1A3" w14:textId="082A11CA" w:rsidR="007C170D" w:rsidRDefault="00931C2B" w:rsidP="00B931D3">
      <w:pPr>
        <w:ind w:right="56"/>
      </w:pPr>
      <w:r>
        <w:t xml:space="preserve">We asked </w:t>
      </w:r>
      <w:r w:rsidR="00992286">
        <w:t>participants</w:t>
      </w:r>
      <w:r w:rsidR="00352ECF">
        <w:t xml:space="preserve"> to respond to a hypothetical </w:t>
      </w:r>
      <w:r w:rsidR="001A2559">
        <w:t xml:space="preserve">scenario </w:t>
      </w:r>
      <w:r w:rsidR="00352ECF">
        <w:t>based on a mock</w:t>
      </w:r>
      <w:r w:rsidR="00A81925">
        <w:noBreakHyphen/>
      </w:r>
      <w:r w:rsidR="00352ECF">
        <w:t xml:space="preserve">up of the results page of </w:t>
      </w:r>
      <w:r w:rsidR="00025B9A">
        <w:t>the comparison tool</w:t>
      </w:r>
      <w:r w:rsidR="00352ECF">
        <w:t xml:space="preserve">. </w:t>
      </w:r>
      <w:r w:rsidR="001A2559">
        <w:t>The mock</w:t>
      </w:r>
      <w:r w:rsidR="001A2559">
        <w:noBreakHyphen/>
        <w:t xml:space="preserve">up was based on </w:t>
      </w:r>
      <w:r w:rsidR="00111B40">
        <w:t xml:space="preserve">the </w:t>
      </w:r>
      <w:r w:rsidR="001A2559">
        <w:t>‘non</w:t>
      </w:r>
      <w:r w:rsidR="001A2559">
        <w:noBreakHyphen/>
        <w:t>personalised’ version of the tool</w:t>
      </w:r>
      <w:r w:rsidR="00111B40">
        <w:t>,</w:t>
      </w:r>
      <w:r w:rsidR="001A2559">
        <w:t xml:space="preserve"> however</w:t>
      </w:r>
      <w:r w:rsidR="00111B40">
        <w:t>,</w:t>
      </w:r>
      <w:r w:rsidR="001A2559">
        <w:t xml:space="preserve"> the scenario indicated that respondents had already customised their results by entering their age and super balance. </w:t>
      </w:r>
    </w:p>
    <w:p w14:paraId="6404E350" w14:textId="50F91A9E" w:rsidR="00255A50" w:rsidRDefault="00183DEA" w:rsidP="00BD20D5">
      <w:pPr>
        <w:pStyle w:val="EmphasisPanelHeading"/>
        <w:outlineLvl w:val="3"/>
        <w:rPr>
          <w:i/>
        </w:rPr>
      </w:pPr>
      <w:r>
        <w:t xml:space="preserve">Survey experiment </w:t>
      </w:r>
      <w:r w:rsidR="0052133E">
        <w:t xml:space="preserve">one </w:t>
      </w:r>
      <w:r>
        <w:t>– scenario presented to respondents</w:t>
      </w:r>
    </w:p>
    <w:p w14:paraId="5736E644" w14:textId="4F30ACF9" w:rsidR="007C170D" w:rsidRPr="00823530" w:rsidRDefault="007C170D" w:rsidP="00BD20D5">
      <w:pPr>
        <w:pStyle w:val="EmphasisPanelHeading"/>
        <w:outlineLvl w:val="9"/>
        <w:rPr>
          <w:rFonts w:asciiTheme="minorHAnsi" w:hAnsiTheme="minorHAnsi"/>
          <w:b w:val="0"/>
          <w:color w:val="auto"/>
        </w:rPr>
      </w:pPr>
      <w:r w:rsidRPr="00823530">
        <w:rPr>
          <w:rFonts w:asciiTheme="minorHAnsi" w:hAnsiTheme="minorHAnsi"/>
          <w:b w:val="0"/>
          <w:i/>
          <w:color w:val="auto"/>
        </w:rPr>
        <w:t>Imagine you’ve be</w:t>
      </w:r>
      <w:r w:rsidR="00D975FC">
        <w:rPr>
          <w:rFonts w:asciiTheme="minorHAnsi" w:hAnsiTheme="minorHAnsi"/>
          <w:b w:val="0"/>
          <w:i/>
          <w:color w:val="auto"/>
        </w:rPr>
        <w:t>en working for about a decade</w:t>
      </w:r>
      <w:r w:rsidRPr="00823530">
        <w:rPr>
          <w:rFonts w:asciiTheme="minorHAnsi" w:hAnsiTheme="minorHAnsi"/>
          <w:b w:val="0"/>
          <w:i/>
          <w:color w:val="auto"/>
        </w:rPr>
        <w:t xml:space="preserve"> </w:t>
      </w:r>
      <w:r w:rsidR="00EF6122">
        <w:rPr>
          <w:rFonts w:asciiTheme="minorHAnsi" w:hAnsiTheme="minorHAnsi"/>
          <w:b w:val="0"/>
          <w:i/>
          <w:color w:val="auto"/>
        </w:rPr>
        <w:t>–</w:t>
      </w:r>
      <w:r w:rsidRPr="00823530">
        <w:rPr>
          <w:rFonts w:asciiTheme="minorHAnsi" w:hAnsiTheme="minorHAnsi"/>
          <w:b w:val="0"/>
          <w:i/>
          <w:color w:val="auto"/>
        </w:rPr>
        <w:t xml:space="preserve"> you’re 32 years old. You’re reading a news article on your laptop that ment</w:t>
      </w:r>
      <w:r w:rsidR="00D975FC">
        <w:rPr>
          <w:rFonts w:asciiTheme="minorHAnsi" w:hAnsiTheme="minorHAnsi"/>
          <w:b w:val="0"/>
          <w:i/>
          <w:color w:val="auto"/>
        </w:rPr>
        <w:t xml:space="preserve">ions a new </w:t>
      </w:r>
      <w:r w:rsidR="006C34EE">
        <w:rPr>
          <w:rFonts w:asciiTheme="minorHAnsi" w:hAnsiTheme="minorHAnsi"/>
          <w:b w:val="0"/>
          <w:i/>
          <w:color w:val="auto"/>
        </w:rPr>
        <w:t>g</w:t>
      </w:r>
      <w:r w:rsidR="00D975FC">
        <w:rPr>
          <w:rFonts w:asciiTheme="minorHAnsi" w:hAnsiTheme="minorHAnsi"/>
          <w:b w:val="0"/>
          <w:i/>
          <w:color w:val="auto"/>
        </w:rPr>
        <w:t>overnment website</w:t>
      </w:r>
      <w:r w:rsidRPr="00823530">
        <w:rPr>
          <w:rFonts w:asciiTheme="minorHAnsi" w:hAnsiTheme="minorHAnsi"/>
          <w:b w:val="0"/>
          <w:i/>
          <w:color w:val="auto"/>
        </w:rPr>
        <w:t xml:space="preserve"> </w:t>
      </w:r>
      <w:r w:rsidR="00EF6122">
        <w:rPr>
          <w:rFonts w:asciiTheme="minorHAnsi" w:hAnsiTheme="minorHAnsi"/>
          <w:b w:val="0"/>
          <w:i/>
          <w:color w:val="auto"/>
        </w:rPr>
        <w:t>–</w:t>
      </w:r>
      <w:r w:rsidRPr="00823530">
        <w:rPr>
          <w:rFonts w:asciiTheme="minorHAnsi" w:hAnsiTheme="minorHAnsi"/>
          <w:b w:val="0"/>
          <w:i/>
          <w:color w:val="auto"/>
        </w:rPr>
        <w:t xml:space="preserve"> a superannuation comparison tool. The article also says that you can change your super fund if you want to. You follow a link, and go to the site. It prompts you to enter a few details, which you do. You put in your age (32), your current super fund (Stability Super), and your best estimate of how much super you currently have ($75,000). Click through to the next page to see your personalised results.</w:t>
      </w:r>
    </w:p>
    <w:p w14:paraId="19536D76" w14:textId="613C69D4" w:rsidR="001A2559" w:rsidRDefault="001A2559" w:rsidP="001A2559">
      <w:pPr>
        <w:ind w:right="56"/>
      </w:pPr>
      <w:r>
        <w:t xml:space="preserve">Respondents were randomly assigned to see one of 3 different </w:t>
      </w:r>
      <w:r w:rsidR="00365661">
        <w:t>v</w:t>
      </w:r>
      <w:r w:rsidR="00352ECF" w:rsidRPr="00A81925">
        <w:t xml:space="preserve">ersions </w:t>
      </w:r>
      <w:r w:rsidR="001E1662">
        <w:t>of the results table</w:t>
      </w:r>
      <w:r>
        <w:t xml:space="preserve">. The different versions </w:t>
      </w:r>
      <w:r w:rsidR="00352ECF" w:rsidRPr="00A81925">
        <w:t xml:space="preserve">varied </w:t>
      </w:r>
      <w:r>
        <w:t xml:space="preserve">in relation to the number of </w:t>
      </w:r>
      <w:r w:rsidR="00365661">
        <w:t>performance categories</w:t>
      </w:r>
      <w:r w:rsidR="00EF6122">
        <w:t xml:space="preserve"> – </w:t>
      </w:r>
      <w:r>
        <w:t xml:space="preserve">either </w:t>
      </w:r>
      <w:r w:rsidR="00823530">
        <w:t>2 </w:t>
      </w:r>
      <w:r w:rsidR="00352ECF" w:rsidRPr="00365661">
        <w:t xml:space="preserve">tiers (poor, good) or </w:t>
      </w:r>
      <w:r w:rsidR="00365661">
        <w:t xml:space="preserve">3 </w:t>
      </w:r>
      <w:r>
        <w:t xml:space="preserve">tiers </w:t>
      </w:r>
      <w:r w:rsidR="00352ECF" w:rsidRPr="00365661">
        <w:t>(poor, fair, top</w:t>
      </w:r>
      <w:r w:rsidR="00365661">
        <w:t xml:space="preserve">). </w:t>
      </w:r>
      <w:r>
        <w:t>In addition, the sorting of</w:t>
      </w:r>
      <w:r w:rsidR="009916C5">
        <w:t xml:space="preserve"> </w:t>
      </w:r>
      <w:r>
        <w:t xml:space="preserve">results varied: </w:t>
      </w:r>
      <w:r w:rsidR="00352ECF" w:rsidRPr="00365661">
        <w:t xml:space="preserve">products were presented </w:t>
      </w:r>
      <w:r>
        <w:t xml:space="preserve">either </w:t>
      </w:r>
      <w:r w:rsidR="00352ECF" w:rsidRPr="00365661">
        <w:t>in a random order or</w:t>
      </w:r>
      <w:bookmarkStart w:id="16" w:name="_GoBack"/>
      <w:bookmarkEnd w:id="16"/>
      <w:r w:rsidR="00352ECF" w:rsidRPr="00365661">
        <w:t xml:space="preserve"> sorted by performance category (</w:t>
      </w:r>
      <w:r w:rsidR="00992286">
        <w:t xml:space="preserve">with a </w:t>
      </w:r>
      <w:r w:rsidR="00352ECF" w:rsidRPr="00365661">
        <w:lastRenderedPageBreak/>
        <w:t>random order within each performance category).</w:t>
      </w:r>
      <w:r w:rsidR="00380EF7">
        <w:t xml:space="preserve"> </w:t>
      </w:r>
      <w:r>
        <w:t>This led to</w:t>
      </w:r>
      <w:r w:rsidR="00992286">
        <w:t xml:space="preserve"> participants being sorted into three groups</w:t>
      </w:r>
      <w:r>
        <w:t>:</w:t>
      </w:r>
    </w:p>
    <w:p w14:paraId="5A5505E2" w14:textId="2B050667" w:rsidR="001E1662" w:rsidRPr="00533EB3" w:rsidRDefault="00533EB3" w:rsidP="00533EB3">
      <w:pPr>
        <w:pStyle w:val="ListBullet"/>
        <w:tabs>
          <w:tab w:val="num" w:pos="720"/>
        </w:tabs>
        <w:spacing w:line="320" w:lineRule="atLeast"/>
        <w:rPr>
          <w:u w:val="single"/>
        </w:rPr>
      </w:pPr>
      <w:r w:rsidRPr="00533EB3">
        <w:rPr>
          <w:u w:val="single"/>
        </w:rPr>
        <w:t>Group A</w:t>
      </w:r>
      <w:r w:rsidRPr="00533EB3">
        <w:t>: 2</w:t>
      </w:r>
      <w:r w:rsidR="001E1662" w:rsidRPr="00365661">
        <w:t xml:space="preserve"> performance categories with results randomly sorted (figure </w:t>
      </w:r>
      <w:r w:rsidR="009916C5">
        <w:t>1</w:t>
      </w:r>
      <w:r w:rsidR="001E1662" w:rsidRPr="00365661">
        <w:t>)</w:t>
      </w:r>
    </w:p>
    <w:p w14:paraId="0ACF8BCB" w14:textId="6AB60595" w:rsidR="001E1662" w:rsidRPr="00533EB3" w:rsidRDefault="00533EB3" w:rsidP="00533EB3">
      <w:pPr>
        <w:pStyle w:val="ListBullet"/>
        <w:tabs>
          <w:tab w:val="num" w:pos="720"/>
        </w:tabs>
        <w:spacing w:line="320" w:lineRule="atLeast"/>
        <w:rPr>
          <w:u w:val="single"/>
        </w:rPr>
      </w:pPr>
      <w:r w:rsidRPr="00533EB3">
        <w:rPr>
          <w:u w:val="single"/>
        </w:rPr>
        <w:t xml:space="preserve">Group </w:t>
      </w:r>
      <w:r>
        <w:rPr>
          <w:u w:val="single"/>
        </w:rPr>
        <w:t>B</w:t>
      </w:r>
      <w:r w:rsidRPr="00533EB3">
        <w:t>: 3</w:t>
      </w:r>
      <w:r w:rsidR="001E1662" w:rsidRPr="00365661">
        <w:t xml:space="preserve"> performance categories with results randomly sorted (</w:t>
      </w:r>
      <w:r w:rsidR="009916C5">
        <w:t>figure 2</w:t>
      </w:r>
      <w:r w:rsidR="001E1662" w:rsidRPr="00365661">
        <w:t>)</w:t>
      </w:r>
    </w:p>
    <w:p w14:paraId="211D15F0" w14:textId="1D3F81C3" w:rsidR="001E1662" w:rsidRPr="00533EB3" w:rsidRDefault="00533EB3" w:rsidP="00533EB3">
      <w:pPr>
        <w:pStyle w:val="ListBullet"/>
        <w:tabs>
          <w:tab w:val="num" w:pos="720"/>
        </w:tabs>
        <w:spacing w:line="320" w:lineRule="atLeast"/>
        <w:rPr>
          <w:u w:val="single"/>
        </w:rPr>
      </w:pPr>
      <w:r w:rsidRPr="00533EB3">
        <w:rPr>
          <w:u w:val="single"/>
        </w:rPr>
        <w:t>G</w:t>
      </w:r>
      <w:r>
        <w:rPr>
          <w:u w:val="single"/>
        </w:rPr>
        <w:t>roup C</w:t>
      </w:r>
      <w:r w:rsidRPr="00533EB3">
        <w:t>: 3</w:t>
      </w:r>
      <w:r w:rsidR="001E1662" w:rsidRPr="00365661">
        <w:t xml:space="preserve"> performance categories with results sorted b</w:t>
      </w:r>
      <w:r w:rsidR="001A2559">
        <w:t>y p</w:t>
      </w:r>
      <w:r w:rsidR="009916C5">
        <w:t>erformance category (figure 3</w:t>
      </w:r>
      <w:r w:rsidR="001E1662" w:rsidRPr="00533EB3">
        <w:t>)</w:t>
      </w:r>
      <w:r w:rsidR="00D975FC">
        <w:t>.</w:t>
      </w:r>
    </w:p>
    <w:p w14:paraId="309B16EB" w14:textId="1680B15C" w:rsidR="00352ECF" w:rsidRPr="00241617" w:rsidRDefault="00352ECF" w:rsidP="00533EB3">
      <w:pPr>
        <w:ind w:right="56"/>
        <w:rPr>
          <w:b/>
        </w:rPr>
      </w:pPr>
      <w:r>
        <w:t xml:space="preserve">For simplicity, all tables were filtered </w:t>
      </w:r>
      <w:r w:rsidR="00A81925">
        <w:t xml:space="preserve">so the results page showed </w:t>
      </w:r>
      <w:r>
        <w:t xml:space="preserve">products </w:t>
      </w:r>
      <w:r w:rsidR="00A81925">
        <w:t xml:space="preserve">with </w:t>
      </w:r>
      <w:r>
        <w:t>a single risk</w:t>
      </w:r>
      <w:r w:rsidR="00A81925">
        <w:t>/return</w:t>
      </w:r>
      <w:r>
        <w:t xml:space="preserve"> level (‘Medium</w:t>
      </w:r>
      <w:r>
        <w:noBreakHyphen/>
        <w:t>High’). The respondents were not able to interact with the table to sort the products</w:t>
      </w:r>
      <w:r w:rsidR="00EC3365">
        <w:t xml:space="preserve">, or check for further details on </w:t>
      </w:r>
      <w:r w:rsidR="00992286">
        <w:t>each</w:t>
      </w:r>
      <w:r w:rsidR="00EC3365">
        <w:t xml:space="preserve"> product</w:t>
      </w:r>
      <w:r>
        <w:t xml:space="preserve">. </w:t>
      </w:r>
    </w:p>
    <w:p w14:paraId="04922C26" w14:textId="6220D104" w:rsidR="001E1662" w:rsidRDefault="00352ECF" w:rsidP="00533EB3">
      <w:pPr>
        <w:ind w:right="56"/>
      </w:pPr>
      <w:r>
        <w:t xml:space="preserve">Respondents were asked to select </w:t>
      </w:r>
      <w:r w:rsidRPr="00241617">
        <w:t xml:space="preserve">which </w:t>
      </w:r>
      <w:r>
        <w:t>product</w:t>
      </w:r>
      <w:r w:rsidRPr="00241617">
        <w:t xml:space="preserve"> they thought was </w:t>
      </w:r>
      <w:r>
        <w:t xml:space="preserve">the </w:t>
      </w:r>
      <w:r w:rsidRPr="00241617">
        <w:t>best</w:t>
      </w:r>
      <w:r>
        <w:t xml:space="preserve"> option</w:t>
      </w:r>
      <w:r w:rsidR="00A81925">
        <w:t xml:space="preserve"> </w:t>
      </w:r>
      <w:r w:rsidR="00992286">
        <w:t xml:space="preserve">in </w:t>
      </w:r>
      <w:r w:rsidR="001E1662">
        <w:t xml:space="preserve">the hypothetical scenario </w:t>
      </w:r>
      <w:r w:rsidR="00A81925">
        <w:t>and we used this to construct 2 outcome measures</w:t>
      </w:r>
      <w:r w:rsidR="001E1662">
        <w:t>:</w:t>
      </w:r>
      <w:r w:rsidR="00A81925">
        <w:t xml:space="preserve"> </w:t>
      </w:r>
    </w:p>
    <w:p w14:paraId="551D9D93" w14:textId="77777777" w:rsidR="001E1662" w:rsidRDefault="00A81925" w:rsidP="00533EB3">
      <w:pPr>
        <w:pStyle w:val="ListBullet"/>
        <w:ind w:right="56"/>
      </w:pPr>
      <w:r>
        <w:t xml:space="preserve">First, we assigned a ranking based on the product’s </w:t>
      </w:r>
      <w:r w:rsidR="00352ECF">
        <w:t>net return</w:t>
      </w:r>
      <w:r>
        <w:t>, with the top</w:t>
      </w:r>
      <w:r>
        <w:noBreakHyphen/>
        <w:t>ranked product given a value of 10</w:t>
      </w:r>
      <w:r w:rsidR="00352ECF">
        <w:t xml:space="preserve">. </w:t>
      </w:r>
    </w:p>
    <w:p w14:paraId="0A4F1515" w14:textId="36A65719" w:rsidR="00782412" w:rsidRDefault="00A81925" w:rsidP="00533EB3">
      <w:pPr>
        <w:pStyle w:val="ListBullet"/>
        <w:ind w:right="56"/>
      </w:pPr>
      <w:r>
        <w:t>Second, we looked at how many respondents chose one of the top 3 products</w:t>
      </w:r>
      <w:r w:rsidR="001F11F2">
        <w:t>.</w:t>
      </w:r>
    </w:p>
    <w:p w14:paraId="395B1BF5" w14:textId="4870A05B" w:rsidR="001F0B81" w:rsidRDefault="001F0B81" w:rsidP="00533EB3">
      <w:pPr>
        <w:ind w:right="56"/>
      </w:pPr>
      <w:r>
        <w:t xml:space="preserve">We expected that respondents </w:t>
      </w:r>
      <w:r w:rsidR="00782412">
        <w:t>who</w:t>
      </w:r>
      <w:r>
        <w:t xml:space="preserve"> saw 3 performance categories, and products sorted by performance category, would be more likely to choose the higher performing funds.</w:t>
      </w:r>
    </w:p>
    <w:p w14:paraId="48CB010C" w14:textId="23C49987" w:rsidR="00352ECF" w:rsidRPr="00241617" w:rsidRDefault="00A81925" w:rsidP="00992286">
      <w:r w:rsidRPr="00992286">
        <w:t>We also collected several secondary outcome measures including t</w:t>
      </w:r>
      <w:r w:rsidR="001F11F2" w:rsidRPr="00992286">
        <w:t xml:space="preserve">he time people took to </w:t>
      </w:r>
      <w:r w:rsidRPr="00992286">
        <w:t>complete the task, and r</w:t>
      </w:r>
      <w:r w:rsidR="00352ECF" w:rsidRPr="00992286">
        <w:t>espondents</w:t>
      </w:r>
      <w:r w:rsidRPr="00992286">
        <w:t xml:space="preserve">’ answers to </w:t>
      </w:r>
      <w:r w:rsidR="00352ECF" w:rsidRPr="00992286">
        <w:t>questions about</w:t>
      </w:r>
      <w:r w:rsidR="00352ECF">
        <w:t>:</w:t>
      </w:r>
    </w:p>
    <w:p w14:paraId="2EF414BC" w14:textId="48429B0C" w:rsidR="00352ECF" w:rsidRPr="00241617" w:rsidRDefault="00992286" w:rsidP="00533EB3">
      <w:pPr>
        <w:pStyle w:val="ListBullet"/>
        <w:ind w:right="56"/>
      </w:pPr>
      <w:r>
        <w:t>w</w:t>
      </w:r>
      <w:r w:rsidR="00352ECF" w:rsidRPr="00241617">
        <w:t>hich factor was most important in their decision</w:t>
      </w:r>
    </w:p>
    <w:p w14:paraId="64CC2EEF" w14:textId="647314DD" w:rsidR="00352ECF" w:rsidRPr="00241617" w:rsidRDefault="00992286" w:rsidP="00533EB3">
      <w:pPr>
        <w:pStyle w:val="ListBullet"/>
        <w:ind w:right="56"/>
      </w:pPr>
      <w:r>
        <w:t>h</w:t>
      </w:r>
      <w:r w:rsidR="00352ECF" w:rsidRPr="00241617">
        <w:t>ow likely</w:t>
      </w:r>
      <w:r>
        <w:t xml:space="preserve"> it </w:t>
      </w:r>
      <w:r w:rsidR="00352ECF" w:rsidRPr="00241617">
        <w:t xml:space="preserve">is that they would switch </w:t>
      </w:r>
      <w:r w:rsidR="00352ECF">
        <w:t>super products</w:t>
      </w:r>
    </w:p>
    <w:p w14:paraId="08318156" w14:textId="125973C2" w:rsidR="00352ECF" w:rsidRDefault="00992286" w:rsidP="00533EB3">
      <w:pPr>
        <w:pStyle w:val="ListBullet"/>
        <w:ind w:right="56"/>
      </w:pPr>
      <w:r>
        <w:t>h</w:t>
      </w:r>
      <w:r w:rsidR="00352ECF" w:rsidRPr="00241617">
        <w:t xml:space="preserve">ow easy </w:t>
      </w:r>
      <w:r>
        <w:t xml:space="preserve">it </w:t>
      </w:r>
      <w:r w:rsidR="00352ECF" w:rsidRPr="00241617">
        <w:t xml:space="preserve">was to compare </w:t>
      </w:r>
      <w:r w:rsidR="00352ECF">
        <w:t>products</w:t>
      </w:r>
    </w:p>
    <w:p w14:paraId="6FB11A17" w14:textId="7F270C15" w:rsidR="009E3657" w:rsidRPr="00820605" w:rsidRDefault="005A057F" w:rsidP="005A057F">
      <w:pPr>
        <w:pStyle w:val="FigureHeading"/>
      </w:pPr>
      <w:r w:rsidRPr="005A057F">
        <w:t>Results presented to Group A, with 2 performance categories randomly sorted</w:t>
      </w:r>
    </w:p>
    <w:p w14:paraId="7842C96E" w14:textId="77777777" w:rsidR="009E3657" w:rsidRDefault="009E3657" w:rsidP="0085625A">
      <w:pPr>
        <w:pStyle w:val="ListBullet"/>
        <w:numPr>
          <w:ilvl w:val="0"/>
          <w:numId w:val="0"/>
        </w:numPr>
        <w:ind w:left="329" w:right="1410" w:hanging="329"/>
        <w:rPr>
          <w:b/>
        </w:rPr>
      </w:pPr>
      <w:r>
        <w:rPr>
          <w:b/>
          <w:noProof/>
        </w:rPr>
        <w:drawing>
          <wp:inline distT="0" distB="0" distL="0" distR="0" wp14:anchorId="3A09EC93" wp14:editId="145DADA7">
            <wp:extent cx="5180652" cy="3289300"/>
            <wp:effectExtent l="0" t="0" r="1270" b="6350"/>
            <wp:docPr id="8" name="Picture 8" descr="This image is of the mock results table that people in Group A saw. It shows 10 super funds and lists each funds annual fees, net return, risk level, and performance. &#10;There are blue text and arrows that were not on the table that respondents saw. They are there to highight key features of the Group A table for people reading the report. For Group A they point out that there were only 2 performance categories, and that the table is not s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_GroupA.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239617" cy="3326738"/>
                    </a:xfrm>
                    <a:prstGeom prst="rect">
                      <a:avLst/>
                    </a:prstGeom>
                    <a:ln>
                      <a:noFill/>
                    </a:ln>
                    <a:extLst>
                      <a:ext uri="{53640926-AAD7-44D8-BBD7-CCE9431645EC}">
                        <a14:shadowObscured xmlns:a14="http://schemas.microsoft.com/office/drawing/2010/main"/>
                      </a:ext>
                    </a:extLst>
                  </pic:spPr>
                </pic:pic>
              </a:graphicData>
            </a:graphic>
          </wp:inline>
        </w:drawing>
      </w:r>
    </w:p>
    <w:p w14:paraId="35368283" w14:textId="066952B2" w:rsidR="009E3657" w:rsidRPr="00820605" w:rsidRDefault="005A057F" w:rsidP="005A057F">
      <w:pPr>
        <w:pStyle w:val="FigureHeading"/>
      </w:pPr>
      <w:r w:rsidRPr="005A057F">
        <w:lastRenderedPageBreak/>
        <w:t>Resu</w:t>
      </w:r>
      <w:r>
        <w:t>lts presented to Group A, with 3</w:t>
      </w:r>
      <w:r w:rsidRPr="005A057F">
        <w:t xml:space="preserve"> performance categories randomly sorted</w:t>
      </w:r>
    </w:p>
    <w:p w14:paraId="4729820F" w14:textId="4D25919B" w:rsidR="009E3657" w:rsidRDefault="009E3657" w:rsidP="00533EB3">
      <w:pPr>
        <w:pStyle w:val="ListBullet"/>
        <w:numPr>
          <w:ilvl w:val="0"/>
          <w:numId w:val="0"/>
        </w:numPr>
        <w:ind w:left="329" w:right="1410" w:hanging="329"/>
      </w:pPr>
      <w:r>
        <w:rPr>
          <w:b/>
          <w:noProof/>
        </w:rPr>
        <w:drawing>
          <wp:inline distT="0" distB="0" distL="0" distR="0" wp14:anchorId="1A73A4A0" wp14:editId="2DECAA6A">
            <wp:extent cx="5194300" cy="3325014"/>
            <wp:effectExtent l="0" t="0" r="6350" b="8890"/>
            <wp:docPr id="17" name="Picture 17" descr="This image is of the mock results table that people in Group B saw. It shows 10 super funds and lists each funds annual fees, net return, risk level, and performance. &#10;There are blue text and arrows that were not on the table that respondents saw. They are there to highight key features of the Group B table for people reading the report. For Group B they point out that there were 3 performance categories, and that the table is not s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p_GroupB.p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277084" cy="3378006"/>
                    </a:xfrm>
                    <a:prstGeom prst="rect">
                      <a:avLst/>
                    </a:prstGeom>
                    <a:ln>
                      <a:noFill/>
                    </a:ln>
                    <a:extLst>
                      <a:ext uri="{53640926-AAD7-44D8-BBD7-CCE9431645EC}">
                        <a14:shadowObscured xmlns:a14="http://schemas.microsoft.com/office/drawing/2010/main"/>
                      </a:ext>
                    </a:extLst>
                  </pic:spPr>
                </pic:pic>
              </a:graphicData>
            </a:graphic>
          </wp:inline>
        </w:drawing>
      </w:r>
    </w:p>
    <w:p w14:paraId="0C689EF7" w14:textId="4B87FC63" w:rsidR="009E3657" w:rsidRPr="00820605" w:rsidRDefault="005A057F" w:rsidP="005A057F">
      <w:pPr>
        <w:pStyle w:val="FigureHeading"/>
      </w:pPr>
      <w:r w:rsidRPr="005A057F">
        <w:t>Resu</w:t>
      </w:r>
      <w:r>
        <w:t>lts presented to Group A, with 3</w:t>
      </w:r>
      <w:r w:rsidRPr="005A057F">
        <w:t xml:space="preserve"> performance categories </w:t>
      </w:r>
      <w:r>
        <w:t>sorted by performance</w:t>
      </w:r>
    </w:p>
    <w:p w14:paraId="24A71CD5" w14:textId="77777777" w:rsidR="009E3657" w:rsidRDefault="009E3657" w:rsidP="001836CD">
      <w:pPr>
        <w:pStyle w:val="ListBullet"/>
        <w:numPr>
          <w:ilvl w:val="0"/>
          <w:numId w:val="0"/>
        </w:numPr>
        <w:ind w:left="329" w:hanging="357"/>
        <w:rPr>
          <w:b/>
        </w:rPr>
      </w:pPr>
      <w:r>
        <w:rPr>
          <w:b/>
          <w:noProof/>
        </w:rPr>
        <w:drawing>
          <wp:inline distT="0" distB="0" distL="0" distR="0" wp14:anchorId="6A8B9C89" wp14:editId="60FCD94F">
            <wp:extent cx="5232400" cy="3352409"/>
            <wp:effectExtent l="0" t="0" r="6350" b="635"/>
            <wp:docPr id="18" name="Picture 18" descr="This image is of the mock results table that people in Group C saw. It shows 10 super funds and lists each funds annual fees, net return, risk level, and performance. &#10;There are blue text and arrows that were not on the table that respondents saw. They are there to highight key features of the Group C table for people reading the report. For Group C they point out that there were 3 performance categories, and that the table is sorted by performanc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p_GroupC.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249506" cy="3363369"/>
                    </a:xfrm>
                    <a:prstGeom prst="rect">
                      <a:avLst/>
                    </a:prstGeom>
                    <a:ln>
                      <a:noFill/>
                    </a:ln>
                    <a:extLst>
                      <a:ext uri="{53640926-AAD7-44D8-BBD7-CCE9431645EC}">
                        <a14:shadowObscured xmlns:a14="http://schemas.microsoft.com/office/drawing/2010/main"/>
                      </a:ext>
                    </a:extLst>
                  </pic:spPr>
                </pic:pic>
              </a:graphicData>
            </a:graphic>
          </wp:inline>
        </w:drawing>
      </w:r>
    </w:p>
    <w:p w14:paraId="493350E1" w14:textId="3AEA37D5" w:rsidR="00352ECF" w:rsidRPr="00C14A92" w:rsidRDefault="00E95220" w:rsidP="00352ECF">
      <w:pPr>
        <w:pStyle w:val="Heading3"/>
      </w:pPr>
      <w:r>
        <w:lastRenderedPageBreak/>
        <w:t>S</w:t>
      </w:r>
      <w:r w:rsidR="00352ECF">
        <w:t xml:space="preserve">urvey experiment </w:t>
      </w:r>
      <w:r w:rsidR="0052133E">
        <w:t xml:space="preserve">two </w:t>
      </w:r>
      <w:r w:rsidR="00352ECF">
        <w:t>– risk terminology</w:t>
      </w:r>
    </w:p>
    <w:p w14:paraId="46C8310E" w14:textId="5C512E20" w:rsidR="009E3657" w:rsidRPr="009A6E5F" w:rsidRDefault="00782412" w:rsidP="009E3657">
      <w:r>
        <w:t xml:space="preserve">In the </w:t>
      </w:r>
      <w:r w:rsidR="00B33C6C">
        <w:t xml:space="preserve">second </w:t>
      </w:r>
      <w:r>
        <w:t xml:space="preserve">experiment, we </w:t>
      </w:r>
      <w:r w:rsidR="001A6377">
        <w:t xml:space="preserve">explored </w:t>
      </w:r>
      <w:r w:rsidR="001A6377" w:rsidRPr="008419AC">
        <w:t>how</w:t>
      </w:r>
      <w:r w:rsidR="00B33C6C" w:rsidRPr="008419AC">
        <w:t xml:space="preserve"> </w:t>
      </w:r>
      <w:r w:rsidR="00B33C6C">
        <w:t>to</w:t>
      </w:r>
      <w:r w:rsidR="00B33C6C" w:rsidRPr="00B33C6C">
        <w:t xml:space="preserve"> commun</w:t>
      </w:r>
      <w:r w:rsidR="001F0B81">
        <w:t>icate the risk/return trade</w:t>
      </w:r>
      <w:r w:rsidR="001F0B81">
        <w:noBreakHyphen/>
      </w:r>
      <w:r w:rsidR="00B33C6C">
        <w:t>off</w:t>
      </w:r>
      <w:r w:rsidR="001F0B81">
        <w:t xml:space="preserve"> inherent in different investment strategies</w:t>
      </w:r>
      <w:r w:rsidR="00B33C6C" w:rsidRPr="008419AC">
        <w:t xml:space="preserve">. We designed an experiment that </w:t>
      </w:r>
      <w:r w:rsidR="00FE75BE">
        <w:t>tested whether</w:t>
      </w:r>
      <w:r w:rsidR="009E3657">
        <w:t xml:space="preserve"> the terminology used to describe risk </w:t>
      </w:r>
      <w:r w:rsidR="00D00568">
        <w:t>would have an impact on</w:t>
      </w:r>
      <w:r w:rsidR="009E3657">
        <w:t xml:space="preserve"> the </w:t>
      </w:r>
      <w:r w:rsidR="00D00568">
        <w:t>choice</w:t>
      </w:r>
      <w:r w:rsidR="009E3657">
        <w:t xml:space="preserve"> of investment </w:t>
      </w:r>
      <w:r w:rsidR="001F0B81">
        <w:t>strategy</w:t>
      </w:r>
      <w:r w:rsidR="009E3657">
        <w:t xml:space="preserve">. </w:t>
      </w:r>
      <w:r w:rsidR="00781157">
        <w:t xml:space="preserve"> </w:t>
      </w:r>
    </w:p>
    <w:p w14:paraId="090EC686" w14:textId="25A5D1B3" w:rsidR="009E3657" w:rsidRDefault="009E3657" w:rsidP="009E3657">
      <w:r>
        <w:t>Respondents were asked to s</w:t>
      </w:r>
      <w:r w:rsidRPr="00CF5CF7">
        <w:t xml:space="preserve">elect the most appropriate </w:t>
      </w:r>
      <w:r w:rsidR="001F0B81">
        <w:t xml:space="preserve">superannuation </w:t>
      </w:r>
      <w:r w:rsidRPr="00CF5CF7">
        <w:t xml:space="preserve">investment </w:t>
      </w:r>
      <w:r w:rsidR="001F0B81">
        <w:t>strategy</w:t>
      </w:r>
      <w:r w:rsidRPr="00CF5CF7">
        <w:t xml:space="preserve"> for a young person starting </w:t>
      </w:r>
      <w:r>
        <w:t>out</w:t>
      </w:r>
      <w:r w:rsidRPr="00CF5CF7">
        <w:t xml:space="preserve"> in their career. </w:t>
      </w:r>
      <w:r w:rsidR="001F0B81">
        <w:t xml:space="preserve">In general, young people are </w:t>
      </w:r>
      <w:r>
        <w:t>best served by selecting a high risk</w:t>
      </w:r>
      <w:r w:rsidR="001F0B81">
        <w:t>/</w:t>
      </w:r>
      <w:r>
        <w:t xml:space="preserve">high </w:t>
      </w:r>
      <w:r w:rsidR="001F0B81">
        <w:t>return</w:t>
      </w:r>
      <w:r>
        <w:t xml:space="preserve"> investment </w:t>
      </w:r>
      <w:r w:rsidR="001F0B81">
        <w:t xml:space="preserve">strategy. Our outcome measure looked at how many </w:t>
      </w:r>
      <w:r>
        <w:t xml:space="preserve">respondents </w:t>
      </w:r>
      <w:r w:rsidR="001F0B81">
        <w:t xml:space="preserve">selected this </w:t>
      </w:r>
      <w:r w:rsidR="00782412">
        <w:t>optimal</w:t>
      </w:r>
      <w:r w:rsidR="001F0B81">
        <w:t xml:space="preserve"> option.</w:t>
      </w:r>
    </w:p>
    <w:p w14:paraId="16E2AD64" w14:textId="3F76BBE1" w:rsidR="009E3657" w:rsidRPr="00BA63A0" w:rsidRDefault="001F0B81" w:rsidP="009E3657">
      <w:r>
        <w:t xml:space="preserve">Respondents were </w:t>
      </w:r>
      <w:r w:rsidR="005A057F">
        <w:t xml:space="preserve">presented with </w:t>
      </w:r>
      <w:r>
        <w:t>3</w:t>
      </w:r>
      <w:r w:rsidR="009E3657" w:rsidRPr="00CF5CF7">
        <w:t xml:space="preserve"> investment risk options </w:t>
      </w:r>
      <w:r w:rsidR="005A057F">
        <w:t xml:space="preserve">to choose from </w:t>
      </w:r>
      <w:r w:rsidR="009E3657" w:rsidRPr="00CF5CF7">
        <w:t>(coverin</w:t>
      </w:r>
      <w:r w:rsidR="009E3657">
        <w:t>g low, medium and high risk</w:t>
      </w:r>
      <w:r w:rsidR="009E3657">
        <w:noBreakHyphen/>
        <w:t>and</w:t>
      </w:r>
      <w:r w:rsidR="009E3657">
        <w:noBreakHyphen/>
        <w:t xml:space="preserve">return </w:t>
      </w:r>
      <w:r w:rsidR="009E3657" w:rsidRPr="00CF5CF7">
        <w:t>settings)</w:t>
      </w:r>
      <w:r>
        <w:t xml:space="preserve">. Each </w:t>
      </w:r>
      <w:r w:rsidR="005A057F">
        <w:t xml:space="preserve">randomly assigned </w:t>
      </w:r>
      <w:r>
        <w:t xml:space="preserve">experimental group saw different descriptive labels for the same underlying investment </w:t>
      </w:r>
      <w:r w:rsidR="0052133E">
        <w:t>strategies</w:t>
      </w:r>
      <w:r>
        <w:t xml:space="preserve">, </w:t>
      </w:r>
      <w:r w:rsidR="009E3657">
        <w:t xml:space="preserve">as follows: </w:t>
      </w:r>
    </w:p>
    <w:p w14:paraId="11229D56" w14:textId="49126D52" w:rsidR="009E3657" w:rsidRDefault="009E3657" w:rsidP="009E3657">
      <w:pPr>
        <w:pStyle w:val="ListBullet"/>
        <w:tabs>
          <w:tab w:val="num" w:pos="720"/>
        </w:tabs>
        <w:spacing w:line="320" w:lineRule="atLeast"/>
      </w:pPr>
      <w:r w:rsidRPr="00ED5C83">
        <w:rPr>
          <w:b/>
          <w:u w:val="single"/>
        </w:rPr>
        <w:t xml:space="preserve">Group </w:t>
      </w:r>
      <w:r w:rsidR="005B7348" w:rsidRPr="00ED5C83">
        <w:rPr>
          <w:b/>
          <w:u w:val="single"/>
        </w:rPr>
        <w:t>X</w:t>
      </w:r>
      <w:r w:rsidRPr="00ED5C83">
        <w:rPr>
          <w:b/>
        </w:rPr>
        <w:t xml:space="preserve"> </w:t>
      </w:r>
      <w:r w:rsidR="006F0D42" w:rsidRPr="00ED5C83">
        <w:rPr>
          <w:b/>
        </w:rPr>
        <w:t>Technical definition highlighting negative returns</w:t>
      </w:r>
      <w:r w:rsidR="006F0D42">
        <w:t xml:space="preserve">: </w:t>
      </w:r>
      <w:r w:rsidR="00E31C3A">
        <w:t xml:space="preserve">A direct statement of </w:t>
      </w:r>
      <w:r w:rsidR="001F0B81">
        <w:t xml:space="preserve">the </w:t>
      </w:r>
      <w:r w:rsidR="00E31C3A">
        <w:t>r</w:t>
      </w:r>
      <w:r>
        <w:t xml:space="preserve">isk level and </w:t>
      </w:r>
      <w:r w:rsidR="00E31C3A">
        <w:t xml:space="preserve">a </w:t>
      </w:r>
      <w:r>
        <w:t>definition</w:t>
      </w:r>
      <w:r w:rsidR="00E31C3A">
        <w:t xml:space="preserve"> of what this means</w:t>
      </w:r>
      <w:r>
        <w:t xml:space="preserve"> (e.g. ‘Low risk – expect a negative return 1 out of every 20 years’)</w:t>
      </w:r>
    </w:p>
    <w:p w14:paraId="77FAB512" w14:textId="209F3292" w:rsidR="009E3657" w:rsidRDefault="009E3657" w:rsidP="009E3657">
      <w:pPr>
        <w:pStyle w:val="ListBullet"/>
        <w:tabs>
          <w:tab w:val="num" w:pos="720"/>
        </w:tabs>
        <w:spacing w:line="320" w:lineRule="atLeast"/>
      </w:pPr>
      <w:r w:rsidRPr="00ED5C83">
        <w:rPr>
          <w:b/>
          <w:u w:val="single"/>
        </w:rPr>
        <w:t xml:space="preserve">Group </w:t>
      </w:r>
      <w:r w:rsidR="005B7348" w:rsidRPr="00ED5C83">
        <w:rPr>
          <w:b/>
          <w:u w:val="single"/>
        </w:rPr>
        <w:t>Y</w:t>
      </w:r>
      <w:r w:rsidRPr="00ED5C83">
        <w:rPr>
          <w:b/>
        </w:rPr>
        <w:t xml:space="preserve"> </w:t>
      </w:r>
      <w:r w:rsidR="006F0D42" w:rsidRPr="00ED5C83">
        <w:rPr>
          <w:b/>
        </w:rPr>
        <w:t>Common industry terms</w:t>
      </w:r>
      <w:r>
        <w:t xml:space="preserve">: </w:t>
      </w:r>
      <w:r w:rsidR="00E31C3A">
        <w:t>The i</w:t>
      </w:r>
      <w:r>
        <w:t xml:space="preserve">nvestment strategy </w:t>
      </w:r>
      <w:r w:rsidR="00E31C3A">
        <w:t xml:space="preserve">terms </w:t>
      </w:r>
      <w:r>
        <w:t>common</w:t>
      </w:r>
      <w:r w:rsidR="00E31C3A">
        <w:t xml:space="preserve">ly used </w:t>
      </w:r>
      <w:r>
        <w:t>in the superannuation sector</w:t>
      </w:r>
      <w:r w:rsidR="00E31C3A">
        <w:t xml:space="preserve"> to convey risk</w:t>
      </w:r>
      <w:r>
        <w:t xml:space="preserve"> (‘Conservative’, ‘Balanced’, ‘Growth’)</w:t>
      </w:r>
    </w:p>
    <w:p w14:paraId="680162A8" w14:textId="62F8C0AC" w:rsidR="009E3657" w:rsidRDefault="009E3657" w:rsidP="009E3657">
      <w:pPr>
        <w:pStyle w:val="ListBullet"/>
        <w:tabs>
          <w:tab w:val="num" w:pos="720"/>
        </w:tabs>
        <w:spacing w:line="320" w:lineRule="atLeast"/>
      </w:pPr>
      <w:r w:rsidRPr="00ED5C83">
        <w:rPr>
          <w:b/>
          <w:u w:val="single"/>
        </w:rPr>
        <w:t xml:space="preserve">Group </w:t>
      </w:r>
      <w:r w:rsidR="005B7348" w:rsidRPr="00ED5C83">
        <w:rPr>
          <w:b/>
          <w:u w:val="single"/>
        </w:rPr>
        <w:t>Z</w:t>
      </w:r>
      <w:r w:rsidR="006F0D42" w:rsidRPr="005A057F">
        <w:rPr>
          <w:b/>
        </w:rPr>
        <w:t xml:space="preserve"> Technical definition highlighting expected returns</w:t>
      </w:r>
      <w:r>
        <w:t xml:space="preserve">: </w:t>
      </w:r>
      <w:r w:rsidR="001F0B81">
        <w:t>The r</w:t>
      </w:r>
      <w:r>
        <w:t>isk level and expected return (e.g. ‘Low risk &amp; low expected return’)</w:t>
      </w:r>
    </w:p>
    <w:p w14:paraId="4B6300D1" w14:textId="7C04772C" w:rsidR="00183DEA" w:rsidRDefault="00183DEA" w:rsidP="00BD20D5">
      <w:pPr>
        <w:pStyle w:val="EmphasisPanelHeading"/>
        <w:outlineLvl w:val="3"/>
      </w:pPr>
      <w:r>
        <w:t xml:space="preserve">Survey experiment </w:t>
      </w:r>
      <w:r w:rsidR="0052133E">
        <w:t>two</w:t>
      </w:r>
      <w:r>
        <w:t xml:space="preserve"> – question and response options for </w:t>
      </w:r>
      <w:r w:rsidR="00ED5C83" w:rsidRPr="00ED5C83">
        <w:rPr>
          <w:u w:val="single"/>
        </w:rPr>
        <w:t>Group X</w:t>
      </w:r>
      <w:r w:rsidR="00ED5C83" w:rsidRPr="00ED5C83">
        <w:t xml:space="preserve"> Technical definition highlighting negative returns</w:t>
      </w:r>
    </w:p>
    <w:p w14:paraId="46983ED9" w14:textId="7FD5E299" w:rsidR="00183DEA" w:rsidRPr="00183DEA" w:rsidRDefault="00183DEA" w:rsidP="00183DEA">
      <w:pPr>
        <w:pStyle w:val="EmphasisPanelBody"/>
        <w:rPr>
          <w:i/>
        </w:rPr>
      </w:pPr>
      <w:r w:rsidRPr="00183DEA">
        <w:rPr>
          <w:i/>
        </w:rPr>
        <w:t>Which is the best option for a young person starting out in their career?</w:t>
      </w:r>
    </w:p>
    <w:p w14:paraId="59AFF035" w14:textId="6ABBBA97" w:rsidR="00183DEA" w:rsidRPr="00183DEA" w:rsidRDefault="00183DEA" w:rsidP="00183DEA">
      <w:pPr>
        <w:pStyle w:val="EmphasisPanelBullet"/>
        <w:rPr>
          <w:i/>
        </w:rPr>
      </w:pPr>
      <w:r w:rsidRPr="00183DEA">
        <w:rPr>
          <w:i/>
        </w:rPr>
        <w:t xml:space="preserve">Low risk </w:t>
      </w:r>
      <w:r>
        <w:rPr>
          <w:i/>
        </w:rPr>
        <w:t>–</w:t>
      </w:r>
      <w:r w:rsidRPr="00183DEA">
        <w:rPr>
          <w:i/>
        </w:rPr>
        <w:t xml:space="preserve"> expect a negative return 1 out of every 20 years</w:t>
      </w:r>
    </w:p>
    <w:p w14:paraId="4D9F183D" w14:textId="77777777" w:rsidR="00183DEA" w:rsidRPr="00183DEA" w:rsidRDefault="00183DEA" w:rsidP="00183DEA">
      <w:pPr>
        <w:pStyle w:val="EmphasisPanelBullet"/>
        <w:rPr>
          <w:i/>
        </w:rPr>
      </w:pPr>
      <w:r w:rsidRPr="00183DEA">
        <w:rPr>
          <w:i/>
        </w:rPr>
        <w:t>Medium risk – expect a negative return 2 out of every 20 years</w:t>
      </w:r>
    </w:p>
    <w:p w14:paraId="6B71C715" w14:textId="77777777" w:rsidR="00183DEA" w:rsidRPr="00183DEA" w:rsidRDefault="00183DEA" w:rsidP="00183DEA">
      <w:pPr>
        <w:pStyle w:val="EmphasisPanelBullet"/>
        <w:rPr>
          <w:i/>
        </w:rPr>
      </w:pPr>
      <w:r w:rsidRPr="00183DEA">
        <w:rPr>
          <w:i/>
        </w:rPr>
        <w:t>High risk – expect a negative return 4 out of every 20 years</w:t>
      </w:r>
    </w:p>
    <w:p w14:paraId="3BB048C5" w14:textId="0FFF1F1E" w:rsidR="00F348DF" w:rsidRPr="00C14A92" w:rsidRDefault="001F0B81" w:rsidP="00F348DF">
      <w:pPr>
        <w:pStyle w:val="Heading3"/>
      </w:pPr>
      <w:r>
        <w:t>S</w:t>
      </w:r>
      <w:r w:rsidR="00F348DF">
        <w:t>urvey questions</w:t>
      </w:r>
    </w:p>
    <w:p w14:paraId="6473BD00" w14:textId="167389F5" w:rsidR="009007A1" w:rsidRDefault="00F348DF" w:rsidP="00FF49AA">
      <w:r>
        <w:t xml:space="preserve">The </w:t>
      </w:r>
      <w:r w:rsidR="00AD56B3">
        <w:t>survey questions aimed to collect respondents stated preferences on issues around communication and information presentation.</w:t>
      </w:r>
      <w:r>
        <w:t xml:space="preserve"> </w:t>
      </w:r>
      <w:r w:rsidR="00836CBB">
        <w:t xml:space="preserve">It included questions on the following </w:t>
      </w:r>
      <w:r w:rsidR="00782412">
        <w:t>topic</w:t>
      </w:r>
      <w:r w:rsidR="00836CBB">
        <w:t>s;</w:t>
      </w:r>
    </w:p>
    <w:p w14:paraId="72690BB2" w14:textId="1D0FAB66" w:rsidR="00836CBB" w:rsidRDefault="00836CBB" w:rsidP="003E5E22">
      <w:pPr>
        <w:pStyle w:val="ListParagraph"/>
        <w:numPr>
          <w:ilvl w:val="0"/>
          <w:numId w:val="11"/>
        </w:numPr>
      </w:pPr>
      <w:r>
        <w:t xml:space="preserve">When people would be most likely to use </w:t>
      </w:r>
      <w:r w:rsidR="00025B9A">
        <w:t>the comparison tool</w:t>
      </w:r>
    </w:p>
    <w:p w14:paraId="2917FE6B" w14:textId="4F755310" w:rsidR="00836CBB" w:rsidRDefault="00836CBB" w:rsidP="003E5E22">
      <w:pPr>
        <w:pStyle w:val="ListParagraph"/>
        <w:numPr>
          <w:ilvl w:val="0"/>
          <w:numId w:val="11"/>
        </w:numPr>
      </w:pPr>
      <w:r>
        <w:t xml:space="preserve">Key </w:t>
      </w:r>
      <w:r w:rsidR="00FE5563">
        <w:t xml:space="preserve">data and useability </w:t>
      </w:r>
      <w:r>
        <w:t>features they are looking for in a super comparison tool</w:t>
      </w:r>
    </w:p>
    <w:p w14:paraId="60C819D6" w14:textId="546F58F2" w:rsidR="00836CBB" w:rsidRDefault="00836CBB" w:rsidP="003E5E22">
      <w:pPr>
        <w:pStyle w:val="ListParagraph"/>
        <w:numPr>
          <w:ilvl w:val="0"/>
          <w:numId w:val="11"/>
        </w:numPr>
      </w:pPr>
      <w:r>
        <w:t>The best ways to remind them to check the performance of their super fund(s)</w:t>
      </w:r>
    </w:p>
    <w:p w14:paraId="4EB41A19" w14:textId="099B905F" w:rsidR="00836CBB" w:rsidRDefault="00322911" w:rsidP="003E5E22">
      <w:pPr>
        <w:pStyle w:val="ListParagraph"/>
        <w:numPr>
          <w:ilvl w:val="0"/>
          <w:numId w:val="11"/>
        </w:numPr>
      </w:pPr>
      <w:r>
        <w:t>Which slogans, encouraging them to check the performance of their super, they found most motivating</w:t>
      </w:r>
    </w:p>
    <w:p w14:paraId="2FFE515F" w14:textId="63DB62EF" w:rsidR="00322911" w:rsidRDefault="005A057F" w:rsidP="003E5E22">
      <w:pPr>
        <w:pStyle w:val="ListParagraph"/>
        <w:numPr>
          <w:ilvl w:val="0"/>
          <w:numId w:val="11"/>
        </w:numPr>
      </w:pPr>
      <w:r>
        <w:t xml:space="preserve">Their preferred communication </w:t>
      </w:r>
      <w:r w:rsidR="00782412">
        <w:t xml:space="preserve">channel </w:t>
      </w:r>
      <w:r>
        <w:t>for being notified</w:t>
      </w:r>
      <w:r w:rsidR="00322911">
        <w:t xml:space="preserve"> that their super fund is underperforming</w:t>
      </w:r>
    </w:p>
    <w:p w14:paraId="3ED623F1" w14:textId="04412371" w:rsidR="00322911" w:rsidRDefault="00322911" w:rsidP="003E5E22">
      <w:pPr>
        <w:pStyle w:val="ListParagraph"/>
        <w:numPr>
          <w:ilvl w:val="0"/>
          <w:numId w:val="11"/>
        </w:numPr>
      </w:pPr>
      <w:r>
        <w:t>Which wording best conveys a super fund’s performance</w:t>
      </w:r>
      <w:r w:rsidR="009916C5">
        <w:t>.</w:t>
      </w:r>
    </w:p>
    <w:p w14:paraId="3A3C2CD0" w14:textId="38C89AE7" w:rsidR="004039AA" w:rsidRDefault="00D36EA1" w:rsidP="007A5477">
      <w:pPr>
        <w:spacing w:after="0" w:line="240" w:lineRule="auto"/>
        <w:rPr>
          <w:rFonts w:asciiTheme="majorHAnsi" w:hAnsiTheme="majorHAnsi"/>
          <w:b/>
          <w:sz w:val="72"/>
          <w:szCs w:val="44"/>
        </w:rPr>
      </w:pPr>
      <w:r>
        <w:t xml:space="preserve">A full copy of the survey questions is available in </w:t>
      </w:r>
      <w:r w:rsidR="001F0B81" w:rsidRPr="00CA1DC4">
        <w:t>A</w:t>
      </w:r>
      <w:r w:rsidR="00CA1DC4" w:rsidRPr="00CA1DC4">
        <w:t xml:space="preserve">ppendix </w:t>
      </w:r>
      <w:r w:rsidR="00430094">
        <w:t>4</w:t>
      </w:r>
      <w:r w:rsidRPr="00CA1DC4">
        <w:t>.</w:t>
      </w:r>
      <w:r w:rsidR="004039AA">
        <w:br w:type="page"/>
      </w:r>
    </w:p>
    <w:p w14:paraId="16CA27E8" w14:textId="498366A6" w:rsidR="00081366" w:rsidRDefault="00081366" w:rsidP="00191A5D">
      <w:pPr>
        <w:pStyle w:val="Heading2"/>
      </w:pPr>
      <w:bookmarkStart w:id="17" w:name="_Toc107826700"/>
      <w:bookmarkStart w:id="18" w:name="_Toc109225238"/>
      <w:bookmarkStart w:id="19" w:name="_Toc115096495"/>
      <w:bookmarkStart w:id="20" w:name="_Toc115184217"/>
      <w:bookmarkStart w:id="21" w:name="_Toc115187661"/>
      <w:r w:rsidRPr="0073375B">
        <w:lastRenderedPageBreak/>
        <w:t>Results</w:t>
      </w:r>
      <w:bookmarkEnd w:id="17"/>
      <w:bookmarkEnd w:id="18"/>
      <w:bookmarkEnd w:id="19"/>
      <w:bookmarkEnd w:id="20"/>
      <w:bookmarkEnd w:id="21"/>
    </w:p>
    <w:p w14:paraId="2E3AC440" w14:textId="19DD1558" w:rsidR="00BB4632" w:rsidRDefault="00194B17" w:rsidP="00C4562F">
      <w:pPr>
        <w:spacing w:after="120"/>
      </w:pPr>
      <w:r>
        <w:t xml:space="preserve">The results for the 2 survey experiments are set out below, followed by the survey findings. </w:t>
      </w:r>
    </w:p>
    <w:p w14:paraId="1E116792" w14:textId="726F58E4" w:rsidR="004039AA" w:rsidRDefault="001C2FA9" w:rsidP="00C4562F">
      <w:pPr>
        <w:pStyle w:val="Heading3"/>
        <w:spacing w:before="120"/>
      </w:pPr>
      <w:r>
        <w:t>Survey</w:t>
      </w:r>
      <w:r w:rsidR="004039AA">
        <w:t xml:space="preserve"> experiment </w:t>
      </w:r>
      <w:r w:rsidR="00D7495A">
        <w:t xml:space="preserve">one </w:t>
      </w:r>
      <w:r w:rsidR="004039AA">
        <w:t>– presentation of performance</w:t>
      </w:r>
      <w:r w:rsidR="00194B17">
        <w:t xml:space="preserve"> categories</w:t>
      </w:r>
    </w:p>
    <w:p w14:paraId="6579104E" w14:textId="42C2EB17" w:rsidR="00194B17" w:rsidRDefault="00194B17" w:rsidP="00194B17">
      <w:pPr>
        <w:pStyle w:val="EmphasisPanelBody"/>
        <w:spacing w:after="0"/>
      </w:pPr>
      <w:r>
        <w:t xml:space="preserve">We found that people who saw </w:t>
      </w:r>
      <w:r w:rsidR="0097292A">
        <w:t>3</w:t>
      </w:r>
      <w:r>
        <w:t>-tier performance categories</w:t>
      </w:r>
      <w:r w:rsidR="0097292A">
        <w:t xml:space="preserve"> in</w:t>
      </w:r>
      <w:r w:rsidR="002F765F">
        <w:t xml:space="preserve"> the results table</w:t>
      </w:r>
      <w:r w:rsidRPr="00BB4632">
        <w:t xml:space="preserve"> were much more likely to select higher </w:t>
      </w:r>
      <w:r w:rsidR="002F765F">
        <w:t>performing</w:t>
      </w:r>
      <w:r w:rsidRPr="00BB4632">
        <w:t xml:space="preserve"> products. </w:t>
      </w:r>
      <w:r w:rsidR="00054FA4">
        <w:t xml:space="preserve">It appears that adding the ‘top’ performance </w:t>
      </w:r>
      <w:r w:rsidR="00631EAD">
        <w:t xml:space="preserve">category </w:t>
      </w:r>
      <w:r w:rsidR="00054FA4">
        <w:t xml:space="preserve">helped many </w:t>
      </w:r>
      <w:r w:rsidR="00054FA4" w:rsidRPr="00155C05">
        <w:t>people to narrow down their options before making a choice based on fees.</w:t>
      </w:r>
      <w:r w:rsidR="00054FA4">
        <w:t xml:space="preserve"> </w:t>
      </w:r>
      <w:r w:rsidR="002F765F">
        <w:t>S</w:t>
      </w:r>
      <w:r>
        <w:t xml:space="preserve">orting </w:t>
      </w:r>
      <w:r w:rsidR="002F765F">
        <w:t>the results</w:t>
      </w:r>
      <w:r>
        <w:t xml:space="preserve"> table by performance categories</w:t>
      </w:r>
      <w:r w:rsidR="008F0800">
        <w:t xml:space="preserve"> </w:t>
      </w:r>
      <w:r w:rsidR="00592629">
        <w:t>had additional benefits.</w:t>
      </w:r>
    </w:p>
    <w:p w14:paraId="7FC5B140" w14:textId="17479629" w:rsidR="000E214C" w:rsidRPr="000E214C" w:rsidRDefault="00054FA4" w:rsidP="00C4562F">
      <w:pPr>
        <w:pStyle w:val="Heading4"/>
        <w:spacing w:before="120"/>
      </w:pPr>
      <w:r>
        <w:t>Number of p</w:t>
      </w:r>
      <w:r w:rsidR="000E214C">
        <w:t>erformance categories</w:t>
      </w:r>
    </w:p>
    <w:p w14:paraId="1CF7222E" w14:textId="435F1B3A" w:rsidR="002F765F" w:rsidRDefault="002F765F" w:rsidP="009E3657">
      <w:r>
        <w:t xml:space="preserve">We tested </w:t>
      </w:r>
      <w:r w:rsidR="00294013">
        <w:t>the impact of showing 2 or 3 performance categories</w:t>
      </w:r>
      <w:r>
        <w:t xml:space="preserve"> by ranking the 10 products based on their net return</w:t>
      </w:r>
      <w:r w:rsidR="00294013">
        <w:t xml:space="preserve"> (that is, their performance)</w:t>
      </w:r>
      <w:r w:rsidR="00762234">
        <w:t>. We then calculated the average rank for each group based on the products selected by respondents in that group</w:t>
      </w:r>
      <w:r>
        <w:t xml:space="preserve">. We also looked at the proportion who chose any of the top </w:t>
      </w:r>
      <w:r w:rsidR="00762234">
        <w:t>3 </w:t>
      </w:r>
      <w:r>
        <w:t>products.</w:t>
      </w:r>
      <w:r w:rsidR="00294013">
        <w:t xml:space="preserve"> </w:t>
      </w:r>
    </w:p>
    <w:p w14:paraId="5EC26D54" w14:textId="34B21C83" w:rsidR="003E5AB5" w:rsidRDefault="003E5AB5" w:rsidP="003E5AB5">
      <w:r w:rsidRPr="00DE7C31">
        <w:t xml:space="preserve">Respondents who saw </w:t>
      </w:r>
      <w:r>
        <w:t>3</w:t>
      </w:r>
      <w:r w:rsidRPr="00DE7C31">
        <w:t xml:space="preserve"> performance categories (rather than </w:t>
      </w:r>
      <w:r>
        <w:t>2</w:t>
      </w:r>
      <w:r w:rsidRPr="00DE7C31">
        <w:t xml:space="preserve">) chose higher ranking products and were more likely to choose </w:t>
      </w:r>
      <w:r>
        <w:t>a</w:t>
      </w:r>
      <w:r w:rsidRPr="00DE7C31">
        <w:t xml:space="preserve"> ‘top’ product</w:t>
      </w:r>
      <w:r>
        <w:t xml:space="preserve"> (one of the top three products by net return)</w:t>
      </w:r>
      <w:r w:rsidRPr="00DE7C31">
        <w:t>.</w:t>
      </w:r>
      <w:r>
        <w:t xml:space="preserve"> For respondents who only saw 2 performance</w:t>
      </w:r>
      <w:r w:rsidRPr="00770C09">
        <w:t xml:space="preserve"> categories</w:t>
      </w:r>
      <w:r>
        <w:t xml:space="preserve"> only 34% chose a top product</w:t>
      </w:r>
      <w:r w:rsidRPr="00BA63A0">
        <w:t xml:space="preserve">. </w:t>
      </w:r>
      <w:r>
        <w:t>F</w:t>
      </w:r>
      <w:r w:rsidRPr="00BA63A0">
        <w:t xml:space="preserve">or </w:t>
      </w:r>
      <w:r>
        <w:t>respondents who saw 3 performance categories</w:t>
      </w:r>
      <w:r w:rsidR="00592629">
        <w:t xml:space="preserve">, </w:t>
      </w:r>
      <w:r w:rsidR="00256DA0">
        <w:t xml:space="preserve">55% </w:t>
      </w:r>
      <w:r w:rsidR="00592629">
        <w:t xml:space="preserve">chose a top product, </w:t>
      </w:r>
      <w:r w:rsidR="00631EAD">
        <w:t xml:space="preserve">and </w:t>
      </w:r>
      <w:r w:rsidR="00592629">
        <w:t>this increased to</w:t>
      </w:r>
      <w:r w:rsidR="00256DA0">
        <w:t xml:space="preserve"> </w:t>
      </w:r>
      <w:r>
        <w:t>61%</w:t>
      </w:r>
      <w:r w:rsidR="00592629">
        <w:t xml:space="preserve"> when categories were sorted</w:t>
      </w:r>
      <w:r w:rsidR="005C3687">
        <w:t xml:space="preserve"> (see Figure </w:t>
      </w:r>
      <w:r w:rsidR="009916C5">
        <w:t>4</w:t>
      </w:r>
      <w:r>
        <w:t>)</w:t>
      </w:r>
      <w:r w:rsidRPr="00BA63A0">
        <w:t>.</w:t>
      </w:r>
      <w:r>
        <w:t xml:space="preserve"> These differences were statistically significant.</w:t>
      </w:r>
      <w:r w:rsidR="007E000E">
        <w:t xml:space="preserve"> </w:t>
      </w:r>
    </w:p>
    <w:p w14:paraId="14BF9C43" w14:textId="57CC9648" w:rsidR="009B275D" w:rsidRDefault="00D7495A" w:rsidP="009B275D">
      <w:pPr>
        <w:pStyle w:val="FigureHeading"/>
      </w:pPr>
      <w:r>
        <w:t>Respondents were more likely to select a</w:t>
      </w:r>
      <w:r w:rsidR="009B275D">
        <w:t xml:space="preserve"> product </w:t>
      </w:r>
      <w:r w:rsidR="00B21F90">
        <w:t>with a high net return</w:t>
      </w:r>
      <w:r w:rsidR="009B275D">
        <w:t xml:space="preserve"> </w:t>
      </w:r>
      <w:r>
        <w:t>when</w:t>
      </w:r>
      <w:r w:rsidR="00B21F90">
        <w:t xml:space="preserve"> </w:t>
      </w:r>
      <w:r w:rsidR="00C4562F">
        <w:t>presented</w:t>
      </w:r>
      <w:r w:rsidR="00B21F90">
        <w:t xml:space="preserve"> with 3 performance categories</w:t>
      </w:r>
      <w:r>
        <w:t xml:space="preserve"> and </w:t>
      </w:r>
      <w:r w:rsidR="00031D33">
        <w:t xml:space="preserve">a </w:t>
      </w:r>
      <w:r w:rsidR="00C4562F">
        <w:t xml:space="preserve">sorted </w:t>
      </w:r>
      <w:r w:rsidR="00031D33">
        <w:t>table</w:t>
      </w:r>
      <w:r w:rsidR="00C4562F">
        <w:t>.</w:t>
      </w:r>
    </w:p>
    <w:p w14:paraId="01434356" w14:textId="582B6CDD" w:rsidR="005D7040" w:rsidRPr="005D7040" w:rsidRDefault="005D7040" w:rsidP="00624C56">
      <w:pPr>
        <w:keepNext/>
      </w:pPr>
      <w:r>
        <w:rPr>
          <w:noProof/>
        </w:rPr>
        <w:drawing>
          <wp:inline distT="0" distB="0" distL="0" distR="0" wp14:anchorId="14FC2CA2" wp14:editId="4E642387">
            <wp:extent cx="4603898" cy="2413591"/>
            <wp:effectExtent l="0" t="0" r="6350" b="6350"/>
            <wp:docPr id="6" name="Chart 6" descr="A chart showing the results from our first survey experiment. The outcome is the proportion of respondents selecting a ‘top’ super product. The chart shows that only 34% of respondents in Group A (who saw 2 performance categories, and a results list that was not sorted) selected a top product. In comparison, 55% of Group B (who saw 3 performance categories, and a results list that was not sorted) selected a top product. And in Group C (who saw 3 performance categories, and a results list that was sorted) 61% selected a top perform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842148" w14:textId="1082B0AC" w:rsidR="009B275D" w:rsidRDefault="009B275D" w:rsidP="00624C56">
      <w:pPr>
        <w:keepNext/>
        <w:spacing w:after="120" w:line="240" w:lineRule="atLeast"/>
        <w:rPr>
          <w:sz w:val="16"/>
          <w:szCs w:val="16"/>
        </w:rPr>
      </w:pPr>
      <w:r w:rsidRPr="0FA9A2F1">
        <w:rPr>
          <w:sz w:val="16"/>
          <w:szCs w:val="16"/>
        </w:rPr>
        <w:t>n=</w:t>
      </w:r>
      <w:r>
        <w:rPr>
          <w:sz w:val="16"/>
          <w:szCs w:val="16"/>
        </w:rPr>
        <w:t>2,236</w:t>
      </w:r>
      <w:r w:rsidRPr="004C08E6">
        <w:rPr>
          <w:sz w:val="16"/>
          <w:szCs w:val="16"/>
        </w:rPr>
        <w:t xml:space="preserve">. </w:t>
      </w:r>
      <w:r>
        <w:rPr>
          <w:sz w:val="16"/>
          <w:szCs w:val="16"/>
        </w:rPr>
        <w:t>Note: a ‘top’ product wa</w:t>
      </w:r>
      <w:r w:rsidRPr="001030FA">
        <w:rPr>
          <w:sz w:val="16"/>
          <w:szCs w:val="16"/>
        </w:rPr>
        <w:t xml:space="preserve">s defined </w:t>
      </w:r>
      <w:r>
        <w:rPr>
          <w:sz w:val="16"/>
          <w:szCs w:val="16"/>
        </w:rPr>
        <w:t xml:space="preserve">the </w:t>
      </w:r>
      <w:r w:rsidRPr="001030FA">
        <w:rPr>
          <w:sz w:val="16"/>
          <w:szCs w:val="16"/>
        </w:rPr>
        <w:t xml:space="preserve">top </w:t>
      </w:r>
      <w:r>
        <w:rPr>
          <w:sz w:val="16"/>
          <w:szCs w:val="16"/>
        </w:rPr>
        <w:t xml:space="preserve">3 </w:t>
      </w:r>
      <w:r w:rsidRPr="001030FA">
        <w:rPr>
          <w:sz w:val="16"/>
          <w:szCs w:val="16"/>
        </w:rPr>
        <w:t xml:space="preserve">options </w:t>
      </w:r>
      <w:r>
        <w:rPr>
          <w:sz w:val="16"/>
          <w:szCs w:val="16"/>
        </w:rPr>
        <w:t xml:space="preserve">based on </w:t>
      </w:r>
      <w:r w:rsidRPr="001030FA">
        <w:rPr>
          <w:sz w:val="16"/>
          <w:szCs w:val="16"/>
        </w:rPr>
        <w:t>net return</w:t>
      </w:r>
      <w:r>
        <w:rPr>
          <w:sz w:val="16"/>
          <w:szCs w:val="16"/>
        </w:rPr>
        <w:t xml:space="preserve"> (s</w:t>
      </w:r>
      <w:r w:rsidRPr="004C08E6">
        <w:rPr>
          <w:sz w:val="16"/>
          <w:szCs w:val="16"/>
        </w:rPr>
        <w:t>econdary outcome measure</w:t>
      </w:r>
      <w:r>
        <w:rPr>
          <w:sz w:val="16"/>
          <w:szCs w:val="16"/>
        </w:rPr>
        <w:t>)</w:t>
      </w:r>
      <w:r w:rsidRPr="004C08E6">
        <w:rPr>
          <w:sz w:val="16"/>
          <w:szCs w:val="16"/>
        </w:rPr>
        <w:t>.</w:t>
      </w:r>
      <w:r w:rsidRPr="00CA1DC4">
        <w:rPr>
          <w:sz w:val="16"/>
          <w:szCs w:val="16"/>
        </w:rPr>
        <w:t>.</w:t>
      </w:r>
      <w:r w:rsidRPr="00CA1DC4" w:rsidDel="004C08E6">
        <w:rPr>
          <w:sz w:val="16"/>
          <w:szCs w:val="16"/>
        </w:rPr>
        <w:t xml:space="preserve"> </w:t>
      </w:r>
    </w:p>
    <w:p w14:paraId="0F36CD6B" w14:textId="10ED5FD4" w:rsidR="003E5AB5" w:rsidRDefault="00455142" w:rsidP="003E5AB5">
      <w:r>
        <w:t>All groups could see the precise net return for all products, so w</w:t>
      </w:r>
      <w:r w:rsidR="003E5AB5">
        <w:t>hat drove this increase in the preference for top performing funds</w:t>
      </w:r>
      <w:r>
        <w:t xml:space="preserve">? </w:t>
      </w:r>
      <w:r w:rsidR="003E5AB5">
        <w:t xml:space="preserve"> </w:t>
      </w:r>
      <w:r>
        <w:t>The</w:t>
      </w:r>
      <w:r w:rsidR="003E5AB5">
        <w:t xml:space="preserve"> proportion</w:t>
      </w:r>
      <w:r>
        <w:t xml:space="preserve"> of people</w:t>
      </w:r>
      <w:r w:rsidR="003E5AB5">
        <w:t xml:space="preserve"> who selected a product from </w:t>
      </w:r>
      <w:r w:rsidR="003E5AB5">
        <w:lastRenderedPageBreak/>
        <w:t>the ‘poor’ category was similar across all 3 groups.</w:t>
      </w:r>
      <w:r w:rsidR="003E5AB5">
        <w:rPr>
          <w:rStyle w:val="FootnoteReference"/>
        </w:rPr>
        <w:footnoteReference w:id="2"/>
      </w:r>
      <w:r w:rsidR="003E5AB5">
        <w:t xml:space="preserve"> </w:t>
      </w:r>
      <w:r>
        <w:t xml:space="preserve">But people were much more likely to select </w:t>
      </w:r>
      <w:r w:rsidR="0097757B">
        <w:t xml:space="preserve">a </w:t>
      </w:r>
      <w:r w:rsidR="00B21F90">
        <w:t>product with a high net return</w:t>
      </w:r>
      <w:r>
        <w:t xml:space="preserve"> when it was actually labelled ‘top</w:t>
      </w:r>
      <w:r w:rsidR="00B21F90">
        <w:t xml:space="preserve"> performing</w:t>
      </w:r>
      <w:r>
        <w:t xml:space="preserve">’. </w:t>
      </w:r>
      <w:r w:rsidR="0097757B">
        <w:t>T</w:t>
      </w:r>
      <w:r w:rsidR="003E5AB5">
        <w:t xml:space="preserve">he ‘poor’ category </w:t>
      </w:r>
      <w:r w:rsidR="0097757B">
        <w:t>was</w:t>
      </w:r>
      <w:r w:rsidR="003E5AB5">
        <w:t xml:space="preserve"> equally effective across the groups </w:t>
      </w:r>
      <w:r w:rsidR="0097757B">
        <w:t>(as a deterrent)</w:t>
      </w:r>
      <w:r w:rsidR="003E5AB5">
        <w:t xml:space="preserve"> but, as expected, adding the ‘top’ category helped respondents choose between the remaining products.</w:t>
      </w:r>
    </w:p>
    <w:p w14:paraId="5F456937" w14:textId="634B5B28" w:rsidR="003E5AB5" w:rsidRDefault="003E5AB5" w:rsidP="003E5AB5">
      <w:r>
        <w:t>We also asked r</w:t>
      </w:r>
      <w:r w:rsidRPr="007A6EFE">
        <w:t>espondents wh</w:t>
      </w:r>
      <w:r w:rsidR="006274D0">
        <w:t>ich</w:t>
      </w:r>
      <w:r w:rsidRPr="007A6EFE">
        <w:t xml:space="preserve"> element </w:t>
      </w:r>
      <w:r w:rsidR="006274D0">
        <w:t xml:space="preserve">they were most focussed on in </w:t>
      </w:r>
      <w:r w:rsidRPr="007A6EFE">
        <w:t xml:space="preserve">making their choice of </w:t>
      </w:r>
      <w:r>
        <w:t>product</w:t>
      </w:r>
      <w:r w:rsidR="00455142">
        <w:t xml:space="preserve"> in </w:t>
      </w:r>
      <w:r w:rsidR="006274D0">
        <w:t xml:space="preserve">the </w:t>
      </w:r>
      <w:r w:rsidR="00455142">
        <w:t>scenario</w:t>
      </w:r>
      <w:r w:rsidRPr="007A6EFE">
        <w:t>.</w:t>
      </w:r>
      <w:r>
        <w:t xml:space="preserve"> The most common response was ‘best performance’ (33%), then ‘highest returns’ (26%), and then ‘lowest fees’ (20%). By contrast, when we examined the choices that respondents actually made, t</w:t>
      </w:r>
      <w:r w:rsidRPr="00DE7C31">
        <w:t xml:space="preserve">he most popular in all three </w:t>
      </w:r>
      <w:r>
        <w:t xml:space="preserve">trial </w:t>
      </w:r>
      <w:r w:rsidRPr="00DE7C31">
        <w:t xml:space="preserve">arms was the </w:t>
      </w:r>
      <w:r>
        <w:rPr>
          <w:i/>
        </w:rPr>
        <w:t>lowest</w:t>
      </w:r>
      <w:r>
        <w:rPr>
          <w:i/>
        </w:rPr>
        <w:noBreakHyphen/>
      </w:r>
      <w:r w:rsidRPr="005824C4">
        <w:rPr>
          <w:i/>
        </w:rPr>
        <w:t xml:space="preserve">fee </w:t>
      </w:r>
      <w:r w:rsidRPr="00185657">
        <w:t>product</w:t>
      </w:r>
      <w:r>
        <w:t xml:space="preserve"> within </w:t>
      </w:r>
      <w:r w:rsidRPr="00DE7C31">
        <w:t>the highest performance category.</w:t>
      </w:r>
      <w:r>
        <w:t xml:space="preserve"> Notably, this was not the product with the highest net return.</w:t>
      </w:r>
      <w:r>
        <w:rPr>
          <w:rStyle w:val="FootnoteReference"/>
        </w:rPr>
        <w:footnoteReference w:id="3"/>
      </w:r>
      <w:r>
        <w:t xml:space="preserve"> </w:t>
      </w:r>
      <w:r w:rsidRPr="00155C05">
        <w:t xml:space="preserve">This suggests the </w:t>
      </w:r>
      <w:r>
        <w:t>‘top’ performance category</w:t>
      </w:r>
      <w:r w:rsidRPr="00155C05">
        <w:t xml:space="preserve"> assisted </w:t>
      </w:r>
      <w:r>
        <w:t xml:space="preserve">many </w:t>
      </w:r>
      <w:r w:rsidRPr="00155C05">
        <w:t>people to narrow down their options before making a choice based on fees.</w:t>
      </w:r>
      <w:r>
        <w:t xml:space="preserve"> </w:t>
      </w:r>
    </w:p>
    <w:p w14:paraId="778DAD80" w14:textId="18E907CB" w:rsidR="009E3657" w:rsidRDefault="00054FA4" w:rsidP="00CF3992">
      <w:pPr>
        <w:pStyle w:val="Heading4"/>
      </w:pPr>
      <w:r>
        <w:t xml:space="preserve">Sorting </w:t>
      </w:r>
      <w:r w:rsidR="000E214C">
        <w:t xml:space="preserve">the products </w:t>
      </w:r>
      <w:r>
        <w:t>by performance category</w:t>
      </w:r>
    </w:p>
    <w:p w14:paraId="11460130" w14:textId="2F205DAE" w:rsidR="009E3657" w:rsidRPr="00DE7C31" w:rsidRDefault="004777EC" w:rsidP="009E3657">
      <w:r>
        <w:t>S</w:t>
      </w:r>
      <w:r w:rsidR="009E3657" w:rsidRPr="00DE7C31">
        <w:t xml:space="preserve">orting </w:t>
      </w:r>
      <w:r w:rsidR="001F7C2B">
        <w:t xml:space="preserve">the super </w:t>
      </w:r>
      <w:r w:rsidR="00365661">
        <w:t xml:space="preserve">products </w:t>
      </w:r>
      <w:r w:rsidR="009E3657" w:rsidRPr="00DE7C31">
        <w:t>by perfo</w:t>
      </w:r>
      <w:r>
        <w:t>rmance category provided additional benefits</w:t>
      </w:r>
      <w:r w:rsidR="009E3657" w:rsidRPr="00DE7C31">
        <w:t>. Group</w:t>
      </w:r>
      <w:r w:rsidR="009E3657">
        <w:t>s</w:t>
      </w:r>
      <w:r w:rsidR="009E3657" w:rsidRPr="00DE7C31">
        <w:t xml:space="preserve"> B</w:t>
      </w:r>
      <w:r>
        <w:t xml:space="preserve"> </w:t>
      </w:r>
      <w:r w:rsidR="009E3657" w:rsidRPr="00DE7C31">
        <w:t xml:space="preserve">and C both saw three performance categories but only </w:t>
      </w:r>
      <w:r w:rsidR="009E3657">
        <w:t>in Group C</w:t>
      </w:r>
      <w:r w:rsidR="009E3657" w:rsidRPr="00DE7C31">
        <w:t xml:space="preserve"> </w:t>
      </w:r>
      <w:r w:rsidR="009E3657">
        <w:t xml:space="preserve">were products </w:t>
      </w:r>
      <w:r w:rsidR="009E3657" w:rsidRPr="00DE7C31">
        <w:t>sorted by these categories. Respondents in Group C</w:t>
      </w:r>
      <w:r>
        <w:t xml:space="preserve"> </w:t>
      </w:r>
      <w:r w:rsidR="009E3657" w:rsidRPr="00DE7C31">
        <w:t>had somewhat better results than Group B</w:t>
      </w:r>
      <w:r>
        <w:t xml:space="preserve"> </w:t>
      </w:r>
      <w:r w:rsidR="00B67CA9">
        <w:t xml:space="preserve">with an average rank of </w:t>
      </w:r>
      <w:r w:rsidR="009E3657" w:rsidRPr="00DE7C31">
        <w:t>7.0 vs 6.8 and 61% v</w:t>
      </w:r>
      <w:r w:rsidR="00054FA4">
        <w:t>ersu</w:t>
      </w:r>
      <w:r w:rsidR="009E3657" w:rsidRPr="00DE7C31">
        <w:t>s 55% choosing a top product</w:t>
      </w:r>
      <w:r w:rsidR="00B67CA9">
        <w:t>.</w:t>
      </w:r>
      <w:r w:rsidR="009F1E2D" w:rsidRPr="009F1E2D">
        <w:t xml:space="preserve"> </w:t>
      </w:r>
      <w:r w:rsidR="00B67CA9">
        <w:t>B</w:t>
      </w:r>
      <w:r w:rsidR="009F1E2D" w:rsidRPr="009F1E2D">
        <w:t>oth differences were statistically significant</w:t>
      </w:r>
      <w:r w:rsidR="00CF3992">
        <w:t>.</w:t>
      </w:r>
    </w:p>
    <w:p w14:paraId="45A84150" w14:textId="3B4B4594" w:rsidR="009E3657" w:rsidRPr="00DE7C31" w:rsidRDefault="009E3657" w:rsidP="009E3657">
      <w:r w:rsidRPr="00DE7C31">
        <w:t xml:space="preserve">Notably, </w:t>
      </w:r>
      <w:r>
        <w:t>the</w:t>
      </w:r>
      <w:r w:rsidRPr="00DE7C31">
        <w:t xml:space="preserve"> results do </w:t>
      </w:r>
      <w:r w:rsidRPr="00BA0AD1">
        <w:rPr>
          <w:i/>
        </w:rPr>
        <w:t>not</w:t>
      </w:r>
      <w:r w:rsidRPr="00DE7C31">
        <w:t xml:space="preserve"> suggest a ‘donkey vote’ effect from sorting</w:t>
      </w:r>
      <w:r w:rsidR="000657BF">
        <w:t xml:space="preserve"> (choosing the option highest in the list without making a genuine decision)</w:t>
      </w:r>
      <w:r w:rsidRPr="00DE7C31">
        <w:t xml:space="preserve">. </w:t>
      </w:r>
      <w:r w:rsidR="003A4685">
        <w:t>In all groups the first listed product was “Your current fund” as this was pinned to the top.</w:t>
      </w:r>
    </w:p>
    <w:p w14:paraId="5770D38C" w14:textId="2850D011" w:rsidR="009E3657" w:rsidRPr="007A6EFE" w:rsidRDefault="000E214C" w:rsidP="00CF3992">
      <w:pPr>
        <w:pStyle w:val="Heading4"/>
      </w:pPr>
      <w:r>
        <w:t>I</w:t>
      </w:r>
      <w:r w:rsidR="009E3657" w:rsidRPr="007A6EFE">
        <w:t>ntention to switch</w:t>
      </w:r>
    </w:p>
    <w:p w14:paraId="1E7089CA" w14:textId="03CF8C4D" w:rsidR="009E3657" w:rsidRDefault="00625C1A" w:rsidP="009E3657">
      <w:r>
        <w:t xml:space="preserve">Once </w:t>
      </w:r>
      <w:r w:rsidR="00C72A27">
        <w:t>respondents</w:t>
      </w:r>
      <w:r>
        <w:t xml:space="preserve"> had chosen the fund they thought was best, </w:t>
      </w:r>
      <w:r w:rsidR="00AC7FE0">
        <w:t xml:space="preserve">we asked </w:t>
      </w:r>
      <w:r w:rsidR="00C72A27">
        <w:t xml:space="preserve">them </w:t>
      </w:r>
      <w:r>
        <w:t xml:space="preserve">how likely it was (in the hypothetical scenario) that they would switch to this fund. </w:t>
      </w:r>
      <w:r w:rsidR="009E3657">
        <w:t>The t</w:t>
      </w:r>
      <w:r w:rsidR="00CF3992">
        <w:t xml:space="preserve">hree different versions of </w:t>
      </w:r>
      <w:r w:rsidR="00025B9A">
        <w:t>the comparison tool</w:t>
      </w:r>
      <w:r w:rsidR="009E3657">
        <w:t xml:space="preserve"> did not produce any practica</w:t>
      </w:r>
      <w:r w:rsidR="0063347D">
        <w:t>l differences</w:t>
      </w:r>
      <w:r w:rsidR="009E3657">
        <w:t xml:space="preserve"> in people’s </w:t>
      </w:r>
      <w:r w:rsidR="009E3657" w:rsidRPr="00526584">
        <w:rPr>
          <w:i/>
        </w:rPr>
        <w:t>intention to switch</w:t>
      </w:r>
      <w:r w:rsidR="009E3657">
        <w:t>.</w:t>
      </w:r>
      <w:r w:rsidR="00471901">
        <w:t xml:space="preserve"> For all 3 treatments groups the average response was between 3.5 and 3.6 (which represents somewhere between ‘neither likely nor unlikely’ and ‘likely’ on the Likert scale).</w:t>
      </w:r>
      <w:r w:rsidR="009E3657">
        <w:t xml:space="preserve"> </w:t>
      </w:r>
      <w:r w:rsidR="009E3657" w:rsidRPr="007A6EFE">
        <w:t xml:space="preserve">It seems the changes in presentation helped people comprehend the information but </w:t>
      </w:r>
      <w:r w:rsidR="009E3657">
        <w:t>did not</w:t>
      </w:r>
      <w:r w:rsidR="009E3657" w:rsidRPr="007A6EFE">
        <w:t xml:space="preserve"> increase the likelihood that they would report an intention to take action.</w:t>
      </w:r>
      <w:r w:rsidR="009E3657" w:rsidRPr="00725637">
        <w:rPr>
          <w:b/>
        </w:rPr>
        <w:t xml:space="preserve"> </w:t>
      </w:r>
      <w:r w:rsidR="009E3657">
        <w:t xml:space="preserve">This may be a function of the </w:t>
      </w:r>
      <w:r w:rsidR="001F7C2B">
        <w:t>artificial</w:t>
      </w:r>
      <w:r w:rsidR="009E3657">
        <w:t xml:space="preserve">, hypothetical task they were given, or it may reflect the need for additional interventions to boost the motivation to switch. </w:t>
      </w:r>
    </w:p>
    <w:p w14:paraId="7FE7AC38" w14:textId="77777777" w:rsidR="00054FA4" w:rsidRPr="007A6EFE" w:rsidRDefault="00054FA4" w:rsidP="00054FA4">
      <w:pPr>
        <w:pStyle w:val="Heading4"/>
      </w:pPr>
      <w:r>
        <w:t>Ease of decision making</w:t>
      </w:r>
    </w:p>
    <w:p w14:paraId="0D10073F" w14:textId="371A7029" w:rsidR="00054FA4" w:rsidRDefault="00054FA4" w:rsidP="00054FA4">
      <w:r>
        <w:t>We were also interested in whether differences in the presentation of the results table made the decision</w:t>
      </w:r>
      <w:r>
        <w:noBreakHyphen/>
        <w:t>making process easier. We looked at this by comparing the time taken to complete the decision task, and we also asked respondents to rate the difficulty of the task</w:t>
      </w:r>
      <w:r w:rsidR="000220C4">
        <w:t xml:space="preserve"> (on a 5</w:t>
      </w:r>
      <w:r w:rsidR="000220C4">
        <w:noBreakHyphen/>
      </w:r>
      <w:r w:rsidR="00ED6693">
        <w:t>point scale, ranging from ‘very easy’ to ‘very difficult’)</w:t>
      </w:r>
      <w:r>
        <w:t xml:space="preserve">. On both measures, the outcome was similar across the 3 groups. </w:t>
      </w:r>
      <w:r w:rsidR="00475732">
        <w:t xml:space="preserve">For time taken to complete the task, </w:t>
      </w:r>
      <w:r w:rsidR="00B67CA9">
        <w:t xml:space="preserve">the means of </w:t>
      </w:r>
      <w:r w:rsidR="00475732">
        <w:lastRenderedPageBreak/>
        <w:t>all 3 groups’ were between 50 and 53 seconds. For the task difficulty, all 3 groups’ means were around 4 (which represents ‘easy’).</w:t>
      </w:r>
      <w:r w:rsidR="007A4628">
        <w:t xml:space="preserve"> </w:t>
      </w:r>
      <w:r>
        <w:t xml:space="preserve">While both measures have limitations, this suggests that even if the presentation of the results table could improve the quality of respondents’ choices, we did not find evidence that </w:t>
      </w:r>
      <w:r w:rsidR="00B67CA9">
        <w:t>it</w:t>
      </w:r>
      <w:r>
        <w:t xml:space="preserve"> also made the choice process easier.</w:t>
      </w:r>
    </w:p>
    <w:p w14:paraId="228BB881" w14:textId="0C4D96C3" w:rsidR="004039AA" w:rsidRDefault="001C2FA9" w:rsidP="001C2FA9">
      <w:pPr>
        <w:pStyle w:val="Heading3"/>
      </w:pPr>
      <w:r>
        <w:t>Survey</w:t>
      </w:r>
      <w:r w:rsidR="004039AA">
        <w:t xml:space="preserve"> experiment </w:t>
      </w:r>
      <w:r w:rsidR="00D7495A">
        <w:t xml:space="preserve">two </w:t>
      </w:r>
      <w:r w:rsidR="004039AA">
        <w:t>– risk terminology</w:t>
      </w:r>
    </w:p>
    <w:p w14:paraId="4FCF86EC" w14:textId="43600E58" w:rsidR="00194B17" w:rsidRDefault="00194B17" w:rsidP="00194B17">
      <w:pPr>
        <w:pStyle w:val="EmphasisPanelBody"/>
        <w:spacing w:after="0"/>
      </w:pPr>
      <w:r>
        <w:t xml:space="preserve">We found that people were much more likely to select the </w:t>
      </w:r>
      <w:r w:rsidR="001F7C2B">
        <w:t xml:space="preserve">optimal </w:t>
      </w:r>
      <w:r w:rsidR="00D671E4">
        <w:t xml:space="preserve">investment strategy for a young person when this strategy was described using </w:t>
      </w:r>
      <w:r>
        <w:t xml:space="preserve">common language used by super funds </w:t>
      </w:r>
      <w:r w:rsidR="00D671E4">
        <w:t>(that is, ‘Conservative, ‘Balanced’ or ‘Growth’)</w:t>
      </w:r>
      <w:r>
        <w:t xml:space="preserve">. </w:t>
      </w:r>
    </w:p>
    <w:p w14:paraId="5A22E483" w14:textId="166DC56D" w:rsidR="009E3657" w:rsidRDefault="009E3657" w:rsidP="00564649">
      <w:pPr>
        <w:spacing w:before="160"/>
        <w:rPr>
          <w:rFonts w:eastAsia="Helvetica"/>
        </w:rPr>
      </w:pPr>
      <w:r>
        <w:rPr>
          <w:rFonts w:eastAsia="Helvetica"/>
        </w:rPr>
        <w:t>Respondents</w:t>
      </w:r>
      <w:r w:rsidR="00564649">
        <w:rPr>
          <w:rFonts w:eastAsia="Helvetica"/>
        </w:rPr>
        <w:t xml:space="preserve"> who</w:t>
      </w:r>
      <w:r w:rsidR="00564649">
        <w:t xml:space="preserve"> saw </w:t>
      </w:r>
      <w:r w:rsidR="00347FED">
        <w:t>the common super industry terms</w:t>
      </w:r>
      <w:r w:rsidR="003717D6">
        <w:t xml:space="preserve"> – </w:t>
      </w:r>
      <w:r>
        <w:t>‘Conse</w:t>
      </w:r>
      <w:r w:rsidR="00564649">
        <w:t>rvative’, ‘Balanced’, ‘Growth’</w:t>
      </w:r>
      <w:r w:rsidR="003717D6">
        <w:t xml:space="preserve"> – </w:t>
      </w:r>
      <w:r>
        <w:rPr>
          <w:rFonts w:eastAsia="Helvetica"/>
        </w:rPr>
        <w:t>were</w:t>
      </w:r>
      <w:r w:rsidRPr="0FA9A2F1">
        <w:rPr>
          <w:rFonts w:eastAsia="Helvetica"/>
        </w:rPr>
        <w:t xml:space="preserve"> </w:t>
      </w:r>
      <w:r w:rsidR="00347FED">
        <w:rPr>
          <w:rFonts w:eastAsia="Helvetica"/>
        </w:rPr>
        <w:t xml:space="preserve">much </w:t>
      </w:r>
      <w:r w:rsidRPr="0FA9A2F1">
        <w:rPr>
          <w:rFonts w:eastAsia="Helvetica"/>
        </w:rPr>
        <w:t>more likely</w:t>
      </w:r>
      <w:r w:rsidR="00451BCE">
        <w:rPr>
          <w:rFonts w:eastAsia="Helvetica"/>
        </w:rPr>
        <w:t xml:space="preserve"> to select ‘Growth’, the most appropriate option for a young person</w:t>
      </w:r>
      <w:r w:rsidR="001D2EE1">
        <w:rPr>
          <w:rFonts w:eastAsia="Helvetica"/>
        </w:rPr>
        <w:t xml:space="preserve"> (see Figure 5)</w:t>
      </w:r>
      <w:r w:rsidR="00451BCE">
        <w:rPr>
          <w:rFonts w:eastAsia="Helvetica"/>
        </w:rPr>
        <w:t>.</w:t>
      </w:r>
      <w:r w:rsidRPr="0FA9A2F1">
        <w:rPr>
          <w:rFonts w:eastAsia="Helvetica"/>
        </w:rPr>
        <w:t xml:space="preserve"> </w:t>
      </w:r>
      <w:r w:rsidR="002F4160">
        <w:rPr>
          <w:rFonts w:eastAsia="Helvetica"/>
        </w:rPr>
        <w:t>49% of respondents</w:t>
      </w:r>
      <w:r w:rsidR="00563AB2">
        <w:rPr>
          <w:rFonts w:eastAsia="Helvetica"/>
        </w:rPr>
        <w:t xml:space="preserve"> in this group</w:t>
      </w:r>
      <w:r w:rsidR="00D7495A">
        <w:rPr>
          <w:rFonts w:eastAsia="Helvetica"/>
        </w:rPr>
        <w:t xml:space="preserve"> selected a ‘Growth’ type investment strategy</w:t>
      </w:r>
      <w:r w:rsidR="002F4160">
        <w:rPr>
          <w:rFonts w:eastAsia="Helvetica"/>
        </w:rPr>
        <w:t xml:space="preserve">, compared to 27% for </w:t>
      </w:r>
      <w:r w:rsidR="00563AB2">
        <w:rPr>
          <w:rFonts w:eastAsia="Helvetica"/>
        </w:rPr>
        <w:t>the group who saw t</w:t>
      </w:r>
      <w:r w:rsidR="002F4160" w:rsidRPr="002F4160">
        <w:rPr>
          <w:rFonts w:eastAsia="Helvetica"/>
        </w:rPr>
        <w:t>echnical definition</w:t>
      </w:r>
      <w:r w:rsidR="00563AB2">
        <w:rPr>
          <w:rFonts w:eastAsia="Helvetica"/>
        </w:rPr>
        <w:t>s</w:t>
      </w:r>
      <w:r w:rsidR="002F4160" w:rsidRPr="002F4160">
        <w:rPr>
          <w:rFonts w:eastAsia="Helvetica"/>
        </w:rPr>
        <w:t xml:space="preserve"> highlighting </w:t>
      </w:r>
      <w:r w:rsidR="00563AB2" w:rsidRPr="002F4160">
        <w:rPr>
          <w:rFonts w:eastAsia="Helvetica"/>
        </w:rPr>
        <w:t>negative</w:t>
      </w:r>
      <w:r w:rsidR="002F4160" w:rsidRPr="002F4160">
        <w:rPr>
          <w:rFonts w:eastAsia="Helvetica"/>
        </w:rPr>
        <w:t xml:space="preserve"> returns</w:t>
      </w:r>
      <w:r w:rsidR="002F4160">
        <w:rPr>
          <w:rFonts w:eastAsia="Helvetica"/>
        </w:rPr>
        <w:t xml:space="preserve">, and 30% for </w:t>
      </w:r>
      <w:r w:rsidR="00563AB2">
        <w:rPr>
          <w:rFonts w:eastAsia="Helvetica"/>
        </w:rPr>
        <w:t>the group who saw</w:t>
      </w:r>
      <w:r w:rsidR="002F4160" w:rsidRPr="002F4160">
        <w:rPr>
          <w:rFonts w:eastAsia="Helvetica"/>
        </w:rPr>
        <w:t xml:space="preserve"> </w:t>
      </w:r>
      <w:r w:rsidR="00563AB2">
        <w:rPr>
          <w:rFonts w:eastAsia="Helvetica"/>
        </w:rPr>
        <w:t>t</w:t>
      </w:r>
      <w:r w:rsidR="002F4160" w:rsidRPr="002F4160">
        <w:rPr>
          <w:rFonts w:eastAsia="Helvetica"/>
        </w:rPr>
        <w:t>echnical definition</w:t>
      </w:r>
      <w:r w:rsidR="00563AB2">
        <w:rPr>
          <w:rFonts w:eastAsia="Helvetica"/>
        </w:rPr>
        <w:t>s</w:t>
      </w:r>
      <w:r w:rsidR="002F4160" w:rsidRPr="002F4160">
        <w:rPr>
          <w:rFonts w:eastAsia="Helvetica"/>
        </w:rPr>
        <w:t>, highlighting expected returns</w:t>
      </w:r>
      <w:r w:rsidR="00563AB2">
        <w:rPr>
          <w:rFonts w:eastAsia="Helvetica"/>
        </w:rPr>
        <w:t>.</w:t>
      </w:r>
      <w:r>
        <w:rPr>
          <w:rFonts w:eastAsia="Helvetica"/>
        </w:rPr>
        <w:t xml:space="preserve"> </w:t>
      </w:r>
      <w:r w:rsidR="00347FED">
        <w:rPr>
          <w:rFonts w:eastAsia="Helvetica"/>
        </w:rPr>
        <w:t xml:space="preserve">In </w:t>
      </w:r>
      <w:r w:rsidR="00564649">
        <w:rPr>
          <w:rFonts w:eastAsia="Helvetica"/>
        </w:rPr>
        <w:t>th</w:t>
      </w:r>
      <w:r w:rsidR="00563AB2">
        <w:rPr>
          <w:rFonts w:eastAsia="Helvetica"/>
        </w:rPr>
        <w:t>e</w:t>
      </w:r>
      <w:r w:rsidR="00564649">
        <w:rPr>
          <w:rFonts w:eastAsia="Helvetica"/>
        </w:rPr>
        <w:t xml:space="preserve"> group</w:t>
      </w:r>
      <w:r w:rsidR="00563AB2">
        <w:rPr>
          <w:rFonts w:eastAsia="Helvetica"/>
        </w:rPr>
        <w:t xml:space="preserve"> who saw the common industry terms</w:t>
      </w:r>
      <w:r w:rsidR="00564649">
        <w:rPr>
          <w:rFonts w:eastAsia="Helvetica"/>
        </w:rPr>
        <w:t xml:space="preserve">, </w:t>
      </w:r>
      <w:r w:rsidR="00347FED">
        <w:rPr>
          <w:rFonts w:eastAsia="Helvetica"/>
        </w:rPr>
        <w:t xml:space="preserve">the risk level </w:t>
      </w:r>
      <w:r w:rsidR="00564649">
        <w:rPr>
          <w:rFonts w:eastAsia="Helvetica"/>
        </w:rPr>
        <w:t>wa</w:t>
      </w:r>
      <w:r w:rsidR="00347FED">
        <w:rPr>
          <w:rFonts w:eastAsia="Helvetica"/>
        </w:rPr>
        <w:t xml:space="preserve">s implied, whereas </w:t>
      </w:r>
      <w:r w:rsidR="00564649">
        <w:rPr>
          <w:rFonts w:eastAsia="Helvetica"/>
        </w:rPr>
        <w:t xml:space="preserve">the other 2 groups </w:t>
      </w:r>
      <w:r w:rsidR="000E214C">
        <w:rPr>
          <w:rFonts w:eastAsia="Helvetica"/>
        </w:rPr>
        <w:t xml:space="preserve">both </w:t>
      </w:r>
      <w:r w:rsidR="003717D6">
        <w:rPr>
          <w:rFonts w:eastAsia="Helvetica"/>
        </w:rPr>
        <w:t xml:space="preserve">used a more technically accurate description that </w:t>
      </w:r>
      <w:r w:rsidR="000E214C">
        <w:rPr>
          <w:rFonts w:eastAsia="Helvetica"/>
        </w:rPr>
        <w:t xml:space="preserve">mentioned risk level </w:t>
      </w:r>
      <w:r w:rsidR="00564649">
        <w:rPr>
          <w:rFonts w:eastAsia="Helvetica"/>
        </w:rPr>
        <w:t>explicitly</w:t>
      </w:r>
      <w:r w:rsidR="000E214C">
        <w:rPr>
          <w:rFonts w:eastAsia="Helvetica"/>
        </w:rPr>
        <w:t>.</w:t>
      </w:r>
    </w:p>
    <w:p w14:paraId="06B04DF9" w14:textId="05B383DC" w:rsidR="000657BF" w:rsidRDefault="000657BF" w:rsidP="00BD20D5">
      <w:pPr>
        <w:pStyle w:val="FigureHeading"/>
        <w:ind w:left="782" w:hanging="357"/>
        <w:outlineLvl w:val="3"/>
      </w:pPr>
      <w:r>
        <w:t>Respondents were more likely to select the appropriate investment risk for a young person starting off in their career if it was described with a common industry term.</w:t>
      </w:r>
    </w:p>
    <w:p w14:paraId="52D64BEA" w14:textId="346E7901" w:rsidR="00624C56" w:rsidRPr="00624C56" w:rsidRDefault="00624C56" w:rsidP="00221006">
      <w:pPr>
        <w:keepNext/>
      </w:pPr>
      <w:r>
        <w:rPr>
          <w:noProof/>
        </w:rPr>
        <w:drawing>
          <wp:inline distT="0" distB="0" distL="0" distR="0" wp14:anchorId="0D24F8A7" wp14:editId="02A09342">
            <wp:extent cx="4633913" cy="2805113"/>
            <wp:effectExtent l="0" t="0" r="0" b="0"/>
            <wp:docPr id="1" name="Chart 1" descr="This chart shows the key result from our second survey experiment. The outcome measure is the percentage of participants selecting the most appropriate level of investment risk for a young person. In group X, which saw a technical description of the risk-return tradeoff highlighting negative returns, along the lines of 'High risk - expect a negative return 4 out of every 20 years', 27% of respondents selected the optimal option. For group Y, which saw a description using common industry terms, 49% of respondents selected the optimal response. For group Z, which saw technical descriptions highlighting expected returns, along the lines of 'High risk and high expected return', 30% of respondents selected the optimal respon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F30D63" w14:textId="6BE6719E" w:rsidR="000657BF" w:rsidRPr="00F879F3" w:rsidRDefault="000657BF" w:rsidP="00221006">
      <w:pPr>
        <w:keepNext/>
        <w:spacing w:line="240" w:lineRule="atLeast"/>
        <w:rPr>
          <w:sz w:val="16"/>
          <w:szCs w:val="16"/>
        </w:rPr>
      </w:pPr>
      <w:r w:rsidRPr="0FA9A2F1">
        <w:rPr>
          <w:sz w:val="16"/>
          <w:szCs w:val="16"/>
        </w:rPr>
        <w:t>n=</w:t>
      </w:r>
      <w:r w:rsidRPr="0064025D">
        <w:rPr>
          <w:sz w:val="16"/>
          <w:szCs w:val="16"/>
        </w:rPr>
        <w:t>2,236</w:t>
      </w:r>
      <w:r w:rsidRPr="0FA9A2F1">
        <w:rPr>
          <w:sz w:val="16"/>
          <w:szCs w:val="16"/>
        </w:rPr>
        <w:t xml:space="preserve">. </w:t>
      </w:r>
      <w:r w:rsidRPr="00CA1DC4">
        <w:rPr>
          <w:sz w:val="16"/>
          <w:szCs w:val="16"/>
        </w:rPr>
        <w:t>Note</w:t>
      </w:r>
      <w:r>
        <w:rPr>
          <w:sz w:val="16"/>
          <w:szCs w:val="16"/>
        </w:rPr>
        <w:t>: the bars depict proportions for the 3 different groups so they are not required sum to 100%.</w:t>
      </w:r>
    </w:p>
    <w:p w14:paraId="03920CFC" w14:textId="78FBA3E7" w:rsidR="000657BF" w:rsidRPr="002F4160" w:rsidRDefault="002F4160" w:rsidP="003717D6">
      <w:pPr>
        <w:rPr>
          <w:rFonts w:eastAsia="Helvetica"/>
        </w:rPr>
      </w:pPr>
      <w:r>
        <w:rPr>
          <w:rFonts w:eastAsia="Helvetica"/>
        </w:rPr>
        <w:t>This suggests that directly referring to the risk level may deter individuals from selecting high</w:t>
      </w:r>
      <w:r>
        <w:rPr>
          <w:rFonts w:eastAsia="Helvetica"/>
        </w:rPr>
        <w:noBreakHyphen/>
        <w:t>risk investment options even when these may be the most appropriate to their age and circumstances. Surprisingly, this appears true even when the risk level is accompanied by a statement of the higher expected return (as in Group Z: Technical, highlighting expected returns).</w:t>
      </w:r>
    </w:p>
    <w:p w14:paraId="7906F76C" w14:textId="77777777" w:rsidR="003717D6" w:rsidRDefault="003717D6" w:rsidP="003717D6">
      <w:pPr>
        <w:pStyle w:val="Heading3"/>
      </w:pPr>
      <w:r>
        <w:lastRenderedPageBreak/>
        <w:t>Survey Findings</w:t>
      </w:r>
    </w:p>
    <w:p w14:paraId="1B4EF322" w14:textId="3967D506" w:rsidR="003717D6" w:rsidRPr="0039433B" w:rsidRDefault="004777EC" w:rsidP="003717D6">
      <w:pPr>
        <w:pStyle w:val="Heading4"/>
      </w:pPr>
      <w:r>
        <w:t>People</w:t>
      </w:r>
      <w:r w:rsidR="001A0F94">
        <w:t xml:space="preserve"> preferred</w:t>
      </w:r>
      <w:r w:rsidR="003717D6" w:rsidRPr="0039433B">
        <w:t xml:space="preserve"> performance categories</w:t>
      </w:r>
      <w:r w:rsidR="001A0F94">
        <w:t xml:space="preserve"> to be labelled strong or poor performing</w:t>
      </w:r>
    </w:p>
    <w:p w14:paraId="7B842BC4" w14:textId="6439AC17" w:rsidR="004777EC" w:rsidRPr="00254E8A" w:rsidRDefault="003717D6" w:rsidP="001A0F94">
      <w:pPr>
        <w:rPr>
          <w:rFonts w:eastAsia="Helvetica"/>
        </w:rPr>
      </w:pPr>
      <w:r>
        <w:rPr>
          <w:rFonts w:eastAsia="Helvetica"/>
        </w:rPr>
        <w:t>Respondents</w:t>
      </w:r>
      <w:r w:rsidRPr="00FA1BE1">
        <w:rPr>
          <w:rFonts w:eastAsia="Helvetica"/>
        </w:rPr>
        <w:t xml:space="preserve"> were asked to </w:t>
      </w:r>
      <w:r>
        <w:rPr>
          <w:rFonts w:eastAsia="Helvetica"/>
        </w:rPr>
        <w:t>select the performance labels they thought would be most helpful in describing the best and worst performing super products. We were particularly interested in which terms would be meaningful for people with low ‘financial literacy’ so we disaggregated results by this variable.</w:t>
      </w:r>
      <w:r>
        <w:rPr>
          <w:rStyle w:val="FootnoteReference"/>
          <w:rFonts w:eastAsia="Helvetica"/>
        </w:rPr>
        <w:footnoteReference w:id="4"/>
      </w:r>
      <w:r>
        <w:rPr>
          <w:rFonts w:eastAsia="Helvetica"/>
        </w:rPr>
        <w:t xml:space="preserve"> However, the following results should be interpreted with caution as they may have been influenced by the labels displayed in the first survey experiment, which used the label ‘poor’ for all </w:t>
      </w:r>
      <w:r w:rsidR="001D2EE1">
        <w:rPr>
          <w:rFonts w:eastAsia="Helvetica"/>
        </w:rPr>
        <w:t>participants</w:t>
      </w:r>
      <w:r w:rsidR="00254E8A">
        <w:rPr>
          <w:rFonts w:eastAsia="Helvetica"/>
        </w:rPr>
        <w:t>, and ‘top’ for 2</w:t>
      </w:r>
      <w:r w:rsidR="001D2EE1">
        <w:rPr>
          <w:rFonts w:eastAsia="Helvetica"/>
        </w:rPr>
        <w:t xml:space="preserve"> of the 3</w:t>
      </w:r>
      <w:r w:rsidR="00254E8A">
        <w:rPr>
          <w:rFonts w:eastAsia="Helvetica"/>
        </w:rPr>
        <w:t> groups</w:t>
      </w:r>
      <w:r w:rsidR="001D2EE1">
        <w:rPr>
          <w:rFonts w:eastAsia="Helvetica"/>
        </w:rPr>
        <w:t xml:space="preserve"> of participants</w:t>
      </w:r>
      <w:r w:rsidR="00254E8A">
        <w:rPr>
          <w:rFonts w:eastAsia="Helvetica"/>
        </w:rPr>
        <w:t>.</w:t>
      </w:r>
    </w:p>
    <w:p w14:paraId="33426875" w14:textId="2351C86A" w:rsidR="009E3657" w:rsidRDefault="009E3657" w:rsidP="009E3657">
      <w:pPr>
        <w:rPr>
          <w:rFonts w:eastAsia="Helvetica"/>
        </w:rPr>
      </w:pPr>
      <w:r>
        <w:rPr>
          <w:rFonts w:eastAsia="Helvetica"/>
        </w:rPr>
        <w:t xml:space="preserve">For the best performing </w:t>
      </w:r>
      <w:r>
        <w:t>products</w:t>
      </w:r>
      <w:r>
        <w:rPr>
          <w:rFonts w:eastAsia="Helvetica"/>
        </w:rPr>
        <w:t>, a larger proportion preferred ‘strong’ performing (39%) as opposed to ‘top’ (33%) or ‘high’ (27%). These proportions did not vary greatly by financial literacy level.</w:t>
      </w:r>
      <w:r w:rsidR="006D6E50">
        <w:rPr>
          <w:rFonts w:eastAsia="Helvetica"/>
        </w:rPr>
        <w:t xml:space="preserve"> </w:t>
      </w:r>
    </w:p>
    <w:p w14:paraId="15AE167D" w14:textId="138BE9EA" w:rsidR="009E3657" w:rsidRDefault="009E3657" w:rsidP="009E3657">
      <w:pPr>
        <w:rPr>
          <w:rFonts w:eastAsia="Helvetica"/>
        </w:rPr>
      </w:pPr>
      <w:r>
        <w:rPr>
          <w:rFonts w:eastAsia="Helvetica"/>
        </w:rPr>
        <w:t xml:space="preserve">For the worst performing </w:t>
      </w:r>
      <w:r>
        <w:t>products</w:t>
      </w:r>
      <w:r>
        <w:rPr>
          <w:rFonts w:eastAsia="Helvetica"/>
        </w:rPr>
        <w:t>, more respondents preferred ‘poor’ performing (44%) over ‘weak’ or ‘under’ (</w:t>
      </w:r>
      <w:r w:rsidR="00234E6D">
        <w:rPr>
          <w:rFonts w:eastAsia="Helvetica"/>
        </w:rPr>
        <w:t>Figure </w:t>
      </w:r>
      <w:r w:rsidR="004777EC">
        <w:rPr>
          <w:rFonts w:eastAsia="Helvetica"/>
        </w:rPr>
        <w:t>6</w:t>
      </w:r>
      <w:r w:rsidR="00234E6D">
        <w:rPr>
          <w:rFonts w:eastAsia="Helvetica"/>
        </w:rPr>
        <w:t>)</w:t>
      </w:r>
      <w:r>
        <w:rPr>
          <w:rFonts w:eastAsia="Helvetica"/>
        </w:rPr>
        <w:t>. However</w:t>
      </w:r>
      <w:r w:rsidR="006D6E50">
        <w:rPr>
          <w:rFonts w:eastAsia="Helvetica"/>
        </w:rPr>
        <w:t xml:space="preserve"> the results for </w:t>
      </w:r>
      <w:r>
        <w:rPr>
          <w:rFonts w:eastAsia="Helvetica"/>
        </w:rPr>
        <w:t>respondents with lower financial literacy</w:t>
      </w:r>
      <w:r w:rsidR="006D6E50">
        <w:rPr>
          <w:rFonts w:eastAsia="Helvetica"/>
        </w:rPr>
        <w:t xml:space="preserve"> were different:</w:t>
      </w:r>
      <w:r>
        <w:rPr>
          <w:rFonts w:eastAsia="Helvetica"/>
        </w:rPr>
        <w:t xml:space="preserve"> a somewhat greater proportion preferred ‘under’ or ‘weak’ (35</w:t>
      </w:r>
      <w:r w:rsidR="006D6E50">
        <w:rPr>
          <w:rFonts w:eastAsia="Helvetica"/>
        </w:rPr>
        <w:t>-36</w:t>
      </w:r>
      <w:r>
        <w:rPr>
          <w:rFonts w:eastAsia="Helvetica"/>
        </w:rPr>
        <w:t xml:space="preserve">%) over ‘poor’ (30%). </w:t>
      </w:r>
      <w:r w:rsidR="006D6E50">
        <w:rPr>
          <w:rFonts w:eastAsia="Helvetica"/>
        </w:rPr>
        <w:t>This made it difficult to draw a firm conclusion about the best terminology for poor performing funds.</w:t>
      </w:r>
    </w:p>
    <w:p w14:paraId="459666D9" w14:textId="709F743C" w:rsidR="00BB419F" w:rsidRDefault="004777EC" w:rsidP="00E04454">
      <w:pPr>
        <w:pStyle w:val="FigureHeading"/>
        <w:keepLines w:val="0"/>
        <w:spacing w:after="0"/>
        <w:ind w:left="782" w:hanging="357"/>
      </w:pPr>
      <w:r>
        <w:lastRenderedPageBreak/>
        <w:t xml:space="preserve">Preferred terminology for </w:t>
      </w:r>
      <w:r w:rsidR="00E04454">
        <w:t>the worst performing</w:t>
      </w:r>
      <w:r>
        <w:t xml:space="preserve"> super products was “poor performing”</w:t>
      </w:r>
    </w:p>
    <w:p w14:paraId="303B1F4E" w14:textId="2FF39F95" w:rsidR="006B06D0" w:rsidRPr="006B06D0" w:rsidRDefault="006B06D0" w:rsidP="006B06D0">
      <w:pPr>
        <w:keepNext/>
        <w:spacing w:after="0"/>
      </w:pPr>
      <w:r>
        <w:rPr>
          <w:noProof/>
        </w:rPr>
        <w:drawing>
          <wp:inline distT="0" distB="0" distL="0" distR="0" wp14:anchorId="303DE727" wp14:editId="06DC3FC4">
            <wp:extent cx="5256530" cy="3707765"/>
            <wp:effectExtent l="0" t="0" r="1270" b="6985"/>
            <wp:docPr id="4" name="Chart 4" descr="This chart shows a result from our survey. We asked people which ording they preferred to highlight the worst performing super funds. For the overall sample of responses 24% preferred 'under', 44% preferred 'poor', and 32% preferred 'weak. Breaking this down by demonstrated level of financial literacy (either high or low), of those with low financial literacy 36% voted for 'under', 30% voted for 'poor', and 35% voted for weak. For those with high financial literacy, 17% preferred under, 53% preferred 'poor', while 30% preferred 'weak'.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289D05" w14:textId="44A550AD" w:rsidR="004777EC" w:rsidRDefault="004777EC" w:rsidP="006B06D0">
      <w:pPr>
        <w:keepNext/>
        <w:spacing w:after="120"/>
        <w:rPr>
          <w:sz w:val="16"/>
          <w:szCs w:val="16"/>
        </w:rPr>
      </w:pPr>
      <w:r>
        <w:rPr>
          <w:sz w:val="16"/>
          <w:szCs w:val="16"/>
        </w:rPr>
        <w:t>Q</w:t>
      </w:r>
      <w:r w:rsidRPr="009434EB">
        <w:rPr>
          <w:sz w:val="16"/>
          <w:szCs w:val="16"/>
        </w:rPr>
        <w:t xml:space="preserve"> </w:t>
      </w:r>
      <w:r>
        <w:rPr>
          <w:sz w:val="16"/>
          <w:szCs w:val="16"/>
        </w:rPr>
        <w:t>W</w:t>
      </w:r>
      <w:r w:rsidRPr="004C792F">
        <w:rPr>
          <w:sz w:val="16"/>
          <w:szCs w:val="16"/>
        </w:rPr>
        <w:t>hich label would be most helpful in highlighting the worst performing super funds?</w:t>
      </w:r>
      <w:r>
        <w:rPr>
          <w:sz w:val="16"/>
          <w:szCs w:val="16"/>
        </w:rPr>
        <w:t xml:space="preserve"> </w:t>
      </w:r>
      <w:r w:rsidRPr="0FA9A2F1">
        <w:rPr>
          <w:sz w:val="16"/>
          <w:szCs w:val="16"/>
        </w:rPr>
        <w:t>n=</w:t>
      </w:r>
      <w:r w:rsidRPr="0064025D">
        <w:rPr>
          <w:sz w:val="16"/>
          <w:szCs w:val="16"/>
        </w:rPr>
        <w:t>2,236</w:t>
      </w:r>
      <w:r w:rsidRPr="0FA9A2F1">
        <w:rPr>
          <w:sz w:val="16"/>
          <w:szCs w:val="16"/>
        </w:rPr>
        <w:t xml:space="preserve">. </w:t>
      </w:r>
    </w:p>
    <w:p w14:paraId="4C49E0D0" w14:textId="735AE07E" w:rsidR="003717D6" w:rsidRPr="00D31CF0" w:rsidRDefault="00C218F4" w:rsidP="00E04454">
      <w:pPr>
        <w:pStyle w:val="Heading4"/>
        <w:keepNext w:val="0"/>
        <w:keepLines w:val="0"/>
      </w:pPr>
      <w:r>
        <w:t>People</w:t>
      </w:r>
      <w:r w:rsidR="003717D6">
        <w:t xml:space="preserve"> think they would use a super comparison tool</w:t>
      </w:r>
      <w:r>
        <w:t xml:space="preserve"> when they receive their annual super statement</w:t>
      </w:r>
    </w:p>
    <w:p w14:paraId="49425A89" w14:textId="0365F0CA" w:rsidR="003717D6" w:rsidRDefault="003717D6" w:rsidP="00E04454">
      <w:r>
        <w:t xml:space="preserve">Respondents said they would be most likely to use a comparison tool to compare super products when they receive their annual super statement (39%, see Figure </w:t>
      </w:r>
      <w:r w:rsidR="004777EC">
        <w:t>7</w:t>
      </w:r>
      <w:r>
        <w:t xml:space="preserve">). </w:t>
      </w:r>
    </w:p>
    <w:p w14:paraId="235B359D" w14:textId="1075C8EF" w:rsidR="003717D6" w:rsidRDefault="003717D6" w:rsidP="003717D6">
      <w:r>
        <w:t xml:space="preserve">The strength of this preference differed by financial literacy level: 48% of high financial literacy respondents selected this option relative to 25% of those with low financial literacy </w:t>
      </w:r>
      <w:r w:rsidR="001D2EE1">
        <w:t>al</w:t>
      </w:r>
      <w:r>
        <w:t>though it remained the most popular option for both high and low financial literacy groups.</w:t>
      </w:r>
      <w:r w:rsidR="00D24E25">
        <w:t xml:space="preserve"> The next most popular option for those with low financial literacy was if they heard about it on traditional media (23%, vs only 14 % for those with high financial literacy).</w:t>
      </w:r>
    </w:p>
    <w:p w14:paraId="284EBEC6" w14:textId="77777777" w:rsidR="00C620D2" w:rsidRPr="00CA38D6" w:rsidRDefault="004777EC" w:rsidP="00BD20D5">
      <w:pPr>
        <w:pStyle w:val="FigureHeading"/>
        <w:keepLines w:val="0"/>
        <w:spacing w:after="0"/>
        <w:ind w:left="782" w:hanging="357"/>
        <w:rPr>
          <w:sz w:val="16"/>
          <w:szCs w:val="16"/>
        </w:rPr>
      </w:pPr>
      <w:r>
        <w:lastRenderedPageBreak/>
        <w:t>People were most likely to use a comparison tool when they get their annual statement.</w:t>
      </w:r>
      <w:r w:rsidR="00721F3D" w:rsidRPr="00721F3D">
        <w:rPr>
          <w:noProof/>
        </w:rPr>
        <w:t xml:space="preserve"> </w:t>
      </w:r>
    </w:p>
    <w:p w14:paraId="066B32A4" w14:textId="1CBD5570" w:rsidR="00C620D2" w:rsidRPr="00CA38D6" w:rsidRDefault="00C620D2" w:rsidP="00BD20D5">
      <w:pPr>
        <w:pStyle w:val="FigureHeading"/>
        <w:numPr>
          <w:ilvl w:val="0"/>
          <w:numId w:val="0"/>
        </w:numPr>
        <w:tabs>
          <w:tab w:val="clear" w:pos="1361"/>
          <w:tab w:val="left" w:pos="907"/>
        </w:tabs>
        <w:spacing w:before="360" w:after="120" w:line="240" w:lineRule="atLeast"/>
        <w:outlineLvl w:val="9"/>
        <w:rPr>
          <w:sz w:val="16"/>
          <w:szCs w:val="16"/>
        </w:rPr>
      </w:pPr>
      <w:r>
        <w:rPr>
          <w:noProof/>
        </w:rPr>
        <w:drawing>
          <wp:inline distT="0" distB="0" distL="0" distR="0" wp14:anchorId="64895CA7" wp14:editId="760FFE8D">
            <wp:extent cx="5217107" cy="3713163"/>
            <wp:effectExtent l="0" t="0" r="3175" b="1905"/>
            <wp:docPr id="3" name="Chart 3" descr="This chart shows responses to one of our survey questions. We asked people when they would be most likely to use a superannuation comparison tool. Multiple response were allowed, so the numbers do not sum to 100%. When they received their annual super statement from their super fund was the most populat reposne at 39%, next was 'If my accountant or financial adviser suggested it' 25%, then 'If I got a letter or email from my super fund' 25%, then 'When I start a new job or change jobs' 23%, next was 'If I heard about it from friends/family' 20%, then 'If I heard about it on TV, radio, newspaper or a news website' 17%, next was 'When I do my tax return' 17%, next was 'When I get a pay increase' 16%, next was  &quot;when I am close to retiring' 13%, and finally 2% chose 'other'.">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713519" w14:textId="677ECC29" w:rsidR="004777EC" w:rsidRPr="00721F3D" w:rsidRDefault="004777EC" w:rsidP="00CA38D6">
      <w:pPr>
        <w:pStyle w:val="FigureHeading"/>
        <w:numPr>
          <w:ilvl w:val="0"/>
          <w:numId w:val="0"/>
        </w:numPr>
        <w:tabs>
          <w:tab w:val="clear" w:pos="1361"/>
          <w:tab w:val="left" w:pos="907"/>
        </w:tabs>
        <w:spacing w:before="360" w:after="120" w:line="240" w:lineRule="atLeast"/>
        <w:outlineLvl w:val="3"/>
        <w:rPr>
          <w:sz w:val="16"/>
          <w:szCs w:val="16"/>
        </w:rPr>
      </w:pPr>
      <w:r w:rsidRPr="00721F3D">
        <w:rPr>
          <w:b w:val="0"/>
          <w:sz w:val="16"/>
          <w:szCs w:val="16"/>
        </w:rPr>
        <w:t>Q.</w:t>
      </w:r>
      <w:r w:rsidRPr="00721F3D">
        <w:rPr>
          <w:b w:val="0"/>
        </w:rPr>
        <w:t xml:space="preserve"> </w:t>
      </w:r>
      <w:r w:rsidRPr="00721F3D">
        <w:rPr>
          <w:b w:val="0"/>
          <w:sz w:val="16"/>
          <w:szCs w:val="16"/>
        </w:rPr>
        <w:t>When do you think you would be most likely to use a superannuation comparison tool?  Select all that apply.  n=2,236.</w:t>
      </w:r>
      <w:r w:rsidRPr="00721F3D">
        <w:rPr>
          <w:sz w:val="16"/>
          <w:szCs w:val="16"/>
        </w:rPr>
        <w:t xml:space="preserve">  </w:t>
      </w:r>
    </w:p>
    <w:p w14:paraId="343F88F5" w14:textId="088722C6" w:rsidR="003717D6" w:rsidRPr="00D31CF0" w:rsidRDefault="00C218F4" w:rsidP="003717D6">
      <w:pPr>
        <w:pStyle w:val="Heading4"/>
      </w:pPr>
      <w:r>
        <w:t>People prefer to receive an underperformance notice via email</w:t>
      </w:r>
    </w:p>
    <w:p w14:paraId="0F76D206" w14:textId="328DD99E" w:rsidR="003717D6" w:rsidRPr="003717D6" w:rsidRDefault="003717D6" w:rsidP="003717D6">
      <w:pPr>
        <w:pStyle w:val="Heading4"/>
        <w:keepNext w:val="0"/>
        <w:rPr>
          <w:rFonts w:asciiTheme="minorHAnsi" w:hAnsiTheme="minorHAnsi"/>
          <w:b w:val="0"/>
          <w:color w:val="auto"/>
        </w:rPr>
      </w:pPr>
      <w:r>
        <w:rPr>
          <w:rFonts w:asciiTheme="minorHAnsi" w:hAnsiTheme="minorHAnsi"/>
          <w:b w:val="0"/>
          <w:color w:val="auto"/>
        </w:rPr>
        <w:t>We asked r</w:t>
      </w:r>
      <w:r w:rsidRPr="00D01A84">
        <w:rPr>
          <w:rFonts w:asciiTheme="minorHAnsi" w:hAnsiTheme="minorHAnsi"/>
          <w:b w:val="0"/>
          <w:color w:val="auto"/>
        </w:rPr>
        <w:t>espondents how they would like to be no</w:t>
      </w:r>
      <w:r>
        <w:rPr>
          <w:rFonts w:asciiTheme="minorHAnsi" w:hAnsiTheme="minorHAnsi"/>
          <w:b w:val="0"/>
          <w:color w:val="auto"/>
        </w:rPr>
        <w:t xml:space="preserve">tified if their fund was </w:t>
      </w:r>
      <w:r w:rsidRPr="00D01A84">
        <w:rPr>
          <w:rFonts w:asciiTheme="minorHAnsi" w:hAnsiTheme="minorHAnsi"/>
          <w:b w:val="0"/>
          <w:color w:val="auto"/>
        </w:rPr>
        <w:t>performing</w:t>
      </w:r>
      <w:r>
        <w:rPr>
          <w:rFonts w:asciiTheme="minorHAnsi" w:hAnsiTheme="minorHAnsi"/>
          <w:b w:val="0"/>
          <w:color w:val="auto"/>
        </w:rPr>
        <w:t xml:space="preserve"> badly (an ‘underperformance notice’)</w:t>
      </w:r>
      <w:r w:rsidRPr="00D01A84">
        <w:rPr>
          <w:rFonts w:asciiTheme="minorHAnsi" w:hAnsiTheme="minorHAnsi"/>
          <w:b w:val="0"/>
          <w:color w:val="auto"/>
        </w:rPr>
        <w:t>.</w:t>
      </w:r>
      <w:r>
        <w:rPr>
          <w:rFonts w:asciiTheme="minorHAnsi" w:hAnsiTheme="minorHAnsi"/>
          <w:b w:val="0"/>
          <w:color w:val="auto"/>
        </w:rPr>
        <w:t xml:space="preserve"> </w:t>
      </w:r>
      <w:r w:rsidRPr="00D01A84">
        <w:rPr>
          <w:rFonts w:asciiTheme="minorHAnsi" w:hAnsiTheme="minorHAnsi"/>
          <w:b w:val="0"/>
          <w:color w:val="auto"/>
        </w:rPr>
        <w:t xml:space="preserve">Overall, respondents displayed a clear preference for receiving the underperformance notice by </w:t>
      </w:r>
      <w:r>
        <w:rPr>
          <w:rFonts w:asciiTheme="minorHAnsi" w:hAnsiTheme="minorHAnsi"/>
          <w:b w:val="0"/>
          <w:color w:val="auto"/>
        </w:rPr>
        <w:t xml:space="preserve">email or both mail and email, </w:t>
      </w:r>
      <w:r w:rsidRPr="00D01A84">
        <w:rPr>
          <w:rFonts w:asciiTheme="minorHAnsi" w:hAnsiTheme="minorHAnsi"/>
          <w:b w:val="0"/>
          <w:color w:val="auto"/>
        </w:rPr>
        <w:t>rather than mail only</w:t>
      </w:r>
      <w:r>
        <w:rPr>
          <w:rFonts w:asciiTheme="minorHAnsi" w:hAnsiTheme="minorHAnsi"/>
          <w:b w:val="0"/>
          <w:color w:val="auto"/>
        </w:rPr>
        <w:t xml:space="preserve"> (Figure </w:t>
      </w:r>
      <w:r w:rsidR="004777EC">
        <w:rPr>
          <w:rFonts w:asciiTheme="minorHAnsi" w:hAnsiTheme="minorHAnsi"/>
          <w:b w:val="0"/>
          <w:color w:val="auto"/>
        </w:rPr>
        <w:t>8</w:t>
      </w:r>
      <w:r>
        <w:rPr>
          <w:rFonts w:asciiTheme="minorHAnsi" w:hAnsiTheme="minorHAnsi"/>
          <w:b w:val="0"/>
          <w:color w:val="auto"/>
        </w:rPr>
        <w:t>)</w:t>
      </w:r>
      <w:r w:rsidRPr="00D01A84">
        <w:rPr>
          <w:rFonts w:asciiTheme="minorHAnsi" w:hAnsiTheme="minorHAnsi"/>
          <w:b w:val="0"/>
          <w:color w:val="auto"/>
        </w:rPr>
        <w:t>.</w:t>
      </w:r>
    </w:p>
    <w:p w14:paraId="239DEE4A" w14:textId="48950D72" w:rsidR="00D01A84" w:rsidRDefault="0024160C" w:rsidP="00CA38D6">
      <w:pPr>
        <w:pStyle w:val="FigureHeading"/>
      </w:pPr>
      <w:r>
        <w:lastRenderedPageBreak/>
        <w:t>People wanted to receive an u</w:t>
      </w:r>
      <w:r w:rsidR="00D01A84">
        <w:t xml:space="preserve">nderperformance notification </w:t>
      </w:r>
      <w:r>
        <w:t>by email</w:t>
      </w:r>
    </w:p>
    <w:p w14:paraId="19319CB8" w14:textId="694AD191" w:rsidR="00254E8A" w:rsidRPr="00254E8A" w:rsidRDefault="00254E8A" w:rsidP="00254E8A">
      <w:pPr>
        <w:keepNext/>
      </w:pPr>
      <w:r>
        <w:rPr>
          <w:noProof/>
        </w:rPr>
        <w:drawing>
          <wp:inline distT="0" distB="0" distL="0" distR="0" wp14:anchorId="76569D76" wp14:editId="5D6B4C69">
            <wp:extent cx="4633913" cy="2805113"/>
            <wp:effectExtent l="0" t="0" r="0" b="0"/>
            <wp:docPr id="30" name="Chart 30" descr="This is another chart of responses to a survey question. In this case it is about people's underperformance notificiation format preferencez. 54% of repsondents preferred to be notified by email, 33% wanted to be notified by both email and mail, and only 13% wanted to be notified only by mail."/>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7F0EF1" w14:textId="77777777" w:rsidR="00D01A84" w:rsidRPr="00F879F3" w:rsidRDefault="00D01A84" w:rsidP="00254E8A">
      <w:pPr>
        <w:keepNext/>
        <w:spacing w:line="240" w:lineRule="atLeast"/>
        <w:rPr>
          <w:sz w:val="16"/>
          <w:szCs w:val="16"/>
        </w:rPr>
      </w:pPr>
      <w:r>
        <w:rPr>
          <w:sz w:val="16"/>
          <w:szCs w:val="16"/>
        </w:rPr>
        <w:t>Q.</w:t>
      </w:r>
      <w:r w:rsidRPr="009434EB">
        <w:rPr>
          <w:sz w:val="16"/>
          <w:szCs w:val="16"/>
        </w:rPr>
        <w:t xml:space="preserve"> </w:t>
      </w:r>
      <w:r w:rsidRPr="004C792F">
        <w:rPr>
          <w:sz w:val="16"/>
          <w:szCs w:val="16"/>
        </w:rPr>
        <w:t>You are provided with a notice telling you that your superannuation product is performing poorly and directing you to the superannuation comparison tool. Which delivery method would be most likely to get your attention?</w:t>
      </w:r>
      <w:r>
        <w:rPr>
          <w:sz w:val="16"/>
          <w:szCs w:val="16"/>
        </w:rPr>
        <w:t xml:space="preserve">  </w:t>
      </w:r>
      <w:r w:rsidRPr="0FA9A2F1">
        <w:rPr>
          <w:sz w:val="16"/>
          <w:szCs w:val="16"/>
        </w:rPr>
        <w:t>n=</w:t>
      </w:r>
      <w:r w:rsidRPr="0064025D">
        <w:rPr>
          <w:sz w:val="16"/>
          <w:szCs w:val="16"/>
        </w:rPr>
        <w:t>2,236</w:t>
      </w:r>
      <w:r w:rsidRPr="0FA9A2F1">
        <w:rPr>
          <w:sz w:val="16"/>
          <w:szCs w:val="16"/>
        </w:rPr>
        <w:t xml:space="preserve">.  </w:t>
      </w:r>
    </w:p>
    <w:p w14:paraId="49621F7B" w14:textId="1251E983" w:rsidR="00BB4632" w:rsidRPr="00D01A84" w:rsidRDefault="00BB4632" w:rsidP="00D01A84">
      <w:pPr>
        <w:pStyle w:val="Heading4"/>
        <w:rPr>
          <w:rFonts w:asciiTheme="minorHAnsi" w:hAnsiTheme="minorHAnsi"/>
          <w:b w:val="0"/>
          <w:color w:val="auto"/>
        </w:rPr>
      </w:pPr>
      <w:r>
        <w:t>Other survey results</w:t>
      </w:r>
    </w:p>
    <w:p w14:paraId="19157FCF" w14:textId="258CF98F" w:rsidR="00BB4632" w:rsidRDefault="007E4245" w:rsidP="003D4097">
      <w:r>
        <w:t xml:space="preserve">We present additional survey results in </w:t>
      </w:r>
      <w:r w:rsidRPr="00CA1DC4">
        <w:t>Appendix 3</w:t>
      </w:r>
      <w:r>
        <w:t xml:space="preserve"> and w</w:t>
      </w:r>
      <w:r w:rsidR="003D4097">
        <w:t xml:space="preserve">e have provided a full tabulation of the results from all survey questions in </w:t>
      </w:r>
      <w:r w:rsidR="00430094" w:rsidRPr="00254E8A">
        <w:t>the</w:t>
      </w:r>
      <w:r w:rsidR="003D4097" w:rsidRPr="00254E8A">
        <w:t xml:space="preserve"> spreadsheet appendix</w:t>
      </w:r>
      <w:r w:rsidR="003D4097">
        <w:t>.</w:t>
      </w:r>
      <w:r w:rsidR="003D4097">
        <w:rPr>
          <w:rStyle w:val="FootnoteReference"/>
        </w:rPr>
        <w:footnoteReference w:id="5"/>
      </w:r>
      <w:r w:rsidR="003D4097">
        <w:t xml:space="preserve"> </w:t>
      </w:r>
      <w:r w:rsidR="00BB4632">
        <w:t>Briefly, the other main results from the survey were</w:t>
      </w:r>
      <w:r w:rsidR="003D4097">
        <w:t>:</w:t>
      </w:r>
    </w:p>
    <w:p w14:paraId="753287FD" w14:textId="02A57311" w:rsidR="00BB4632" w:rsidRDefault="00BB4632" w:rsidP="003E5E22">
      <w:pPr>
        <w:pStyle w:val="ListBullet"/>
        <w:numPr>
          <w:ilvl w:val="0"/>
          <w:numId w:val="10"/>
        </w:numPr>
      </w:pPr>
      <w:r>
        <w:t>T</w:t>
      </w:r>
      <w:r w:rsidRPr="00BB4632">
        <w:t xml:space="preserve">he most popular </w:t>
      </w:r>
      <w:r>
        <w:t xml:space="preserve">slogan </w:t>
      </w:r>
      <w:r w:rsidR="00B069A1">
        <w:t xml:space="preserve">to motivate people to check their super performance </w:t>
      </w:r>
      <w:r w:rsidRPr="00BB4632">
        <w:t>(28%) stated: ‘</w:t>
      </w:r>
      <w:r w:rsidRPr="00B069A1">
        <w:rPr>
          <w:i/>
        </w:rPr>
        <w:t>A small change now can make a big difference in retirement’</w:t>
      </w:r>
    </w:p>
    <w:p w14:paraId="5AC5AAF2" w14:textId="77777777" w:rsidR="00BB4632" w:rsidRDefault="00BB4632" w:rsidP="003E5E22">
      <w:pPr>
        <w:pStyle w:val="ListBullet"/>
        <w:numPr>
          <w:ilvl w:val="0"/>
          <w:numId w:val="10"/>
        </w:numPr>
      </w:pPr>
      <w:r w:rsidRPr="00BB4632">
        <w:t xml:space="preserve">The most important features for a superannuation comparison site are that it be free (56% respondents stated this was ‘very important’) and easy to use (52%). </w:t>
      </w:r>
    </w:p>
    <w:p w14:paraId="6F789FA7" w14:textId="05F387F3" w:rsidR="00BB4632" w:rsidRDefault="00BB4632" w:rsidP="003E5E22">
      <w:pPr>
        <w:pStyle w:val="ListBullet"/>
        <w:numPr>
          <w:ilvl w:val="0"/>
          <w:numId w:val="10"/>
        </w:numPr>
      </w:pPr>
      <w:r w:rsidRPr="00BB4632">
        <w:t xml:space="preserve">Respondents indicated that </w:t>
      </w:r>
      <w:r w:rsidR="00C84A0E" w:rsidRPr="00BB4632">
        <w:t xml:space="preserve">a letter from their super fund (39%) </w:t>
      </w:r>
      <w:r w:rsidR="00C84A0E">
        <w:t xml:space="preserve">would be </w:t>
      </w:r>
      <w:r w:rsidRPr="00BB4632">
        <w:t xml:space="preserve">the best </w:t>
      </w:r>
      <w:r w:rsidR="00B069A1">
        <w:t>type of communication</w:t>
      </w:r>
      <w:r w:rsidRPr="00BB4632">
        <w:t xml:space="preserve"> to prompt them to check the performan</w:t>
      </w:r>
      <w:r w:rsidR="00C84A0E">
        <w:t>ce of their super fund.</w:t>
      </w:r>
    </w:p>
    <w:p w14:paraId="54CD2BAB" w14:textId="77777777" w:rsidR="007A5477" w:rsidRPr="004F62C7" w:rsidRDefault="007A5477" w:rsidP="007A5477">
      <w:pPr>
        <w:pStyle w:val="Heading3"/>
      </w:pPr>
      <w:r w:rsidRPr="004F62C7">
        <w:t>Limitations</w:t>
      </w:r>
    </w:p>
    <w:p w14:paraId="5E11100B" w14:textId="3DAB7B38" w:rsidR="007A5477" w:rsidRDefault="00EC1E95" w:rsidP="007A5477">
      <w:r>
        <w:t>Our</w:t>
      </w:r>
      <w:r w:rsidR="007A5477">
        <w:t xml:space="preserve"> </w:t>
      </w:r>
      <w:r w:rsidR="007A5477" w:rsidRPr="001D3B10">
        <w:t>survey experiment</w:t>
      </w:r>
      <w:r w:rsidR="007A5477">
        <w:t xml:space="preserve">s were </w:t>
      </w:r>
      <w:r w:rsidR="007A5477" w:rsidRPr="001D3B10">
        <w:t>stylised</w:t>
      </w:r>
      <w:r w:rsidR="007A5477">
        <w:t xml:space="preserve"> simplifications of the actual experience of using a comparison tool. How respondents engaged with a static, stylised snapshot of one screen may not reflect how they would engage with an actual experience of using an interactive web</w:t>
      </w:r>
      <w:r w:rsidR="007A5477">
        <w:noBreakHyphen/>
        <w:t xml:space="preserve">based comparison tool. This simplified environment may cause our estimates of impact to be too high, or too low. In addition, we asked respondents about a hypothetical scenario where they were 32 years old, regardless of their actual age. </w:t>
      </w:r>
    </w:p>
    <w:p w14:paraId="4FA1566E" w14:textId="0EBDDEA8" w:rsidR="007A5477" w:rsidRDefault="00E608A1" w:rsidP="007A5477">
      <w:r>
        <w:t>O</w:t>
      </w:r>
      <w:r w:rsidR="007A5477">
        <w:t xml:space="preserve">ur outcome measure assumed that one of the ‘top’ products would always be a more appropriate product. In reality, choosing a super fund is complicated and any comparison tool will necessarily simplify some variables (such as fees or returns) or omit others (such as </w:t>
      </w:r>
      <w:r w:rsidR="007A5477">
        <w:lastRenderedPageBreak/>
        <w:t>insurance). Consequently, it is important to be mindful that the ‘top’ products will usually – but not always – represent an appropriate product, depending on an individual’s circumstances.</w:t>
      </w:r>
    </w:p>
    <w:p w14:paraId="7B7D8B08" w14:textId="0234AF81" w:rsidR="007A5477" w:rsidRDefault="00E608A1" w:rsidP="007A5477">
      <w:r>
        <w:t>T</w:t>
      </w:r>
      <w:r w:rsidR="007A5477">
        <w:t xml:space="preserve">he sample drawn from an online survey panel may not be representative of all Australian superannuation fund members since people who sign-up for a survey panel may be systematically different from all superannuation fund members. </w:t>
      </w:r>
    </w:p>
    <w:p w14:paraId="1A4BA047" w14:textId="68EA747E" w:rsidR="007A5477" w:rsidRDefault="00E608A1" w:rsidP="007A5477">
      <w:r>
        <w:t>O</w:t>
      </w:r>
      <w:r w:rsidR="007A5477">
        <w:t xml:space="preserve">nline surveys can have data quality issues if, for example, respondents do not engage meaningfully with the questions (although we did take steps to manage data quality). </w:t>
      </w:r>
    </w:p>
    <w:p w14:paraId="5011E318" w14:textId="62508CB2" w:rsidR="007A5477" w:rsidRDefault="007A5477" w:rsidP="007A5477">
      <w:pPr>
        <w:pStyle w:val="ListBullet"/>
        <w:numPr>
          <w:ilvl w:val="0"/>
          <w:numId w:val="0"/>
        </w:numPr>
      </w:pPr>
      <w:r>
        <w:t xml:space="preserve">These limitations are discussed further </w:t>
      </w:r>
      <w:r w:rsidRPr="00CA1DC4">
        <w:t>in Appendix 1.</w:t>
      </w:r>
    </w:p>
    <w:p w14:paraId="3DC8422E" w14:textId="77777777" w:rsidR="00505DCC" w:rsidRDefault="00505DCC">
      <w:pPr>
        <w:spacing w:after="0" w:line="240" w:lineRule="auto"/>
      </w:pPr>
      <w:r>
        <w:br w:type="page"/>
      </w:r>
    </w:p>
    <w:p w14:paraId="0F49FBAC" w14:textId="48A47E46" w:rsidR="00B85446" w:rsidRPr="0050783B" w:rsidRDefault="00B85446" w:rsidP="00191A5D">
      <w:pPr>
        <w:pStyle w:val="Heading2"/>
      </w:pPr>
      <w:bookmarkStart w:id="22" w:name="_Toc107826701"/>
      <w:bookmarkStart w:id="23" w:name="_Toc109225239"/>
      <w:bookmarkStart w:id="24" w:name="_Toc115096496"/>
      <w:bookmarkStart w:id="25" w:name="_Toc115184218"/>
      <w:bookmarkStart w:id="26" w:name="_Toc115187662"/>
      <w:r w:rsidRPr="0050783B">
        <w:lastRenderedPageBreak/>
        <w:t>Discussion and conclusion</w:t>
      </w:r>
      <w:bookmarkEnd w:id="22"/>
      <w:bookmarkEnd w:id="23"/>
      <w:bookmarkEnd w:id="24"/>
      <w:bookmarkEnd w:id="25"/>
      <w:bookmarkEnd w:id="26"/>
    </w:p>
    <w:p w14:paraId="7F2E9B41" w14:textId="26C7C8DD" w:rsidR="00A6321F" w:rsidRDefault="00733BE8" w:rsidP="00C84A0E">
      <w:pPr>
        <w:pStyle w:val="EmphasisPanelBody"/>
      </w:pPr>
      <w:r>
        <w:t>Providing people with accurate super fund metrics, collated on a website from a trusted provider, is a useful contribution to improving outcomes</w:t>
      </w:r>
      <w:r w:rsidR="0076715A">
        <w:t xml:space="preserve"> for superannuation fund members</w:t>
      </w:r>
      <w:r>
        <w:t xml:space="preserve">. Our experiments provide evidence that the way </w:t>
      </w:r>
      <w:r w:rsidR="001D2EE1">
        <w:t xml:space="preserve">the comparison tool presents </w:t>
      </w:r>
      <w:r>
        <w:t xml:space="preserve">information matters. </w:t>
      </w:r>
      <w:r w:rsidR="005A1561">
        <w:t>Most notably, w</w:t>
      </w:r>
      <w:r w:rsidR="00BA2C97">
        <w:t>e found that</w:t>
      </w:r>
      <w:r w:rsidR="00DA4614">
        <w:t xml:space="preserve"> presenting </w:t>
      </w:r>
      <w:r>
        <w:t xml:space="preserve">fund performance in </w:t>
      </w:r>
      <w:r w:rsidR="0076715A">
        <w:t>3</w:t>
      </w:r>
      <w:r w:rsidR="00DA4614" w:rsidRPr="00DA4614">
        <w:t xml:space="preserve">-tier performance category groups </w:t>
      </w:r>
      <w:r>
        <w:t>(v</w:t>
      </w:r>
      <w:r w:rsidR="00FE74DF">
        <w:t>ersus</w:t>
      </w:r>
      <w:r>
        <w:t xml:space="preserve"> </w:t>
      </w:r>
      <w:r w:rsidR="0076715A">
        <w:t>2</w:t>
      </w:r>
      <w:r>
        <w:t>-tiered) led to people being more likely to select one of the</w:t>
      </w:r>
      <w:r w:rsidR="00DA4614" w:rsidRPr="00DA4614">
        <w:t xml:space="preserve"> higher net return </w:t>
      </w:r>
      <w:r>
        <w:t xml:space="preserve">super </w:t>
      </w:r>
      <w:r w:rsidR="00DA4614" w:rsidRPr="00DA4614">
        <w:t>products</w:t>
      </w:r>
      <w:r>
        <w:t>.</w:t>
      </w:r>
      <w:r w:rsidR="008D6E52">
        <w:t xml:space="preserve"> Sorting the order of the results by fund performance provided another</w:t>
      </w:r>
      <w:r w:rsidR="0024160C">
        <w:t xml:space="preserve"> </w:t>
      </w:r>
      <w:r w:rsidR="008D6E52">
        <w:t>boost.</w:t>
      </w:r>
      <w:r w:rsidR="0076715A">
        <w:t xml:space="preserve"> </w:t>
      </w:r>
      <w:r w:rsidR="00A6321F">
        <w:t xml:space="preserve">We also found that </w:t>
      </w:r>
      <w:r w:rsidR="0076715A">
        <w:t xml:space="preserve">communicating risk </w:t>
      </w:r>
      <w:r w:rsidR="00A6321F">
        <w:t xml:space="preserve">using </w:t>
      </w:r>
      <w:r w:rsidR="00C84A0E">
        <w:t>more direct,</w:t>
      </w:r>
      <w:r w:rsidR="00A6321F">
        <w:t xml:space="preserve"> technical language </w:t>
      </w:r>
      <w:r w:rsidR="0076715A">
        <w:t xml:space="preserve">(such as ‘low risk/low expected return’) </w:t>
      </w:r>
      <w:r w:rsidR="00A6321F">
        <w:t xml:space="preserve">may lead </w:t>
      </w:r>
      <w:r w:rsidR="00F11CF3">
        <w:t>to poorer decision</w:t>
      </w:r>
      <w:r w:rsidR="00557851">
        <w:noBreakHyphen/>
      </w:r>
      <w:r w:rsidR="00F11CF3">
        <w:t>making.</w:t>
      </w:r>
    </w:p>
    <w:p w14:paraId="6A58EA95" w14:textId="77777777" w:rsidR="008700CF" w:rsidRDefault="00A9766A" w:rsidP="00A9766A">
      <w:r>
        <w:t xml:space="preserve">A key tenet of behavioural insights is to make things easy. This project demonstrates the value in this approach. </w:t>
      </w:r>
      <w:r w:rsidR="008700CF">
        <w:t>In a stylised survey experiment, sm</w:t>
      </w:r>
      <w:r w:rsidR="00323BF9">
        <w:t xml:space="preserve">all </w:t>
      </w:r>
      <w:r w:rsidR="008700CF">
        <w:t xml:space="preserve">changes designed to simplify </w:t>
      </w:r>
      <w:r w:rsidR="00323BF9">
        <w:t xml:space="preserve">the </w:t>
      </w:r>
      <w:r w:rsidR="008700CF">
        <w:t xml:space="preserve">comparison tool’s </w:t>
      </w:r>
      <w:r w:rsidR="00323BF9">
        <w:t xml:space="preserve">results table </w:t>
      </w:r>
      <w:r w:rsidR="00DA4614">
        <w:t xml:space="preserve">led to </w:t>
      </w:r>
      <w:r w:rsidR="008700CF">
        <w:t xml:space="preserve">substantial </w:t>
      </w:r>
      <w:r w:rsidR="00323BF9">
        <w:t xml:space="preserve">changes in the super funds chosen. </w:t>
      </w:r>
    </w:p>
    <w:p w14:paraId="0A8CB98A" w14:textId="597187FF" w:rsidR="00BA2C97" w:rsidRDefault="00DA4614" w:rsidP="00FE74DF">
      <w:r>
        <w:t xml:space="preserve">The </w:t>
      </w:r>
      <w:r w:rsidR="008700CF">
        <w:t xml:space="preserve">use of a third (‘top’) </w:t>
      </w:r>
      <w:r>
        <w:t>performance categor</w:t>
      </w:r>
      <w:r w:rsidR="008700CF">
        <w:t xml:space="preserve">y was </w:t>
      </w:r>
      <w:r>
        <w:t xml:space="preserve">particularly effective. </w:t>
      </w:r>
      <w:r w:rsidR="00FE74DF">
        <w:t>I</w:t>
      </w:r>
      <w:r w:rsidR="008700CF">
        <w:t xml:space="preserve">t is not easy </w:t>
      </w:r>
      <w:r w:rsidR="00DB2A81">
        <w:t>to navigate a</w:t>
      </w:r>
      <w:r w:rsidR="00DB2A81" w:rsidRPr="00DB2A81">
        <w:t xml:space="preserve"> lengthy l</w:t>
      </w:r>
      <w:r w:rsidR="00FE74DF">
        <w:t>ist</w:t>
      </w:r>
      <w:r w:rsidR="00DB2A81" w:rsidRPr="00DB2A81">
        <w:t xml:space="preserve"> of super funds’ performance metrics</w:t>
      </w:r>
      <w:r w:rsidR="00DB2A81">
        <w:t xml:space="preserve"> </w:t>
      </w:r>
      <w:r w:rsidR="008700CF">
        <w:t xml:space="preserve">and work out which </w:t>
      </w:r>
      <w:r w:rsidR="00FE74DF">
        <w:t xml:space="preserve">products </w:t>
      </w:r>
      <w:r w:rsidR="008700CF">
        <w:t xml:space="preserve">have performed </w:t>
      </w:r>
      <w:r w:rsidR="00FE74DF">
        <w:t>well</w:t>
      </w:r>
      <w:r w:rsidR="008700CF">
        <w:t xml:space="preserve">. The extra performance category may assist people by offering an indication of what constitutes high performance. In addition, </w:t>
      </w:r>
      <w:r>
        <w:t xml:space="preserve">people </w:t>
      </w:r>
      <w:r w:rsidR="008700CF">
        <w:t>may use</w:t>
      </w:r>
      <w:r>
        <w:t xml:space="preserve"> the performance categories to narrow down their search (and simplify their decision) before deciding on their fund of choice.</w:t>
      </w:r>
    </w:p>
    <w:p w14:paraId="29730FF3" w14:textId="1839418B" w:rsidR="00F11CF3" w:rsidRDefault="00F11CF3" w:rsidP="00A9766A">
      <w:r>
        <w:t xml:space="preserve">We </w:t>
      </w:r>
      <w:r w:rsidR="008700CF">
        <w:t xml:space="preserve">also </w:t>
      </w:r>
      <w:r>
        <w:t xml:space="preserve">found that ordering the results </w:t>
      </w:r>
      <w:r w:rsidR="00557851">
        <w:t xml:space="preserve">by performance </w:t>
      </w:r>
      <w:r>
        <w:t xml:space="preserve">mattered, but to a lesser extent. </w:t>
      </w:r>
      <w:r w:rsidR="008700CF">
        <w:t xml:space="preserve">However </w:t>
      </w:r>
      <w:r w:rsidR="00AA12F2">
        <w:t>our study may understate the impact of ordering</w:t>
      </w:r>
      <w:r w:rsidR="008700CF">
        <w:t xml:space="preserve"> since the actual comparison tool features </w:t>
      </w:r>
      <w:r w:rsidR="00AA12F2">
        <w:t>more than 70 funds</w:t>
      </w:r>
      <w:r w:rsidR="008700CF">
        <w:t xml:space="preserve"> as opposed to </w:t>
      </w:r>
      <w:r w:rsidR="00AA12F2">
        <w:t xml:space="preserve">the 10 in our study. </w:t>
      </w:r>
      <w:r w:rsidR="008700CF">
        <w:t xml:space="preserve">In reality, </w:t>
      </w:r>
      <w:r w:rsidR="00AA12F2">
        <w:t>the table of results stretch</w:t>
      </w:r>
      <w:r w:rsidR="008700CF">
        <w:t>es</w:t>
      </w:r>
      <w:r w:rsidR="00AA12F2">
        <w:t xml:space="preserve"> over multiple pages</w:t>
      </w:r>
      <w:r w:rsidR="008700CF">
        <w:t xml:space="preserve"> and so </w:t>
      </w:r>
      <w:r w:rsidR="00C84A0E">
        <w:t>o</w:t>
      </w:r>
      <w:r w:rsidR="00AA12F2">
        <w:t xml:space="preserve">rdering the results </w:t>
      </w:r>
      <w:r w:rsidR="008700CF">
        <w:t xml:space="preserve">by performance </w:t>
      </w:r>
      <w:r w:rsidR="001D2EE1">
        <w:t xml:space="preserve">on the real world comparison tool </w:t>
      </w:r>
      <w:r w:rsidR="008700CF">
        <w:t xml:space="preserve">is </w:t>
      </w:r>
      <w:r w:rsidR="00305F02">
        <w:t xml:space="preserve">likely to have a </w:t>
      </w:r>
      <w:r w:rsidR="008700CF">
        <w:t xml:space="preserve">greater </w:t>
      </w:r>
      <w:r w:rsidR="00305F02">
        <w:t>impact</w:t>
      </w:r>
      <w:r w:rsidR="00C84A0E">
        <w:t xml:space="preserve"> than it did in our study</w:t>
      </w:r>
      <w:r w:rsidR="00305F02">
        <w:t>.</w:t>
      </w:r>
      <w:r w:rsidR="00BD030F">
        <w:t xml:space="preserve"> </w:t>
      </w:r>
    </w:p>
    <w:p w14:paraId="19517592" w14:textId="737B26F0" w:rsidR="000A4041" w:rsidRDefault="00527E83" w:rsidP="00082137">
      <w:r>
        <w:t xml:space="preserve">Our project also explored the language used </w:t>
      </w:r>
      <w:r w:rsidR="000A4041">
        <w:t>to describe the risk/return trade</w:t>
      </w:r>
      <w:r w:rsidR="000A4041">
        <w:noBreakHyphen/>
        <w:t>off in choosing different investment strategies</w:t>
      </w:r>
      <w:r>
        <w:t xml:space="preserve">. Broadly, our results suggest the language used in </w:t>
      </w:r>
      <w:r w:rsidR="00025B9A">
        <w:t>the comparison tool</w:t>
      </w:r>
      <w:r>
        <w:t xml:space="preserve"> should be given careful consideration. </w:t>
      </w:r>
      <w:r w:rsidR="00082137">
        <w:t xml:space="preserve">It shouldn’t be assumed that the </w:t>
      </w:r>
      <w:r w:rsidR="0057427A">
        <w:t xml:space="preserve">technical </w:t>
      </w:r>
      <w:r w:rsidR="00082137">
        <w:t xml:space="preserve">language used commonly in the literature or in policy circles is </w:t>
      </w:r>
      <w:r w:rsidR="007A5477">
        <w:t xml:space="preserve">a better </w:t>
      </w:r>
      <w:r w:rsidR="00082137">
        <w:t>way to communicate to the general public</w:t>
      </w:r>
      <w:r w:rsidR="00C84A0E">
        <w:t xml:space="preserve"> (even if it is accurate)</w:t>
      </w:r>
      <w:r w:rsidR="007A5477">
        <w:t>, when compared to terms commonly used in the super industry</w:t>
      </w:r>
      <w:r w:rsidR="00082137">
        <w:t xml:space="preserve">. </w:t>
      </w:r>
      <w:r w:rsidR="00C84A0E">
        <w:t>In particular, people may have a different understanding of</w:t>
      </w:r>
      <w:r w:rsidR="00D01A84">
        <w:t>, or response to,</w:t>
      </w:r>
      <w:r w:rsidR="00C84A0E">
        <w:t xml:space="preserve"> the term ‘risk’ than what is intended.</w:t>
      </w:r>
    </w:p>
    <w:p w14:paraId="37E7FAEB" w14:textId="31AF179C" w:rsidR="00582014" w:rsidRDefault="00082137" w:rsidP="00082137">
      <w:r>
        <w:t xml:space="preserve">Our </w:t>
      </w:r>
      <w:r w:rsidR="000A4041">
        <w:t xml:space="preserve">survey </w:t>
      </w:r>
      <w:r>
        <w:t xml:space="preserve">findings also suggest that ‘underperformance’ may not be the clearest term to use to describe a fund </w:t>
      </w:r>
      <w:r w:rsidR="00680F6F">
        <w:t xml:space="preserve">that has performed well below </w:t>
      </w:r>
      <w:r w:rsidR="005A1561">
        <w:t xml:space="preserve">its </w:t>
      </w:r>
      <w:r w:rsidR="00680F6F">
        <w:t>benchmarks.</w:t>
      </w:r>
    </w:p>
    <w:p w14:paraId="020044EC" w14:textId="1DD849D7" w:rsidR="00537CEC" w:rsidRPr="0042294B" w:rsidRDefault="000A4041" w:rsidP="0042294B">
      <w:r>
        <w:t xml:space="preserve">This study, like any, has limitations (described under ‘What we did’). </w:t>
      </w:r>
      <w:r w:rsidR="00FE74DF">
        <w:t xml:space="preserve">The survey experiments </w:t>
      </w:r>
      <w:r w:rsidR="004952B2">
        <w:t>were</w:t>
      </w:r>
      <w:r w:rsidR="00FE74DF">
        <w:t xml:space="preserve"> only stylised representations of real</w:t>
      </w:r>
      <w:r w:rsidR="00FE74DF">
        <w:noBreakHyphen/>
        <w:t>world decision</w:t>
      </w:r>
      <w:r w:rsidR="00FE74DF">
        <w:noBreakHyphen/>
        <w:t>making. In addition, t</w:t>
      </w:r>
      <w:r>
        <w:t xml:space="preserve">he online survey panel may not be representative of the population of interest and could have </w:t>
      </w:r>
      <w:r w:rsidR="004952B2">
        <w:lastRenderedPageBreak/>
        <w:t xml:space="preserve">generated </w:t>
      </w:r>
      <w:r>
        <w:t>some data quality issues, despite our efforts to manage these.</w:t>
      </w:r>
      <w:r w:rsidR="005C3687">
        <w:t xml:space="preserve"> However, we collected a large and diverse sample of superannuation members, and designed an experiment that sought to mimic real</w:t>
      </w:r>
      <w:r w:rsidR="005C3687">
        <w:noBreakHyphen/>
        <w:t>world decision</w:t>
      </w:r>
      <w:r w:rsidR="005C3687">
        <w:noBreakHyphen/>
        <w:t>making. Consequently</w:t>
      </w:r>
      <w:r>
        <w:t>, our judgement is that the central findings of this study</w:t>
      </w:r>
      <w:r w:rsidR="00521926">
        <w:t xml:space="preserve"> are likely to reflect how people would respond </w:t>
      </w:r>
      <w:r w:rsidR="004952B2">
        <w:t xml:space="preserve">in the real world </w:t>
      </w:r>
      <w:r w:rsidR="00521926">
        <w:t xml:space="preserve">to the design </w:t>
      </w:r>
      <w:r w:rsidR="00557851">
        <w:t xml:space="preserve">options </w:t>
      </w:r>
      <w:r w:rsidR="00521926">
        <w:t>we examined.</w:t>
      </w:r>
      <w:r w:rsidR="00537CEC">
        <w:br w:type="page"/>
      </w:r>
    </w:p>
    <w:p w14:paraId="5F60CA4E" w14:textId="1846B2C6" w:rsidR="00081366" w:rsidRDefault="00875822" w:rsidP="00191A5D">
      <w:pPr>
        <w:pStyle w:val="Heading2"/>
      </w:pPr>
      <w:bookmarkStart w:id="27" w:name="_Toc107826702"/>
      <w:bookmarkStart w:id="28" w:name="_Toc109225240"/>
      <w:bookmarkStart w:id="29" w:name="_Toc115096497"/>
      <w:bookmarkStart w:id="30" w:name="_Toc115184219"/>
      <w:bookmarkStart w:id="31" w:name="_Toc115187663"/>
      <w:r>
        <w:lastRenderedPageBreak/>
        <w:t>Appendix 1</w:t>
      </w:r>
      <w:r w:rsidR="000E47BB">
        <w:t>:</w:t>
      </w:r>
      <w:r>
        <w:t xml:space="preserve"> </w:t>
      </w:r>
      <w:r w:rsidRPr="00875822">
        <w:t>Evaluation design and analysis</w:t>
      </w:r>
      <w:bookmarkEnd w:id="27"/>
      <w:bookmarkEnd w:id="28"/>
      <w:bookmarkEnd w:id="29"/>
      <w:bookmarkEnd w:id="30"/>
      <w:bookmarkEnd w:id="31"/>
      <w:r w:rsidRPr="00875822" w:rsidDel="00875822">
        <w:t xml:space="preserve"> </w:t>
      </w:r>
    </w:p>
    <w:p w14:paraId="550A55D8" w14:textId="77777777" w:rsidR="00875822" w:rsidRDefault="00875822" w:rsidP="00875822">
      <w:pPr>
        <w:pStyle w:val="Heading3"/>
      </w:pPr>
      <w:r>
        <w:t>Overview</w:t>
      </w:r>
    </w:p>
    <w:p w14:paraId="1367C4B4" w14:textId="760C3E06" w:rsidR="00B41A65" w:rsidRDefault="00B41A65" w:rsidP="00875822">
      <w:r>
        <w:t xml:space="preserve">This project was a collaboration between </w:t>
      </w:r>
      <w:r w:rsidR="006D2F17">
        <w:t>BETA</w:t>
      </w:r>
      <w:r>
        <w:t xml:space="preserve"> and </w:t>
      </w:r>
      <w:r w:rsidRPr="000156E0">
        <w:t xml:space="preserve">the </w:t>
      </w:r>
      <w:r>
        <w:t xml:space="preserve">ATO Behavioural Insights </w:t>
      </w:r>
      <w:r w:rsidRPr="009D289C">
        <w:t>Unit</w:t>
      </w:r>
      <w:r>
        <w:t xml:space="preserve">. </w:t>
      </w:r>
      <w:r w:rsidR="0030174D">
        <w:t xml:space="preserve">We conducted </w:t>
      </w:r>
      <w:r w:rsidR="00AE225E">
        <w:t>an</w:t>
      </w:r>
      <w:r w:rsidR="0030174D">
        <w:t xml:space="preserve"> online survey and </w:t>
      </w:r>
      <w:r>
        <w:t>2 </w:t>
      </w:r>
      <w:r w:rsidR="00875822" w:rsidRPr="000156E0">
        <w:t>online survey experiment</w:t>
      </w:r>
      <w:r w:rsidR="0032200A">
        <w:t xml:space="preserve"> </w:t>
      </w:r>
      <w:r w:rsidR="00875822" w:rsidRPr="0030174D">
        <w:t xml:space="preserve">in </w:t>
      </w:r>
      <w:r w:rsidR="009D289C" w:rsidRPr="0030174D">
        <w:t>January</w:t>
      </w:r>
      <w:r w:rsidR="00875822" w:rsidRPr="0030174D">
        <w:t xml:space="preserve"> 2021, using </w:t>
      </w:r>
      <w:r w:rsidR="00C4199C">
        <w:t>the</w:t>
      </w:r>
      <w:r w:rsidR="00C4199C" w:rsidRPr="0030174D">
        <w:t xml:space="preserve"> </w:t>
      </w:r>
      <w:r w:rsidR="00875822" w:rsidRPr="0030174D">
        <w:t xml:space="preserve">online survey </w:t>
      </w:r>
      <w:r w:rsidR="00875822" w:rsidRPr="00AE225E">
        <w:t>provider Dynata to source respond</w:t>
      </w:r>
      <w:r>
        <w:t>ents.</w:t>
      </w:r>
    </w:p>
    <w:p w14:paraId="47C70620" w14:textId="77777777" w:rsidR="00B41A65" w:rsidRDefault="00875822" w:rsidP="00875822">
      <w:r w:rsidRPr="00AE225E">
        <w:t xml:space="preserve">In the </w:t>
      </w:r>
      <w:r w:rsidR="0030174D" w:rsidRPr="00AE225E">
        <w:t xml:space="preserve">first </w:t>
      </w:r>
      <w:r w:rsidRPr="00AE225E">
        <w:t xml:space="preserve">survey experiment </w:t>
      </w:r>
      <w:r w:rsidR="00B41A65">
        <w:t xml:space="preserve">we showed respondents a </w:t>
      </w:r>
      <w:r w:rsidR="0030174D" w:rsidRPr="00AE225E">
        <w:t xml:space="preserve">mock-up of the </w:t>
      </w:r>
      <w:r w:rsidR="00B41A65">
        <w:t xml:space="preserve">summary results page of the </w:t>
      </w:r>
      <w:r w:rsidR="0030174D" w:rsidRPr="00AE225E">
        <w:t>comparison tool</w:t>
      </w:r>
      <w:r w:rsidR="00AE225E" w:rsidRPr="00AE225E">
        <w:t xml:space="preserve"> and asked them to select a super product.</w:t>
      </w:r>
      <w:r w:rsidR="00AE225E">
        <w:t xml:space="preserve"> </w:t>
      </w:r>
      <w:r w:rsidR="00B41A65">
        <w:t xml:space="preserve">Respondents were </w:t>
      </w:r>
      <w:r w:rsidR="00B41A65" w:rsidRPr="00AE225E">
        <w:t xml:space="preserve">randomly assigned </w:t>
      </w:r>
      <w:r w:rsidR="00B41A65">
        <w:t xml:space="preserve">to </w:t>
      </w:r>
      <w:r w:rsidR="00B41A65" w:rsidRPr="00AE225E">
        <w:t xml:space="preserve">see different </w:t>
      </w:r>
      <w:r w:rsidR="00B41A65">
        <w:t xml:space="preserve">versions of the summary results page. </w:t>
      </w:r>
      <w:r w:rsidRPr="00AE225E">
        <w:t xml:space="preserve">Key outcomes were </w:t>
      </w:r>
      <w:r w:rsidR="00AE225E" w:rsidRPr="00AE225E">
        <w:t xml:space="preserve">super product chosen, </w:t>
      </w:r>
      <w:r w:rsidRPr="00AE225E">
        <w:t xml:space="preserve">as well as </w:t>
      </w:r>
      <w:r w:rsidR="00AE225E" w:rsidRPr="00AE225E">
        <w:t>time taken to make a choice</w:t>
      </w:r>
      <w:r w:rsidR="00AE225E">
        <w:t xml:space="preserve">. </w:t>
      </w:r>
    </w:p>
    <w:p w14:paraId="088C31AA" w14:textId="4BF3B4AF" w:rsidR="00875822" w:rsidRPr="00875822" w:rsidRDefault="00AE225E" w:rsidP="00875822">
      <w:pPr>
        <w:rPr>
          <w:highlight w:val="yellow"/>
        </w:rPr>
      </w:pPr>
      <w:r>
        <w:t xml:space="preserve">In the second experiment, we asked people to respond to </w:t>
      </w:r>
      <w:r w:rsidR="00B41A65">
        <w:t xml:space="preserve">a </w:t>
      </w:r>
      <w:r>
        <w:t xml:space="preserve">question about </w:t>
      </w:r>
      <w:r w:rsidR="00B41A65">
        <w:t>the appropriate risk</w:t>
      </w:r>
      <w:r w:rsidR="00B41A65">
        <w:noBreakHyphen/>
      </w:r>
      <w:r>
        <w:t>return level</w:t>
      </w:r>
      <w:r w:rsidR="00B41A65">
        <w:t xml:space="preserve"> for a young person starting out in their career. R</w:t>
      </w:r>
      <w:r>
        <w:t>espondents were randomly assigned to see</w:t>
      </w:r>
      <w:r w:rsidR="00B41A65">
        <w:t xml:space="preserve"> different terminology to describe the</w:t>
      </w:r>
      <w:r>
        <w:t xml:space="preserve"> risk-return level</w:t>
      </w:r>
      <w:r w:rsidR="00B41A65">
        <w:t>.</w:t>
      </w:r>
    </w:p>
    <w:p w14:paraId="0559F358" w14:textId="77777777" w:rsidR="00875822" w:rsidRPr="00267F1D" w:rsidRDefault="00875822" w:rsidP="00875822">
      <w:pPr>
        <w:pStyle w:val="Heading3"/>
      </w:pPr>
      <w:r>
        <w:t>Pre-registration, pre-analysis plan and ethics</w:t>
      </w:r>
    </w:p>
    <w:p w14:paraId="66D92D5D" w14:textId="208545BE" w:rsidR="00875822" w:rsidRPr="00875822" w:rsidRDefault="00875822" w:rsidP="00875822">
      <w:pPr>
        <w:rPr>
          <w:highlight w:val="yellow"/>
        </w:rPr>
      </w:pPr>
      <w:r w:rsidRPr="00C11342">
        <w:t>We pre</w:t>
      </w:r>
      <w:r w:rsidRPr="00C11342">
        <w:noBreakHyphen/>
        <w:t>registered the trial</w:t>
      </w:r>
      <w:r w:rsidR="0032200A">
        <w:t>s</w:t>
      </w:r>
      <w:r w:rsidRPr="00C11342">
        <w:t>, along with our pre</w:t>
      </w:r>
      <w:r w:rsidRPr="00C11342">
        <w:noBreakHyphen/>
        <w:t xml:space="preserve">analysis plan, on the American Economic Association RCT </w:t>
      </w:r>
      <w:r w:rsidRPr="00AE225E">
        <w:t xml:space="preserve">Registry </w:t>
      </w:r>
      <w:r w:rsidR="00AE225E" w:rsidRPr="00AE225E">
        <w:t>(13/</w:t>
      </w:r>
      <w:r w:rsidR="00183DEA">
        <w:t>0</w:t>
      </w:r>
      <w:r w:rsidR="00AE225E" w:rsidRPr="00AE225E">
        <w:t>1</w:t>
      </w:r>
      <w:r w:rsidRPr="00AE225E">
        <w:t>/2021):</w:t>
      </w:r>
      <w:r w:rsidR="00C11342" w:rsidRPr="00AE225E">
        <w:t xml:space="preserve"> </w:t>
      </w:r>
      <w:hyperlink r:id="rId28" w:history="1">
        <w:r w:rsidR="00AE225E">
          <w:rPr>
            <w:rStyle w:val="Hyperlink"/>
          </w:rPr>
          <w:t>https://www.socialscienceregistry.org/trials/6995</w:t>
        </w:r>
      </w:hyperlink>
      <w:r w:rsidR="00AE225E">
        <w:t>.</w:t>
      </w:r>
      <w:r w:rsidR="00C11342" w:rsidRPr="00AE225E">
        <w:t xml:space="preserve"> </w:t>
      </w:r>
      <w:r w:rsidRPr="00AE225E">
        <w:t>We registered the pre-analysis plan after the trial commenced but prior to accessing any of outcome data.</w:t>
      </w:r>
    </w:p>
    <w:p w14:paraId="08E04FF2" w14:textId="3C48B08E" w:rsidR="00A74502" w:rsidRPr="0032200A" w:rsidRDefault="00875822" w:rsidP="00875822">
      <w:r w:rsidRPr="0032200A">
        <w:t xml:space="preserve">We did </w:t>
      </w:r>
      <w:r w:rsidR="00A74502">
        <w:t>ma</w:t>
      </w:r>
      <w:r w:rsidR="00605FEB">
        <w:t>ke</w:t>
      </w:r>
      <w:r w:rsidR="00A74502">
        <w:t xml:space="preserve"> one deviation</w:t>
      </w:r>
      <w:r w:rsidRPr="0032200A">
        <w:t xml:space="preserve"> from the pre</w:t>
      </w:r>
      <w:r w:rsidRPr="0032200A">
        <w:noBreakHyphen/>
        <w:t>analysis plan</w:t>
      </w:r>
      <w:r w:rsidR="004144D3">
        <w:t xml:space="preserve">. For </w:t>
      </w:r>
      <w:r w:rsidR="00F3090C">
        <w:t>Experiment one</w:t>
      </w:r>
      <w:r w:rsidR="004144D3">
        <w:t>,</w:t>
      </w:r>
      <w:r w:rsidR="00605FEB">
        <w:t xml:space="preserve"> we did not run a robustness check that retained </w:t>
      </w:r>
      <w:r w:rsidR="00605FEB" w:rsidRPr="00605FEB">
        <w:t xml:space="preserve">responses that took less than 2 minutes and 30 seconds to complete the survey. </w:t>
      </w:r>
    </w:p>
    <w:p w14:paraId="1C752C1F" w14:textId="56A75E18" w:rsidR="00875822" w:rsidRDefault="00875822" w:rsidP="00875822">
      <w:r w:rsidRPr="00C11342">
        <w:t xml:space="preserve">The research was subject to ethics approval from Macquarie University’s Human Research Ethics </w:t>
      </w:r>
      <w:r w:rsidRPr="00BB1928">
        <w:t xml:space="preserve">Committee (reference number </w:t>
      </w:r>
      <w:r w:rsidR="00BB1928" w:rsidRPr="00BB1928">
        <w:t>52020944424157</w:t>
      </w:r>
      <w:r w:rsidR="00BB1928">
        <w:t>).</w:t>
      </w:r>
      <w:r w:rsidR="00B43827">
        <w:t xml:space="preserve"> </w:t>
      </w:r>
      <w:r w:rsidR="00011194">
        <w:t xml:space="preserve"> </w:t>
      </w:r>
    </w:p>
    <w:p w14:paraId="562A57BC" w14:textId="77777777" w:rsidR="00875822" w:rsidRPr="00424E8F" w:rsidRDefault="00875822" w:rsidP="00875822">
      <w:pPr>
        <w:pStyle w:val="Heading3"/>
      </w:pPr>
      <w:r w:rsidRPr="00424E8F">
        <w:t>Trial design</w:t>
      </w:r>
    </w:p>
    <w:p w14:paraId="54617673" w14:textId="3B743700" w:rsidR="00875822" w:rsidRDefault="00A74395" w:rsidP="00875822">
      <w:r w:rsidRPr="00A74395">
        <w:t xml:space="preserve">We conducted a survey </w:t>
      </w:r>
      <w:r w:rsidR="00183DEA">
        <w:t xml:space="preserve">between </w:t>
      </w:r>
      <w:r w:rsidRPr="00A74395">
        <w:t>7</w:t>
      </w:r>
      <w:r w:rsidR="00183DEA">
        <w:t xml:space="preserve"> and </w:t>
      </w:r>
      <w:r w:rsidRPr="00A74395">
        <w:t xml:space="preserve">14 January 2021. It was completed by 2,236 eligible respondents who were close to nationally representative in terms of gender, age, and metropolitan/regional split. The survey contained 2 survey experiments to test the </w:t>
      </w:r>
      <w:r w:rsidR="000E65AE">
        <w:t>variations to the summary results page of a comparison tool</w:t>
      </w:r>
      <w:r w:rsidRPr="00A74395">
        <w:t>. It also included survey questions relating to various preferences for the comparison tool.</w:t>
      </w:r>
    </w:p>
    <w:p w14:paraId="2C6C841B" w14:textId="1BA54348" w:rsidR="00092765" w:rsidRDefault="00092765" w:rsidP="00875822">
      <w:r w:rsidRPr="00092765">
        <w:t>For each experiment, participants w</w:t>
      </w:r>
      <w:r>
        <w:t>ere</w:t>
      </w:r>
      <w:r w:rsidRPr="00092765">
        <w:t xml:space="preserve"> randomised to a trial-arm within the survey platform, Qualtrics, with roughly equal allocation to each condition. </w:t>
      </w:r>
      <w:r w:rsidR="0012523B">
        <w:t>T</w:t>
      </w:r>
      <w:r w:rsidR="004C1C19">
        <w:t xml:space="preserve">he </w:t>
      </w:r>
      <w:r w:rsidR="00183DEA">
        <w:t xml:space="preserve">allocation </w:t>
      </w:r>
      <w:r w:rsidRPr="00092765">
        <w:t xml:space="preserve">to a given </w:t>
      </w:r>
      <w:r w:rsidR="00107F60">
        <w:t>treatment arm</w:t>
      </w:r>
      <w:r w:rsidRPr="00092765">
        <w:t xml:space="preserve"> in </w:t>
      </w:r>
      <w:r w:rsidR="00F3090C">
        <w:t>Experiment one</w:t>
      </w:r>
      <w:r w:rsidRPr="00092765">
        <w:t xml:space="preserve"> </w:t>
      </w:r>
      <w:r w:rsidR="004C1C19">
        <w:t xml:space="preserve">was independent of the </w:t>
      </w:r>
      <w:r w:rsidR="00183DEA">
        <w:t xml:space="preserve">allocation to any </w:t>
      </w:r>
      <w:r w:rsidR="00107F60">
        <w:t xml:space="preserve">arm </w:t>
      </w:r>
      <w:r w:rsidR="00183DEA">
        <w:t xml:space="preserve">in </w:t>
      </w:r>
      <w:r w:rsidR="00F3090C">
        <w:t>Experiment two</w:t>
      </w:r>
      <w:r w:rsidRPr="00092765">
        <w:t xml:space="preserve">. </w:t>
      </w:r>
    </w:p>
    <w:p w14:paraId="34C382C0" w14:textId="6FCCE4CC" w:rsidR="00875822" w:rsidRDefault="00875822" w:rsidP="00405BA4">
      <w:pPr>
        <w:pStyle w:val="Heading3"/>
        <w:rPr>
          <w:lang w:val="en-US"/>
        </w:rPr>
      </w:pPr>
      <w:r>
        <w:rPr>
          <w:lang w:val="en-US"/>
        </w:rPr>
        <w:lastRenderedPageBreak/>
        <w:t xml:space="preserve">Experimental </w:t>
      </w:r>
      <w:r w:rsidRPr="00424E8F">
        <w:rPr>
          <w:lang w:val="en-US"/>
        </w:rPr>
        <w:t>Outcomes</w:t>
      </w:r>
      <w:bookmarkStart w:id="32" w:name="_Toc513122291"/>
    </w:p>
    <w:p w14:paraId="227262F1" w14:textId="5EDE7257" w:rsidR="004C1C19" w:rsidRPr="004C1C19" w:rsidRDefault="004C1C19" w:rsidP="004C1C19">
      <w:pPr>
        <w:rPr>
          <w:lang w:val="en-US"/>
        </w:rPr>
      </w:pPr>
      <w:r>
        <w:rPr>
          <w:lang w:val="en-US"/>
        </w:rPr>
        <w:t>This section how the outcome variables were constructed for each experiment</w:t>
      </w:r>
      <w:r w:rsidR="00A650FE">
        <w:rPr>
          <w:lang w:val="en-US"/>
        </w:rPr>
        <w:t>, consistent with the pre</w:t>
      </w:r>
      <w:r w:rsidR="00A650FE">
        <w:rPr>
          <w:lang w:val="en-US"/>
        </w:rPr>
        <w:noBreakHyphen/>
        <w:t>analysis plan</w:t>
      </w:r>
      <w:r>
        <w:rPr>
          <w:lang w:val="en-US"/>
        </w:rPr>
        <w:t>.</w:t>
      </w:r>
    </w:p>
    <w:p w14:paraId="7EBF5D21" w14:textId="2756AFC7" w:rsidR="00A820DF" w:rsidRDefault="00A820DF" w:rsidP="00405BA4">
      <w:pPr>
        <w:pStyle w:val="Heading4"/>
      </w:pPr>
      <w:r w:rsidRPr="00A820DF">
        <w:t xml:space="preserve">Experiment </w:t>
      </w:r>
      <w:r w:rsidR="00F3090C">
        <w:t xml:space="preserve">one </w:t>
      </w:r>
      <w:r w:rsidR="00A650FE">
        <w:t>– outcomes</w:t>
      </w:r>
    </w:p>
    <w:p w14:paraId="41B837C1" w14:textId="77777777" w:rsidR="00183DEA" w:rsidRPr="00A650FE" w:rsidRDefault="00A820DF" w:rsidP="000D3D6A">
      <w:pPr>
        <w:rPr>
          <w:b/>
        </w:rPr>
      </w:pPr>
      <w:r w:rsidRPr="00A650FE">
        <w:rPr>
          <w:b/>
        </w:rPr>
        <w:t>Primary outcome</w:t>
      </w:r>
      <w:r w:rsidR="00183DEA" w:rsidRPr="00A650FE">
        <w:rPr>
          <w:b/>
        </w:rPr>
        <w:t>s</w:t>
      </w:r>
    </w:p>
    <w:p w14:paraId="474ED111" w14:textId="07CD7119" w:rsidR="00A820DF" w:rsidRPr="00183DEA" w:rsidRDefault="00A820DF" w:rsidP="000D3D6A">
      <w:pPr>
        <w:pStyle w:val="ListParagraph"/>
        <w:numPr>
          <w:ilvl w:val="3"/>
          <w:numId w:val="3"/>
        </w:numPr>
        <w:ind w:left="360"/>
        <w:rPr>
          <w:i/>
          <w:iCs/>
        </w:rPr>
      </w:pPr>
      <w:r w:rsidRPr="00183DEA">
        <w:rPr>
          <w:i/>
          <w:iCs/>
        </w:rPr>
        <w:t>Choice of fund</w:t>
      </w:r>
      <w:r w:rsidR="00183DEA">
        <w:t xml:space="preserve">: </w:t>
      </w:r>
      <w:r w:rsidRPr="00A820DF">
        <w:t xml:space="preserve">This </w:t>
      </w:r>
      <w:r w:rsidR="002B44B7">
        <w:t>is</w:t>
      </w:r>
      <w:r w:rsidRPr="00A820DF">
        <w:t xml:space="preserve"> an ordinal variable based on the answer provided when choosing a super fund from the list. Each fund w</w:t>
      </w:r>
      <w:r w:rsidR="00B40A99">
        <w:t>as</w:t>
      </w:r>
      <w:r w:rsidRPr="00A820DF">
        <w:t xml:space="preserve"> given a ranking ranging from 1-10, with 1 being the worst performing fund (lowest net return), and 10 being the best performing fund (highest net return). For the analysis this </w:t>
      </w:r>
      <w:r w:rsidR="002B44B7">
        <w:t>was</w:t>
      </w:r>
      <w:r w:rsidRPr="00A820DF">
        <w:t xml:space="preserve"> treated as a continuous variable.</w:t>
      </w:r>
    </w:p>
    <w:p w14:paraId="52FBC904" w14:textId="20E8F439" w:rsidR="00A820DF" w:rsidRDefault="00A820DF" w:rsidP="000D3D6A">
      <w:pPr>
        <w:pStyle w:val="ListParagraph"/>
        <w:numPr>
          <w:ilvl w:val="3"/>
          <w:numId w:val="3"/>
        </w:numPr>
        <w:ind w:left="360"/>
      </w:pPr>
      <w:r w:rsidRPr="00183DEA">
        <w:rPr>
          <w:i/>
          <w:iCs/>
        </w:rPr>
        <w:t xml:space="preserve">Time to </w:t>
      </w:r>
      <w:r w:rsidR="00A74502">
        <w:rPr>
          <w:i/>
          <w:iCs/>
        </w:rPr>
        <w:t>make a decision</w:t>
      </w:r>
      <w:r w:rsidR="00183DEA">
        <w:t xml:space="preserve">: </w:t>
      </w:r>
      <w:r w:rsidRPr="00A820DF">
        <w:t xml:space="preserve">This </w:t>
      </w:r>
      <w:r w:rsidR="002B44B7">
        <w:t xml:space="preserve">is </w:t>
      </w:r>
      <w:r w:rsidRPr="00A820DF">
        <w:t xml:space="preserve">a continuous variable based on how long </w:t>
      </w:r>
      <w:r w:rsidR="004A699C">
        <w:t>participants</w:t>
      </w:r>
      <w:r w:rsidR="004A699C" w:rsidRPr="00A820DF">
        <w:t xml:space="preserve"> </w:t>
      </w:r>
      <w:r w:rsidRPr="00A820DF">
        <w:t xml:space="preserve">spent on the experiment page (measured in seconds). </w:t>
      </w:r>
      <w:r w:rsidR="0024160C">
        <w:t xml:space="preserve">We </w:t>
      </w:r>
      <w:r w:rsidRPr="00A820DF">
        <w:t>remove</w:t>
      </w:r>
      <w:r w:rsidR="002B44B7">
        <w:t>d</w:t>
      </w:r>
      <w:r w:rsidR="0024160C">
        <w:t xml:space="preserve"> anybody who wa</w:t>
      </w:r>
      <w:r w:rsidRPr="00A820DF">
        <w:t>s more than 3 standard deviations above the mean</w:t>
      </w:r>
      <w:r w:rsidR="0024160C">
        <w:t>. This has the effect of excluding implausible response times which occur when the respondent pauses the survey and completes it at another time.</w:t>
      </w:r>
    </w:p>
    <w:p w14:paraId="20A1AFAE" w14:textId="77777777" w:rsidR="00183DEA" w:rsidRPr="00A650FE" w:rsidRDefault="00A820DF" w:rsidP="000D3D6A">
      <w:pPr>
        <w:rPr>
          <w:b/>
        </w:rPr>
      </w:pPr>
      <w:r w:rsidRPr="00A650FE">
        <w:rPr>
          <w:b/>
        </w:rPr>
        <w:t>Secondary outcome</w:t>
      </w:r>
      <w:r w:rsidR="00183DEA" w:rsidRPr="00A650FE">
        <w:rPr>
          <w:b/>
        </w:rPr>
        <w:t>s</w:t>
      </w:r>
    </w:p>
    <w:p w14:paraId="5CE048A2" w14:textId="77777777" w:rsidR="00183DEA" w:rsidRDefault="00A820DF" w:rsidP="000D3D6A">
      <w:pPr>
        <w:pStyle w:val="ListParagraph"/>
        <w:numPr>
          <w:ilvl w:val="6"/>
          <w:numId w:val="3"/>
        </w:numPr>
        <w:ind w:left="360"/>
      </w:pPr>
      <w:r w:rsidRPr="00183DEA">
        <w:rPr>
          <w:i/>
          <w:iCs/>
        </w:rPr>
        <w:t>Choice of ‘Top’ fund</w:t>
      </w:r>
      <w:r w:rsidR="00183DEA">
        <w:t xml:space="preserve">: </w:t>
      </w:r>
      <w:r w:rsidRPr="00A820DF">
        <w:t xml:space="preserve">This </w:t>
      </w:r>
      <w:r w:rsidR="002B44B7">
        <w:t>is</w:t>
      </w:r>
      <w:r w:rsidRPr="00A820DF">
        <w:t xml:space="preserve"> a binary variable indicating </w:t>
      </w:r>
      <w:r w:rsidR="002B44B7">
        <w:t>whether respondents</w:t>
      </w:r>
      <w:r w:rsidRPr="00A820DF">
        <w:t xml:space="preserve"> chose one of the three funds with a performance rating of ‘Top’.</w:t>
      </w:r>
    </w:p>
    <w:p w14:paraId="5A91A884" w14:textId="77777777" w:rsidR="002332B0" w:rsidRDefault="00A820DF" w:rsidP="000D3D6A">
      <w:pPr>
        <w:pStyle w:val="ListParagraph"/>
        <w:numPr>
          <w:ilvl w:val="6"/>
          <w:numId w:val="3"/>
        </w:numPr>
        <w:ind w:left="360"/>
      </w:pPr>
      <w:r w:rsidRPr="00183DEA">
        <w:rPr>
          <w:i/>
          <w:iCs/>
        </w:rPr>
        <w:t>Choice of any fund that is not ‘poor’ performing</w:t>
      </w:r>
      <w:r w:rsidR="00183DEA">
        <w:t xml:space="preserve">: </w:t>
      </w:r>
      <w:r w:rsidRPr="00A820DF">
        <w:t xml:space="preserve">This </w:t>
      </w:r>
      <w:r w:rsidR="002B44B7">
        <w:t>is</w:t>
      </w:r>
      <w:r w:rsidRPr="00A820DF">
        <w:t xml:space="preserve"> a binary variable indicating </w:t>
      </w:r>
      <w:r w:rsidR="002B44B7">
        <w:t>whether respondents</w:t>
      </w:r>
      <w:r w:rsidR="002B44B7" w:rsidRPr="00A820DF">
        <w:t xml:space="preserve"> </w:t>
      </w:r>
      <w:r w:rsidRPr="00A820DF">
        <w:t xml:space="preserve">chose a fund with either a ‘Top’, ‘Fair’ or ‘Good’ performance rating. </w:t>
      </w:r>
      <w:r w:rsidR="00261022">
        <w:t xml:space="preserve"> </w:t>
      </w:r>
    </w:p>
    <w:p w14:paraId="55C941B7" w14:textId="13F47A46" w:rsidR="002332B0" w:rsidRDefault="00A820DF" w:rsidP="000D3D6A">
      <w:pPr>
        <w:pStyle w:val="ListParagraph"/>
        <w:numPr>
          <w:ilvl w:val="6"/>
          <w:numId w:val="3"/>
        </w:numPr>
        <w:ind w:left="360"/>
      </w:pPr>
      <w:r w:rsidRPr="002332B0">
        <w:rPr>
          <w:i/>
          <w:iCs/>
        </w:rPr>
        <w:t>Ease Rating</w:t>
      </w:r>
      <w:r w:rsidR="00183DEA" w:rsidRPr="002332B0">
        <w:rPr>
          <w:iCs/>
        </w:rPr>
        <w:t xml:space="preserve">: </w:t>
      </w:r>
      <w:r w:rsidRPr="00A820DF">
        <w:t xml:space="preserve">This </w:t>
      </w:r>
      <w:r w:rsidR="002B44B7">
        <w:t>is</w:t>
      </w:r>
      <w:r w:rsidRPr="00A820DF">
        <w:t xml:space="preserve"> an ordinal variable measured through a 1-5 Likert scale rating of how easy it was to complete the task</w:t>
      </w:r>
      <w:r w:rsidR="00FC5609">
        <w:t xml:space="preserve"> (where 1 = very difficult, 5 = very easy)</w:t>
      </w:r>
      <w:r w:rsidRPr="00A820DF">
        <w:t xml:space="preserve">. For the analysis this </w:t>
      </w:r>
      <w:r w:rsidR="002B44B7">
        <w:t>was</w:t>
      </w:r>
      <w:r w:rsidRPr="00A820DF">
        <w:t xml:space="preserve"> treated as a continuous variable. </w:t>
      </w:r>
    </w:p>
    <w:p w14:paraId="3C618C38" w14:textId="1A46F813" w:rsidR="00A820DF" w:rsidRDefault="002332B0" w:rsidP="000D3D6A">
      <w:pPr>
        <w:pStyle w:val="ListParagraph"/>
        <w:numPr>
          <w:ilvl w:val="6"/>
          <w:numId w:val="3"/>
        </w:numPr>
        <w:ind w:left="360"/>
      </w:pPr>
      <w:r w:rsidRPr="002332B0">
        <w:rPr>
          <w:i/>
          <w:iCs/>
        </w:rPr>
        <w:t>Intention to switch</w:t>
      </w:r>
      <w:r>
        <w:t xml:space="preserve">: </w:t>
      </w:r>
      <w:r w:rsidR="00A820DF" w:rsidRPr="00A820DF">
        <w:t xml:space="preserve">This </w:t>
      </w:r>
      <w:r w:rsidR="002B44B7">
        <w:t>is</w:t>
      </w:r>
      <w:r w:rsidR="00A820DF" w:rsidRPr="00A820DF">
        <w:t xml:space="preserve"> an ordinal variable measured through a 1-5 Likert scale rating of </w:t>
      </w:r>
      <w:r w:rsidR="002B44B7">
        <w:t>respondents’</w:t>
      </w:r>
      <w:r w:rsidR="00A820DF" w:rsidRPr="00A820DF">
        <w:t xml:space="preserve"> likelihood to switch funds if faced with that same scenario</w:t>
      </w:r>
      <w:r w:rsidR="00FC5609">
        <w:t xml:space="preserve"> (where 1 = very unlikely, 5 = very likely)</w:t>
      </w:r>
      <w:r w:rsidR="00A820DF" w:rsidRPr="00A820DF">
        <w:t xml:space="preserve">. For the analysis this </w:t>
      </w:r>
      <w:r w:rsidR="002B44B7">
        <w:t>was</w:t>
      </w:r>
      <w:r w:rsidR="00A820DF" w:rsidRPr="00A820DF">
        <w:t xml:space="preserve"> treated as a continuous variable.</w:t>
      </w:r>
    </w:p>
    <w:p w14:paraId="054D1F48" w14:textId="415458EC" w:rsidR="00A820DF" w:rsidRPr="00A820DF" w:rsidRDefault="00A820DF" w:rsidP="00405BA4">
      <w:pPr>
        <w:pStyle w:val="Heading4"/>
      </w:pPr>
      <w:r w:rsidRPr="00A820DF">
        <w:t xml:space="preserve">Experiment </w:t>
      </w:r>
      <w:r w:rsidR="00F3090C">
        <w:t xml:space="preserve">two </w:t>
      </w:r>
      <w:r w:rsidR="00A650FE">
        <w:t>– outcomes</w:t>
      </w:r>
    </w:p>
    <w:p w14:paraId="2A77EF58" w14:textId="5A5B6F0F" w:rsidR="00A820DF" w:rsidRPr="002332B0" w:rsidRDefault="00A820DF" w:rsidP="000D3D6A">
      <w:pPr>
        <w:rPr>
          <w:i/>
          <w:iCs/>
        </w:rPr>
      </w:pPr>
      <w:r w:rsidRPr="00A650FE">
        <w:rPr>
          <w:i/>
        </w:rPr>
        <w:t>Primary outcome –</w:t>
      </w:r>
      <w:r w:rsidRPr="00A820DF">
        <w:t xml:space="preserve"> </w:t>
      </w:r>
      <w:r w:rsidRPr="00A820DF">
        <w:rPr>
          <w:i/>
          <w:iCs/>
        </w:rPr>
        <w:t>Selection of</w:t>
      </w:r>
      <w:r w:rsidR="002332B0">
        <w:rPr>
          <w:i/>
          <w:iCs/>
        </w:rPr>
        <w:t xml:space="preserve"> correct investment risk answer</w:t>
      </w:r>
      <w:r w:rsidR="002332B0" w:rsidRPr="002332B0">
        <w:rPr>
          <w:iCs/>
        </w:rPr>
        <w:t xml:space="preserve">: </w:t>
      </w:r>
      <w:r w:rsidRPr="00A820DF">
        <w:t xml:space="preserve">This </w:t>
      </w:r>
      <w:r w:rsidR="002B44B7">
        <w:t>is</w:t>
      </w:r>
      <w:r w:rsidRPr="00A820DF">
        <w:t xml:space="preserve"> a binary variable indicating if the respondent select</w:t>
      </w:r>
      <w:r w:rsidR="002B44B7">
        <w:t>ed</w:t>
      </w:r>
      <w:r w:rsidRPr="00A820DF">
        <w:t xml:space="preserve"> the most appropriate investment risk option for a young person starting their career (i.e. the higher risk, higher reward option).</w:t>
      </w:r>
    </w:p>
    <w:bookmarkEnd w:id="32"/>
    <w:p w14:paraId="0235F10D" w14:textId="3CCA8E9D" w:rsidR="00875822" w:rsidRDefault="00A650FE" w:rsidP="00405BA4">
      <w:pPr>
        <w:pStyle w:val="Heading3"/>
        <w:rPr>
          <w:lang w:val="en-US"/>
        </w:rPr>
      </w:pPr>
      <w:r>
        <w:rPr>
          <w:lang w:val="en-US"/>
        </w:rPr>
        <w:t>Interventions and h</w:t>
      </w:r>
      <w:r w:rsidR="00875822" w:rsidRPr="00424E8F">
        <w:rPr>
          <w:lang w:val="en-US"/>
        </w:rPr>
        <w:t>ypotheses</w:t>
      </w:r>
      <w:r w:rsidR="00875822">
        <w:rPr>
          <w:lang w:val="en-US"/>
        </w:rPr>
        <w:t xml:space="preserve"> </w:t>
      </w:r>
    </w:p>
    <w:p w14:paraId="12BE52ED" w14:textId="2C6C4370" w:rsidR="00A650FE" w:rsidRPr="004C1C19" w:rsidRDefault="00A650FE" w:rsidP="00A650FE">
      <w:pPr>
        <w:rPr>
          <w:lang w:val="en-US"/>
        </w:rPr>
      </w:pPr>
      <w:r>
        <w:rPr>
          <w:lang w:val="en-US"/>
        </w:rPr>
        <w:t>This section describes the interventions (treatment arms) for each experiment, along with the hypotheses that were detailed in our pre</w:t>
      </w:r>
      <w:r>
        <w:rPr>
          <w:lang w:val="en-US"/>
        </w:rPr>
        <w:noBreakHyphen/>
        <w:t xml:space="preserve">analysis plan. </w:t>
      </w:r>
    </w:p>
    <w:p w14:paraId="3320B44C" w14:textId="3C5771F6" w:rsidR="00A820DF" w:rsidRPr="00A820DF" w:rsidRDefault="00A820DF" w:rsidP="00405BA4">
      <w:pPr>
        <w:pStyle w:val="Heading4"/>
      </w:pPr>
      <w:r w:rsidRPr="00A820DF">
        <w:t xml:space="preserve">Experiment </w:t>
      </w:r>
      <w:r w:rsidR="00F3090C">
        <w:t>one</w:t>
      </w:r>
      <w:r w:rsidR="00A650FE">
        <w:t xml:space="preserve"> – interventions and hypotheses</w:t>
      </w:r>
    </w:p>
    <w:p w14:paraId="0BC08C3F" w14:textId="5BDD3AF5" w:rsidR="00A650FE" w:rsidRPr="00A650FE" w:rsidRDefault="00A650FE" w:rsidP="00A820DF">
      <w:pPr>
        <w:rPr>
          <w:b/>
        </w:rPr>
      </w:pPr>
      <w:r w:rsidRPr="00A650FE">
        <w:rPr>
          <w:b/>
        </w:rPr>
        <w:t>Interventions</w:t>
      </w:r>
    </w:p>
    <w:p w14:paraId="08B19E74" w14:textId="01BBBE5E" w:rsidR="00A820DF" w:rsidRPr="00A820DF" w:rsidRDefault="00F3090C" w:rsidP="00A820DF">
      <w:r>
        <w:t>Experiment one</w:t>
      </w:r>
      <w:r w:rsidR="002B44B7">
        <w:t xml:space="preserve"> </w:t>
      </w:r>
      <w:r w:rsidR="00A650FE">
        <w:t>was a 3-arm trial. Participants saw a summary results page that varied in 2 ways</w:t>
      </w:r>
      <w:r w:rsidR="00A820DF" w:rsidRPr="00A820DF">
        <w:t xml:space="preserve">: the number of </w:t>
      </w:r>
      <w:r w:rsidR="00A650FE">
        <w:t xml:space="preserve">‘performance </w:t>
      </w:r>
      <w:r w:rsidR="00A820DF" w:rsidRPr="00A820DF">
        <w:t>cat</w:t>
      </w:r>
      <w:r w:rsidR="002B44B7">
        <w:t>egories</w:t>
      </w:r>
      <w:r w:rsidR="00A650FE">
        <w:t xml:space="preserve">’ used to classify the super products, </w:t>
      </w:r>
      <w:r w:rsidR="00A820DF" w:rsidRPr="00A820DF">
        <w:t xml:space="preserve">and </w:t>
      </w:r>
      <w:r w:rsidR="00A650FE">
        <w:t>how the super products were sorted</w:t>
      </w:r>
      <w:r w:rsidR="002B44B7">
        <w:t xml:space="preserve">. </w:t>
      </w:r>
      <w:r w:rsidR="00A650FE">
        <w:t>The 3 arms were as follows</w:t>
      </w:r>
      <w:r w:rsidR="00A820DF" w:rsidRPr="00A820DF">
        <w:t>:</w:t>
      </w:r>
    </w:p>
    <w:p w14:paraId="21188FA0" w14:textId="6F5B308E" w:rsidR="00A820DF" w:rsidRPr="00A820DF" w:rsidRDefault="00A820DF" w:rsidP="00BD20D5">
      <w:pPr>
        <w:pStyle w:val="ListParagraph"/>
        <w:numPr>
          <w:ilvl w:val="0"/>
          <w:numId w:val="26"/>
        </w:numPr>
        <w:ind w:left="360"/>
      </w:pPr>
      <w:r w:rsidRPr="00A650FE">
        <w:rPr>
          <w:i/>
        </w:rPr>
        <w:lastRenderedPageBreak/>
        <w:t>Group A</w:t>
      </w:r>
      <w:r w:rsidRPr="00A820DF">
        <w:t xml:space="preserve">: two categories (Good and Poor performance), </w:t>
      </w:r>
      <w:r w:rsidR="004B2588">
        <w:t>un</w:t>
      </w:r>
      <w:r w:rsidRPr="00A820DF">
        <w:t>sorted</w:t>
      </w:r>
    </w:p>
    <w:p w14:paraId="464AAB8A" w14:textId="19270CF7" w:rsidR="00A820DF" w:rsidRPr="00A820DF" w:rsidRDefault="00A820DF" w:rsidP="00BD20D5">
      <w:pPr>
        <w:pStyle w:val="ListParagraph"/>
        <w:numPr>
          <w:ilvl w:val="0"/>
          <w:numId w:val="26"/>
        </w:numPr>
        <w:ind w:left="360"/>
      </w:pPr>
      <w:r w:rsidRPr="00A650FE">
        <w:rPr>
          <w:i/>
        </w:rPr>
        <w:t>Group B</w:t>
      </w:r>
      <w:r w:rsidRPr="00A820DF">
        <w:t xml:space="preserve">: three categories (Top, Fair and Poor performance), </w:t>
      </w:r>
      <w:r w:rsidR="004B2588">
        <w:t>un</w:t>
      </w:r>
      <w:r w:rsidRPr="00A820DF">
        <w:t>sorted</w:t>
      </w:r>
    </w:p>
    <w:p w14:paraId="39A3B2BC" w14:textId="4161305B" w:rsidR="00A820DF" w:rsidRPr="00A820DF" w:rsidRDefault="00A820DF" w:rsidP="00BD20D5">
      <w:pPr>
        <w:pStyle w:val="ListParagraph"/>
        <w:numPr>
          <w:ilvl w:val="0"/>
          <w:numId w:val="26"/>
        </w:numPr>
        <w:ind w:left="360"/>
      </w:pPr>
      <w:r w:rsidRPr="00A650FE">
        <w:rPr>
          <w:i/>
        </w:rPr>
        <w:t>Group C</w:t>
      </w:r>
      <w:r w:rsidRPr="00A820DF">
        <w:t>: three categories, sorted by performance category (then randomly sorted within each category)</w:t>
      </w:r>
      <w:r w:rsidR="00A650FE">
        <w:t>.</w:t>
      </w:r>
    </w:p>
    <w:p w14:paraId="2230ECAB" w14:textId="73905C24" w:rsidR="00A650FE" w:rsidRDefault="00A650FE" w:rsidP="00A820DF">
      <w:pPr>
        <w:rPr>
          <w:b/>
        </w:rPr>
      </w:pPr>
      <w:r>
        <w:rPr>
          <w:b/>
        </w:rPr>
        <w:t>Hypotheses</w:t>
      </w:r>
    </w:p>
    <w:p w14:paraId="042BC080" w14:textId="7895A939" w:rsidR="00185D11" w:rsidRPr="00185D11" w:rsidRDefault="00185D11" w:rsidP="00A820DF">
      <w:r w:rsidRPr="00185D11">
        <w:t>(All one-sided tests)</w:t>
      </w:r>
    </w:p>
    <w:p w14:paraId="580CBBD3" w14:textId="616276AB" w:rsidR="00A820DF" w:rsidRPr="00405BA4" w:rsidRDefault="00A820DF" w:rsidP="00A820DF">
      <w:r w:rsidRPr="00A650FE">
        <w:rPr>
          <w:i/>
        </w:rPr>
        <w:t>Hypothesis 1.1</w:t>
      </w:r>
      <w:r w:rsidR="0024160C">
        <w:t>: On average, respondents in G</w:t>
      </w:r>
      <w:r w:rsidRPr="00405BA4">
        <w:t>roup B</w:t>
      </w:r>
      <w:r w:rsidR="0024160C">
        <w:t xml:space="preserve"> (three categories,</w:t>
      </w:r>
      <w:r w:rsidR="004B2588">
        <w:t xml:space="preserve"> un</w:t>
      </w:r>
      <w:r w:rsidR="0024160C">
        <w:t>sorted)</w:t>
      </w:r>
      <w:r w:rsidRPr="00405BA4">
        <w:t xml:space="preserve"> will choose a higher rated fund as compared with Group A</w:t>
      </w:r>
      <w:r w:rsidR="0024160C">
        <w:t xml:space="preserve"> (two categories, </w:t>
      </w:r>
      <w:r w:rsidR="004B2588">
        <w:t>un</w:t>
      </w:r>
      <w:r w:rsidR="0024160C">
        <w:t>sorted)</w:t>
      </w:r>
      <w:r w:rsidRPr="00405BA4">
        <w:t xml:space="preserve"> (Group A &lt; Group B). </w:t>
      </w:r>
    </w:p>
    <w:p w14:paraId="7B8E6C35" w14:textId="5F5881A3" w:rsidR="00A820DF" w:rsidRPr="00405BA4" w:rsidRDefault="00A820DF" w:rsidP="00A820DF">
      <w:r w:rsidRPr="00A650FE">
        <w:rPr>
          <w:i/>
        </w:rPr>
        <w:t>Hypothesis 1.2</w:t>
      </w:r>
      <w:r w:rsidRPr="00405BA4">
        <w:t xml:space="preserve">: On average, respondents in </w:t>
      </w:r>
      <w:r w:rsidR="004B2588">
        <w:t>G</w:t>
      </w:r>
      <w:r w:rsidRPr="00405BA4">
        <w:t>roup C</w:t>
      </w:r>
      <w:r w:rsidR="004B2588">
        <w:t xml:space="preserve"> (three categories, sorted)</w:t>
      </w:r>
      <w:r w:rsidR="004B2588" w:rsidRPr="00405BA4">
        <w:t xml:space="preserve"> </w:t>
      </w:r>
      <w:r w:rsidRPr="00405BA4">
        <w:t xml:space="preserve"> will choose a higher rated fund as compared with Group B</w:t>
      </w:r>
      <w:r w:rsidR="0024160C">
        <w:t xml:space="preserve"> (three categories, </w:t>
      </w:r>
      <w:r w:rsidR="004B2588">
        <w:t>un</w:t>
      </w:r>
      <w:r w:rsidR="0024160C">
        <w:t>sorted)</w:t>
      </w:r>
      <w:r w:rsidR="0024160C" w:rsidRPr="00405BA4">
        <w:t xml:space="preserve"> </w:t>
      </w:r>
      <w:r w:rsidRPr="00405BA4">
        <w:t xml:space="preserve"> (Group B &lt; Group C). </w:t>
      </w:r>
    </w:p>
    <w:p w14:paraId="21DA364D" w14:textId="164982FB" w:rsidR="00A820DF" w:rsidRPr="00405BA4" w:rsidRDefault="00A820DF" w:rsidP="00A820DF">
      <w:r w:rsidRPr="00A650FE">
        <w:rPr>
          <w:i/>
        </w:rPr>
        <w:t>Hypothesis 1.3</w:t>
      </w:r>
      <w:r w:rsidRPr="00405BA4">
        <w:t>: O</w:t>
      </w:r>
      <w:r w:rsidR="004B2588">
        <w:t>n average, respondents in G</w:t>
      </w:r>
      <w:r w:rsidRPr="00405BA4">
        <w:t>roup C</w:t>
      </w:r>
      <w:r w:rsidR="004B2588">
        <w:t xml:space="preserve"> (three categories, sorted)</w:t>
      </w:r>
      <w:r w:rsidR="004B2588" w:rsidRPr="00405BA4">
        <w:t xml:space="preserve">  </w:t>
      </w:r>
      <w:r w:rsidRPr="00405BA4">
        <w:t>will choose a higher rated fund as compared with Group A</w:t>
      </w:r>
      <w:r w:rsidR="004B2588">
        <w:t xml:space="preserve"> (two categories, un</w:t>
      </w:r>
      <w:r w:rsidR="0024160C">
        <w:t>sorted)</w:t>
      </w:r>
      <w:r w:rsidR="0024160C" w:rsidRPr="00405BA4">
        <w:t xml:space="preserve"> </w:t>
      </w:r>
      <w:r w:rsidRPr="00405BA4">
        <w:t xml:space="preserve"> (Group A &lt; Group C).</w:t>
      </w:r>
    </w:p>
    <w:p w14:paraId="4B61E3FD" w14:textId="1A82C104" w:rsidR="00A820DF" w:rsidRPr="00405BA4" w:rsidRDefault="00A820DF" w:rsidP="00A820DF">
      <w:r w:rsidRPr="00A650FE">
        <w:rPr>
          <w:i/>
        </w:rPr>
        <w:t>Hypothesis 1.4</w:t>
      </w:r>
      <w:r w:rsidRPr="00405BA4">
        <w:t>: On average, respondents in Group B</w:t>
      </w:r>
      <w:r w:rsidR="004B2588">
        <w:t xml:space="preserve"> (three categories, unsorted)</w:t>
      </w:r>
      <w:r w:rsidR="004B2588" w:rsidRPr="00405BA4">
        <w:t xml:space="preserve"> </w:t>
      </w:r>
      <w:r w:rsidRPr="00405BA4">
        <w:t>will take less time to make a decision than Group A</w:t>
      </w:r>
      <w:r w:rsidR="0024160C">
        <w:t xml:space="preserve"> (two categories, </w:t>
      </w:r>
      <w:r w:rsidR="004B2588">
        <w:t>un</w:t>
      </w:r>
      <w:r w:rsidR="0024160C">
        <w:t>sorted)</w:t>
      </w:r>
      <w:r w:rsidRPr="00405BA4">
        <w:t xml:space="preserve"> (Group A &gt; Group B).</w:t>
      </w:r>
    </w:p>
    <w:p w14:paraId="05744DB6" w14:textId="414517DD" w:rsidR="00A820DF" w:rsidRPr="00405BA4" w:rsidRDefault="00A820DF" w:rsidP="00A820DF">
      <w:r w:rsidRPr="00A650FE">
        <w:rPr>
          <w:i/>
        </w:rPr>
        <w:t>Hypothesis 1.5</w:t>
      </w:r>
      <w:r w:rsidRPr="00405BA4">
        <w:t>: On average, respondents in Group C</w:t>
      </w:r>
      <w:r w:rsidR="004B2588">
        <w:t xml:space="preserve"> (three categories, sorted)</w:t>
      </w:r>
      <w:r w:rsidR="004B2588" w:rsidRPr="00405BA4">
        <w:t xml:space="preserve"> </w:t>
      </w:r>
      <w:r w:rsidRPr="00405BA4">
        <w:t xml:space="preserve"> will take less time to make a decision than Group B</w:t>
      </w:r>
      <w:r w:rsidR="004B2588">
        <w:t xml:space="preserve"> (three categories, unsorted)</w:t>
      </w:r>
      <w:r w:rsidR="004B2588" w:rsidRPr="00405BA4">
        <w:t xml:space="preserve"> </w:t>
      </w:r>
      <w:r w:rsidRPr="00405BA4">
        <w:t xml:space="preserve"> (Group B &gt; Group C). </w:t>
      </w:r>
    </w:p>
    <w:p w14:paraId="59D5E8B3" w14:textId="25337805" w:rsidR="00A820DF" w:rsidRPr="00405BA4" w:rsidRDefault="00A820DF" w:rsidP="00A820DF">
      <w:r w:rsidRPr="00A650FE">
        <w:rPr>
          <w:i/>
        </w:rPr>
        <w:t>Hypothesis 1.6</w:t>
      </w:r>
      <w:r w:rsidRPr="00405BA4">
        <w:t xml:space="preserve">: On average, respondents in Group C </w:t>
      </w:r>
      <w:r w:rsidR="004B2588">
        <w:t>(three categories, sorted)</w:t>
      </w:r>
      <w:r w:rsidR="004B2588" w:rsidRPr="00405BA4">
        <w:t xml:space="preserve"> </w:t>
      </w:r>
      <w:r w:rsidRPr="00405BA4">
        <w:t>will take less time to make a decision than Group A</w:t>
      </w:r>
      <w:r w:rsidR="0024160C">
        <w:t xml:space="preserve"> (two categories, </w:t>
      </w:r>
      <w:r w:rsidR="004B2588">
        <w:t>un</w:t>
      </w:r>
      <w:r w:rsidR="0024160C">
        <w:t>sorted)</w:t>
      </w:r>
      <w:r w:rsidRPr="00405BA4">
        <w:t xml:space="preserve"> (Group A &gt; Group C).</w:t>
      </w:r>
      <w:r w:rsidR="00A26269" w:rsidRPr="00405BA4">
        <w:t xml:space="preserve"> </w:t>
      </w:r>
    </w:p>
    <w:p w14:paraId="1CD05DE2" w14:textId="42901FD3" w:rsidR="00A820DF" w:rsidRPr="00405BA4" w:rsidRDefault="00F3090C" w:rsidP="00405BA4">
      <w:pPr>
        <w:pStyle w:val="Heading4"/>
      </w:pPr>
      <w:r>
        <w:t>Experiment two</w:t>
      </w:r>
      <w:r w:rsidR="00185D11">
        <w:t xml:space="preserve"> – interventions and hypotheses</w:t>
      </w:r>
    </w:p>
    <w:p w14:paraId="4E62782B" w14:textId="64EC83AD" w:rsidR="00A650FE" w:rsidRPr="00A650FE" w:rsidRDefault="00A650FE" w:rsidP="00A820DF">
      <w:pPr>
        <w:rPr>
          <w:b/>
        </w:rPr>
      </w:pPr>
      <w:r w:rsidRPr="00A650FE">
        <w:rPr>
          <w:b/>
        </w:rPr>
        <w:t>Interventions</w:t>
      </w:r>
    </w:p>
    <w:p w14:paraId="00AE5809" w14:textId="2E21AA7C" w:rsidR="00A820DF" w:rsidRPr="00A820DF" w:rsidRDefault="00F3090C" w:rsidP="00A820DF">
      <w:r>
        <w:t>Experiment two</w:t>
      </w:r>
      <w:r w:rsidR="00A20BDB">
        <w:t xml:space="preserve"> </w:t>
      </w:r>
      <w:r w:rsidR="00A820DF" w:rsidRPr="00A820DF">
        <w:t>test</w:t>
      </w:r>
      <w:r w:rsidR="00A20BDB">
        <w:t>ed</w:t>
      </w:r>
      <w:r w:rsidR="00A820DF" w:rsidRPr="00A820DF">
        <w:t xml:space="preserve"> whether the selection of the most appropriate investment risk o</w:t>
      </w:r>
      <w:r w:rsidR="00A20BDB">
        <w:t>ption varied</w:t>
      </w:r>
      <w:r w:rsidR="00A820DF" w:rsidRPr="00A820DF">
        <w:t xml:space="preserve"> by the terms used to describe the i</w:t>
      </w:r>
      <w:r w:rsidR="00A20BDB">
        <w:t xml:space="preserve">nvestment risk profile. It </w:t>
      </w:r>
      <w:r w:rsidR="00A820DF" w:rsidRPr="00A820DF">
        <w:t>include</w:t>
      </w:r>
      <w:r w:rsidR="00A20BDB">
        <w:t>d</w:t>
      </w:r>
      <w:r w:rsidR="00A820DF" w:rsidRPr="00A820DF">
        <w:t xml:space="preserve"> the following groups:</w:t>
      </w:r>
    </w:p>
    <w:p w14:paraId="3B73F5D6" w14:textId="55AF6680" w:rsidR="00A820DF" w:rsidRPr="00405BA4" w:rsidRDefault="00A820DF" w:rsidP="00BD20D5">
      <w:pPr>
        <w:numPr>
          <w:ilvl w:val="0"/>
          <w:numId w:val="27"/>
        </w:numPr>
        <w:ind w:left="360"/>
      </w:pPr>
      <w:r w:rsidRPr="00A650FE">
        <w:rPr>
          <w:i/>
        </w:rPr>
        <w:t xml:space="preserve">Group </w:t>
      </w:r>
      <w:r w:rsidR="002332B0" w:rsidRPr="00A650FE">
        <w:rPr>
          <w:i/>
        </w:rPr>
        <w:t>X</w:t>
      </w:r>
      <w:r w:rsidRPr="00405BA4">
        <w:t xml:space="preserve">: </w:t>
      </w:r>
      <w:r w:rsidR="00971729">
        <w:t xml:space="preserve">Technical definition, highlighting negative returns. </w:t>
      </w:r>
      <w:r w:rsidRPr="00405BA4">
        <w:t>(e.g. ‘Low risk – expect a ne</w:t>
      </w:r>
      <w:r w:rsidR="002332B0">
        <w:t>gative return 1 out of every 20 </w:t>
      </w:r>
      <w:r w:rsidRPr="00405BA4">
        <w:t>years’)</w:t>
      </w:r>
    </w:p>
    <w:p w14:paraId="6AAADECB" w14:textId="5D8D324D" w:rsidR="00A820DF" w:rsidRPr="00405BA4" w:rsidRDefault="002332B0" w:rsidP="00BD20D5">
      <w:pPr>
        <w:numPr>
          <w:ilvl w:val="0"/>
          <w:numId w:val="27"/>
        </w:numPr>
        <w:ind w:left="360"/>
      </w:pPr>
      <w:r w:rsidRPr="00A650FE">
        <w:rPr>
          <w:i/>
        </w:rPr>
        <w:t>Group Y</w:t>
      </w:r>
      <w:r w:rsidR="00A820DF" w:rsidRPr="00405BA4">
        <w:t xml:space="preserve">: </w:t>
      </w:r>
      <w:r w:rsidR="00971729">
        <w:t>Common industry terms.</w:t>
      </w:r>
      <w:r w:rsidR="00A820DF" w:rsidRPr="00405BA4">
        <w:t xml:space="preserve"> (‘Conservative’, ‘Balanced’, ‘Growth’)</w:t>
      </w:r>
    </w:p>
    <w:p w14:paraId="38320510" w14:textId="6FB90EE7" w:rsidR="00A820DF" w:rsidRPr="00405BA4" w:rsidRDefault="002332B0" w:rsidP="00BD20D5">
      <w:pPr>
        <w:numPr>
          <w:ilvl w:val="0"/>
          <w:numId w:val="27"/>
        </w:numPr>
        <w:ind w:left="360"/>
      </w:pPr>
      <w:r w:rsidRPr="00A650FE">
        <w:rPr>
          <w:i/>
        </w:rPr>
        <w:t>Group Z</w:t>
      </w:r>
      <w:r w:rsidR="00A820DF" w:rsidRPr="00405BA4">
        <w:t xml:space="preserve">: </w:t>
      </w:r>
      <w:r w:rsidR="00971729">
        <w:t xml:space="preserve">Technical definition, highlighting expected returns. </w:t>
      </w:r>
      <w:r w:rsidR="00A820DF" w:rsidRPr="00405BA4">
        <w:t>(e.g. ‘Low risk &amp; low expected return’)</w:t>
      </w:r>
    </w:p>
    <w:p w14:paraId="0FD3A492" w14:textId="4BB24420" w:rsidR="00A650FE" w:rsidRDefault="00A650FE" w:rsidP="00A650FE">
      <w:pPr>
        <w:rPr>
          <w:b/>
        </w:rPr>
      </w:pPr>
      <w:r>
        <w:rPr>
          <w:b/>
        </w:rPr>
        <w:t>Hypotheses</w:t>
      </w:r>
    </w:p>
    <w:p w14:paraId="10EC4CBB" w14:textId="1797ADBE" w:rsidR="00B4000A" w:rsidRDefault="00B4000A" w:rsidP="00A650FE">
      <w:pPr>
        <w:rPr>
          <w:b/>
        </w:rPr>
      </w:pPr>
      <w:r>
        <w:t>(All 2</w:t>
      </w:r>
      <w:r>
        <w:noBreakHyphen/>
        <w:t>sided tests)</w:t>
      </w:r>
    </w:p>
    <w:p w14:paraId="71F8FF31" w14:textId="7B5CC95F" w:rsidR="00A820DF" w:rsidRPr="00405BA4" w:rsidRDefault="00A820DF" w:rsidP="00A650FE">
      <w:r w:rsidRPr="00A650FE">
        <w:rPr>
          <w:i/>
        </w:rPr>
        <w:t>Hypothesis 2.1</w:t>
      </w:r>
      <w:r w:rsidRPr="00405BA4">
        <w:t xml:space="preserve">: On average, respondents in </w:t>
      </w:r>
      <w:r w:rsidR="00971729">
        <w:t>Group Y (common industry terms)</w:t>
      </w:r>
      <w:r w:rsidRPr="00405BA4">
        <w:t xml:space="preserve"> will select the most appropriate response at a different rate to those in Group </w:t>
      </w:r>
      <w:r w:rsidR="00971729">
        <w:t>X (Technical, highlighting negative returns)</w:t>
      </w:r>
      <w:r w:rsidRPr="00405BA4">
        <w:t xml:space="preserve"> (Group </w:t>
      </w:r>
      <w:r w:rsidR="00971729">
        <w:t>X ≠ Group Y</w:t>
      </w:r>
      <w:r w:rsidRPr="00405BA4">
        <w:t xml:space="preserve">). </w:t>
      </w:r>
    </w:p>
    <w:p w14:paraId="7862E678" w14:textId="3E5AE1D7" w:rsidR="00A820DF" w:rsidRPr="00405BA4" w:rsidRDefault="00A820DF" w:rsidP="00A820DF">
      <w:r w:rsidRPr="00A650FE">
        <w:rPr>
          <w:i/>
        </w:rPr>
        <w:lastRenderedPageBreak/>
        <w:t>Hypothesis 2.2</w:t>
      </w:r>
      <w:r w:rsidRPr="00405BA4">
        <w:t xml:space="preserve">: On average, respondents in </w:t>
      </w:r>
      <w:r w:rsidR="00971729">
        <w:t>G</w:t>
      </w:r>
      <w:r w:rsidRPr="00405BA4">
        <w:t xml:space="preserve">roup </w:t>
      </w:r>
      <w:r w:rsidR="00971729">
        <w:t>Z (Technical, highlighting expected returns)</w:t>
      </w:r>
      <w:r w:rsidR="00971729" w:rsidRPr="00405BA4">
        <w:t xml:space="preserve"> </w:t>
      </w:r>
      <w:r w:rsidRPr="00405BA4">
        <w:t xml:space="preserve">will select the most appropriate response at a different rate to those in Group </w:t>
      </w:r>
      <w:r w:rsidR="00971729">
        <w:t>Y (common industry terms)</w:t>
      </w:r>
      <w:r w:rsidRPr="00405BA4">
        <w:t xml:space="preserve"> (Group </w:t>
      </w:r>
      <w:r w:rsidR="00971729">
        <w:t>Y</w:t>
      </w:r>
      <w:r w:rsidRPr="00405BA4">
        <w:t xml:space="preserve"> ≠ Group </w:t>
      </w:r>
      <w:r w:rsidR="00971729">
        <w:t>Z</w:t>
      </w:r>
      <w:r w:rsidRPr="00405BA4">
        <w:t xml:space="preserve">). </w:t>
      </w:r>
    </w:p>
    <w:p w14:paraId="2EBC0DF9" w14:textId="7E0131B0" w:rsidR="00875822" w:rsidRPr="00405BA4" w:rsidRDefault="00A820DF" w:rsidP="00875822">
      <w:pPr>
        <w:rPr>
          <w:b/>
          <w:bCs/>
        </w:rPr>
      </w:pPr>
      <w:r w:rsidRPr="00A650FE">
        <w:rPr>
          <w:i/>
        </w:rPr>
        <w:t>Hypothesis 2.3</w:t>
      </w:r>
      <w:r w:rsidRPr="00405BA4">
        <w:t xml:space="preserve">: On average, respondents in </w:t>
      </w:r>
      <w:r w:rsidR="00971729">
        <w:t>G</w:t>
      </w:r>
      <w:r w:rsidRPr="00405BA4">
        <w:t xml:space="preserve">roup </w:t>
      </w:r>
      <w:r w:rsidR="00971729">
        <w:t>Z (Technical, highlighting expected returns)</w:t>
      </w:r>
      <w:r w:rsidR="00971729" w:rsidRPr="00405BA4">
        <w:t xml:space="preserve"> </w:t>
      </w:r>
      <w:r w:rsidRPr="00405BA4">
        <w:t xml:space="preserve">will select the most appropriate response at a different rate to those in Group </w:t>
      </w:r>
      <w:r w:rsidR="00971729">
        <w:t>X  (Technical, highlighting negative returns)</w:t>
      </w:r>
      <w:r w:rsidR="00971729" w:rsidRPr="00405BA4">
        <w:t xml:space="preserve"> </w:t>
      </w:r>
      <w:r w:rsidR="00971729">
        <w:t>(Group X</w:t>
      </w:r>
      <w:r w:rsidRPr="00405BA4">
        <w:t xml:space="preserve"> ≠ Group </w:t>
      </w:r>
      <w:r w:rsidR="00971729">
        <w:t>Z</w:t>
      </w:r>
      <w:r w:rsidRPr="00405BA4">
        <w:t>).</w:t>
      </w:r>
    </w:p>
    <w:p w14:paraId="7F70E517" w14:textId="77777777" w:rsidR="00875822" w:rsidRPr="00D320AA" w:rsidRDefault="00875822" w:rsidP="00875822">
      <w:pPr>
        <w:pStyle w:val="Heading3"/>
        <w:rPr>
          <w:lang w:val="en-US"/>
        </w:rPr>
      </w:pPr>
      <w:r w:rsidRPr="00D320AA">
        <w:rPr>
          <w:lang w:val="en-US"/>
        </w:rPr>
        <w:t>Sample selection</w:t>
      </w:r>
      <w:r>
        <w:rPr>
          <w:lang w:val="en-US"/>
        </w:rPr>
        <w:t xml:space="preserve"> and p</w:t>
      </w:r>
      <w:r w:rsidRPr="00D320AA">
        <w:rPr>
          <w:lang w:val="en-US"/>
        </w:rPr>
        <w:t>ower calculations</w:t>
      </w:r>
    </w:p>
    <w:p w14:paraId="66856E31" w14:textId="77777777" w:rsidR="007128B8" w:rsidRPr="007128B8" w:rsidRDefault="007128B8" w:rsidP="00E874AE">
      <w:pPr>
        <w:pStyle w:val="Heading4"/>
      </w:pPr>
      <w:r w:rsidRPr="007128B8">
        <w:t>Sample</w:t>
      </w:r>
    </w:p>
    <w:p w14:paraId="4D7A1F74" w14:textId="7862C15E" w:rsidR="00BB3BFB" w:rsidRDefault="007128B8" w:rsidP="007128B8">
      <w:pPr>
        <w:rPr>
          <w:rFonts w:asciiTheme="majorHAnsi" w:hAnsiTheme="majorHAnsi"/>
          <w:color w:val="000000"/>
        </w:rPr>
      </w:pPr>
      <w:r w:rsidRPr="007128B8">
        <w:rPr>
          <w:rFonts w:asciiTheme="majorHAnsi" w:hAnsiTheme="majorHAnsi"/>
          <w:color w:val="000000"/>
        </w:rPr>
        <w:t xml:space="preserve">We </w:t>
      </w:r>
      <w:r w:rsidR="00BB3BFB">
        <w:rPr>
          <w:rFonts w:asciiTheme="majorHAnsi" w:hAnsiTheme="majorHAnsi"/>
          <w:color w:val="000000"/>
        </w:rPr>
        <w:t xml:space="preserve">aimed to </w:t>
      </w:r>
      <w:r w:rsidRPr="007128B8">
        <w:rPr>
          <w:rFonts w:asciiTheme="majorHAnsi" w:hAnsiTheme="majorHAnsi"/>
          <w:color w:val="000000"/>
        </w:rPr>
        <w:t xml:space="preserve">recruit approximately 2,000 people from the survey panel provider Dynata. Participants </w:t>
      </w:r>
      <w:r w:rsidR="00B4000A">
        <w:rPr>
          <w:rFonts w:asciiTheme="majorHAnsi" w:hAnsiTheme="majorHAnsi"/>
          <w:color w:val="000000"/>
        </w:rPr>
        <w:t xml:space="preserve">were </w:t>
      </w:r>
      <w:r w:rsidRPr="007128B8">
        <w:rPr>
          <w:rFonts w:asciiTheme="majorHAnsi" w:hAnsiTheme="majorHAnsi"/>
          <w:color w:val="000000"/>
        </w:rPr>
        <w:t xml:space="preserve">eligible if they </w:t>
      </w:r>
      <w:r w:rsidR="00B4000A">
        <w:rPr>
          <w:rFonts w:asciiTheme="majorHAnsi" w:hAnsiTheme="majorHAnsi"/>
          <w:color w:val="000000"/>
        </w:rPr>
        <w:t xml:space="preserve">were </w:t>
      </w:r>
      <w:r w:rsidRPr="007128B8">
        <w:rPr>
          <w:rFonts w:asciiTheme="majorHAnsi" w:hAnsiTheme="majorHAnsi"/>
          <w:color w:val="000000"/>
        </w:rPr>
        <w:t>Australian resident</w:t>
      </w:r>
      <w:r w:rsidR="00B4000A">
        <w:rPr>
          <w:rFonts w:asciiTheme="majorHAnsi" w:hAnsiTheme="majorHAnsi"/>
          <w:color w:val="000000"/>
        </w:rPr>
        <w:t xml:space="preserve">s with a superannuation account, aged </w:t>
      </w:r>
      <w:r w:rsidRPr="007128B8">
        <w:rPr>
          <w:rFonts w:asciiTheme="majorHAnsi" w:hAnsiTheme="majorHAnsi"/>
          <w:color w:val="000000"/>
        </w:rPr>
        <w:t>between 18 and 64</w:t>
      </w:r>
      <w:r w:rsidR="00B4000A">
        <w:rPr>
          <w:rFonts w:asciiTheme="majorHAnsi" w:hAnsiTheme="majorHAnsi"/>
          <w:color w:val="000000"/>
        </w:rPr>
        <w:t xml:space="preserve"> years</w:t>
      </w:r>
      <w:r w:rsidRPr="007128B8">
        <w:rPr>
          <w:rFonts w:asciiTheme="majorHAnsi" w:hAnsiTheme="majorHAnsi"/>
          <w:color w:val="000000"/>
        </w:rPr>
        <w:t xml:space="preserve">. The sample </w:t>
      </w:r>
      <w:r w:rsidR="00BB3BFB">
        <w:rPr>
          <w:rFonts w:asciiTheme="majorHAnsi" w:hAnsiTheme="majorHAnsi"/>
          <w:color w:val="000000"/>
        </w:rPr>
        <w:t>also had quotas on</w:t>
      </w:r>
      <w:r w:rsidRPr="007128B8">
        <w:rPr>
          <w:rFonts w:asciiTheme="majorHAnsi" w:hAnsiTheme="majorHAnsi"/>
          <w:color w:val="000000"/>
        </w:rPr>
        <w:t xml:space="preserve"> age, gender and metro-regional splits </w:t>
      </w:r>
      <w:r w:rsidR="00B4000A">
        <w:rPr>
          <w:rFonts w:asciiTheme="majorHAnsi" w:hAnsiTheme="majorHAnsi"/>
          <w:color w:val="000000"/>
        </w:rPr>
        <w:t xml:space="preserve">so </w:t>
      </w:r>
      <w:r w:rsidR="00BB3BFB">
        <w:rPr>
          <w:rFonts w:asciiTheme="majorHAnsi" w:hAnsiTheme="majorHAnsi"/>
          <w:color w:val="000000"/>
        </w:rPr>
        <w:t xml:space="preserve">the sample </w:t>
      </w:r>
      <w:r w:rsidR="00B4000A">
        <w:rPr>
          <w:rFonts w:asciiTheme="majorHAnsi" w:hAnsiTheme="majorHAnsi"/>
          <w:color w:val="000000"/>
        </w:rPr>
        <w:t xml:space="preserve">was close to </w:t>
      </w:r>
      <w:r w:rsidR="00BB3BFB">
        <w:rPr>
          <w:rFonts w:asciiTheme="majorHAnsi" w:hAnsiTheme="majorHAnsi"/>
          <w:color w:val="000000"/>
        </w:rPr>
        <w:t>n</w:t>
      </w:r>
      <w:r w:rsidRPr="007128B8">
        <w:rPr>
          <w:rFonts w:asciiTheme="majorHAnsi" w:hAnsiTheme="majorHAnsi"/>
          <w:color w:val="000000"/>
        </w:rPr>
        <w:t>ationally representative</w:t>
      </w:r>
      <w:r w:rsidR="00BB3BFB">
        <w:rPr>
          <w:rFonts w:asciiTheme="majorHAnsi" w:hAnsiTheme="majorHAnsi"/>
          <w:color w:val="000000"/>
        </w:rPr>
        <w:t xml:space="preserve"> along these variables. </w:t>
      </w:r>
      <w:r w:rsidR="009458A8">
        <w:rPr>
          <w:rFonts w:asciiTheme="majorHAnsi" w:hAnsiTheme="majorHAnsi"/>
          <w:color w:val="000000"/>
        </w:rPr>
        <w:t>W</w:t>
      </w:r>
      <w:r w:rsidR="00053B0B" w:rsidRPr="00053B0B">
        <w:rPr>
          <w:rFonts w:asciiTheme="majorHAnsi" w:hAnsiTheme="majorHAnsi"/>
          <w:color w:val="000000"/>
        </w:rPr>
        <w:t xml:space="preserve">e excluded potential participants who </w:t>
      </w:r>
      <w:r w:rsidR="00053B0B">
        <w:rPr>
          <w:rFonts w:asciiTheme="majorHAnsi" w:hAnsiTheme="majorHAnsi"/>
          <w:color w:val="000000"/>
        </w:rPr>
        <w:t xml:space="preserve">stated that they did not currently have a super fund and did not expect to need to have a super fund in the next 12 months. </w:t>
      </w:r>
      <w:r w:rsidR="00836511">
        <w:rPr>
          <w:rFonts w:asciiTheme="majorHAnsi" w:hAnsiTheme="majorHAnsi"/>
          <w:color w:val="000000"/>
        </w:rPr>
        <w:t xml:space="preserve"> </w:t>
      </w:r>
    </w:p>
    <w:p w14:paraId="27E131FB" w14:textId="6329307E" w:rsidR="007128B8" w:rsidRPr="007128B8" w:rsidRDefault="009458A8" w:rsidP="007128B8">
      <w:pPr>
        <w:rPr>
          <w:rFonts w:asciiTheme="majorHAnsi" w:hAnsiTheme="majorHAnsi"/>
          <w:color w:val="000000"/>
        </w:rPr>
      </w:pPr>
      <w:r>
        <w:rPr>
          <w:rFonts w:asciiTheme="majorHAnsi" w:hAnsiTheme="majorHAnsi"/>
          <w:color w:val="000000"/>
        </w:rPr>
        <w:t>W</w:t>
      </w:r>
      <w:r w:rsidR="00BB3BFB" w:rsidRPr="00AE63B7">
        <w:rPr>
          <w:rFonts w:asciiTheme="majorHAnsi" w:hAnsiTheme="majorHAnsi"/>
        </w:rPr>
        <w:t xml:space="preserve">e </w:t>
      </w:r>
      <w:r w:rsidR="007128B8" w:rsidRPr="00AE63B7">
        <w:rPr>
          <w:rFonts w:asciiTheme="majorHAnsi" w:hAnsiTheme="majorHAnsi"/>
        </w:rPr>
        <w:t>exclude</w:t>
      </w:r>
      <w:r w:rsidR="00BB3BFB" w:rsidRPr="00AE63B7">
        <w:rPr>
          <w:rFonts w:asciiTheme="majorHAnsi" w:hAnsiTheme="majorHAnsi"/>
        </w:rPr>
        <w:t>d</w:t>
      </w:r>
      <w:r w:rsidR="007128B8" w:rsidRPr="00AE63B7">
        <w:rPr>
          <w:rFonts w:asciiTheme="majorHAnsi" w:hAnsiTheme="majorHAnsi"/>
        </w:rPr>
        <w:t xml:space="preserve"> </w:t>
      </w:r>
      <w:r w:rsidR="00BB3BFB" w:rsidRPr="00AE63B7">
        <w:rPr>
          <w:rFonts w:asciiTheme="majorHAnsi" w:hAnsiTheme="majorHAnsi"/>
        </w:rPr>
        <w:t>any responses that took</w:t>
      </w:r>
      <w:r w:rsidR="007128B8" w:rsidRPr="00AE63B7">
        <w:rPr>
          <w:rFonts w:asciiTheme="majorHAnsi" w:hAnsiTheme="majorHAnsi"/>
        </w:rPr>
        <w:t xml:space="preserve"> less than 2 minutes and 30 seconds to complete the survey. </w:t>
      </w:r>
      <w:r w:rsidR="00BB3BFB" w:rsidRPr="00AE63B7">
        <w:rPr>
          <w:rFonts w:asciiTheme="majorHAnsi" w:hAnsiTheme="majorHAnsi"/>
        </w:rPr>
        <w:t>This threshold was based on internal testing</w:t>
      </w:r>
      <w:r>
        <w:rPr>
          <w:rFonts w:asciiTheme="majorHAnsi" w:hAnsiTheme="majorHAnsi"/>
        </w:rPr>
        <w:t>, prior to launching the survey,</w:t>
      </w:r>
      <w:r w:rsidR="00BB3BFB" w:rsidRPr="00AE63B7">
        <w:rPr>
          <w:rFonts w:asciiTheme="majorHAnsi" w:hAnsiTheme="majorHAnsi"/>
        </w:rPr>
        <w:t xml:space="preserve"> of the time to complete the survey by members of the BETA team. </w:t>
      </w:r>
      <w:r w:rsidR="00163CBB">
        <w:rPr>
          <w:rFonts w:asciiTheme="majorHAnsi" w:hAnsiTheme="majorHAnsi"/>
        </w:rPr>
        <w:t xml:space="preserve">This was </w:t>
      </w:r>
      <w:r w:rsidR="00BB3BFB">
        <w:rPr>
          <w:rFonts w:asciiTheme="majorHAnsi" w:hAnsiTheme="majorHAnsi"/>
          <w:color w:val="000000"/>
        </w:rPr>
        <w:t>the limit</w:t>
      </w:r>
      <w:r w:rsidR="00BB3BFB" w:rsidRPr="00954085">
        <w:rPr>
          <w:rFonts w:asciiTheme="majorHAnsi" w:hAnsiTheme="majorHAnsi"/>
          <w:color w:val="000000"/>
        </w:rPr>
        <w:t xml:space="preserve"> below which we </w:t>
      </w:r>
      <w:r w:rsidR="00BB3BFB">
        <w:rPr>
          <w:rFonts w:asciiTheme="majorHAnsi" w:hAnsiTheme="majorHAnsi"/>
          <w:color w:val="000000"/>
        </w:rPr>
        <w:t xml:space="preserve">did </w:t>
      </w:r>
      <w:r w:rsidR="00BB3BFB" w:rsidRPr="00954085">
        <w:rPr>
          <w:rFonts w:asciiTheme="majorHAnsi" w:hAnsiTheme="majorHAnsi"/>
          <w:color w:val="000000"/>
        </w:rPr>
        <w:t>not believe people could have actually been reading and engaging with the survey</w:t>
      </w:r>
      <w:r w:rsidR="00BB3BFB">
        <w:rPr>
          <w:rFonts w:asciiTheme="majorHAnsi" w:hAnsiTheme="majorHAnsi"/>
          <w:color w:val="000000"/>
        </w:rPr>
        <w:t xml:space="preserve">. </w:t>
      </w:r>
    </w:p>
    <w:p w14:paraId="4A893AA5" w14:textId="45B94B7D" w:rsidR="00E874AE" w:rsidRPr="007128B8" w:rsidRDefault="00E874AE" w:rsidP="00E874AE">
      <w:pPr>
        <w:pStyle w:val="Heading4"/>
      </w:pPr>
      <w:r>
        <w:t>Power calculations</w:t>
      </w:r>
    </w:p>
    <w:p w14:paraId="2A825529" w14:textId="1B7F3709" w:rsidR="002332B0" w:rsidRPr="002332B0" w:rsidRDefault="002332B0" w:rsidP="00A820DF">
      <w:pPr>
        <w:rPr>
          <w:rFonts w:asciiTheme="majorHAnsi" w:hAnsiTheme="majorHAnsi"/>
          <w:i/>
          <w:color w:val="000000"/>
        </w:rPr>
      </w:pPr>
      <w:r w:rsidRPr="002332B0">
        <w:rPr>
          <w:rFonts w:asciiTheme="majorHAnsi" w:hAnsiTheme="majorHAnsi"/>
          <w:color w:val="000000"/>
        </w:rPr>
        <w:t xml:space="preserve">We used </w:t>
      </w:r>
      <w:r w:rsidR="00BB3BFB" w:rsidRPr="002332B0">
        <w:rPr>
          <w:rFonts w:asciiTheme="majorHAnsi" w:hAnsiTheme="majorHAnsi"/>
          <w:color w:val="000000"/>
        </w:rPr>
        <w:t>power</w:t>
      </w:r>
      <w:r w:rsidR="00A820DF" w:rsidRPr="002332B0">
        <w:rPr>
          <w:rFonts w:asciiTheme="majorHAnsi" w:hAnsiTheme="majorHAnsi"/>
          <w:color w:val="000000"/>
        </w:rPr>
        <w:t xml:space="preserve"> calculations </w:t>
      </w:r>
      <w:r w:rsidRPr="002332B0">
        <w:rPr>
          <w:rFonts w:asciiTheme="majorHAnsi" w:hAnsiTheme="majorHAnsi"/>
          <w:color w:val="000000"/>
        </w:rPr>
        <w:t xml:space="preserve">to determine the </w:t>
      </w:r>
      <w:r w:rsidR="00A820DF" w:rsidRPr="002332B0">
        <w:rPr>
          <w:rFonts w:asciiTheme="majorHAnsi" w:hAnsiTheme="majorHAnsi"/>
          <w:color w:val="000000"/>
        </w:rPr>
        <w:t xml:space="preserve">minimum detectable effect (MDE) </w:t>
      </w:r>
      <w:r w:rsidRPr="002332B0">
        <w:rPr>
          <w:rFonts w:asciiTheme="majorHAnsi" w:hAnsiTheme="majorHAnsi"/>
          <w:color w:val="000000"/>
        </w:rPr>
        <w:t xml:space="preserve">for </w:t>
      </w:r>
      <w:r w:rsidR="00F3090C">
        <w:rPr>
          <w:rFonts w:asciiTheme="majorHAnsi" w:hAnsiTheme="majorHAnsi"/>
          <w:color w:val="000000"/>
        </w:rPr>
        <w:t>Experiment one</w:t>
      </w:r>
      <w:r>
        <w:rPr>
          <w:rFonts w:asciiTheme="majorHAnsi" w:hAnsiTheme="majorHAnsi"/>
          <w:color w:val="000000"/>
        </w:rPr>
        <w:t xml:space="preserve"> based on an expected </w:t>
      </w:r>
      <w:r w:rsidRPr="00A820DF">
        <w:rPr>
          <w:rFonts w:asciiTheme="majorHAnsi" w:hAnsiTheme="majorHAnsi"/>
          <w:color w:val="000000"/>
        </w:rPr>
        <w:t xml:space="preserve">sample size </w:t>
      </w:r>
      <w:r>
        <w:rPr>
          <w:rFonts w:asciiTheme="majorHAnsi" w:hAnsiTheme="majorHAnsi"/>
          <w:color w:val="000000"/>
        </w:rPr>
        <w:t xml:space="preserve">of N = </w:t>
      </w:r>
      <w:r w:rsidRPr="00A820DF">
        <w:rPr>
          <w:rFonts w:asciiTheme="majorHAnsi" w:hAnsiTheme="majorHAnsi"/>
          <w:color w:val="000000"/>
        </w:rPr>
        <w:t>2,000 participants</w:t>
      </w:r>
      <w:r>
        <w:rPr>
          <w:rFonts w:asciiTheme="majorHAnsi" w:hAnsiTheme="majorHAnsi"/>
          <w:i/>
          <w:color w:val="000000"/>
        </w:rPr>
        <w:t>.</w:t>
      </w:r>
      <w:r w:rsidRPr="002332B0">
        <w:rPr>
          <w:rFonts w:asciiTheme="majorHAnsi" w:hAnsiTheme="majorHAnsi"/>
          <w:color w:val="000000"/>
        </w:rPr>
        <w:t xml:space="preserve"> </w:t>
      </w:r>
      <w:r>
        <w:rPr>
          <w:rFonts w:asciiTheme="majorHAnsi" w:hAnsiTheme="majorHAnsi"/>
          <w:color w:val="000000"/>
        </w:rPr>
        <w:t>W</w:t>
      </w:r>
      <w:r w:rsidR="00A820DF" w:rsidRPr="00A820DF">
        <w:rPr>
          <w:rFonts w:asciiTheme="majorHAnsi" w:hAnsiTheme="majorHAnsi"/>
          <w:color w:val="000000"/>
        </w:rPr>
        <w:t xml:space="preserve">e set alpha at 0.1 as we </w:t>
      </w:r>
      <w:r w:rsidR="00BB3BFB">
        <w:rPr>
          <w:rFonts w:asciiTheme="majorHAnsi" w:hAnsiTheme="majorHAnsi"/>
          <w:color w:val="000000"/>
        </w:rPr>
        <w:t xml:space="preserve">were less concerned with a </w:t>
      </w:r>
      <w:r w:rsidR="00A820DF" w:rsidRPr="00A820DF">
        <w:rPr>
          <w:rFonts w:asciiTheme="majorHAnsi" w:hAnsiTheme="majorHAnsi"/>
          <w:color w:val="000000"/>
        </w:rPr>
        <w:t>false positive</w:t>
      </w:r>
      <w:r>
        <w:rPr>
          <w:rFonts w:asciiTheme="majorHAnsi" w:hAnsiTheme="majorHAnsi"/>
          <w:color w:val="000000"/>
        </w:rPr>
        <w:t xml:space="preserve"> finding</w:t>
      </w:r>
      <w:r w:rsidR="00A820DF" w:rsidRPr="00A820DF">
        <w:rPr>
          <w:rFonts w:asciiTheme="majorHAnsi" w:hAnsiTheme="majorHAnsi"/>
          <w:color w:val="000000"/>
        </w:rPr>
        <w:t xml:space="preserve">. For all hypotheses </w:t>
      </w:r>
      <w:r>
        <w:rPr>
          <w:rFonts w:asciiTheme="majorHAnsi" w:hAnsiTheme="majorHAnsi"/>
          <w:color w:val="000000"/>
        </w:rPr>
        <w:t xml:space="preserve">in </w:t>
      </w:r>
      <w:r w:rsidR="00F3090C">
        <w:rPr>
          <w:rFonts w:asciiTheme="majorHAnsi" w:hAnsiTheme="majorHAnsi"/>
          <w:color w:val="000000"/>
        </w:rPr>
        <w:t>Experiment one</w:t>
      </w:r>
      <w:r>
        <w:rPr>
          <w:rFonts w:asciiTheme="majorHAnsi" w:hAnsiTheme="majorHAnsi"/>
          <w:color w:val="000000"/>
        </w:rPr>
        <w:t>,</w:t>
      </w:r>
      <w:r w:rsidR="00BB3BFB">
        <w:rPr>
          <w:rFonts w:asciiTheme="majorHAnsi" w:hAnsiTheme="majorHAnsi"/>
          <w:color w:val="000000"/>
        </w:rPr>
        <w:t xml:space="preserve"> </w:t>
      </w:r>
      <w:r w:rsidR="00A820DF" w:rsidRPr="00A820DF">
        <w:rPr>
          <w:rFonts w:asciiTheme="majorHAnsi" w:hAnsiTheme="majorHAnsi"/>
          <w:color w:val="000000"/>
        </w:rPr>
        <w:t>we conduct</w:t>
      </w:r>
      <w:r w:rsidR="00BB3BFB">
        <w:rPr>
          <w:rFonts w:asciiTheme="majorHAnsi" w:hAnsiTheme="majorHAnsi"/>
          <w:color w:val="000000"/>
        </w:rPr>
        <w:t>ed</w:t>
      </w:r>
      <w:r w:rsidR="00A820DF" w:rsidRPr="00A820DF">
        <w:rPr>
          <w:rFonts w:asciiTheme="majorHAnsi" w:hAnsiTheme="majorHAnsi"/>
          <w:color w:val="000000"/>
        </w:rPr>
        <w:t xml:space="preserve"> one-sided tests. </w:t>
      </w:r>
    </w:p>
    <w:p w14:paraId="24D37C94" w14:textId="052EA30A" w:rsidR="00A820DF" w:rsidRDefault="002332B0" w:rsidP="00A820DF">
      <w:pPr>
        <w:rPr>
          <w:rFonts w:asciiTheme="majorHAnsi" w:hAnsiTheme="majorHAnsi"/>
          <w:color w:val="000000"/>
        </w:rPr>
      </w:pPr>
      <w:r>
        <w:rPr>
          <w:rFonts w:asciiTheme="majorHAnsi" w:hAnsiTheme="majorHAnsi"/>
          <w:color w:val="000000"/>
        </w:rPr>
        <w:t>Based on these parameters, o</w:t>
      </w:r>
      <w:r w:rsidR="00A820DF" w:rsidRPr="00A820DF">
        <w:rPr>
          <w:rFonts w:asciiTheme="majorHAnsi" w:hAnsiTheme="majorHAnsi"/>
          <w:color w:val="000000"/>
        </w:rPr>
        <w:t>ur calculations suggest</w:t>
      </w:r>
      <w:r w:rsidR="00BB3BFB">
        <w:rPr>
          <w:rFonts w:asciiTheme="majorHAnsi" w:hAnsiTheme="majorHAnsi"/>
          <w:color w:val="000000"/>
        </w:rPr>
        <w:t>ed</w:t>
      </w:r>
      <w:r w:rsidR="00A820DF" w:rsidRPr="00A820DF">
        <w:rPr>
          <w:rFonts w:asciiTheme="majorHAnsi" w:hAnsiTheme="majorHAnsi"/>
          <w:color w:val="000000"/>
        </w:rPr>
        <w:t xml:space="preserve"> that we </w:t>
      </w:r>
      <w:r w:rsidR="00BB3BFB">
        <w:rPr>
          <w:rFonts w:asciiTheme="majorHAnsi" w:hAnsiTheme="majorHAnsi"/>
          <w:color w:val="000000"/>
        </w:rPr>
        <w:t>would</w:t>
      </w:r>
      <w:r w:rsidR="00A820DF" w:rsidRPr="00A820DF">
        <w:rPr>
          <w:rFonts w:asciiTheme="majorHAnsi" w:hAnsiTheme="majorHAnsi"/>
          <w:color w:val="000000"/>
        </w:rPr>
        <w:t xml:space="preserve"> have 95% power to detect an effect size of </w:t>
      </w:r>
      <w:r w:rsidR="00A820DF" w:rsidRPr="00A820DF">
        <w:rPr>
          <w:rFonts w:asciiTheme="majorHAnsi" w:hAnsiTheme="majorHAnsi"/>
          <w:i/>
          <w:iCs/>
          <w:color w:val="000000"/>
        </w:rPr>
        <w:t>d</w:t>
      </w:r>
      <w:r w:rsidR="00A820DF" w:rsidRPr="00A820DF">
        <w:rPr>
          <w:rFonts w:asciiTheme="majorHAnsi" w:hAnsiTheme="majorHAnsi"/>
          <w:color w:val="000000"/>
        </w:rPr>
        <w:t xml:space="preserve"> = 0.1</w:t>
      </w:r>
      <w:r>
        <w:rPr>
          <w:rFonts w:asciiTheme="majorHAnsi" w:hAnsiTheme="majorHAnsi"/>
          <w:color w:val="000000"/>
        </w:rPr>
        <w:t>6. For the ‘choice of fund’ outcome, this equated</w:t>
      </w:r>
      <w:r w:rsidR="00A820DF" w:rsidRPr="00A820DF">
        <w:rPr>
          <w:rFonts w:asciiTheme="majorHAnsi" w:hAnsiTheme="majorHAnsi"/>
          <w:color w:val="000000"/>
        </w:rPr>
        <w:t xml:space="preserve"> to </w:t>
      </w:r>
      <w:r w:rsidR="009451B8">
        <w:rPr>
          <w:rFonts w:asciiTheme="majorHAnsi" w:hAnsiTheme="majorHAnsi"/>
          <w:color w:val="000000"/>
        </w:rPr>
        <w:t>a difference of</w:t>
      </w:r>
      <w:r w:rsidR="009451B8" w:rsidRPr="00A820DF">
        <w:rPr>
          <w:rFonts w:asciiTheme="majorHAnsi" w:hAnsiTheme="majorHAnsi"/>
          <w:color w:val="000000"/>
        </w:rPr>
        <w:t xml:space="preserve"> </w:t>
      </w:r>
      <w:r w:rsidR="00A820DF" w:rsidRPr="00A820DF">
        <w:rPr>
          <w:rFonts w:asciiTheme="majorHAnsi" w:hAnsiTheme="majorHAnsi"/>
          <w:color w:val="000000"/>
        </w:rPr>
        <w:t xml:space="preserve">0.3 </w:t>
      </w:r>
      <w:r w:rsidR="009451B8">
        <w:rPr>
          <w:rFonts w:asciiTheme="majorHAnsi" w:hAnsiTheme="majorHAnsi"/>
          <w:color w:val="000000"/>
        </w:rPr>
        <w:t xml:space="preserve">scale points, </w:t>
      </w:r>
      <w:r w:rsidR="00A820DF" w:rsidRPr="00A820DF">
        <w:rPr>
          <w:rFonts w:asciiTheme="majorHAnsi" w:hAnsiTheme="majorHAnsi"/>
          <w:color w:val="000000"/>
        </w:rPr>
        <w:t xml:space="preserve">assuming a pooled standard deviation of </w:t>
      </w:r>
      <w:r>
        <w:rPr>
          <w:rFonts w:asciiTheme="majorHAnsi" w:hAnsiTheme="majorHAnsi"/>
          <w:color w:val="000000"/>
        </w:rPr>
        <w:t xml:space="preserve">3 </w:t>
      </w:r>
      <w:r w:rsidR="009451B8">
        <w:rPr>
          <w:rFonts w:asciiTheme="majorHAnsi" w:hAnsiTheme="majorHAnsi"/>
          <w:color w:val="000000"/>
        </w:rPr>
        <w:t>scale points</w:t>
      </w:r>
      <w:r>
        <w:rPr>
          <w:rFonts w:asciiTheme="majorHAnsi" w:hAnsiTheme="majorHAnsi"/>
          <w:color w:val="000000"/>
        </w:rPr>
        <w:t xml:space="preserve">. For the ‘time to </w:t>
      </w:r>
      <w:r w:rsidR="00A820DF" w:rsidRPr="00A820DF">
        <w:rPr>
          <w:rFonts w:asciiTheme="majorHAnsi" w:hAnsiTheme="majorHAnsi"/>
          <w:color w:val="000000"/>
        </w:rPr>
        <w:t>complete</w:t>
      </w:r>
      <w:r>
        <w:rPr>
          <w:rFonts w:asciiTheme="majorHAnsi" w:hAnsiTheme="majorHAnsi"/>
          <w:color w:val="000000"/>
        </w:rPr>
        <w:t>’ outcome</w:t>
      </w:r>
      <w:r w:rsidR="00A820DF" w:rsidRPr="00A820DF">
        <w:rPr>
          <w:rFonts w:asciiTheme="majorHAnsi" w:hAnsiTheme="majorHAnsi"/>
          <w:color w:val="000000"/>
        </w:rPr>
        <w:t xml:space="preserve">, this </w:t>
      </w:r>
      <w:r>
        <w:rPr>
          <w:rFonts w:asciiTheme="majorHAnsi" w:hAnsiTheme="majorHAnsi"/>
          <w:color w:val="000000"/>
        </w:rPr>
        <w:t>represented</w:t>
      </w:r>
      <w:r w:rsidR="00A820DF" w:rsidRPr="00A820DF">
        <w:rPr>
          <w:rFonts w:asciiTheme="majorHAnsi" w:hAnsiTheme="majorHAnsi"/>
          <w:color w:val="000000"/>
        </w:rPr>
        <w:t xml:space="preserve"> a difference of less than a second assuming a pooled standard deviation of around 15 seconds.</w:t>
      </w:r>
      <w:r w:rsidR="00160FA6">
        <w:rPr>
          <w:rFonts w:asciiTheme="majorHAnsi" w:hAnsiTheme="majorHAnsi"/>
          <w:color w:val="000000"/>
        </w:rPr>
        <w:t xml:space="preserve"> </w:t>
      </w:r>
    </w:p>
    <w:p w14:paraId="42127862" w14:textId="5E8D8852" w:rsidR="00875822" w:rsidRDefault="00875822" w:rsidP="00BB3BFB">
      <w:pPr>
        <w:pStyle w:val="Heading3"/>
        <w:rPr>
          <w:lang w:val="en-US" w:eastAsia="en-US"/>
        </w:rPr>
      </w:pPr>
      <w:r w:rsidRPr="00F76CC6">
        <w:rPr>
          <w:lang w:val="en-US" w:eastAsia="en-US"/>
        </w:rPr>
        <w:t>Analysis</w:t>
      </w:r>
    </w:p>
    <w:p w14:paraId="365CCA4E" w14:textId="77777777" w:rsidR="00D77A66" w:rsidRPr="00A079CA" w:rsidRDefault="00D77A66" w:rsidP="00D77A66">
      <w:pPr>
        <w:pStyle w:val="Heading4"/>
      </w:pPr>
      <w:r w:rsidRPr="00A079CA">
        <w:t>Primary Analysis</w:t>
      </w:r>
    </w:p>
    <w:p w14:paraId="20C9F59E" w14:textId="7A6F19CD" w:rsidR="00D77A66" w:rsidRPr="00E04B6D" w:rsidRDefault="00BD3857" w:rsidP="00E04B6D">
      <w:pPr>
        <w:rPr>
          <w:rFonts w:asciiTheme="majorHAnsi" w:hAnsiTheme="majorHAnsi"/>
          <w:color w:val="000000"/>
        </w:rPr>
      </w:pPr>
      <w:r w:rsidRPr="00E04B6D">
        <w:rPr>
          <w:rFonts w:asciiTheme="majorHAnsi" w:hAnsiTheme="majorHAnsi"/>
          <w:color w:val="000000"/>
        </w:rPr>
        <w:t xml:space="preserve">For our </w:t>
      </w:r>
      <w:r w:rsidR="00D77A66" w:rsidRPr="00E04B6D">
        <w:rPr>
          <w:rFonts w:asciiTheme="majorHAnsi" w:hAnsiTheme="majorHAnsi"/>
          <w:color w:val="000000"/>
        </w:rPr>
        <w:t xml:space="preserve">analysis </w:t>
      </w:r>
      <w:r w:rsidR="00E04B6D" w:rsidRPr="00E04B6D">
        <w:rPr>
          <w:rFonts w:asciiTheme="majorHAnsi" w:hAnsiTheme="majorHAnsi"/>
          <w:color w:val="000000"/>
        </w:rPr>
        <w:t xml:space="preserve">of </w:t>
      </w:r>
      <w:r w:rsidR="00F3090C">
        <w:rPr>
          <w:rFonts w:asciiTheme="majorHAnsi" w:hAnsiTheme="majorHAnsi"/>
          <w:color w:val="000000"/>
        </w:rPr>
        <w:t>Experiment one</w:t>
      </w:r>
      <w:r w:rsidR="00E04B6D" w:rsidRPr="00E04B6D">
        <w:rPr>
          <w:rFonts w:asciiTheme="majorHAnsi" w:hAnsiTheme="majorHAnsi"/>
          <w:color w:val="000000"/>
        </w:rPr>
        <w:t xml:space="preserve"> </w:t>
      </w:r>
      <w:r w:rsidR="00D77A66" w:rsidRPr="00E04B6D">
        <w:rPr>
          <w:rFonts w:asciiTheme="majorHAnsi" w:hAnsiTheme="majorHAnsi"/>
          <w:color w:val="000000"/>
        </w:rPr>
        <w:t>we used ordinary least squares (OLS) regression to estimate the effects of our intervention. The following model was used:</w:t>
      </w:r>
    </w:p>
    <w:p w14:paraId="7EE07BB9" w14:textId="3C3CC62C" w:rsidR="00D77A66" w:rsidRDefault="00D77A66" w:rsidP="00D77A66">
      <w:pPr>
        <w:pStyle w:val="ListBullet"/>
        <w:numPr>
          <w:ilvl w:val="0"/>
          <w:numId w:val="0"/>
        </w:numPr>
      </w:pPr>
      <m:oMathPara>
        <m:oMath>
          <m:r>
            <w:rPr>
              <w:rFonts w:ascii="Cambria Math" w:hAnsi="Cambria Math"/>
            </w:rPr>
            <m:t>Y= α+ βT+ δX+ΩTX+ ε</m:t>
          </m:r>
        </m:oMath>
      </m:oMathPara>
    </w:p>
    <w:p w14:paraId="04F7536F" w14:textId="5E76BBD1" w:rsidR="00D77A66" w:rsidRPr="00E04B6D" w:rsidRDefault="00D77A66" w:rsidP="00E04B6D">
      <w:pPr>
        <w:rPr>
          <w:rFonts w:asciiTheme="majorHAnsi" w:hAnsiTheme="majorHAnsi"/>
          <w:color w:val="000000"/>
        </w:rPr>
      </w:pPr>
      <w:r w:rsidRPr="00E04B6D">
        <w:rPr>
          <w:rFonts w:asciiTheme="majorHAnsi" w:hAnsiTheme="majorHAnsi"/>
          <w:color w:val="000000"/>
        </w:rPr>
        <w:t xml:space="preserve">Where </w:t>
      </w:r>
      <m:oMath>
        <m:r>
          <w:rPr>
            <w:rFonts w:ascii="Cambria Math" w:hAnsi="Cambria Math"/>
            <w:color w:val="000000"/>
          </w:rPr>
          <m:t>Y</m:t>
        </m:r>
      </m:oMath>
      <w:r w:rsidRPr="00E04B6D" w:rsidDel="008C344A">
        <w:rPr>
          <w:rFonts w:asciiTheme="majorHAnsi" w:hAnsiTheme="majorHAnsi"/>
          <w:color w:val="000000"/>
        </w:rPr>
        <w:t xml:space="preserve"> </w:t>
      </w:r>
      <w:r w:rsidR="00BD3857" w:rsidRPr="00E04B6D">
        <w:rPr>
          <w:rFonts w:asciiTheme="majorHAnsi" w:hAnsiTheme="majorHAnsi"/>
          <w:color w:val="000000"/>
        </w:rPr>
        <w:t>wa</w:t>
      </w:r>
      <w:r w:rsidRPr="00E04B6D">
        <w:rPr>
          <w:rFonts w:asciiTheme="majorHAnsi" w:hAnsiTheme="majorHAnsi"/>
          <w:color w:val="000000"/>
        </w:rPr>
        <w:t xml:space="preserve">s the primary outcome variable, </w:t>
      </w:r>
      <m:oMath>
        <m:r>
          <w:rPr>
            <w:rFonts w:ascii="Cambria Math" w:hAnsi="Cambria Math"/>
            <w:color w:val="000000"/>
          </w:rPr>
          <m:t>T</m:t>
        </m:r>
      </m:oMath>
      <w:r w:rsidR="00BD3857" w:rsidRPr="00E04B6D">
        <w:rPr>
          <w:rFonts w:asciiTheme="majorHAnsi" w:hAnsiTheme="majorHAnsi"/>
          <w:color w:val="000000"/>
        </w:rPr>
        <w:t xml:space="preserve"> wa</w:t>
      </w:r>
      <w:r w:rsidRPr="00E04B6D">
        <w:rPr>
          <w:rFonts w:asciiTheme="majorHAnsi" w:hAnsiTheme="majorHAnsi"/>
          <w:color w:val="000000"/>
        </w:rPr>
        <w:t>s a binary variable indicating if the individual was in treatment arm B or C</w:t>
      </w:r>
      <w:r w:rsidR="00B4000A">
        <w:rPr>
          <w:rFonts w:asciiTheme="majorHAnsi" w:hAnsiTheme="majorHAnsi"/>
          <w:color w:val="000000"/>
        </w:rPr>
        <w:t xml:space="preserve"> </w:t>
      </w:r>
      <w:r w:rsidR="00EB04DE">
        <w:rPr>
          <w:rFonts w:asciiTheme="majorHAnsi" w:hAnsiTheme="majorHAnsi"/>
          <w:color w:val="000000"/>
        </w:rPr>
        <w:t xml:space="preserve">depending on the hypotheses being assessed </w:t>
      </w:r>
      <w:r w:rsidR="00B4000A">
        <w:rPr>
          <w:rFonts w:asciiTheme="majorHAnsi" w:hAnsiTheme="majorHAnsi"/>
          <w:color w:val="000000"/>
        </w:rPr>
        <w:t>(the base group was arm A in both cases)</w:t>
      </w:r>
      <w:r w:rsidRPr="00E04B6D">
        <w:rPr>
          <w:rFonts w:asciiTheme="majorHAnsi" w:hAnsiTheme="majorHAnsi"/>
          <w:color w:val="000000"/>
        </w:rPr>
        <w:t xml:space="preserve">, </w:t>
      </w:r>
      <m:oMath>
        <m:r>
          <w:rPr>
            <w:rFonts w:ascii="Cambria Math" w:hAnsi="Cambria Math"/>
            <w:color w:val="000000"/>
          </w:rPr>
          <m:t>X</m:t>
        </m:r>
      </m:oMath>
      <w:r w:rsidRPr="00E04B6D">
        <w:rPr>
          <w:rFonts w:asciiTheme="majorHAnsi" w:hAnsiTheme="majorHAnsi"/>
          <w:color w:val="000000"/>
        </w:rPr>
        <w:t xml:space="preserve"> </w:t>
      </w:r>
      <w:r w:rsidR="00EB04DE">
        <w:rPr>
          <w:rFonts w:asciiTheme="majorHAnsi" w:hAnsiTheme="majorHAnsi"/>
          <w:color w:val="000000"/>
        </w:rPr>
        <w:t>was</w:t>
      </w:r>
      <w:r w:rsidR="00EB04DE" w:rsidRPr="00E04B6D">
        <w:rPr>
          <w:rFonts w:asciiTheme="majorHAnsi" w:hAnsiTheme="majorHAnsi"/>
          <w:color w:val="000000"/>
        </w:rPr>
        <w:t xml:space="preserve"> </w:t>
      </w:r>
      <w:r w:rsidRPr="00E04B6D">
        <w:rPr>
          <w:rFonts w:asciiTheme="majorHAnsi" w:hAnsiTheme="majorHAnsi"/>
          <w:color w:val="000000"/>
        </w:rPr>
        <w:t xml:space="preserve">a binary covariate for education (set to 1 </w:t>
      </w:r>
      <w:r w:rsidR="00EB04DE">
        <w:rPr>
          <w:rFonts w:asciiTheme="majorHAnsi" w:hAnsiTheme="majorHAnsi"/>
          <w:color w:val="000000"/>
        </w:rPr>
        <w:t>for university</w:t>
      </w:r>
      <w:r w:rsidRPr="00E04B6D">
        <w:rPr>
          <w:rFonts w:asciiTheme="majorHAnsi" w:hAnsiTheme="majorHAnsi"/>
          <w:color w:val="000000"/>
        </w:rPr>
        <w:t xml:space="preserve"> training or higher, and 0 </w:t>
      </w:r>
      <w:r w:rsidR="00EB04DE">
        <w:rPr>
          <w:rFonts w:asciiTheme="majorHAnsi" w:hAnsiTheme="majorHAnsi"/>
          <w:color w:val="000000"/>
        </w:rPr>
        <w:t>for</w:t>
      </w:r>
      <w:r w:rsidRPr="00E04B6D">
        <w:rPr>
          <w:rFonts w:asciiTheme="majorHAnsi" w:hAnsiTheme="majorHAnsi"/>
          <w:color w:val="000000"/>
        </w:rPr>
        <w:t xml:space="preserve"> below university training) and </w:t>
      </w:r>
      <m:oMath>
        <m:r>
          <w:rPr>
            <w:rFonts w:ascii="Cambria Math" w:hAnsi="Cambria Math"/>
            <w:color w:val="000000"/>
          </w:rPr>
          <m:t>TX</m:t>
        </m:r>
      </m:oMath>
      <w:r w:rsidRPr="00E04B6D">
        <w:rPr>
          <w:rFonts w:asciiTheme="majorHAnsi" w:hAnsiTheme="majorHAnsi"/>
          <w:color w:val="000000"/>
        </w:rPr>
        <w:t xml:space="preserve"> is </w:t>
      </w:r>
      <w:r w:rsidR="00EB04DE">
        <w:rPr>
          <w:rFonts w:asciiTheme="majorHAnsi" w:hAnsiTheme="majorHAnsi"/>
          <w:color w:val="000000"/>
        </w:rPr>
        <w:t>an</w:t>
      </w:r>
      <w:r w:rsidRPr="00E04B6D">
        <w:rPr>
          <w:rFonts w:asciiTheme="majorHAnsi" w:hAnsiTheme="majorHAnsi"/>
          <w:color w:val="000000"/>
        </w:rPr>
        <w:t xml:space="preserve"> interaction between </w:t>
      </w:r>
      <w:r w:rsidR="00EB04DE">
        <w:rPr>
          <w:rFonts w:asciiTheme="majorHAnsi" w:hAnsiTheme="majorHAnsi"/>
          <w:color w:val="000000"/>
        </w:rPr>
        <w:t>the treatment indicator</w:t>
      </w:r>
      <w:r w:rsidRPr="00E04B6D">
        <w:rPr>
          <w:rFonts w:asciiTheme="majorHAnsi" w:hAnsiTheme="majorHAnsi"/>
          <w:color w:val="000000"/>
        </w:rPr>
        <w:t xml:space="preserve"> and </w:t>
      </w:r>
      <w:r w:rsidR="00E04B6D" w:rsidRPr="00E04B6D">
        <w:rPr>
          <w:rFonts w:asciiTheme="majorHAnsi" w:hAnsiTheme="majorHAnsi"/>
          <w:color w:val="000000"/>
        </w:rPr>
        <w:t xml:space="preserve">the </w:t>
      </w:r>
      <w:r w:rsidRPr="00E04B6D">
        <w:rPr>
          <w:rFonts w:asciiTheme="majorHAnsi" w:hAnsiTheme="majorHAnsi"/>
          <w:color w:val="000000"/>
        </w:rPr>
        <w:t>education</w:t>
      </w:r>
      <w:r w:rsidR="00E04B6D" w:rsidRPr="00E04B6D">
        <w:rPr>
          <w:rFonts w:asciiTheme="majorHAnsi" w:hAnsiTheme="majorHAnsi"/>
          <w:color w:val="000000"/>
        </w:rPr>
        <w:t xml:space="preserve"> covariate</w:t>
      </w:r>
      <w:r w:rsidRPr="00E04B6D">
        <w:rPr>
          <w:rFonts w:asciiTheme="majorHAnsi" w:hAnsiTheme="majorHAnsi"/>
          <w:color w:val="000000"/>
        </w:rPr>
        <w:t xml:space="preserve">. </w:t>
      </w:r>
    </w:p>
    <w:p w14:paraId="42B894EA" w14:textId="133DBCE5" w:rsidR="00E04B6D" w:rsidRPr="00E04B6D" w:rsidRDefault="00E04B6D" w:rsidP="00E04B6D">
      <w:pPr>
        <w:rPr>
          <w:rFonts w:asciiTheme="majorHAnsi" w:hAnsiTheme="majorHAnsi"/>
          <w:color w:val="000000"/>
        </w:rPr>
      </w:pPr>
      <w:r w:rsidRPr="00E04B6D">
        <w:rPr>
          <w:rFonts w:asciiTheme="majorHAnsi" w:hAnsiTheme="majorHAnsi"/>
          <w:color w:val="000000"/>
        </w:rPr>
        <w:lastRenderedPageBreak/>
        <w:t xml:space="preserve">For </w:t>
      </w:r>
      <w:r w:rsidR="00F3090C">
        <w:rPr>
          <w:rFonts w:asciiTheme="majorHAnsi" w:hAnsiTheme="majorHAnsi"/>
          <w:color w:val="000000"/>
        </w:rPr>
        <w:t>Experiment two</w:t>
      </w:r>
      <w:r w:rsidRPr="00E04B6D">
        <w:rPr>
          <w:rFonts w:asciiTheme="majorHAnsi" w:hAnsiTheme="majorHAnsi"/>
          <w:color w:val="000000"/>
        </w:rPr>
        <w:t xml:space="preserve">, we used the same </w:t>
      </w:r>
      <w:r w:rsidR="00EB04DE">
        <w:rPr>
          <w:rFonts w:asciiTheme="majorHAnsi" w:hAnsiTheme="majorHAnsi"/>
          <w:color w:val="000000"/>
        </w:rPr>
        <w:t>model</w:t>
      </w:r>
      <w:r w:rsidR="00EB04DE" w:rsidRPr="00E04B6D">
        <w:rPr>
          <w:rFonts w:asciiTheme="majorHAnsi" w:hAnsiTheme="majorHAnsi"/>
          <w:color w:val="000000"/>
        </w:rPr>
        <w:t xml:space="preserve"> </w:t>
      </w:r>
      <w:r w:rsidRPr="00E04B6D">
        <w:rPr>
          <w:rFonts w:asciiTheme="majorHAnsi" w:hAnsiTheme="majorHAnsi"/>
          <w:color w:val="000000"/>
        </w:rPr>
        <w:t>except that the treatment variable</w:t>
      </w:r>
      <w:r w:rsidR="008E1160">
        <w:rPr>
          <w:rFonts w:asciiTheme="majorHAnsi" w:hAnsiTheme="majorHAnsi"/>
          <w:color w:val="000000"/>
        </w:rPr>
        <w:t xml:space="preserve"> </w:t>
      </w:r>
      <m:oMath>
        <m:r>
          <w:rPr>
            <w:rFonts w:ascii="Cambria Math" w:hAnsi="Cambria Math"/>
            <w:color w:val="000000"/>
          </w:rPr>
          <m:t>T</m:t>
        </m:r>
      </m:oMath>
      <w:r w:rsidRPr="00E04B6D">
        <w:rPr>
          <w:rFonts w:asciiTheme="majorHAnsi" w:hAnsiTheme="majorHAnsi"/>
          <w:color w:val="000000"/>
        </w:rPr>
        <w:t xml:space="preserve"> indicated whether the individual was in treatment arm X, Y or Z. Specifically:</w:t>
      </w:r>
    </w:p>
    <w:p w14:paraId="1F487A1B" w14:textId="658B57B8" w:rsidR="00D77A66" w:rsidRDefault="00D77A66" w:rsidP="00BD20D5">
      <w:pPr>
        <w:pStyle w:val="ListBullet"/>
        <w:numPr>
          <w:ilvl w:val="0"/>
          <w:numId w:val="12"/>
        </w:numPr>
        <w:spacing w:before="120" w:after="120" w:line="320" w:lineRule="atLeast"/>
        <w:ind w:left="360"/>
        <w:contextualSpacing w:val="0"/>
      </w:pPr>
      <w:r>
        <w:t xml:space="preserve">For hypothesis 2.1, the base group </w:t>
      </w:r>
      <w:r w:rsidR="00E04B6D">
        <w:t xml:space="preserve">was </w:t>
      </w:r>
      <w:r>
        <w:t xml:space="preserve">arm </w:t>
      </w:r>
      <w:r w:rsidR="00E04B6D">
        <w:t>X</w:t>
      </w:r>
      <w:r>
        <w:t xml:space="preserve">, and the treatment group </w:t>
      </w:r>
      <w:r w:rsidR="00971729">
        <w:t>was</w:t>
      </w:r>
      <w:r>
        <w:t xml:space="preserve"> arm </w:t>
      </w:r>
      <w:r w:rsidR="00E04B6D">
        <w:t>Y</w:t>
      </w:r>
      <w:r>
        <w:t>.</w:t>
      </w:r>
    </w:p>
    <w:p w14:paraId="3A811ACD" w14:textId="6AFE539A" w:rsidR="00D77A66" w:rsidRDefault="00D77A66" w:rsidP="00BD20D5">
      <w:pPr>
        <w:pStyle w:val="ListBullet"/>
        <w:numPr>
          <w:ilvl w:val="0"/>
          <w:numId w:val="12"/>
        </w:numPr>
        <w:spacing w:before="120" w:after="120" w:line="320" w:lineRule="atLeast"/>
        <w:ind w:left="360"/>
        <w:contextualSpacing w:val="0"/>
      </w:pPr>
      <w:r>
        <w:t xml:space="preserve">For hypothesis 2.2, the base group </w:t>
      </w:r>
      <w:r w:rsidR="00E04B6D">
        <w:t>was arm Y</w:t>
      </w:r>
      <w:r>
        <w:t xml:space="preserve">, and the treatment group </w:t>
      </w:r>
      <w:r w:rsidR="00E04B6D">
        <w:t xml:space="preserve">was </w:t>
      </w:r>
      <w:r>
        <w:t>arm </w:t>
      </w:r>
      <w:r w:rsidR="00E04B6D">
        <w:t>Z</w:t>
      </w:r>
      <w:r>
        <w:t>.</w:t>
      </w:r>
    </w:p>
    <w:p w14:paraId="05EDFEC5" w14:textId="2982624C" w:rsidR="00D77A66" w:rsidRDefault="00D77A66" w:rsidP="00BD20D5">
      <w:pPr>
        <w:pStyle w:val="ListBullet"/>
        <w:numPr>
          <w:ilvl w:val="0"/>
          <w:numId w:val="12"/>
        </w:numPr>
        <w:spacing w:before="120" w:after="120" w:line="320" w:lineRule="atLeast"/>
        <w:ind w:left="360"/>
        <w:contextualSpacing w:val="0"/>
      </w:pPr>
      <w:r>
        <w:t xml:space="preserve">For hypothesis 2.3, the base group </w:t>
      </w:r>
      <w:r w:rsidR="00E04B6D">
        <w:t>was arm X</w:t>
      </w:r>
      <w:r>
        <w:t xml:space="preserve">, and the treatment group </w:t>
      </w:r>
      <w:r w:rsidR="00E04B6D">
        <w:t>was arm Z</w:t>
      </w:r>
      <w:r>
        <w:t>.</w:t>
      </w:r>
    </w:p>
    <w:p w14:paraId="0A01B882" w14:textId="42845490" w:rsidR="0042294B" w:rsidRDefault="0042294B" w:rsidP="0042294B">
      <w:r>
        <w:t>We did not make any adjustments for multiple comparisons for either experiment however we have applied caution in how we interpret our results</w:t>
      </w:r>
      <w:r w:rsidR="00A14CEA">
        <w:t xml:space="preserve"> when multiple comparisons were conducted</w:t>
      </w:r>
      <w:r>
        <w:t xml:space="preserve"> (see, for example, the discussion in Appendix 3 of the results for </w:t>
      </w:r>
      <w:r w:rsidR="00F3090C">
        <w:t>Experiment one</w:t>
      </w:r>
      <w:r>
        <w:t xml:space="preserve">). </w:t>
      </w:r>
    </w:p>
    <w:p w14:paraId="1E3A63C8" w14:textId="77777777" w:rsidR="00D77A66" w:rsidRPr="00A079CA" w:rsidRDefault="00D77A66" w:rsidP="00D77A66">
      <w:pPr>
        <w:pStyle w:val="Heading4"/>
      </w:pPr>
      <w:r w:rsidRPr="19319863">
        <w:t>Sub-Group and Exploratory Analysis</w:t>
      </w:r>
    </w:p>
    <w:p w14:paraId="73831D60" w14:textId="0CB08C8E" w:rsidR="00D77A66" w:rsidRPr="00E04B6D" w:rsidRDefault="00D77A66" w:rsidP="00E04B6D">
      <w:pPr>
        <w:rPr>
          <w:rFonts w:asciiTheme="majorHAnsi" w:hAnsiTheme="majorHAnsi"/>
          <w:color w:val="000000"/>
        </w:rPr>
      </w:pPr>
      <w:r w:rsidRPr="00E04B6D">
        <w:rPr>
          <w:rFonts w:asciiTheme="majorHAnsi" w:hAnsiTheme="majorHAnsi"/>
          <w:color w:val="000000"/>
        </w:rPr>
        <w:t xml:space="preserve">We also conducted sub-group and exploratory analysis. </w:t>
      </w:r>
      <w:r w:rsidR="00C43AF1" w:rsidRPr="00E04B6D">
        <w:rPr>
          <w:rFonts w:asciiTheme="majorHAnsi" w:hAnsiTheme="majorHAnsi"/>
          <w:color w:val="000000"/>
        </w:rPr>
        <w:t>Most notably</w:t>
      </w:r>
      <w:r w:rsidR="00B4000A">
        <w:rPr>
          <w:rFonts w:asciiTheme="majorHAnsi" w:hAnsiTheme="majorHAnsi"/>
          <w:color w:val="000000"/>
        </w:rPr>
        <w:t>, we</w:t>
      </w:r>
      <w:r w:rsidR="00C43AF1" w:rsidRPr="00E04B6D">
        <w:rPr>
          <w:rFonts w:asciiTheme="majorHAnsi" w:hAnsiTheme="majorHAnsi"/>
          <w:color w:val="000000"/>
        </w:rPr>
        <w:t xml:space="preserve"> </w:t>
      </w:r>
      <w:r w:rsidRPr="00E04B6D">
        <w:rPr>
          <w:rFonts w:asciiTheme="majorHAnsi" w:hAnsiTheme="majorHAnsi"/>
          <w:color w:val="000000"/>
        </w:rPr>
        <w:t>explor</w:t>
      </w:r>
      <w:r w:rsidR="00B4000A">
        <w:rPr>
          <w:rFonts w:asciiTheme="majorHAnsi" w:hAnsiTheme="majorHAnsi"/>
          <w:color w:val="000000"/>
        </w:rPr>
        <w:t>ed whether there was a</w:t>
      </w:r>
      <w:r w:rsidRPr="00E04B6D">
        <w:rPr>
          <w:rFonts w:asciiTheme="majorHAnsi" w:hAnsiTheme="majorHAnsi"/>
          <w:color w:val="000000"/>
        </w:rPr>
        <w:t xml:space="preserve"> ‘donkey vote’, that is whether </w:t>
      </w:r>
      <w:r w:rsidR="00B4000A">
        <w:rPr>
          <w:rFonts w:asciiTheme="majorHAnsi" w:hAnsiTheme="majorHAnsi"/>
          <w:color w:val="000000"/>
        </w:rPr>
        <w:t>participants chose the fund that appeared</w:t>
      </w:r>
      <w:r w:rsidRPr="00E04B6D">
        <w:rPr>
          <w:rFonts w:asciiTheme="majorHAnsi" w:hAnsiTheme="majorHAnsi"/>
          <w:color w:val="000000"/>
        </w:rPr>
        <w:t xml:space="preserve"> </w:t>
      </w:r>
      <w:r w:rsidR="00B4000A">
        <w:rPr>
          <w:rFonts w:asciiTheme="majorHAnsi" w:hAnsiTheme="majorHAnsi"/>
          <w:color w:val="000000"/>
        </w:rPr>
        <w:t xml:space="preserve">at the top </w:t>
      </w:r>
      <w:r w:rsidR="00345505">
        <w:rPr>
          <w:rFonts w:asciiTheme="majorHAnsi" w:hAnsiTheme="majorHAnsi"/>
          <w:color w:val="000000"/>
        </w:rPr>
        <w:t>without due consideration</w:t>
      </w:r>
      <w:r w:rsidRPr="00E04B6D">
        <w:rPr>
          <w:rFonts w:asciiTheme="majorHAnsi" w:hAnsiTheme="majorHAnsi"/>
          <w:color w:val="000000"/>
        </w:rPr>
        <w:t>.</w:t>
      </w:r>
      <w:r w:rsidR="00C43AF1" w:rsidRPr="00E04B6D">
        <w:rPr>
          <w:rFonts w:asciiTheme="majorHAnsi" w:hAnsiTheme="majorHAnsi"/>
          <w:color w:val="000000"/>
        </w:rPr>
        <w:t xml:space="preserve"> We</w:t>
      </w:r>
      <w:r w:rsidRPr="00E04B6D">
        <w:rPr>
          <w:rFonts w:asciiTheme="majorHAnsi" w:hAnsiTheme="majorHAnsi"/>
          <w:color w:val="000000"/>
        </w:rPr>
        <w:t xml:space="preserve"> also conducted subgroup analysis on financial literacy. </w:t>
      </w:r>
    </w:p>
    <w:p w14:paraId="705BCCC0" w14:textId="77777777" w:rsidR="00875822" w:rsidRPr="00D320AA" w:rsidRDefault="00875822" w:rsidP="00875822">
      <w:pPr>
        <w:pStyle w:val="Heading3"/>
        <w:rPr>
          <w:lang w:val="en-US"/>
        </w:rPr>
      </w:pPr>
      <w:r w:rsidRPr="00D320AA">
        <w:rPr>
          <w:lang w:val="en-US"/>
        </w:rPr>
        <w:t>Trial threats</w:t>
      </w:r>
    </w:p>
    <w:p w14:paraId="71BD2531" w14:textId="3D0C305C" w:rsidR="007128B8" w:rsidRPr="007128B8" w:rsidRDefault="00CF658D" w:rsidP="007128B8">
      <w:pPr>
        <w:rPr>
          <w:rFonts w:asciiTheme="majorHAnsi" w:hAnsiTheme="majorHAnsi"/>
          <w:color w:val="000000"/>
        </w:rPr>
      </w:pPr>
      <w:r w:rsidRPr="00CF658D">
        <w:rPr>
          <w:rFonts w:asciiTheme="majorHAnsi" w:hAnsiTheme="majorHAnsi"/>
          <w:color w:val="000000"/>
        </w:rPr>
        <w:t xml:space="preserve">When writing our pre-analysis plan we were concerned some participants would fail to complete the survey and we </w:t>
      </w:r>
      <w:r w:rsidRPr="005A4F38">
        <w:rPr>
          <w:rFonts w:asciiTheme="majorHAnsi" w:hAnsiTheme="majorHAnsi"/>
          <w:color w:val="000000"/>
        </w:rPr>
        <w:t>would therefore have missing data for the primary outcomes</w:t>
      </w:r>
      <w:r w:rsidR="005A4F38" w:rsidRPr="005A4F38">
        <w:rPr>
          <w:rFonts w:asciiTheme="majorHAnsi" w:hAnsiTheme="majorHAnsi"/>
          <w:color w:val="000000"/>
        </w:rPr>
        <w:t xml:space="preserve"> for one or both survey experiments</w:t>
      </w:r>
      <w:r w:rsidRPr="005A4F38">
        <w:rPr>
          <w:rFonts w:asciiTheme="majorHAnsi" w:hAnsiTheme="majorHAnsi"/>
          <w:color w:val="000000"/>
        </w:rPr>
        <w:t xml:space="preserve">. </w:t>
      </w:r>
      <w:r w:rsidR="005A4F38" w:rsidRPr="005A4F38">
        <w:rPr>
          <w:rFonts w:asciiTheme="majorHAnsi" w:hAnsiTheme="majorHAnsi"/>
          <w:color w:val="000000"/>
        </w:rPr>
        <w:t xml:space="preserve">However, </w:t>
      </w:r>
      <w:r w:rsidRPr="005A4F38">
        <w:rPr>
          <w:rFonts w:asciiTheme="majorHAnsi" w:hAnsiTheme="majorHAnsi"/>
          <w:color w:val="000000"/>
        </w:rPr>
        <w:t>there was only one instance of this occurring</w:t>
      </w:r>
      <w:r w:rsidR="005A4F38" w:rsidRPr="005A4F38">
        <w:rPr>
          <w:rFonts w:asciiTheme="majorHAnsi" w:hAnsiTheme="majorHAnsi"/>
          <w:color w:val="000000"/>
        </w:rPr>
        <w:t xml:space="preserve"> so missing data had no impact on our results</w:t>
      </w:r>
      <w:r w:rsidR="00C43AF1" w:rsidRPr="005A4F38">
        <w:rPr>
          <w:rFonts w:asciiTheme="majorHAnsi" w:hAnsiTheme="majorHAnsi"/>
          <w:color w:val="000000"/>
        </w:rPr>
        <w:t>.</w:t>
      </w:r>
    </w:p>
    <w:p w14:paraId="5AB068FA" w14:textId="77777777" w:rsidR="00875822" w:rsidRPr="00A1366D" w:rsidRDefault="00875822" w:rsidP="00875822">
      <w:pPr>
        <w:pStyle w:val="Heading3"/>
      </w:pPr>
      <w:r w:rsidRPr="00A1366D">
        <w:t>Limitations</w:t>
      </w:r>
    </w:p>
    <w:p w14:paraId="1A4F06EC" w14:textId="1B596A33" w:rsidR="00964F90" w:rsidRDefault="00DE410D" w:rsidP="00964F90">
      <w:pPr>
        <w:pStyle w:val="Heading4"/>
      </w:pPr>
      <w:r>
        <w:t>The s</w:t>
      </w:r>
      <w:r w:rsidR="00964F90">
        <w:t>impli</w:t>
      </w:r>
      <w:r>
        <w:t xml:space="preserve">fied nature of </w:t>
      </w:r>
      <w:r w:rsidR="00843631">
        <w:t xml:space="preserve">survey </w:t>
      </w:r>
      <w:r>
        <w:t>experiments</w:t>
      </w:r>
    </w:p>
    <w:p w14:paraId="63C7916B" w14:textId="2C28A474" w:rsidR="00875822" w:rsidRDefault="00F3090C" w:rsidP="00875822">
      <w:r>
        <w:t>Experiment one</w:t>
      </w:r>
      <w:r w:rsidR="003D1DC2">
        <w:t xml:space="preserve"> was a simplified version of </w:t>
      </w:r>
      <w:r w:rsidR="00DE410D">
        <w:t>the comparison tool</w:t>
      </w:r>
      <w:r w:rsidR="003D1DC2">
        <w:t xml:space="preserve">. </w:t>
      </w:r>
      <w:r w:rsidR="00D96156">
        <w:t>Using</w:t>
      </w:r>
      <w:r w:rsidR="00875822">
        <w:t xml:space="preserve"> the actual comparison </w:t>
      </w:r>
      <w:r w:rsidR="003D1DC2">
        <w:t xml:space="preserve">tool </w:t>
      </w:r>
      <w:r w:rsidR="00875822">
        <w:t>to switch super fund require</w:t>
      </w:r>
      <w:r w:rsidR="00DE410D">
        <w:t>s</w:t>
      </w:r>
      <w:r w:rsidR="00875822">
        <w:t xml:space="preserve"> multiple steps</w:t>
      </w:r>
      <w:r w:rsidR="00D96156">
        <w:t xml:space="preserve"> and consideration of a large amount of information and</w:t>
      </w:r>
      <w:r w:rsidR="00DE410D">
        <w:t xml:space="preserve"> would</w:t>
      </w:r>
      <w:r w:rsidR="00875822">
        <w:t xml:space="preserve"> take </w:t>
      </w:r>
      <w:r w:rsidR="00DE410D">
        <w:t>more</w:t>
      </w:r>
      <w:r w:rsidR="00875822">
        <w:t xml:space="preserve"> time</w:t>
      </w:r>
      <w:r w:rsidR="00DE410D">
        <w:t xml:space="preserve"> than participating in our experiment</w:t>
      </w:r>
      <w:r w:rsidR="00875822">
        <w:t xml:space="preserve">. In </w:t>
      </w:r>
      <w:r>
        <w:t>Experiment one</w:t>
      </w:r>
      <w:r w:rsidR="00791FAB">
        <w:t>,</w:t>
      </w:r>
      <w:r w:rsidR="00875822">
        <w:t xml:space="preserve"> </w:t>
      </w:r>
      <w:r w:rsidR="00D96156">
        <w:t xml:space="preserve">participants </w:t>
      </w:r>
      <w:r w:rsidR="00875822">
        <w:t xml:space="preserve">make a decision based on a small amount of information which could be achieved in about one minute. </w:t>
      </w:r>
      <w:r w:rsidR="003D1DC2">
        <w:t xml:space="preserve">This simplification means that our results may have </w:t>
      </w:r>
      <w:r w:rsidR="00D96156">
        <w:t xml:space="preserve">less </w:t>
      </w:r>
      <w:r w:rsidR="003D1DC2">
        <w:t>relevance to messier real-world contexts.</w:t>
      </w:r>
    </w:p>
    <w:p w14:paraId="7A22AEE1" w14:textId="765AB67D" w:rsidR="00875822" w:rsidRDefault="00F3090C" w:rsidP="00875822">
      <w:r>
        <w:t>Experiment one</w:t>
      </w:r>
      <w:r w:rsidR="00875822">
        <w:t xml:space="preserve"> </w:t>
      </w:r>
      <w:r w:rsidR="003D1DC2">
        <w:t xml:space="preserve">also </w:t>
      </w:r>
      <w:r w:rsidR="00D96156">
        <w:t>assessed</w:t>
      </w:r>
      <w:r w:rsidR="00875822">
        <w:t xml:space="preserve"> the impact of sorting products by performance category</w:t>
      </w:r>
      <w:r w:rsidR="00D96156">
        <w:t xml:space="preserve"> </w:t>
      </w:r>
      <w:r w:rsidR="00875822">
        <w:t xml:space="preserve">compared to a random order. In this experiment, </w:t>
      </w:r>
      <w:r w:rsidR="00791FAB">
        <w:t>10 </w:t>
      </w:r>
      <w:r w:rsidR="00875822">
        <w:t xml:space="preserve">funds were shown on a single page, but in reality there </w:t>
      </w:r>
      <w:r w:rsidR="00D96156">
        <w:t>many more</w:t>
      </w:r>
      <w:r w:rsidR="00875822">
        <w:t xml:space="preserve"> funds that could be listed, meaning there will be a greater chance that</w:t>
      </w:r>
      <w:r w:rsidR="00791FAB">
        <w:t>, without sorting,</w:t>
      </w:r>
      <w:r w:rsidR="00875822">
        <w:t xml:space="preserve"> the best performing funds are not visible</w:t>
      </w:r>
      <w:r w:rsidR="00791FAB">
        <w:t xml:space="preserve"> on the first page</w:t>
      </w:r>
      <w:r w:rsidR="00875822">
        <w:t xml:space="preserve">. As such, </w:t>
      </w:r>
      <w:r>
        <w:t>Experiment one</w:t>
      </w:r>
      <w:r w:rsidR="00875822">
        <w:t xml:space="preserve"> may underestimate the impact of sorting.</w:t>
      </w:r>
    </w:p>
    <w:p w14:paraId="67A159F9" w14:textId="1117CE74" w:rsidR="00280BFC" w:rsidRDefault="00280BFC" w:rsidP="00875822">
      <w:r>
        <w:t xml:space="preserve">In </w:t>
      </w:r>
      <w:r w:rsidR="00F3090C">
        <w:t>Experiment two</w:t>
      </w:r>
      <w:r>
        <w:t xml:space="preserve"> we </w:t>
      </w:r>
      <w:r w:rsidR="00791FAB">
        <w:t xml:space="preserve">presented a scenario </w:t>
      </w:r>
      <w:r w:rsidR="00644367">
        <w:t>that featured</w:t>
      </w:r>
      <w:r w:rsidR="00791FAB">
        <w:t xml:space="preserve"> a young person</w:t>
      </w:r>
      <w:r w:rsidR="00644367">
        <w:t>.</w:t>
      </w:r>
      <w:r>
        <w:t xml:space="preserve"> The res</w:t>
      </w:r>
      <w:r w:rsidR="0092496F">
        <w:t xml:space="preserve">ults of this experiment may have diminished relevance in real-world situations where people are making decisions about their own superannuation. </w:t>
      </w:r>
    </w:p>
    <w:p w14:paraId="77EBB5D5" w14:textId="69468F04" w:rsidR="00EE6152" w:rsidRDefault="00EE6152" w:rsidP="00EE6152">
      <w:pPr>
        <w:pStyle w:val="Heading4"/>
      </w:pPr>
      <w:r>
        <w:t>Choosing a</w:t>
      </w:r>
      <w:r w:rsidR="007E2406">
        <w:t>n appropriate</w:t>
      </w:r>
      <w:r>
        <w:t xml:space="preserve"> super </w:t>
      </w:r>
      <w:r w:rsidR="007E2406">
        <w:t>product</w:t>
      </w:r>
    </w:p>
    <w:p w14:paraId="633FF772" w14:textId="5957E120" w:rsidR="007E2406" w:rsidRDefault="007E2406" w:rsidP="007E2406">
      <w:r>
        <w:t xml:space="preserve">In </w:t>
      </w:r>
      <w:r w:rsidR="00F3090C">
        <w:t>Experiment one</w:t>
      </w:r>
      <w:r>
        <w:t xml:space="preserve">, our outcome measure assumed that one of the ‘top’ products would always be a more appropriate product. In reality, choosing a super fund is complicated and any comparison tool will necessarily simplify some variables (such as fees or returns) or omit others (such as insurance). </w:t>
      </w:r>
      <w:r w:rsidR="00291FDD">
        <w:t>It</w:t>
      </w:r>
      <w:r>
        <w:t xml:space="preserve"> is important to be mindful that the ‘top’ products will usually – </w:t>
      </w:r>
      <w:r>
        <w:lastRenderedPageBreak/>
        <w:t>but not always – represent an appropriate product, depending on an individual’s circumstances.</w:t>
      </w:r>
    </w:p>
    <w:p w14:paraId="7D4715BD" w14:textId="652DD029" w:rsidR="00964F90" w:rsidRDefault="00D75A80" w:rsidP="00964F90">
      <w:pPr>
        <w:pStyle w:val="Heading4"/>
      </w:pPr>
      <w:r>
        <w:t>Survey sample r</w:t>
      </w:r>
      <w:r w:rsidR="00964F90">
        <w:t>epresentativeness</w:t>
      </w:r>
    </w:p>
    <w:p w14:paraId="65C6271D" w14:textId="005A6489" w:rsidR="00D75A80" w:rsidRDefault="00875822" w:rsidP="00875822">
      <w:r>
        <w:t>The extent to which the sample di</w:t>
      </w:r>
      <w:r w:rsidR="003D1DC2">
        <w:t>ffers from the</w:t>
      </w:r>
      <w:r>
        <w:t xml:space="preserve"> population </w:t>
      </w:r>
      <w:r w:rsidR="003D1DC2">
        <w:t xml:space="preserve">of interest (that is, people with a superannuation account </w:t>
      </w:r>
      <w:r w:rsidR="00D75A80">
        <w:t xml:space="preserve">as well as </w:t>
      </w:r>
      <w:r w:rsidR="003D1DC2">
        <w:t xml:space="preserve">those about to get their first account) </w:t>
      </w:r>
      <w:r>
        <w:t xml:space="preserve">is difficult to </w:t>
      </w:r>
      <w:r w:rsidR="008F6B3A">
        <w:t>quantify. Instead</w:t>
      </w:r>
      <w:r w:rsidR="00964F90">
        <w:t xml:space="preserve"> our sample </w:t>
      </w:r>
      <w:r w:rsidR="00A61956">
        <w:t xml:space="preserve">roughly </w:t>
      </w:r>
      <w:r w:rsidR="00964F90">
        <w:t>matched the</w:t>
      </w:r>
      <w:r w:rsidR="00964F90" w:rsidRPr="00964F90">
        <w:t xml:space="preserve"> Australian population</w:t>
      </w:r>
      <w:r w:rsidR="00964F90">
        <w:t xml:space="preserve"> on </w:t>
      </w:r>
      <w:r w:rsidR="00A61956">
        <w:t xml:space="preserve">several </w:t>
      </w:r>
      <w:r w:rsidR="00964F90">
        <w:t xml:space="preserve">broad demographic measures. </w:t>
      </w:r>
      <w:r w:rsidR="00A61956">
        <w:t xml:space="preserve">However, </w:t>
      </w:r>
      <w:r w:rsidR="00D75A80">
        <w:t>we drew our sample from an online survey panel. T</w:t>
      </w:r>
      <w:r>
        <w:t>hose who sign</w:t>
      </w:r>
      <w:r w:rsidRPr="00CB7F90">
        <w:t xml:space="preserve"> </w:t>
      </w:r>
      <w:r>
        <w:t>up for</w:t>
      </w:r>
      <w:r w:rsidRPr="001D3B10">
        <w:t xml:space="preserve"> a</w:t>
      </w:r>
      <w:r>
        <w:t>n online</w:t>
      </w:r>
      <w:r w:rsidRPr="001D3B10">
        <w:t xml:space="preserve"> survey panel </w:t>
      </w:r>
      <w:r>
        <w:t>are likely to differ from the broader population in various ways</w:t>
      </w:r>
      <w:r w:rsidR="00A61956">
        <w:t xml:space="preserve"> that may matter for how they think about choice of super product</w:t>
      </w:r>
      <w:r>
        <w:t xml:space="preserve">. </w:t>
      </w:r>
    </w:p>
    <w:p w14:paraId="6246DFFC" w14:textId="77777777" w:rsidR="00D75A80" w:rsidRDefault="00D75A80" w:rsidP="00D75A80">
      <w:pPr>
        <w:pStyle w:val="Heading4"/>
      </w:pPr>
      <w:r>
        <w:t>Survey data quality</w:t>
      </w:r>
    </w:p>
    <w:p w14:paraId="069A7390" w14:textId="27EEFB44" w:rsidR="004124EF" w:rsidRDefault="008F6B3A" w:rsidP="004124EF">
      <w:r>
        <w:t>S</w:t>
      </w:r>
      <w:r w:rsidR="004124EF">
        <w:t>urvey panel participants receive small incentives (for example, money or vouchers) for survey completion. Some respondents may attempt to maximise these rewards they receive by speeding through surveys with</w:t>
      </w:r>
      <w:r>
        <w:t>out</w:t>
      </w:r>
      <w:r w:rsidR="004124EF">
        <w:t xml:space="preserve"> engaging with the survey content. While we attempted to reduce these issues by removing </w:t>
      </w:r>
      <w:r>
        <w:t>participants</w:t>
      </w:r>
      <w:r w:rsidR="004124EF">
        <w:t xml:space="preserve"> who completed the survey in less than </w:t>
      </w:r>
      <w:r>
        <w:t>two</w:t>
      </w:r>
      <w:r w:rsidR="004124EF">
        <w:t> minutes, 30 seconds, the data set may still contain other disengaged respondents who gave poor quality responses.</w:t>
      </w:r>
    </w:p>
    <w:p w14:paraId="1206A30D" w14:textId="3C8C3F53" w:rsidR="00EE6152" w:rsidRDefault="008F6B3A" w:rsidP="00EE6152">
      <w:r>
        <w:t>R</w:t>
      </w:r>
      <w:r w:rsidR="00CA1DC4">
        <w:t xml:space="preserve">unning </w:t>
      </w:r>
      <w:r>
        <w:t xml:space="preserve">two </w:t>
      </w:r>
      <w:r w:rsidR="00CA1DC4">
        <w:t>different experiments in one survey can cause issues</w:t>
      </w:r>
      <w:r w:rsidR="004124EF">
        <w:t xml:space="preserve"> because the treatment</w:t>
      </w:r>
      <w:r w:rsidR="00EE6152">
        <w:t xml:space="preserve"> received in the first experiment may impact </w:t>
      </w:r>
      <w:r>
        <w:t>behaviour</w:t>
      </w:r>
      <w:r w:rsidR="00EE6152">
        <w:t xml:space="preserve"> in the second experiment. </w:t>
      </w:r>
      <w:r>
        <w:t>Examination of treatment effects in the</w:t>
      </w:r>
      <w:r w:rsidR="00EE6152">
        <w:t xml:space="preserve"> second experiment by </w:t>
      </w:r>
      <w:r>
        <w:t xml:space="preserve">first experiment treatment assignment </w:t>
      </w:r>
      <w:r w:rsidR="00EE6152">
        <w:t>suggests</w:t>
      </w:r>
      <w:r>
        <w:t xml:space="preserve"> that</w:t>
      </w:r>
      <w:r w:rsidR="00EE6152">
        <w:t xml:space="preserve"> any such impacts were negligible.</w:t>
      </w:r>
    </w:p>
    <w:p w14:paraId="23A9ECDC" w14:textId="293634C0" w:rsidR="00EE6152" w:rsidRDefault="008F6B3A" w:rsidP="00EE6152">
      <w:r>
        <w:t>R</w:t>
      </w:r>
      <w:r w:rsidR="004124EF">
        <w:t xml:space="preserve">esponses to </w:t>
      </w:r>
      <w:r w:rsidR="00EE6152">
        <w:t xml:space="preserve">questions </w:t>
      </w:r>
      <w:r w:rsidR="004124EF">
        <w:t xml:space="preserve">later in the survey may be influenced by earlier questions or survey experiments. </w:t>
      </w:r>
      <w:r w:rsidR="00EE6152">
        <w:t xml:space="preserve">In particular, </w:t>
      </w:r>
      <w:r w:rsidR="004124EF">
        <w:t>responses to questions about performance labels preference (e.g. ‘top’, ‘strong’ or ‘high’) may have been influenced by the first experiment (at least for respondents who saw 3 performance categories, including one labelled ‘top’).</w:t>
      </w:r>
    </w:p>
    <w:p w14:paraId="63434601" w14:textId="5802B29C" w:rsidR="000E47BB" w:rsidRPr="00A74502" w:rsidRDefault="000E47BB" w:rsidP="00A74502">
      <w:r>
        <w:br w:type="page"/>
      </w:r>
    </w:p>
    <w:p w14:paraId="4E0F6CAF" w14:textId="41ABD012" w:rsidR="00875822" w:rsidRDefault="00FD0E7A" w:rsidP="00875822">
      <w:pPr>
        <w:pStyle w:val="Heading2"/>
      </w:pPr>
      <w:bookmarkStart w:id="33" w:name="_Toc107826704"/>
      <w:bookmarkStart w:id="34" w:name="_Toc109225242"/>
      <w:bookmarkStart w:id="35" w:name="_Toc115096498"/>
      <w:bookmarkStart w:id="36" w:name="_Toc115184220"/>
      <w:bookmarkStart w:id="37" w:name="_Toc115187664"/>
      <w:r>
        <w:lastRenderedPageBreak/>
        <w:t xml:space="preserve">Appendix </w:t>
      </w:r>
      <w:r w:rsidR="00DD7BE2">
        <w:t>2</w:t>
      </w:r>
      <w:r>
        <w:t>: Other s</w:t>
      </w:r>
      <w:r w:rsidR="003510B3">
        <w:t xml:space="preserve">urvey </w:t>
      </w:r>
      <w:r>
        <w:t>r</w:t>
      </w:r>
      <w:r w:rsidR="003510B3">
        <w:t>esults</w:t>
      </w:r>
      <w:bookmarkEnd w:id="33"/>
      <w:bookmarkEnd w:id="34"/>
      <w:bookmarkEnd w:id="35"/>
      <w:bookmarkEnd w:id="36"/>
      <w:bookmarkEnd w:id="37"/>
      <w:r w:rsidR="00875822" w:rsidRPr="00875822" w:rsidDel="00875822">
        <w:t xml:space="preserve"> </w:t>
      </w:r>
    </w:p>
    <w:p w14:paraId="199B707B" w14:textId="4E390CAA" w:rsidR="00BB4632" w:rsidRPr="0039433B" w:rsidRDefault="00BB4632" w:rsidP="00FD0E7A">
      <w:pPr>
        <w:pStyle w:val="Heading3"/>
      </w:pPr>
      <w:r>
        <w:t>Underperformance notification</w:t>
      </w:r>
      <w:r w:rsidRPr="0039433B">
        <w:t xml:space="preserve"> format preference</w:t>
      </w:r>
    </w:p>
    <w:p w14:paraId="520AE7EF" w14:textId="274969FF" w:rsidR="00BB4632" w:rsidRDefault="00BB4632" w:rsidP="00BB4632">
      <w:pPr>
        <w:rPr>
          <w:rFonts w:eastAsia="Helvetica"/>
        </w:rPr>
      </w:pPr>
      <w:r>
        <w:rPr>
          <w:rFonts w:eastAsia="Helvetica"/>
        </w:rPr>
        <w:t>Respondents were asked how they would like to be notified if their fund was poorly performing.</w:t>
      </w:r>
      <w:r w:rsidR="009C582A">
        <w:rPr>
          <w:rFonts w:eastAsia="Helvetica"/>
        </w:rPr>
        <w:t xml:space="preserve"> </w:t>
      </w:r>
      <w:r w:rsidRPr="0095075E">
        <w:rPr>
          <w:rFonts w:eastAsia="Helvetica"/>
        </w:rPr>
        <w:t xml:space="preserve">Overall, respondents displayed a clear preference for receiving the underperformance </w:t>
      </w:r>
      <w:r>
        <w:rPr>
          <w:rFonts w:eastAsia="Helvetica"/>
        </w:rPr>
        <w:t xml:space="preserve">notice </w:t>
      </w:r>
      <w:r w:rsidRPr="0095075E">
        <w:rPr>
          <w:rFonts w:eastAsia="Helvetica"/>
        </w:rPr>
        <w:t xml:space="preserve">by email (54%) relative to mail (13%) </w:t>
      </w:r>
      <w:r>
        <w:rPr>
          <w:rFonts w:eastAsia="Helvetica"/>
        </w:rPr>
        <w:t xml:space="preserve">or </w:t>
      </w:r>
      <w:r w:rsidRPr="0095075E">
        <w:rPr>
          <w:rFonts w:eastAsia="Helvetica"/>
        </w:rPr>
        <w:t>a combination of mail and email (33%)</w:t>
      </w:r>
      <w:r w:rsidR="00CA485D">
        <w:rPr>
          <w:rFonts w:eastAsia="Helvetica"/>
        </w:rPr>
        <w:t xml:space="preserve"> (Figure </w:t>
      </w:r>
      <w:r w:rsidR="00846AC4">
        <w:rPr>
          <w:rFonts w:eastAsia="Helvetica"/>
        </w:rPr>
        <w:t>10</w:t>
      </w:r>
      <w:r w:rsidR="00CA485D">
        <w:rPr>
          <w:rFonts w:eastAsia="Helvetica"/>
        </w:rPr>
        <w:t>)</w:t>
      </w:r>
      <w:r w:rsidRPr="0095075E">
        <w:rPr>
          <w:rFonts w:eastAsia="Helvetica"/>
        </w:rPr>
        <w:t xml:space="preserve">. </w:t>
      </w:r>
      <w:r w:rsidRPr="009C582A">
        <w:rPr>
          <w:rFonts w:eastAsia="Helvetica"/>
        </w:rPr>
        <w:t>For low financial literacy respondents, the differences were less marked: 44% preferred email relative to 22% for mail. The proportion who preferred both formats was about the same regardless of financial literacy.</w:t>
      </w:r>
    </w:p>
    <w:p w14:paraId="712796C7" w14:textId="77777777" w:rsidR="0042294B" w:rsidRPr="008D2481" w:rsidRDefault="0042294B" w:rsidP="0042294B">
      <w:pPr>
        <w:pStyle w:val="Heading3"/>
      </w:pPr>
      <w:r w:rsidRPr="008D2481">
        <w:t>Important features</w:t>
      </w:r>
      <w:r>
        <w:t xml:space="preserve"> for a comparison tool</w:t>
      </w:r>
    </w:p>
    <w:p w14:paraId="16D05106" w14:textId="0BE23640" w:rsidR="0042294B" w:rsidRDefault="00844865" w:rsidP="0042294B">
      <w:r>
        <w:t>Respondents stated that t</w:t>
      </w:r>
      <w:r w:rsidR="0042294B">
        <w:t>he most important features for a superannuation comparison site are that it be free (</w:t>
      </w:r>
      <w:r w:rsidR="0042294B" w:rsidRPr="000D3423">
        <w:t xml:space="preserve">56% </w:t>
      </w:r>
      <w:r>
        <w:t xml:space="preserve">rated this as </w:t>
      </w:r>
      <w:r w:rsidR="0042294B">
        <w:t xml:space="preserve">‘very important’) and easy to use (52%) (Figure 10).  </w:t>
      </w:r>
    </w:p>
    <w:p w14:paraId="60060C83" w14:textId="77777777" w:rsidR="00844865" w:rsidRPr="00D31CF0" w:rsidRDefault="00844865" w:rsidP="00844865">
      <w:pPr>
        <w:pStyle w:val="Heading3"/>
      </w:pPr>
      <w:r>
        <w:t>How would you like to be reminded to check your super?</w:t>
      </w:r>
    </w:p>
    <w:p w14:paraId="467415DB" w14:textId="703D4926" w:rsidR="0042294B" w:rsidRPr="00844865" w:rsidRDefault="00844865" w:rsidP="00BB4632">
      <w:r>
        <w:t xml:space="preserve">Respondents indicated that the best ways to prompt them to check the performance of their super fund would be: a letter from their super fund (39%) or a message from the Australian Government via myGov (33%) or email (31%) (Figure 11). 29% indicated that they were open to be prompted to check their super when they complete their annual tax return. Many were open to receiving prompts through SMS messages from their super fund (28%) or the </w:t>
      </w:r>
      <w:r>
        <w:rPr>
          <w:rFonts w:eastAsia="Helvetica" w:cs="Helvetica"/>
          <w:szCs w:val="22"/>
        </w:rPr>
        <w:t>Australian Tax Office</w:t>
      </w:r>
      <w:r w:rsidRPr="0FA9A2F1">
        <w:rPr>
          <w:rFonts w:eastAsia="Helvetica" w:cs="Helvetica"/>
          <w:szCs w:val="22"/>
        </w:rPr>
        <w:t xml:space="preserve"> </w:t>
      </w:r>
      <w:r>
        <w:rPr>
          <w:rFonts w:eastAsia="Helvetica" w:cs="Helvetica"/>
          <w:szCs w:val="22"/>
        </w:rPr>
        <w:t>(</w:t>
      </w:r>
      <w:r w:rsidRPr="0FA9A2F1">
        <w:rPr>
          <w:rFonts w:eastAsia="Helvetica" w:cs="Helvetica"/>
          <w:szCs w:val="22"/>
        </w:rPr>
        <w:t>ATO</w:t>
      </w:r>
      <w:r>
        <w:rPr>
          <w:rFonts w:eastAsia="Helvetica" w:cs="Helvetica"/>
          <w:szCs w:val="22"/>
        </w:rPr>
        <w:t>)</w:t>
      </w:r>
      <w:r w:rsidRPr="0FA9A2F1">
        <w:rPr>
          <w:rFonts w:eastAsia="Helvetica" w:cs="Helvetica"/>
          <w:szCs w:val="22"/>
        </w:rPr>
        <w:t xml:space="preserve"> </w:t>
      </w:r>
      <w:r>
        <w:t xml:space="preserve">(20%). Relatively few (17%) said that prompts via TV, radio or news sites would be one of the best ways to remind them. </w:t>
      </w:r>
    </w:p>
    <w:p w14:paraId="0770A388" w14:textId="77777777" w:rsidR="00BB4632" w:rsidRDefault="00BB4632" w:rsidP="00BB4632">
      <w:pPr>
        <w:pStyle w:val="FigureHeading"/>
        <w:tabs>
          <w:tab w:val="clear" w:pos="1361"/>
          <w:tab w:val="left" w:pos="907"/>
        </w:tabs>
        <w:spacing w:before="360" w:after="120"/>
        <w:ind w:left="720" w:hanging="720"/>
        <w:outlineLvl w:val="3"/>
      </w:pPr>
      <w:r>
        <w:lastRenderedPageBreak/>
        <w:t>Underperformance notification format preference</w:t>
      </w:r>
    </w:p>
    <w:p w14:paraId="073E3FF9" w14:textId="4CCBB06C" w:rsidR="00BB4632" w:rsidRPr="002D7E43" w:rsidRDefault="002971B8" w:rsidP="002971B8">
      <w:pPr>
        <w:keepNext/>
      </w:pPr>
      <w:r>
        <w:rPr>
          <w:noProof/>
        </w:rPr>
        <w:drawing>
          <wp:inline distT="0" distB="0" distL="0" distR="0" wp14:anchorId="3D3BECC9" wp14:editId="4A727063">
            <wp:extent cx="4633913" cy="2805113"/>
            <wp:effectExtent l="0" t="0" r="0" b="0"/>
            <wp:docPr id="96" name="Chart 96" descr="This is another chart of responses to a survey question. In this case it is about people's underperformance notificiation format preferencez. 54% of repsondents preferred to be notified by email, 33% wanted to be notified by both email and mail, and only 13% wanted to be notified only by mail."/>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28E355" w14:textId="36242F5D" w:rsidR="00BB4632" w:rsidRDefault="00BB4632" w:rsidP="002971B8">
      <w:pPr>
        <w:pStyle w:val="ListBullet"/>
        <w:keepNext/>
        <w:numPr>
          <w:ilvl w:val="0"/>
          <w:numId w:val="0"/>
        </w:numPr>
        <w:ind w:left="360" w:hanging="360"/>
      </w:pPr>
      <w:r>
        <w:rPr>
          <w:sz w:val="16"/>
          <w:szCs w:val="16"/>
        </w:rPr>
        <w:t>Q.</w:t>
      </w:r>
      <w:r w:rsidRPr="004C792F">
        <w:t xml:space="preserve"> </w:t>
      </w:r>
      <w:r w:rsidRPr="004C792F">
        <w:rPr>
          <w:sz w:val="16"/>
          <w:szCs w:val="16"/>
        </w:rPr>
        <w:t>You are provided with a notice telling you that your superannuation product is performing poorly and directing you to the superannuation comparison tool. Which delivery method would be most likely to get your attention?</w:t>
      </w:r>
      <w:r>
        <w:rPr>
          <w:sz w:val="16"/>
          <w:szCs w:val="16"/>
        </w:rPr>
        <w:t xml:space="preserve">  </w:t>
      </w:r>
      <w:r w:rsidRPr="0FA9A2F1">
        <w:rPr>
          <w:sz w:val="16"/>
          <w:szCs w:val="16"/>
        </w:rPr>
        <w:t>n=</w:t>
      </w:r>
      <w:r w:rsidRPr="0064025D">
        <w:rPr>
          <w:sz w:val="16"/>
          <w:szCs w:val="16"/>
        </w:rPr>
        <w:t>2,236</w:t>
      </w:r>
      <w:r w:rsidRPr="0FA9A2F1">
        <w:rPr>
          <w:sz w:val="16"/>
          <w:szCs w:val="16"/>
        </w:rPr>
        <w:t>.</w:t>
      </w:r>
    </w:p>
    <w:p w14:paraId="637312BF" w14:textId="19133E33" w:rsidR="00BB4632" w:rsidRDefault="007D2B9F" w:rsidP="00BB4632">
      <w:pPr>
        <w:pStyle w:val="FigureHeading"/>
        <w:tabs>
          <w:tab w:val="clear" w:pos="1361"/>
          <w:tab w:val="left" w:pos="907"/>
        </w:tabs>
        <w:spacing w:before="360" w:after="120"/>
        <w:ind w:left="567" w:hanging="567"/>
        <w:outlineLvl w:val="9"/>
      </w:pPr>
      <w:r>
        <w:t xml:space="preserve">Percentage of respondents stating that a particular </w:t>
      </w:r>
      <w:r w:rsidR="00BB4632" w:rsidRPr="000C5474">
        <w:t>features</w:t>
      </w:r>
      <w:r w:rsidR="00BB4632">
        <w:t xml:space="preserve"> </w:t>
      </w:r>
      <w:r>
        <w:t xml:space="preserve">was very important or quite important </w:t>
      </w:r>
      <w:r w:rsidR="00BB4632">
        <w:t>for a comparison tool</w:t>
      </w:r>
    </w:p>
    <w:p w14:paraId="04E4A9E0" w14:textId="1189C006" w:rsidR="00D9409E" w:rsidRDefault="00D9409E" w:rsidP="007D2B9F">
      <w:pPr>
        <w:keepNext/>
        <w:keepLines/>
        <w:spacing w:after="0"/>
        <w:rPr>
          <w:sz w:val="16"/>
          <w:szCs w:val="16"/>
        </w:rPr>
      </w:pPr>
      <w:r>
        <w:rPr>
          <w:noProof/>
        </w:rPr>
        <w:drawing>
          <wp:inline distT="0" distB="0" distL="0" distR="0" wp14:anchorId="6C986F62" wp14:editId="3EC68D38">
            <wp:extent cx="5217107" cy="3786188"/>
            <wp:effectExtent l="0" t="0" r="3175" b="5080"/>
            <wp:docPr id="100" name="Chart 100" descr="Respondents rated the importance of 'It can be personalised with my current super information if I login' as 34% very important, 35% quite important, 22% somewhat important, 7% not very important, 3% not at all important. &#10;For the feature 'the information is from an independent source (i.e., Government)' the response was 44% very important, 31% quite important, 19% somewhat important, 4% not very important, and 2% not at all important.&#10;In response to  'Free - no cost to use', 56% rated this as very important, 27% as quite important, 13% as somewhat important, 3% as not very important, and 1% as not at all important.&#10;The response to 'Easy to use' was 52% very important, 32% quite important, 13% somewhat important, 3% not very important, 1% not at all important. ">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9FFB2B" w14:textId="0A6CA438" w:rsidR="00BB4632" w:rsidRPr="00F879F3" w:rsidRDefault="00BB4632" w:rsidP="007D2B9F">
      <w:pPr>
        <w:keepNext/>
        <w:keepLines/>
        <w:spacing w:after="0"/>
        <w:rPr>
          <w:sz w:val="16"/>
          <w:szCs w:val="16"/>
        </w:rPr>
      </w:pPr>
      <w:r>
        <w:rPr>
          <w:sz w:val="16"/>
          <w:szCs w:val="16"/>
        </w:rPr>
        <w:lastRenderedPageBreak/>
        <w:t xml:space="preserve">Q. </w:t>
      </w:r>
      <w:r w:rsidRPr="000C5474">
        <w:rPr>
          <w:sz w:val="16"/>
          <w:szCs w:val="16"/>
        </w:rPr>
        <w:t>How important to you are the following features of a comparison site, when you're comparing super funds?</w:t>
      </w:r>
      <w:r>
        <w:rPr>
          <w:sz w:val="16"/>
          <w:szCs w:val="16"/>
        </w:rPr>
        <w:t xml:space="preserve"> </w:t>
      </w:r>
      <w:r w:rsidRPr="0FA9A2F1">
        <w:rPr>
          <w:sz w:val="16"/>
          <w:szCs w:val="16"/>
        </w:rPr>
        <w:t>n=</w:t>
      </w:r>
      <w:r w:rsidRPr="0064025D">
        <w:rPr>
          <w:sz w:val="16"/>
          <w:szCs w:val="16"/>
        </w:rPr>
        <w:t>2,236</w:t>
      </w:r>
      <w:r w:rsidR="0042294B">
        <w:rPr>
          <w:sz w:val="16"/>
          <w:szCs w:val="16"/>
        </w:rPr>
        <w:t>.</w:t>
      </w:r>
      <w:r w:rsidR="002815B4">
        <w:rPr>
          <w:sz w:val="16"/>
          <w:szCs w:val="16"/>
        </w:rPr>
        <w:t xml:space="preserve"> Likert scale where 1 = not</w:t>
      </w:r>
      <w:r w:rsidR="00D9409E">
        <w:rPr>
          <w:sz w:val="16"/>
          <w:szCs w:val="16"/>
        </w:rPr>
        <w:t xml:space="preserve"> important at all, 2 = not important, 3 = somewhat important, 4 = quite important, 5 = very important.</w:t>
      </w:r>
    </w:p>
    <w:p w14:paraId="09ABA9BC" w14:textId="3197CF34" w:rsidR="00BB4632" w:rsidRDefault="00BB4632" w:rsidP="00BB4632">
      <w:pPr>
        <w:pStyle w:val="FigureHeading"/>
        <w:tabs>
          <w:tab w:val="clear" w:pos="1361"/>
          <w:tab w:val="left" w:pos="907"/>
        </w:tabs>
        <w:spacing w:before="360" w:after="120"/>
        <w:ind w:left="720" w:hanging="720"/>
        <w:outlineLvl w:val="3"/>
        <w:rPr>
          <w:noProof/>
        </w:rPr>
      </w:pPr>
      <w:r>
        <w:t>P</w:t>
      </w:r>
      <w:r w:rsidRPr="00BE406A">
        <w:t>rompts</w:t>
      </w:r>
      <w:r>
        <w:t xml:space="preserve"> to check super performance</w:t>
      </w:r>
    </w:p>
    <w:p w14:paraId="199B4599" w14:textId="79DCFDBF" w:rsidR="00BB4632" w:rsidRPr="007A7665" w:rsidRDefault="007A7665" w:rsidP="007A7665">
      <w:pPr>
        <w:keepNext/>
      </w:pPr>
      <w:r>
        <w:rPr>
          <w:noProof/>
        </w:rPr>
        <w:drawing>
          <wp:inline distT="0" distB="0" distL="0" distR="0" wp14:anchorId="46290AB4" wp14:editId="2DE21EE5">
            <wp:extent cx="5217107" cy="3786188"/>
            <wp:effectExtent l="0" t="0" r="3175" b="5080"/>
            <wp:docPr id="98" name="Chart 98" descr="The outcome measure on this chart is percent of respodents.  In response to the question 'what would be the best ways to remind you to check the performance of your superannuation'  we obtained the following results. Note that multiple responses were allowed so the figures do not add to 100%.&#10;39% of respondents selected 'a letter from super fund', 33% selected 'a message in myGov', 31% selected 'an email from the Australian Government', 29% selected 'a reminder when I am doing my tax return', 28% selected 'an SMS from my super fund', 23% selected 'a letter from the Australian Government', 20% selected 'an SMS from the ATO', 17% selected 'TV, radio, newspapers, or news sites', and 5% selected 'I don't want to be reminded'.">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C9D02D" w14:textId="4B2CEB7F" w:rsidR="00BB4632" w:rsidRPr="00F879F3" w:rsidRDefault="00BB4632" w:rsidP="007A7665">
      <w:pPr>
        <w:keepNext/>
        <w:spacing w:after="0"/>
        <w:rPr>
          <w:sz w:val="16"/>
          <w:szCs w:val="16"/>
        </w:rPr>
      </w:pPr>
      <w:r>
        <w:rPr>
          <w:sz w:val="16"/>
          <w:szCs w:val="16"/>
        </w:rPr>
        <w:t xml:space="preserve">Q. </w:t>
      </w:r>
      <w:r w:rsidRPr="004C792F">
        <w:rPr>
          <w:sz w:val="16"/>
          <w:szCs w:val="16"/>
        </w:rPr>
        <w:t>What would be the best ways to remind you to check the performance of your superannuation? Select u</w:t>
      </w:r>
      <w:r w:rsidR="00844865">
        <w:rPr>
          <w:sz w:val="16"/>
          <w:szCs w:val="16"/>
        </w:rPr>
        <w:t>p to 3 </w:t>
      </w:r>
      <w:r w:rsidRPr="004C792F">
        <w:rPr>
          <w:sz w:val="16"/>
          <w:szCs w:val="16"/>
        </w:rPr>
        <w:t>options</w:t>
      </w:r>
      <w:r>
        <w:rPr>
          <w:sz w:val="16"/>
          <w:szCs w:val="16"/>
        </w:rPr>
        <w:t xml:space="preserve">. </w:t>
      </w:r>
      <w:r w:rsidRPr="0FA9A2F1">
        <w:rPr>
          <w:sz w:val="16"/>
          <w:szCs w:val="16"/>
        </w:rPr>
        <w:t>n=</w:t>
      </w:r>
      <w:r w:rsidRPr="0064025D">
        <w:rPr>
          <w:sz w:val="16"/>
          <w:szCs w:val="16"/>
        </w:rPr>
        <w:t>2,236</w:t>
      </w:r>
      <w:r w:rsidRPr="0FA9A2F1">
        <w:rPr>
          <w:sz w:val="16"/>
          <w:szCs w:val="16"/>
        </w:rPr>
        <w:t xml:space="preserve">.  </w:t>
      </w:r>
    </w:p>
    <w:p w14:paraId="60CC2D00" w14:textId="77777777" w:rsidR="00844865" w:rsidRPr="008D2481" w:rsidRDefault="00844865" w:rsidP="00844865">
      <w:pPr>
        <w:pStyle w:val="Heading3"/>
      </w:pPr>
      <w:r>
        <w:t>Awareness c</w:t>
      </w:r>
      <w:r w:rsidRPr="008D2481">
        <w:t>ampaign slogans</w:t>
      </w:r>
    </w:p>
    <w:p w14:paraId="13E74606" w14:textId="77777777" w:rsidR="00844865" w:rsidRPr="00844865" w:rsidRDefault="00844865" w:rsidP="00844865">
      <w:r>
        <w:t>Respondents were asked to choose a statement that would motivate them the most to compare the performance of their super fund. While all of the suggested statements received roughly similar levels of support, the most popular (28%) stated: ‘A small change now can make a big difference in retirement’ (Figure 12). Around 20</w:t>
      </w:r>
      <w:r>
        <w:noBreakHyphen/>
        <w:t xml:space="preserve">24% preferred one of the other three statements. </w:t>
      </w:r>
    </w:p>
    <w:p w14:paraId="58E3D41B" w14:textId="2E0ADFE5" w:rsidR="00BD5D68" w:rsidRDefault="00CA485D" w:rsidP="00CA38D6">
      <w:pPr>
        <w:pStyle w:val="FigureHeading"/>
      </w:pPr>
      <w:r>
        <w:lastRenderedPageBreak/>
        <w:t>M</w:t>
      </w:r>
      <w:r w:rsidR="00BD5D68">
        <w:t>otivat</w:t>
      </w:r>
      <w:r>
        <w:t xml:space="preserve">ing statements </w:t>
      </w:r>
      <w:r w:rsidR="00BD5D68">
        <w:t>to compare your super?</w:t>
      </w:r>
    </w:p>
    <w:p w14:paraId="374CF5F0" w14:textId="1E806249" w:rsidR="00BD5D68" w:rsidRPr="006D0052" w:rsidRDefault="007A7665" w:rsidP="002815B4">
      <w:pPr>
        <w:keepNext/>
      </w:pPr>
      <w:r>
        <w:rPr>
          <w:noProof/>
        </w:rPr>
        <w:drawing>
          <wp:inline distT="0" distB="0" distL="0" distR="0" wp14:anchorId="7EFB8C90" wp14:editId="0C869670">
            <wp:extent cx="5217107" cy="3786188"/>
            <wp:effectExtent l="0" t="0" r="3175" b="5080"/>
            <wp:docPr id="99" name="Chart 99" descr="The outcome measure on this chart is the percentage of respondents. When asked 'which of the following statements do you think would motivate you the most to compare your super', people responded as follows.&#10;28% preferred 'a small change now can mean a big difference in retirement'. 24% preferred 'make your super work harder for you'. 22% preferred 'make the most of your super'. 20% preferred 'take control of your super'. 5% chose 'none of the above'. Less than 1% chose 'other'.">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41C2FF" w14:textId="075343D1" w:rsidR="00CA485D" w:rsidRDefault="00BD5D68" w:rsidP="002815B4">
      <w:pPr>
        <w:keepNext/>
        <w:spacing w:after="0"/>
        <w:rPr>
          <w:sz w:val="16"/>
          <w:szCs w:val="16"/>
        </w:rPr>
      </w:pPr>
      <w:r>
        <w:rPr>
          <w:sz w:val="16"/>
          <w:szCs w:val="16"/>
        </w:rPr>
        <w:t xml:space="preserve">Q. </w:t>
      </w:r>
      <w:r w:rsidRPr="004C792F">
        <w:rPr>
          <w:sz w:val="16"/>
          <w:szCs w:val="16"/>
        </w:rPr>
        <w:t>Which of the following statements do you think would motivate you the most to compare your super?</w:t>
      </w:r>
      <w:r>
        <w:rPr>
          <w:sz w:val="16"/>
          <w:szCs w:val="16"/>
        </w:rPr>
        <w:t xml:space="preserve"> </w:t>
      </w:r>
      <w:r w:rsidRPr="0FA9A2F1">
        <w:rPr>
          <w:sz w:val="16"/>
          <w:szCs w:val="16"/>
        </w:rPr>
        <w:t>n=</w:t>
      </w:r>
      <w:r w:rsidRPr="0064025D">
        <w:rPr>
          <w:sz w:val="16"/>
          <w:szCs w:val="16"/>
        </w:rPr>
        <w:t>2,236</w:t>
      </w:r>
      <w:r w:rsidRPr="0FA9A2F1">
        <w:rPr>
          <w:sz w:val="16"/>
          <w:szCs w:val="16"/>
        </w:rPr>
        <w:t xml:space="preserve">. </w:t>
      </w:r>
    </w:p>
    <w:p w14:paraId="66280730" w14:textId="77777777" w:rsidR="00844865" w:rsidRDefault="00844865" w:rsidP="00844865">
      <w:pPr>
        <w:pStyle w:val="Heading3"/>
      </w:pPr>
      <w:r>
        <w:t>Poor performing MySuper products</w:t>
      </w:r>
    </w:p>
    <w:p w14:paraId="7D444721" w14:textId="110A927C" w:rsidR="00BB4632" w:rsidRPr="00844865" w:rsidRDefault="00844865" w:rsidP="00844865">
      <w:r w:rsidRPr="009C582A">
        <w:rPr>
          <w:rFonts w:eastAsia="Helvetica"/>
        </w:rPr>
        <w:t xml:space="preserve">Respondents were also asked to rate the percentage of MySuper </w:t>
      </w:r>
      <w:r w:rsidRPr="009C582A">
        <w:t xml:space="preserve">products </w:t>
      </w:r>
      <w:r w:rsidRPr="009C582A">
        <w:rPr>
          <w:rFonts w:eastAsia="Helvetica"/>
        </w:rPr>
        <w:t xml:space="preserve">they thought would be classed in the worst performing category. On average, respondents guessed that around 48% of </w:t>
      </w:r>
      <w:r w:rsidRPr="009C582A">
        <w:t xml:space="preserve">products </w:t>
      </w:r>
      <w:r w:rsidRPr="009C582A">
        <w:rPr>
          <w:rFonts w:eastAsia="Helvetica"/>
        </w:rPr>
        <w:t>would be in the worst performing category.</w:t>
      </w:r>
      <w:r w:rsidR="001A6900">
        <w:rPr>
          <w:rFonts w:eastAsia="Helvetica"/>
        </w:rPr>
        <w:t xml:space="preserve"> </w:t>
      </w:r>
      <w:r w:rsidR="001A6900" w:rsidRPr="001A6900">
        <w:rPr>
          <w:rFonts w:eastAsia="Helvetica"/>
        </w:rPr>
        <w:t>This is much higher than the 16% of MySuper funds that failed the Your Future, Your Super performance test in 2021.</w:t>
      </w:r>
      <w:r w:rsidR="00BB4632">
        <w:br w:type="page"/>
      </w:r>
    </w:p>
    <w:p w14:paraId="23DE3C9F" w14:textId="19E21E77" w:rsidR="00BB4632" w:rsidRDefault="00DD7BE2" w:rsidP="003510B3">
      <w:pPr>
        <w:pStyle w:val="Heading2"/>
      </w:pPr>
      <w:bookmarkStart w:id="38" w:name="_Toc109225243"/>
      <w:bookmarkStart w:id="39" w:name="_Toc115096499"/>
      <w:bookmarkStart w:id="40" w:name="_Toc115184221"/>
      <w:bookmarkStart w:id="41" w:name="_Toc115187665"/>
      <w:r>
        <w:lastRenderedPageBreak/>
        <w:t>Appendix 3</w:t>
      </w:r>
      <w:r w:rsidR="003510B3">
        <w:t xml:space="preserve">: Statistical </w:t>
      </w:r>
      <w:r w:rsidR="00FD0E7A">
        <w:t>t</w:t>
      </w:r>
      <w:r w:rsidR="003510B3">
        <w:t>ables</w:t>
      </w:r>
      <w:r w:rsidR="005E62D4">
        <w:t xml:space="preserve"> for </w:t>
      </w:r>
      <w:r w:rsidR="00FD0E7A">
        <w:t>s</w:t>
      </w:r>
      <w:r w:rsidR="005E62D4">
        <w:t xml:space="preserve">urvey </w:t>
      </w:r>
      <w:r w:rsidR="00FD0E7A">
        <w:t>e</w:t>
      </w:r>
      <w:r w:rsidR="005E62D4">
        <w:t>xperiments</w:t>
      </w:r>
      <w:bookmarkEnd w:id="38"/>
      <w:bookmarkEnd w:id="39"/>
      <w:bookmarkEnd w:id="40"/>
      <w:bookmarkEnd w:id="41"/>
    </w:p>
    <w:p w14:paraId="1E88A815" w14:textId="1B64702E" w:rsidR="001A6900" w:rsidRDefault="00F3090C" w:rsidP="001A6900">
      <w:pPr>
        <w:pStyle w:val="Heading3"/>
      </w:pPr>
      <w:r>
        <w:t>Experiment one</w:t>
      </w:r>
      <w:r w:rsidR="001A6900" w:rsidRPr="001A6900">
        <w:t xml:space="preserve"> – statistical tables</w:t>
      </w:r>
    </w:p>
    <w:p w14:paraId="16EDE544" w14:textId="21ADAB12" w:rsidR="00392A01" w:rsidRPr="009F3C0D" w:rsidRDefault="00392A01" w:rsidP="00BD20D5">
      <w:pPr>
        <w:pStyle w:val="HeadingTable"/>
        <w:spacing w:before="240" w:after="120"/>
        <w:ind w:left="357" w:hanging="357"/>
        <w:outlineLvl w:val="3"/>
      </w:pPr>
      <w:r>
        <w:t xml:space="preserve">Primary outcome – </w:t>
      </w:r>
      <w:r w:rsidR="00960CA2">
        <w:t xml:space="preserve">choice of fund </w:t>
      </w:r>
      <w:r w:rsidR="00960CA2" w:rsidRPr="00236038">
        <w:t>ranking</w:t>
      </w:r>
      <w:r w:rsidRPr="00236038">
        <w:t xml:space="preserve"> (H1</w:t>
      </w:r>
      <w:r w:rsidR="00236038" w:rsidRPr="00236038">
        <w:t>.1</w:t>
      </w:r>
      <w:r w:rsidRPr="00236038">
        <w:t>)</w:t>
      </w:r>
    </w:p>
    <w:tbl>
      <w:tblPr>
        <w:tblStyle w:val="DefaultTable"/>
        <w:tblW w:w="7868"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50"/>
        <w:gridCol w:w="1144"/>
        <w:gridCol w:w="1134"/>
        <w:gridCol w:w="881"/>
        <w:gridCol w:w="1053"/>
        <w:gridCol w:w="1053"/>
        <w:gridCol w:w="1053"/>
      </w:tblGrid>
      <w:tr w:rsidR="00AE71A2" w:rsidRPr="003212F5" w14:paraId="44B85E24" w14:textId="77777777" w:rsidTr="002F277A">
        <w:trPr>
          <w:cnfStyle w:val="100000000000" w:firstRow="1" w:lastRow="0" w:firstColumn="0" w:lastColumn="0" w:oddVBand="0" w:evenVBand="0" w:oddHBand="0" w:evenHBand="0" w:firstRowFirstColumn="0" w:firstRowLastColumn="0" w:lastRowFirstColumn="0" w:lastRowLastColumn="0"/>
          <w:trHeight w:val="518"/>
          <w:tblHeader/>
        </w:trPr>
        <w:tc>
          <w:tcPr>
            <w:tcW w:w="1550" w:type="dxa"/>
            <w:tcBorders>
              <w:top w:val="nil"/>
              <w:bottom w:val="single" w:sz="18" w:space="0" w:color="142E3B" w:themeColor="accent6"/>
            </w:tcBorders>
            <w:shd w:val="clear" w:color="auto" w:fill="20B9A3" w:themeFill="accent1"/>
          </w:tcPr>
          <w:p w14:paraId="3F812883" w14:textId="77777777" w:rsidR="00AE71A2" w:rsidRPr="003212F5" w:rsidRDefault="00AE71A2" w:rsidP="00392A01">
            <w:pPr>
              <w:pStyle w:val="TableHeading"/>
              <w:keepNext/>
              <w:spacing w:after="0"/>
              <w:rPr>
                <w:sz w:val="20"/>
              </w:rPr>
            </w:pPr>
            <w:r w:rsidRPr="003212F5">
              <w:rPr>
                <w:sz w:val="20"/>
              </w:rPr>
              <w:t>Treatment arm</w:t>
            </w:r>
          </w:p>
        </w:tc>
        <w:tc>
          <w:tcPr>
            <w:tcW w:w="1144" w:type="dxa"/>
            <w:tcBorders>
              <w:top w:val="nil"/>
              <w:bottom w:val="single" w:sz="18" w:space="0" w:color="142E3B" w:themeColor="accent6"/>
            </w:tcBorders>
            <w:shd w:val="clear" w:color="auto" w:fill="20B9A3" w:themeFill="accent1"/>
          </w:tcPr>
          <w:p w14:paraId="58FBF604" w14:textId="3D39C4CA" w:rsidR="00AE71A2" w:rsidRPr="003212F5" w:rsidRDefault="00AE71A2" w:rsidP="00283D2E">
            <w:pPr>
              <w:pStyle w:val="TableHeading"/>
              <w:keepNext/>
              <w:spacing w:after="0"/>
              <w:jc w:val="right"/>
              <w:rPr>
                <w:sz w:val="20"/>
              </w:rPr>
            </w:pPr>
            <w:r w:rsidRPr="003212F5">
              <w:rPr>
                <w:sz w:val="20"/>
              </w:rPr>
              <w:t xml:space="preserve"> </w:t>
            </w:r>
            <w:r>
              <w:rPr>
                <w:sz w:val="20"/>
              </w:rPr>
              <w:t>M</w:t>
            </w:r>
            <w:r w:rsidRPr="003212F5">
              <w:rPr>
                <w:sz w:val="20"/>
              </w:rPr>
              <w:t>ean</w:t>
            </w:r>
            <w:r w:rsidR="00B25698">
              <w:rPr>
                <w:sz w:val="20"/>
              </w:rPr>
              <w:t xml:space="preserve"> (</w:t>
            </w:r>
            <w:r w:rsidR="00283D2E">
              <w:rPr>
                <w:sz w:val="20"/>
              </w:rPr>
              <w:t>ranking 1-10</w:t>
            </w:r>
            <w:r w:rsidR="00982DC6">
              <w:rPr>
                <w:sz w:val="20"/>
              </w:rPr>
              <w:t>)</w:t>
            </w:r>
          </w:p>
        </w:tc>
        <w:tc>
          <w:tcPr>
            <w:tcW w:w="1134" w:type="dxa"/>
            <w:tcBorders>
              <w:top w:val="nil"/>
              <w:bottom w:val="single" w:sz="18" w:space="0" w:color="142E3B" w:themeColor="accent6"/>
            </w:tcBorders>
            <w:shd w:val="clear" w:color="auto" w:fill="20B9A3" w:themeFill="accent1"/>
          </w:tcPr>
          <w:p w14:paraId="5519DBC8" w14:textId="7739B964" w:rsidR="00AE71A2" w:rsidRPr="003212F5" w:rsidRDefault="00AE71A2" w:rsidP="00392A01">
            <w:pPr>
              <w:pStyle w:val="TableHeading"/>
              <w:keepNext/>
              <w:spacing w:after="0"/>
              <w:jc w:val="right"/>
              <w:rPr>
                <w:sz w:val="20"/>
              </w:rPr>
            </w:pPr>
            <w:r>
              <w:rPr>
                <w:sz w:val="20"/>
              </w:rPr>
              <w:t>E</w:t>
            </w:r>
            <w:r w:rsidR="00982DC6">
              <w:rPr>
                <w:sz w:val="20"/>
              </w:rPr>
              <w:t xml:space="preserve">ffect </w:t>
            </w:r>
            <w:r w:rsidR="00283D2E">
              <w:rPr>
                <w:sz w:val="20"/>
              </w:rPr>
              <w:t>(ranking 1-10)</w:t>
            </w:r>
          </w:p>
        </w:tc>
        <w:tc>
          <w:tcPr>
            <w:tcW w:w="881" w:type="dxa"/>
            <w:tcBorders>
              <w:top w:val="nil"/>
              <w:bottom w:val="single" w:sz="18" w:space="0" w:color="142E3B" w:themeColor="accent6"/>
            </w:tcBorders>
            <w:shd w:val="clear" w:color="auto" w:fill="20B9A3" w:themeFill="accent1"/>
          </w:tcPr>
          <w:p w14:paraId="5C1169D0" w14:textId="77777777" w:rsidR="00AE71A2" w:rsidRPr="003212F5" w:rsidRDefault="00AE71A2" w:rsidP="00392A01">
            <w:pPr>
              <w:pStyle w:val="TableHeading"/>
              <w:keepNext/>
              <w:spacing w:after="0"/>
              <w:jc w:val="right"/>
              <w:rPr>
                <w:sz w:val="20"/>
              </w:rPr>
            </w:pPr>
            <w:r w:rsidRPr="003212F5">
              <w:rPr>
                <w:sz w:val="20"/>
              </w:rPr>
              <w:t>Std. error</w:t>
            </w:r>
          </w:p>
        </w:tc>
        <w:tc>
          <w:tcPr>
            <w:tcW w:w="1053" w:type="dxa"/>
            <w:tcBorders>
              <w:top w:val="nil"/>
              <w:bottom w:val="single" w:sz="18" w:space="0" w:color="142E3B" w:themeColor="accent6"/>
            </w:tcBorders>
            <w:shd w:val="clear" w:color="auto" w:fill="20B9A3" w:themeFill="accent1"/>
          </w:tcPr>
          <w:p w14:paraId="7DBDC673" w14:textId="77777777" w:rsidR="00AE71A2" w:rsidRPr="003212F5" w:rsidRDefault="00AE71A2" w:rsidP="00392A01">
            <w:pPr>
              <w:pStyle w:val="TableHeading"/>
              <w:keepNext/>
              <w:spacing w:after="0"/>
              <w:jc w:val="right"/>
              <w:rPr>
                <w:sz w:val="20"/>
              </w:rPr>
            </w:pPr>
            <w:r w:rsidRPr="003212F5">
              <w:rPr>
                <w:sz w:val="20"/>
              </w:rPr>
              <w:t>p-value</w:t>
            </w:r>
          </w:p>
        </w:tc>
        <w:tc>
          <w:tcPr>
            <w:tcW w:w="1053" w:type="dxa"/>
            <w:tcBorders>
              <w:top w:val="nil"/>
              <w:bottom w:val="single" w:sz="18" w:space="0" w:color="142E3B" w:themeColor="accent6"/>
            </w:tcBorders>
            <w:shd w:val="clear" w:color="auto" w:fill="20B9A3" w:themeFill="accent1"/>
          </w:tcPr>
          <w:p w14:paraId="74732196" w14:textId="77777777" w:rsidR="00AE71A2" w:rsidRPr="003212F5" w:rsidRDefault="00AE71A2" w:rsidP="00392A01">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53" w:type="dxa"/>
            <w:tcBorders>
              <w:top w:val="nil"/>
              <w:bottom w:val="single" w:sz="18" w:space="0" w:color="142E3B" w:themeColor="accent6"/>
            </w:tcBorders>
            <w:shd w:val="clear" w:color="auto" w:fill="20B9A3" w:themeFill="accent1"/>
          </w:tcPr>
          <w:p w14:paraId="7FDC6269" w14:textId="77777777" w:rsidR="00AE71A2" w:rsidRPr="003212F5" w:rsidRDefault="00AE71A2" w:rsidP="00392A01">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63996C77" w14:textId="77777777" w:rsidTr="002F277A">
        <w:trPr>
          <w:trHeight w:val="223"/>
        </w:trPr>
        <w:tc>
          <w:tcPr>
            <w:tcW w:w="1550" w:type="dxa"/>
            <w:shd w:val="clear" w:color="auto" w:fill="auto"/>
          </w:tcPr>
          <w:p w14:paraId="10E47F4E" w14:textId="25DBCBF0" w:rsidR="00AE71A2" w:rsidRPr="003212F5" w:rsidRDefault="00075A7A" w:rsidP="00392A01">
            <w:pPr>
              <w:pStyle w:val="TableTextLeftAligned"/>
              <w:keepNext/>
              <w:spacing w:after="0"/>
              <w:rPr>
                <w:sz w:val="18"/>
              </w:rPr>
            </w:pPr>
            <w:r w:rsidRPr="00075A7A">
              <w:rPr>
                <w:sz w:val="18"/>
              </w:rPr>
              <w:t>A: 2 categories, unsorted</w:t>
            </w:r>
          </w:p>
        </w:tc>
        <w:tc>
          <w:tcPr>
            <w:tcW w:w="1144" w:type="dxa"/>
          </w:tcPr>
          <w:p w14:paraId="28F486D0" w14:textId="20804B3F" w:rsidR="00AE71A2" w:rsidRPr="003212F5" w:rsidRDefault="00AE71A2" w:rsidP="00960CA2">
            <w:pPr>
              <w:pStyle w:val="TableTextRightAligned"/>
              <w:keepNext/>
              <w:spacing w:after="0"/>
              <w:rPr>
                <w:sz w:val="18"/>
              </w:rPr>
            </w:pPr>
            <w:r>
              <w:rPr>
                <w:sz w:val="18"/>
              </w:rPr>
              <w:t>6.2609</w:t>
            </w:r>
          </w:p>
        </w:tc>
        <w:tc>
          <w:tcPr>
            <w:tcW w:w="1134" w:type="dxa"/>
            <w:shd w:val="clear" w:color="auto" w:fill="FFFFFF" w:themeFill="background1"/>
          </w:tcPr>
          <w:p w14:paraId="47E4AB3C" w14:textId="37A07CAC" w:rsidR="00AE71A2" w:rsidRPr="003212F5" w:rsidRDefault="00AE71A2" w:rsidP="00392A01">
            <w:pPr>
              <w:pStyle w:val="TableTextRightAligned"/>
              <w:keepNext/>
              <w:spacing w:after="0"/>
              <w:rPr>
                <w:sz w:val="18"/>
              </w:rPr>
            </w:pPr>
          </w:p>
        </w:tc>
        <w:tc>
          <w:tcPr>
            <w:tcW w:w="881" w:type="dxa"/>
          </w:tcPr>
          <w:p w14:paraId="2A89F630" w14:textId="08D1BDBD" w:rsidR="00AE71A2" w:rsidRPr="003212F5" w:rsidRDefault="00AE71A2" w:rsidP="00392A01">
            <w:pPr>
              <w:pStyle w:val="TableTextRightAligned"/>
              <w:keepNext/>
              <w:spacing w:after="0"/>
              <w:rPr>
                <w:sz w:val="18"/>
              </w:rPr>
            </w:pPr>
          </w:p>
        </w:tc>
        <w:tc>
          <w:tcPr>
            <w:tcW w:w="1053" w:type="dxa"/>
            <w:shd w:val="clear" w:color="auto" w:fill="FFFFFF" w:themeFill="background1"/>
          </w:tcPr>
          <w:p w14:paraId="34340E83" w14:textId="1148EEAB" w:rsidR="00AE71A2" w:rsidRPr="003212F5" w:rsidRDefault="00AE71A2" w:rsidP="00392A01">
            <w:pPr>
              <w:pStyle w:val="TableTextRightAligned"/>
              <w:keepNext/>
              <w:spacing w:after="0"/>
              <w:rPr>
                <w:sz w:val="18"/>
              </w:rPr>
            </w:pPr>
          </w:p>
        </w:tc>
        <w:tc>
          <w:tcPr>
            <w:tcW w:w="1053" w:type="dxa"/>
          </w:tcPr>
          <w:p w14:paraId="4C1D8391" w14:textId="30EC5A16" w:rsidR="00AE71A2" w:rsidRPr="003212F5" w:rsidRDefault="00AE71A2" w:rsidP="00392A01">
            <w:pPr>
              <w:pStyle w:val="TableTextRightAligned"/>
              <w:keepNext/>
              <w:spacing w:after="0"/>
              <w:rPr>
                <w:sz w:val="18"/>
              </w:rPr>
            </w:pPr>
          </w:p>
        </w:tc>
        <w:tc>
          <w:tcPr>
            <w:tcW w:w="1053" w:type="dxa"/>
            <w:shd w:val="clear" w:color="auto" w:fill="FFFFFF" w:themeFill="background1"/>
          </w:tcPr>
          <w:p w14:paraId="234D328F" w14:textId="55D1D381" w:rsidR="00AE71A2" w:rsidRPr="003212F5" w:rsidRDefault="00AE71A2" w:rsidP="00392A01">
            <w:pPr>
              <w:pStyle w:val="TableTextRightAligned"/>
              <w:keepNext/>
              <w:spacing w:after="0"/>
              <w:ind w:left="-75" w:hanging="34"/>
              <w:rPr>
                <w:sz w:val="18"/>
              </w:rPr>
            </w:pPr>
          </w:p>
        </w:tc>
      </w:tr>
      <w:tr w:rsidR="00AE71A2" w:rsidRPr="003212F5" w14:paraId="280F457D" w14:textId="77777777" w:rsidTr="002F277A">
        <w:trPr>
          <w:trHeight w:val="223"/>
        </w:trPr>
        <w:tc>
          <w:tcPr>
            <w:tcW w:w="1550" w:type="dxa"/>
            <w:shd w:val="clear" w:color="auto" w:fill="auto"/>
          </w:tcPr>
          <w:p w14:paraId="0FE30D3D" w14:textId="3B097104" w:rsidR="00AE71A2" w:rsidRPr="003212F5" w:rsidRDefault="006040C0" w:rsidP="00392A01">
            <w:pPr>
              <w:pStyle w:val="TableTextLeftAligned"/>
              <w:spacing w:after="0"/>
              <w:rPr>
                <w:sz w:val="18"/>
              </w:rPr>
            </w:pPr>
            <w:r w:rsidRPr="006040C0">
              <w:rPr>
                <w:sz w:val="18"/>
              </w:rPr>
              <w:t>B: 3 categories, unsorted</w:t>
            </w:r>
          </w:p>
        </w:tc>
        <w:tc>
          <w:tcPr>
            <w:tcW w:w="1144" w:type="dxa"/>
          </w:tcPr>
          <w:p w14:paraId="147FA83E" w14:textId="1A435CB7" w:rsidR="00AE71A2" w:rsidRPr="003212F5" w:rsidRDefault="00AE71A2" w:rsidP="00960CA2">
            <w:pPr>
              <w:pStyle w:val="TableTextRightAligned"/>
              <w:spacing w:after="0"/>
              <w:rPr>
                <w:sz w:val="18"/>
              </w:rPr>
            </w:pPr>
            <w:r>
              <w:rPr>
                <w:sz w:val="18"/>
              </w:rPr>
              <w:t>6</w:t>
            </w:r>
            <w:r w:rsidRPr="003212F5">
              <w:rPr>
                <w:sz w:val="18"/>
              </w:rPr>
              <w:t>.</w:t>
            </w:r>
            <w:r>
              <w:rPr>
                <w:sz w:val="18"/>
              </w:rPr>
              <w:t>7922</w:t>
            </w:r>
          </w:p>
        </w:tc>
        <w:tc>
          <w:tcPr>
            <w:tcW w:w="1134" w:type="dxa"/>
            <w:shd w:val="clear" w:color="auto" w:fill="FFFFFF" w:themeFill="background1"/>
          </w:tcPr>
          <w:p w14:paraId="00660627" w14:textId="1367CF57" w:rsidR="00AE71A2" w:rsidRPr="003212F5" w:rsidRDefault="00AE71A2" w:rsidP="00960CA2">
            <w:pPr>
              <w:pStyle w:val="TableTextRightAligned"/>
              <w:spacing w:after="0"/>
              <w:rPr>
                <w:sz w:val="18"/>
              </w:rPr>
            </w:pPr>
            <w:r w:rsidRPr="003212F5">
              <w:rPr>
                <w:sz w:val="18"/>
              </w:rPr>
              <w:t>0.</w:t>
            </w:r>
            <w:r>
              <w:rPr>
                <w:sz w:val="18"/>
              </w:rPr>
              <w:t>5313</w:t>
            </w:r>
          </w:p>
        </w:tc>
        <w:tc>
          <w:tcPr>
            <w:tcW w:w="881" w:type="dxa"/>
          </w:tcPr>
          <w:p w14:paraId="6506BF69" w14:textId="11E7FC87" w:rsidR="00AE71A2" w:rsidRPr="003212F5" w:rsidRDefault="00AE71A2" w:rsidP="00392A01">
            <w:pPr>
              <w:pStyle w:val="TableTextRightAligned"/>
              <w:spacing w:after="0"/>
              <w:rPr>
                <w:sz w:val="18"/>
              </w:rPr>
            </w:pPr>
            <w:r w:rsidRPr="003212F5">
              <w:rPr>
                <w:sz w:val="18"/>
              </w:rPr>
              <w:t>0</w:t>
            </w:r>
            <w:r>
              <w:rPr>
                <w:sz w:val="18"/>
              </w:rPr>
              <w:t>.1474</w:t>
            </w:r>
          </w:p>
        </w:tc>
        <w:tc>
          <w:tcPr>
            <w:tcW w:w="1053" w:type="dxa"/>
            <w:shd w:val="clear" w:color="auto" w:fill="FFFFFF" w:themeFill="background1"/>
          </w:tcPr>
          <w:p w14:paraId="05740865" w14:textId="0796F1E1" w:rsidR="00AE71A2" w:rsidRPr="003212F5" w:rsidRDefault="00AE71A2" w:rsidP="00960CA2">
            <w:pPr>
              <w:pStyle w:val="TableTextRightAligned"/>
              <w:spacing w:after="0"/>
              <w:rPr>
                <w:sz w:val="18"/>
              </w:rPr>
            </w:pPr>
            <w:r w:rsidRPr="003212F5">
              <w:rPr>
                <w:sz w:val="18"/>
              </w:rPr>
              <w:t>0.</w:t>
            </w:r>
            <w:r>
              <w:rPr>
                <w:sz w:val="18"/>
              </w:rPr>
              <w:t>0002</w:t>
            </w:r>
          </w:p>
        </w:tc>
        <w:tc>
          <w:tcPr>
            <w:tcW w:w="1053" w:type="dxa"/>
          </w:tcPr>
          <w:p w14:paraId="4F72CA9B" w14:textId="620FF732" w:rsidR="00AE71A2" w:rsidRPr="003212F5" w:rsidRDefault="00AE71A2" w:rsidP="00960CA2">
            <w:pPr>
              <w:pStyle w:val="TableTextRightAligned"/>
              <w:spacing w:after="0"/>
              <w:rPr>
                <w:sz w:val="18"/>
              </w:rPr>
            </w:pPr>
            <w:r w:rsidRPr="003212F5">
              <w:rPr>
                <w:sz w:val="18"/>
              </w:rPr>
              <w:t>0</w:t>
            </w:r>
            <w:r>
              <w:rPr>
                <w:sz w:val="18"/>
              </w:rPr>
              <w:t>.2422</w:t>
            </w:r>
          </w:p>
        </w:tc>
        <w:tc>
          <w:tcPr>
            <w:tcW w:w="1053" w:type="dxa"/>
            <w:shd w:val="clear" w:color="auto" w:fill="FFFFFF" w:themeFill="background1"/>
          </w:tcPr>
          <w:p w14:paraId="01D373D4" w14:textId="00D16F29" w:rsidR="00AE71A2" w:rsidRPr="003212F5" w:rsidRDefault="00AE71A2" w:rsidP="00960CA2">
            <w:pPr>
              <w:pStyle w:val="TableTextRightAligned"/>
              <w:spacing w:after="0"/>
              <w:ind w:left="-75" w:hanging="34"/>
              <w:rPr>
                <w:sz w:val="18"/>
              </w:rPr>
            </w:pPr>
            <w:r>
              <w:rPr>
                <w:sz w:val="18"/>
              </w:rPr>
              <w:t>0.8203</w:t>
            </w:r>
          </w:p>
        </w:tc>
      </w:tr>
    </w:tbl>
    <w:p w14:paraId="6CE98C19" w14:textId="1185278C" w:rsidR="00392A01" w:rsidRDefault="00392A01" w:rsidP="00392A01">
      <w:pPr>
        <w:spacing w:line="240" w:lineRule="auto"/>
        <w:rPr>
          <w:sz w:val="18"/>
        </w:rPr>
      </w:pPr>
      <w:r w:rsidRPr="00BE642E">
        <w:rPr>
          <w:sz w:val="18"/>
        </w:rPr>
        <w:t>Note</w:t>
      </w:r>
      <w:r>
        <w:rPr>
          <w:sz w:val="18"/>
        </w:rPr>
        <w:t xml:space="preserve">: n = </w:t>
      </w:r>
      <w:r w:rsidR="00960CA2">
        <w:rPr>
          <w:sz w:val="18"/>
        </w:rPr>
        <w:t>1</w:t>
      </w:r>
      <w:r w:rsidR="003D4211">
        <w:rPr>
          <w:sz w:val="18"/>
        </w:rPr>
        <w:t>,</w:t>
      </w:r>
      <w:r w:rsidR="00960CA2">
        <w:rPr>
          <w:sz w:val="18"/>
        </w:rPr>
        <w:t>498</w:t>
      </w:r>
      <w:r>
        <w:rPr>
          <w:sz w:val="18"/>
        </w:rPr>
        <w:t xml:space="preserve">, OLS regression, </w:t>
      </w:r>
      <w:r w:rsidRPr="00BE642E">
        <w:rPr>
          <w:sz w:val="18"/>
        </w:rPr>
        <w:t xml:space="preserve">p-values are from </w:t>
      </w:r>
      <w:r w:rsidRPr="00236038">
        <w:rPr>
          <w:sz w:val="18"/>
        </w:rPr>
        <w:t>one-tailed tests.</w:t>
      </w:r>
      <w:r w:rsidR="00503A26">
        <w:rPr>
          <w:sz w:val="18"/>
        </w:rPr>
        <w:t xml:space="preserve"> </w:t>
      </w:r>
      <w:r w:rsidR="00503A26" w:rsidRPr="00B41DC6">
        <w:rPr>
          <w:sz w:val="18"/>
        </w:rPr>
        <w:t>We did not correct for multiple comparisons.</w:t>
      </w:r>
      <w:r w:rsidR="00727A56">
        <w:rPr>
          <w:sz w:val="18"/>
        </w:rPr>
        <w:t xml:space="preserve"> </w:t>
      </w:r>
    </w:p>
    <w:p w14:paraId="6EE1E8D2" w14:textId="2B3B129A" w:rsidR="00960CA2" w:rsidRPr="009F3C0D" w:rsidRDefault="00960CA2" w:rsidP="00BD20D5">
      <w:pPr>
        <w:pStyle w:val="HeadingTable"/>
        <w:spacing w:before="240" w:after="120"/>
        <w:ind w:left="357" w:hanging="357"/>
        <w:outlineLvl w:val="3"/>
      </w:pPr>
      <w:r>
        <w:t xml:space="preserve">Primary outcome – choice of fund </w:t>
      </w:r>
      <w:r w:rsidRPr="00236038">
        <w:t>ranking (H1</w:t>
      </w:r>
      <w:r w:rsidR="00236038" w:rsidRPr="00236038">
        <w:t>.2</w:t>
      </w:r>
      <w:r w:rsidRPr="00236038">
        <w:t>)</w:t>
      </w:r>
    </w:p>
    <w:tbl>
      <w:tblPr>
        <w:tblStyle w:val="DefaultTable"/>
        <w:tblW w:w="7888" w:type="dxa"/>
        <w:tblBorders>
          <w:bottom w:val="none" w:sz="0" w:space="0" w:color="auto"/>
          <w:insideH w:val="none" w:sz="0" w:space="0" w:color="auto"/>
        </w:tblBorders>
        <w:tblLayout w:type="fixed"/>
        <w:tblCellMar>
          <w:top w:w="58" w:type="dxa"/>
          <w:left w:w="77" w:type="dxa"/>
          <w:bottom w:w="58" w:type="dxa"/>
          <w:right w:w="77" w:type="dxa"/>
        </w:tblCellMar>
        <w:tblLook w:val="0420" w:firstRow="1" w:lastRow="0" w:firstColumn="0" w:lastColumn="0" w:noHBand="0" w:noVBand="1"/>
        <w:tblCaption w:val="Table 1"/>
        <w:tblDescription w:val="Example table with Alt Text for accessibility"/>
      </w:tblPr>
      <w:tblGrid>
        <w:gridCol w:w="1553"/>
        <w:gridCol w:w="1141"/>
        <w:gridCol w:w="1134"/>
        <w:gridCol w:w="1064"/>
        <w:gridCol w:w="978"/>
        <w:gridCol w:w="962"/>
        <w:gridCol w:w="1056"/>
      </w:tblGrid>
      <w:tr w:rsidR="00246F49" w:rsidRPr="003212F5" w14:paraId="507EB189" w14:textId="77777777" w:rsidTr="00A139DE">
        <w:trPr>
          <w:cnfStyle w:val="100000000000" w:firstRow="1" w:lastRow="0" w:firstColumn="0" w:lastColumn="0" w:oddVBand="0" w:evenVBand="0" w:oddHBand="0" w:evenHBand="0" w:firstRowFirstColumn="0" w:firstRowLastColumn="0" w:lastRowFirstColumn="0" w:lastRowLastColumn="0"/>
          <w:trHeight w:val="366"/>
          <w:tblHeader/>
        </w:trPr>
        <w:tc>
          <w:tcPr>
            <w:tcW w:w="1553" w:type="dxa"/>
            <w:shd w:val="clear" w:color="auto" w:fill="20B9A3" w:themeFill="accent1"/>
          </w:tcPr>
          <w:p w14:paraId="6BADC390" w14:textId="77777777" w:rsidR="00AE71A2" w:rsidRPr="003212F5" w:rsidRDefault="00AE71A2" w:rsidP="000025DD">
            <w:pPr>
              <w:pStyle w:val="TableHeading"/>
              <w:keepNext/>
              <w:spacing w:after="0"/>
              <w:rPr>
                <w:sz w:val="20"/>
              </w:rPr>
            </w:pPr>
            <w:r w:rsidRPr="003212F5">
              <w:rPr>
                <w:sz w:val="20"/>
              </w:rPr>
              <w:t>Treatment arm</w:t>
            </w:r>
          </w:p>
        </w:tc>
        <w:tc>
          <w:tcPr>
            <w:tcW w:w="1141" w:type="dxa"/>
            <w:shd w:val="clear" w:color="auto" w:fill="20B9A3" w:themeFill="accent1"/>
          </w:tcPr>
          <w:p w14:paraId="04344E26" w14:textId="003F4A65" w:rsidR="00AE71A2" w:rsidRPr="003212F5" w:rsidRDefault="00982DC6" w:rsidP="002F277A">
            <w:pPr>
              <w:pStyle w:val="TableHeading"/>
              <w:keepNext/>
              <w:spacing w:after="0"/>
              <w:jc w:val="right"/>
              <w:rPr>
                <w:sz w:val="20"/>
              </w:rPr>
            </w:pPr>
            <w:r>
              <w:rPr>
                <w:sz w:val="20"/>
              </w:rPr>
              <w:t xml:space="preserve"> M</w:t>
            </w:r>
            <w:r w:rsidRPr="003212F5">
              <w:rPr>
                <w:sz w:val="20"/>
              </w:rPr>
              <w:t>ean</w:t>
            </w:r>
            <w:r>
              <w:rPr>
                <w:sz w:val="20"/>
              </w:rPr>
              <w:t xml:space="preserve"> </w:t>
            </w:r>
            <w:r w:rsidR="00283D2E">
              <w:rPr>
                <w:sz w:val="20"/>
              </w:rPr>
              <w:t>(ranking 1-10)</w:t>
            </w:r>
          </w:p>
        </w:tc>
        <w:tc>
          <w:tcPr>
            <w:tcW w:w="1134" w:type="dxa"/>
            <w:shd w:val="clear" w:color="auto" w:fill="20B9A3" w:themeFill="accent1"/>
          </w:tcPr>
          <w:p w14:paraId="65A6AB65" w14:textId="187DEBBD" w:rsidR="00AE71A2" w:rsidRPr="003212F5" w:rsidRDefault="00982DC6" w:rsidP="000025DD">
            <w:pPr>
              <w:pStyle w:val="TableHeading"/>
              <w:keepNext/>
              <w:spacing w:after="0"/>
              <w:jc w:val="right"/>
              <w:rPr>
                <w:sz w:val="20"/>
              </w:rPr>
            </w:pPr>
            <w:r>
              <w:rPr>
                <w:sz w:val="20"/>
              </w:rPr>
              <w:t xml:space="preserve">Effect </w:t>
            </w:r>
            <w:r w:rsidR="00283D2E">
              <w:rPr>
                <w:sz w:val="20"/>
              </w:rPr>
              <w:t>(ranking 1-10)</w:t>
            </w:r>
          </w:p>
        </w:tc>
        <w:tc>
          <w:tcPr>
            <w:tcW w:w="1064" w:type="dxa"/>
            <w:shd w:val="clear" w:color="auto" w:fill="20B9A3" w:themeFill="accent1"/>
          </w:tcPr>
          <w:p w14:paraId="460A263F" w14:textId="77777777" w:rsidR="00AE71A2" w:rsidRPr="003212F5" w:rsidRDefault="00AE71A2" w:rsidP="000025DD">
            <w:pPr>
              <w:pStyle w:val="TableHeading"/>
              <w:keepNext/>
              <w:spacing w:after="0"/>
              <w:jc w:val="right"/>
              <w:rPr>
                <w:sz w:val="20"/>
              </w:rPr>
            </w:pPr>
            <w:r w:rsidRPr="003212F5">
              <w:rPr>
                <w:sz w:val="20"/>
              </w:rPr>
              <w:t>Std. error</w:t>
            </w:r>
          </w:p>
        </w:tc>
        <w:tc>
          <w:tcPr>
            <w:tcW w:w="978" w:type="dxa"/>
            <w:shd w:val="clear" w:color="auto" w:fill="20B9A3" w:themeFill="accent1"/>
          </w:tcPr>
          <w:p w14:paraId="15E4B906" w14:textId="77777777" w:rsidR="00AE71A2" w:rsidRPr="003212F5" w:rsidRDefault="00AE71A2" w:rsidP="000025DD">
            <w:pPr>
              <w:pStyle w:val="TableHeading"/>
              <w:keepNext/>
              <w:spacing w:after="0"/>
              <w:jc w:val="right"/>
              <w:rPr>
                <w:sz w:val="20"/>
              </w:rPr>
            </w:pPr>
            <w:r w:rsidRPr="003212F5">
              <w:rPr>
                <w:sz w:val="20"/>
              </w:rPr>
              <w:t>p-value</w:t>
            </w:r>
          </w:p>
        </w:tc>
        <w:tc>
          <w:tcPr>
            <w:tcW w:w="962" w:type="dxa"/>
            <w:shd w:val="clear" w:color="auto" w:fill="20B9A3" w:themeFill="accent1"/>
          </w:tcPr>
          <w:p w14:paraId="029AD242" w14:textId="77777777" w:rsidR="00AE71A2" w:rsidRPr="003212F5" w:rsidRDefault="00AE71A2"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56" w:type="dxa"/>
            <w:shd w:val="clear" w:color="auto" w:fill="20B9A3" w:themeFill="accent1"/>
          </w:tcPr>
          <w:p w14:paraId="0880CE80" w14:textId="77777777" w:rsidR="00AE71A2" w:rsidRPr="003212F5" w:rsidRDefault="00AE71A2"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796B85" w:rsidRPr="003212F5" w14:paraId="4AF3083C" w14:textId="77777777" w:rsidTr="00A139DE">
        <w:tblPrEx>
          <w:tblCellMar>
            <w:top w:w="57" w:type="dxa"/>
            <w:left w:w="52" w:type="dxa"/>
            <w:bottom w:w="39" w:type="dxa"/>
            <w:right w:w="52" w:type="dxa"/>
          </w:tblCellMar>
        </w:tblPrEx>
        <w:trPr>
          <w:trHeight w:val="155"/>
        </w:trPr>
        <w:tc>
          <w:tcPr>
            <w:tcW w:w="1553" w:type="dxa"/>
            <w:shd w:val="clear" w:color="auto" w:fill="auto"/>
          </w:tcPr>
          <w:p w14:paraId="276DA59C" w14:textId="06064701" w:rsidR="00AE71A2" w:rsidRPr="003212F5" w:rsidRDefault="006040C0" w:rsidP="000025DD">
            <w:pPr>
              <w:pStyle w:val="TableTextLeftAligned"/>
              <w:keepNext/>
              <w:spacing w:after="0"/>
              <w:rPr>
                <w:sz w:val="18"/>
              </w:rPr>
            </w:pPr>
            <w:r w:rsidRPr="006040C0">
              <w:rPr>
                <w:sz w:val="18"/>
              </w:rPr>
              <w:t>B: 3 categories, unsorted</w:t>
            </w:r>
          </w:p>
        </w:tc>
        <w:tc>
          <w:tcPr>
            <w:tcW w:w="1141" w:type="dxa"/>
          </w:tcPr>
          <w:p w14:paraId="34771BDA" w14:textId="62DBC845" w:rsidR="00AE71A2" w:rsidRPr="003212F5" w:rsidRDefault="00AE71A2" w:rsidP="00960CA2">
            <w:pPr>
              <w:pStyle w:val="TableTextRightAligned"/>
              <w:keepNext/>
              <w:spacing w:after="0"/>
              <w:rPr>
                <w:sz w:val="18"/>
              </w:rPr>
            </w:pPr>
            <w:r>
              <w:rPr>
                <w:sz w:val="18"/>
              </w:rPr>
              <w:t>6.7898</w:t>
            </w:r>
          </w:p>
        </w:tc>
        <w:tc>
          <w:tcPr>
            <w:tcW w:w="1134" w:type="dxa"/>
            <w:shd w:val="clear" w:color="auto" w:fill="FFFFFF" w:themeFill="background1"/>
          </w:tcPr>
          <w:p w14:paraId="58744D4A" w14:textId="77777777" w:rsidR="00AE71A2" w:rsidRPr="003212F5" w:rsidRDefault="00AE71A2" w:rsidP="000025DD">
            <w:pPr>
              <w:pStyle w:val="TableTextRightAligned"/>
              <w:keepNext/>
              <w:spacing w:after="0"/>
              <w:rPr>
                <w:sz w:val="18"/>
              </w:rPr>
            </w:pPr>
          </w:p>
        </w:tc>
        <w:tc>
          <w:tcPr>
            <w:tcW w:w="1064" w:type="dxa"/>
          </w:tcPr>
          <w:p w14:paraId="00C5FA96" w14:textId="77777777" w:rsidR="00AE71A2" w:rsidRPr="003212F5" w:rsidRDefault="00AE71A2" w:rsidP="000025DD">
            <w:pPr>
              <w:pStyle w:val="TableTextRightAligned"/>
              <w:keepNext/>
              <w:spacing w:after="0"/>
              <w:rPr>
                <w:sz w:val="18"/>
              </w:rPr>
            </w:pPr>
          </w:p>
        </w:tc>
        <w:tc>
          <w:tcPr>
            <w:tcW w:w="978" w:type="dxa"/>
            <w:shd w:val="clear" w:color="auto" w:fill="FFFFFF" w:themeFill="background1"/>
          </w:tcPr>
          <w:p w14:paraId="78B0B586" w14:textId="77777777" w:rsidR="00AE71A2" w:rsidRPr="003212F5" w:rsidRDefault="00AE71A2" w:rsidP="000025DD">
            <w:pPr>
              <w:pStyle w:val="TableTextRightAligned"/>
              <w:keepNext/>
              <w:spacing w:after="0"/>
              <w:rPr>
                <w:sz w:val="18"/>
              </w:rPr>
            </w:pPr>
          </w:p>
        </w:tc>
        <w:tc>
          <w:tcPr>
            <w:tcW w:w="962" w:type="dxa"/>
          </w:tcPr>
          <w:p w14:paraId="2E30DD4D" w14:textId="77777777" w:rsidR="00AE71A2" w:rsidRPr="003212F5" w:rsidRDefault="00AE71A2" w:rsidP="000025DD">
            <w:pPr>
              <w:pStyle w:val="TableTextRightAligned"/>
              <w:keepNext/>
              <w:spacing w:after="0"/>
              <w:rPr>
                <w:sz w:val="18"/>
              </w:rPr>
            </w:pPr>
          </w:p>
        </w:tc>
        <w:tc>
          <w:tcPr>
            <w:tcW w:w="1056" w:type="dxa"/>
            <w:shd w:val="clear" w:color="auto" w:fill="FFFFFF" w:themeFill="background1"/>
          </w:tcPr>
          <w:p w14:paraId="23A6A41F" w14:textId="77777777" w:rsidR="00AE71A2" w:rsidRPr="003212F5" w:rsidRDefault="00AE71A2" w:rsidP="000025DD">
            <w:pPr>
              <w:pStyle w:val="TableTextRightAligned"/>
              <w:keepNext/>
              <w:spacing w:after="0"/>
              <w:ind w:left="-75" w:hanging="34"/>
              <w:rPr>
                <w:sz w:val="18"/>
              </w:rPr>
            </w:pPr>
          </w:p>
        </w:tc>
      </w:tr>
      <w:tr w:rsidR="00796B85" w:rsidRPr="003212F5" w14:paraId="02AB8A59" w14:textId="77777777" w:rsidTr="00A139DE">
        <w:tblPrEx>
          <w:tblCellMar>
            <w:top w:w="85" w:type="dxa"/>
          </w:tblCellMar>
        </w:tblPrEx>
        <w:trPr>
          <w:trHeight w:val="229"/>
        </w:trPr>
        <w:tc>
          <w:tcPr>
            <w:tcW w:w="1553" w:type="dxa"/>
            <w:shd w:val="clear" w:color="auto" w:fill="auto"/>
          </w:tcPr>
          <w:p w14:paraId="688FD0DE" w14:textId="7910BA9E" w:rsidR="00AE71A2" w:rsidRPr="003212F5" w:rsidRDefault="006040C0" w:rsidP="000025DD">
            <w:pPr>
              <w:pStyle w:val="TableTextLeftAligned"/>
              <w:spacing w:after="0"/>
              <w:rPr>
                <w:sz w:val="18"/>
              </w:rPr>
            </w:pPr>
            <w:r w:rsidRPr="006040C0">
              <w:rPr>
                <w:sz w:val="18"/>
              </w:rPr>
              <w:t>C: 3 categories, sorted</w:t>
            </w:r>
          </w:p>
        </w:tc>
        <w:tc>
          <w:tcPr>
            <w:tcW w:w="1141" w:type="dxa"/>
          </w:tcPr>
          <w:p w14:paraId="704CC424" w14:textId="4A7FD208" w:rsidR="00AE71A2" w:rsidRPr="003212F5" w:rsidRDefault="00AE71A2" w:rsidP="000025DD">
            <w:pPr>
              <w:pStyle w:val="TableTextRightAligned"/>
              <w:spacing w:after="0"/>
              <w:rPr>
                <w:sz w:val="18"/>
              </w:rPr>
            </w:pPr>
            <w:r>
              <w:rPr>
                <w:sz w:val="18"/>
              </w:rPr>
              <w:t>7.0405</w:t>
            </w:r>
          </w:p>
        </w:tc>
        <w:tc>
          <w:tcPr>
            <w:tcW w:w="1134" w:type="dxa"/>
            <w:shd w:val="clear" w:color="auto" w:fill="FFFFFF" w:themeFill="background1"/>
          </w:tcPr>
          <w:p w14:paraId="4C0D7DB5" w14:textId="49F576BD" w:rsidR="00AE71A2" w:rsidRPr="003212F5" w:rsidRDefault="00AE71A2" w:rsidP="000025DD">
            <w:pPr>
              <w:pStyle w:val="TableTextRightAligned"/>
              <w:spacing w:after="0"/>
              <w:rPr>
                <w:sz w:val="18"/>
              </w:rPr>
            </w:pPr>
            <w:r w:rsidRPr="003212F5">
              <w:rPr>
                <w:sz w:val="18"/>
              </w:rPr>
              <w:t>0.</w:t>
            </w:r>
            <w:r>
              <w:rPr>
                <w:sz w:val="18"/>
              </w:rPr>
              <w:t>2507</w:t>
            </w:r>
          </w:p>
        </w:tc>
        <w:tc>
          <w:tcPr>
            <w:tcW w:w="1064" w:type="dxa"/>
          </w:tcPr>
          <w:p w14:paraId="3C9C607F" w14:textId="6C1BB32F" w:rsidR="00AE71A2" w:rsidRPr="003212F5" w:rsidRDefault="00AE71A2" w:rsidP="000025DD">
            <w:pPr>
              <w:pStyle w:val="TableTextRightAligned"/>
              <w:spacing w:after="0"/>
              <w:rPr>
                <w:sz w:val="18"/>
              </w:rPr>
            </w:pPr>
            <w:r w:rsidRPr="003212F5">
              <w:rPr>
                <w:sz w:val="18"/>
              </w:rPr>
              <w:t>0</w:t>
            </w:r>
            <w:r>
              <w:rPr>
                <w:sz w:val="18"/>
              </w:rPr>
              <w:t>.1498</w:t>
            </w:r>
          </w:p>
        </w:tc>
        <w:tc>
          <w:tcPr>
            <w:tcW w:w="978" w:type="dxa"/>
            <w:shd w:val="clear" w:color="auto" w:fill="FFFFFF" w:themeFill="background1"/>
          </w:tcPr>
          <w:p w14:paraId="591C9947" w14:textId="57662EBA" w:rsidR="00AE71A2" w:rsidRPr="003212F5" w:rsidRDefault="00AE71A2" w:rsidP="005B1417">
            <w:pPr>
              <w:pStyle w:val="TableTextRightAligned"/>
              <w:spacing w:after="0"/>
              <w:rPr>
                <w:sz w:val="18"/>
              </w:rPr>
            </w:pPr>
            <w:r w:rsidRPr="003212F5">
              <w:rPr>
                <w:sz w:val="18"/>
              </w:rPr>
              <w:t>0.</w:t>
            </w:r>
            <w:r>
              <w:rPr>
                <w:sz w:val="18"/>
              </w:rPr>
              <w:t>0472</w:t>
            </w:r>
          </w:p>
        </w:tc>
        <w:tc>
          <w:tcPr>
            <w:tcW w:w="962" w:type="dxa"/>
          </w:tcPr>
          <w:p w14:paraId="393122E4" w14:textId="3547F712" w:rsidR="00AE71A2" w:rsidRPr="003212F5" w:rsidRDefault="00AE71A2" w:rsidP="000025DD">
            <w:pPr>
              <w:pStyle w:val="TableTextRightAligned"/>
              <w:spacing w:after="0"/>
              <w:rPr>
                <w:sz w:val="18"/>
              </w:rPr>
            </w:pPr>
            <w:r>
              <w:rPr>
                <w:sz w:val="18"/>
              </w:rPr>
              <w:t>-0.0431</w:t>
            </w:r>
          </w:p>
        </w:tc>
        <w:tc>
          <w:tcPr>
            <w:tcW w:w="1056" w:type="dxa"/>
            <w:shd w:val="clear" w:color="auto" w:fill="FFFFFF" w:themeFill="background1"/>
          </w:tcPr>
          <w:p w14:paraId="2D146676" w14:textId="16093428" w:rsidR="00AE71A2" w:rsidRPr="003212F5" w:rsidRDefault="00AE71A2" w:rsidP="000025DD">
            <w:pPr>
              <w:pStyle w:val="TableTextRightAligned"/>
              <w:spacing w:after="0"/>
              <w:ind w:left="-75" w:hanging="34"/>
              <w:rPr>
                <w:sz w:val="18"/>
              </w:rPr>
            </w:pPr>
            <w:r>
              <w:rPr>
                <w:sz w:val="18"/>
              </w:rPr>
              <w:t>0.5445</w:t>
            </w:r>
          </w:p>
        </w:tc>
      </w:tr>
    </w:tbl>
    <w:p w14:paraId="09E724C5" w14:textId="19E2C623" w:rsidR="00960CA2" w:rsidRDefault="00960CA2" w:rsidP="00960CA2">
      <w:pPr>
        <w:spacing w:line="240" w:lineRule="auto"/>
        <w:rPr>
          <w:sz w:val="18"/>
        </w:rPr>
      </w:pPr>
      <w:r w:rsidRPr="00BE642E">
        <w:rPr>
          <w:sz w:val="18"/>
        </w:rPr>
        <w:t>Note</w:t>
      </w:r>
      <w:r>
        <w:rPr>
          <w:sz w:val="18"/>
        </w:rPr>
        <w:t>: n = 1</w:t>
      </w:r>
      <w:r w:rsidR="003D4211">
        <w:rPr>
          <w:sz w:val="18"/>
        </w:rPr>
        <w:t>,</w:t>
      </w:r>
      <w:r>
        <w:rPr>
          <w:sz w:val="18"/>
        </w:rPr>
        <w:t xml:space="preserve">484, OLS regression, </w:t>
      </w:r>
      <w:r w:rsidRPr="00BE642E">
        <w:rPr>
          <w:sz w:val="18"/>
        </w:rPr>
        <w:t xml:space="preserve">p-values are </w:t>
      </w:r>
      <w:r w:rsidRPr="00236038">
        <w:rPr>
          <w:sz w:val="18"/>
        </w:rPr>
        <w:t>from one-tailed tests</w:t>
      </w:r>
      <w:r w:rsidRPr="00B41DC6">
        <w:rPr>
          <w:sz w:val="18"/>
        </w:rPr>
        <w:t xml:space="preserve">. We did not correct for </w:t>
      </w:r>
      <w:r w:rsidR="00B41DC6" w:rsidRPr="00B41DC6">
        <w:rPr>
          <w:sz w:val="18"/>
        </w:rPr>
        <w:t xml:space="preserve">multiple </w:t>
      </w:r>
      <w:r w:rsidRPr="00B41DC6">
        <w:rPr>
          <w:sz w:val="18"/>
        </w:rPr>
        <w:t>comparison</w:t>
      </w:r>
      <w:r w:rsidR="00B41DC6" w:rsidRPr="00B41DC6">
        <w:rPr>
          <w:sz w:val="18"/>
        </w:rPr>
        <w:t>s</w:t>
      </w:r>
      <w:r w:rsidRPr="00B41DC6">
        <w:rPr>
          <w:sz w:val="18"/>
        </w:rPr>
        <w:t>.</w:t>
      </w:r>
    </w:p>
    <w:p w14:paraId="3BE87837" w14:textId="674F32F6" w:rsidR="00960CA2" w:rsidRDefault="00960CA2" w:rsidP="00BD20D5">
      <w:pPr>
        <w:pStyle w:val="HeadingTable"/>
        <w:spacing w:before="240" w:after="120"/>
        <w:ind w:left="357" w:hanging="357"/>
        <w:outlineLvl w:val="3"/>
      </w:pPr>
      <w:r>
        <w:t xml:space="preserve">Primary outcome – choice of fund ranking </w:t>
      </w:r>
      <w:r w:rsidRPr="00236038">
        <w:t>(H1</w:t>
      </w:r>
      <w:r w:rsidR="00236038" w:rsidRPr="00236038">
        <w:t>.3</w:t>
      </w:r>
      <w:r w:rsidRPr="00236038">
        <w:t>)</w:t>
      </w:r>
    </w:p>
    <w:tbl>
      <w:tblPr>
        <w:tblStyle w:val="DefaultTable"/>
        <w:tblW w:w="7888" w:type="dxa"/>
        <w:tblBorders>
          <w:bottom w:val="none" w:sz="0" w:space="0" w:color="auto"/>
          <w:insideH w:val="none" w:sz="0" w:space="0" w:color="auto"/>
        </w:tblBorders>
        <w:tblLayout w:type="fixed"/>
        <w:tblCellMar>
          <w:top w:w="58" w:type="dxa"/>
          <w:left w:w="77" w:type="dxa"/>
          <w:bottom w:w="58" w:type="dxa"/>
          <w:right w:w="77" w:type="dxa"/>
        </w:tblCellMar>
        <w:tblLook w:val="0420" w:firstRow="1" w:lastRow="0" w:firstColumn="0" w:lastColumn="0" w:noHBand="0" w:noVBand="1"/>
      </w:tblPr>
      <w:tblGrid>
        <w:gridCol w:w="1553"/>
        <w:gridCol w:w="1141"/>
        <w:gridCol w:w="1134"/>
        <w:gridCol w:w="1064"/>
        <w:gridCol w:w="978"/>
        <w:gridCol w:w="962"/>
        <w:gridCol w:w="1056"/>
      </w:tblGrid>
      <w:tr w:rsidR="00BD20D5" w:rsidRPr="003212F5" w14:paraId="36D03589" w14:textId="77777777" w:rsidTr="00450747">
        <w:trPr>
          <w:cnfStyle w:val="100000000000" w:firstRow="1" w:lastRow="0" w:firstColumn="0" w:lastColumn="0" w:oddVBand="0" w:evenVBand="0" w:oddHBand="0" w:evenHBand="0" w:firstRowFirstColumn="0" w:firstRowLastColumn="0" w:lastRowFirstColumn="0" w:lastRowLastColumn="0"/>
          <w:trHeight w:val="366"/>
          <w:tblHeader/>
        </w:trPr>
        <w:tc>
          <w:tcPr>
            <w:tcW w:w="1553" w:type="dxa"/>
            <w:shd w:val="clear" w:color="auto" w:fill="20B9A3" w:themeFill="accent1"/>
          </w:tcPr>
          <w:p w14:paraId="06AF0247" w14:textId="77777777" w:rsidR="00BD20D5" w:rsidRPr="003212F5" w:rsidRDefault="00BD20D5" w:rsidP="00450747">
            <w:pPr>
              <w:pStyle w:val="TableHeading"/>
              <w:keepNext/>
              <w:spacing w:after="0"/>
              <w:rPr>
                <w:sz w:val="20"/>
              </w:rPr>
            </w:pPr>
            <w:r w:rsidRPr="003212F5">
              <w:rPr>
                <w:sz w:val="20"/>
              </w:rPr>
              <w:t>Treatment arm</w:t>
            </w:r>
          </w:p>
        </w:tc>
        <w:tc>
          <w:tcPr>
            <w:tcW w:w="1141" w:type="dxa"/>
            <w:shd w:val="clear" w:color="auto" w:fill="20B9A3" w:themeFill="accent1"/>
          </w:tcPr>
          <w:p w14:paraId="02F7207C" w14:textId="77777777" w:rsidR="00BD20D5" w:rsidRPr="003212F5" w:rsidRDefault="00BD20D5" w:rsidP="00450747">
            <w:pPr>
              <w:pStyle w:val="TableHeading"/>
              <w:keepNext/>
              <w:spacing w:after="0"/>
              <w:jc w:val="right"/>
              <w:rPr>
                <w:sz w:val="20"/>
              </w:rPr>
            </w:pPr>
            <w:r>
              <w:rPr>
                <w:sz w:val="20"/>
              </w:rPr>
              <w:t xml:space="preserve"> M</w:t>
            </w:r>
            <w:r w:rsidRPr="003212F5">
              <w:rPr>
                <w:sz w:val="20"/>
              </w:rPr>
              <w:t>ean</w:t>
            </w:r>
            <w:r>
              <w:rPr>
                <w:sz w:val="20"/>
              </w:rPr>
              <w:t xml:space="preserve"> (ranking 1-10)</w:t>
            </w:r>
          </w:p>
        </w:tc>
        <w:tc>
          <w:tcPr>
            <w:tcW w:w="1134" w:type="dxa"/>
            <w:shd w:val="clear" w:color="auto" w:fill="20B9A3" w:themeFill="accent1"/>
          </w:tcPr>
          <w:p w14:paraId="5DA5DB7C" w14:textId="77777777" w:rsidR="00BD20D5" w:rsidRPr="003212F5" w:rsidRDefault="00BD20D5" w:rsidP="00450747">
            <w:pPr>
              <w:pStyle w:val="TableHeading"/>
              <w:keepNext/>
              <w:spacing w:after="0"/>
              <w:jc w:val="right"/>
              <w:rPr>
                <w:sz w:val="20"/>
              </w:rPr>
            </w:pPr>
            <w:r>
              <w:rPr>
                <w:sz w:val="20"/>
              </w:rPr>
              <w:t>Effect (ranking 1-10)</w:t>
            </w:r>
          </w:p>
        </w:tc>
        <w:tc>
          <w:tcPr>
            <w:tcW w:w="1064" w:type="dxa"/>
            <w:shd w:val="clear" w:color="auto" w:fill="20B9A3" w:themeFill="accent1"/>
          </w:tcPr>
          <w:p w14:paraId="3EE204DB" w14:textId="77777777" w:rsidR="00BD20D5" w:rsidRPr="003212F5" w:rsidRDefault="00BD20D5" w:rsidP="00450747">
            <w:pPr>
              <w:pStyle w:val="TableHeading"/>
              <w:keepNext/>
              <w:spacing w:after="0"/>
              <w:jc w:val="right"/>
              <w:rPr>
                <w:sz w:val="20"/>
              </w:rPr>
            </w:pPr>
            <w:r w:rsidRPr="003212F5">
              <w:rPr>
                <w:sz w:val="20"/>
              </w:rPr>
              <w:t>Std. error</w:t>
            </w:r>
          </w:p>
        </w:tc>
        <w:tc>
          <w:tcPr>
            <w:tcW w:w="978" w:type="dxa"/>
            <w:shd w:val="clear" w:color="auto" w:fill="20B9A3" w:themeFill="accent1"/>
          </w:tcPr>
          <w:p w14:paraId="7FE12A1C" w14:textId="77777777" w:rsidR="00BD20D5" w:rsidRPr="003212F5" w:rsidRDefault="00BD20D5" w:rsidP="00450747">
            <w:pPr>
              <w:pStyle w:val="TableHeading"/>
              <w:keepNext/>
              <w:spacing w:after="0"/>
              <w:jc w:val="right"/>
              <w:rPr>
                <w:sz w:val="20"/>
              </w:rPr>
            </w:pPr>
            <w:r w:rsidRPr="003212F5">
              <w:rPr>
                <w:sz w:val="20"/>
              </w:rPr>
              <w:t>p-value</w:t>
            </w:r>
          </w:p>
        </w:tc>
        <w:tc>
          <w:tcPr>
            <w:tcW w:w="962" w:type="dxa"/>
            <w:shd w:val="clear" w:color="auto" w:fill="20B9A3" w:themeFill="accent1"/>
          </w:tcPr>
          <w:p w14:paraId="7C196B3B" w14:textId="77777777" w:rsidR="00BD20D5" w:rsidRPr="003212F5" w:rsidRDefault="00BD20D5" w:rsidP="00450747">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56" w:type="dxa"/>
            <w:shd w:val="clear" w:color="auto" w:fill="20B9A3" w:themeFill="accent1"/>
          </w:tcPr>
          <w:p w14:paraId="7633A866" w14:textId="77777777" w:rsidR="00BD20D5" w:rsidRPr="003212F5" w:rsidRDefault="00BD20D5" w:rsidP="00450747">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BD20D5" w:rsidRPr="003212F5" w14:paraId="7E5B1ABB" w14:textId="77777777" w:rsidTr="00450747">
        <w:tblPrEx>
          <w:tblCellMar>
            <w:top w:w="57" w:type="dxa"/>
            <w:left w:w="52" w:type="dxa"/>
            <w:bottom w:w="39" w:type="dxa"/>
            <w:right w:w="52" w:type="dxa"/>
          </w:tblCellMar>
        </w:tblPrEx>
        <w:trPr>
          <w:trHeight w:val="155"/>
        </w:trPr>
        <w:tc>
          <w:tcPr>
            <w:tcW w:w="1553" w:type="dxa"/>
            <w:shd w:val="clear" w:color="auto" w:fill="auto"/>
          </w:tcPr>
          <w:p w14:paraId="6CA29292" w14:textId="0C7B0A85" w:rsidR="00BD20D5" w:rsidRPr="003212F5" w:rsidRDefault="00BD20D5" w:rsidP="00450747">
            <w:pPr>
              <w:pStyle w:val="TableTextLeftAligned"/>
              <w:keepNext/>
              <w:spacing w:after="0"/>
              <w:rPr>
                <w:sz w:val="18"/>
              </w:rPr>
            </w:pPr>
            <w:r w:rsidRPr="00075A7A">
              <w:rPr>
                <w:sz w:val="18"/>
              </w:rPr>
              <w:t>A: 2 categories, unsorted</w:t>
            </w:r>
          </w:p>
        </w:tc>
        <w:tc>
          <w:tcPr>
            <w:tcW w:w="1141" w:type="dxa"/>
          </w:tcPr>
          <w:p w14:paraId="33DDE805" w14:textId="601F8653" w:rsidR="00BD20D5" w:rsidRPr="003212F5" w:rsidRDefault="00BD20D5" w:rsidP="00450747">
            <w:pPr>
              <w:pStyle w:val="TableTextRightAligned"/>
              <w:keepNext/>
              <w:spacing w:after="0"/>
              <w:rPr>
                <w:sz w:val="18"/>
              </w:rPr>
            </w:pPr>
            <w:r>
              <w:rPr>
                <w:sz w:val="18"/>
              </w:rPr>
              <w:t>6.2529</w:t>
            </w:r>
          </w:p>
        </w:tc>
        <w:tc>
          <w:tcPr>
            <w:tcW w:w="1134" w:type="dxa"/>
            <w:shd w:val="clear" w:color="auto" w:fill="FFFFFF" w:themeFill="background1"/>
          </w:tcPr>
          <w:p w14:paraId="631AE0C1" w14:textId="77777777" w:rsidR="00BD20D5" w:rsidRPr="003212F5" w:rsidRDefault="00BD20D5" w:rsidP="00450747">
            <w:pPr>
              <w:pStyle w:val="TableTextRightAligned"/>
              <w:keepNext/>
              <w:spacing w:after="0"/>
              <w:rPr>
                <w:sz w:val="18"/>
              </w:rPr>
            </w:pPr>
          </w:p>
        </w:tc>
        <w:tc>
          <w:tcPr>
            <w:tcW w:w="1064" w:type="dxa"/>
          </w:tcPr>
          <w:p w14:paraId="192D3D42" w14:textId="77777777" w:rsidR="00BD20D5" w:rsidRPr="003212F5" w:rsidRDefault="00BD20D5" w:rsidP="00450747">
            <w:pPr>
              <w:pStyle w:val="TableTextRightAligned"/>
              <w:keepNext/>
              <w:spacing w:after="0"/>
              <w:rPr>
                <w:sz w:val="18"/>
              </w:rPr>
            </w:pPr>
          </w:p>
        </w:tc>
        <w:tc>
          <w:tcPr>
            <w:tcW w:w="978" w:type="dxa"/>
            <w:shd w:val="clear" w:color="auto" w:fill="FFFFFF" w:themeFill="background1"/>
          </w:tcPr>
          <w:p w14:paraId="7793CB17" w14:textId="77777777" w:rsidR="00BD20D5" w:rsidRPr="003212F5" w:rsidRDefault="00BD20D5" w:rsidP="00450747">
            <w:pPr>
              <w:pStyle w:val="TableTextRightAligned"/>
              <w:keepNext/>
              <w:spacing w:after="0"/>
              <w:rPr>
                <w:sz w:val="18"/>
              </w:rPr>
            </w:pPr>
          </w:p>
        </w:tc>
        <w:tc>
          <w:tcPr>
            <w:tcW w:w="962" w:type="dxa"/>
          </w:tcPr>
          <w:p w14:paraId="7BE32172" w14:textId="77777777" w:rsidR="00BD20D5" w:rsidRPr="003212F5" w:rsidRDefault="00BD20D5" w:rsidP="00450747">
            <w:pPr>
              <w:pStyle w:val="TableTextRightAligned"/>
              <w:keepNext/>
              <w:spacing w:after="0"/>
              <w:rPr>
                <w:sz w:val="18"/>
              </w:rPr>
            </w:pPr>
          </w:p>
        </w:tc>
        <w:tc>
          <w:tcPr>
            <w:tcW w:w="1056" w:type="dxa"/>
            <w:shd w:val="clear" w:color="auto" w:fill="FFFFFF" w:themeFill="background1"/>
          </w:tcPr>
          <w:p w14:paraId="5387086D" w14:textId="77777777" w:rsidR="00BD20D5" w:rsidRPr="003212F5" w:rsidRDefault="00BD20D5" w:rsidP="00450747">
            <w:pPr>
              <w:pStyle w:val="TableTextRightAligned"/>
              <w:keepNext/>
              <w:spacing w:after="0"/>
              <w:ind w:left="-75" w:hanging="34"/>
              <w:rPr>
                <w:sz w:val="18"/>
              </w:rPr>
            </w:pPr>
          </w:p>
        </w:tc>
      </w:tr>
      <w:tr w:rsidR="00BD20D5" w:rsidRPr="003212F5" w14:paraId="2A6DB004" w14:textId="77777777" w:rsidTr="00450747">
        <w:tblPrEx>
          <w:tblCellMar>
            <w:top w:w="85" w:type="dxa"/>
          </w:tblCellMar>
        </w:tblPrEx>
        <w:trPr>
          <w:trHeight w:val="229"/>
        </w:trPr>
        <w:tc>
          <w:tcPr>
            <w:tcW w:w="1553" w:type="dxa"/>
            <w:shd w:val="clear" w:color="auto" w:fill="auto"/>
          </w:tcPr>
          <w:p w14:paraId="081D6FAC" w14:textId="77777777" w:rsidR="00BD20D5" w:rsidRPr="003212F5" w:rsidRDefault="00BD20D5" w:rsidP="00BD20D5">
            <w:pPr>
              <w:pStyle w:val="TableTextLeftAligned"/>
              <w:spacing w:after="0"/>
              <w:rPr>
                <w:sz w:val="18"/>
              </w:rPr>
            </w:pPr>
            <w:r w:rsidRPr="006040C0">
              <w:rPr>
                <w:sz w:val="18"/>
              </w:rPr>
              <w:t>C: 3 categories, sorted</w:t>
            </w:r>
          </w:p>
        </w:tc>
        <w:tc>
          <w:tcPr>
            <w:tcW w:w="1141" w:type="dxa"/>
          </w:tcPr>
          <w:p w14:paraId="6C51D726" w14:textId="354F0C14" w:rsidR="00BD20D5" w:rsidRPr="003212F5" w:rsidRDefault="00BD20D5" w:rsidP="00BD20D5">
            <w:pPr>
              <w:pStyle w:val="TableTextRightAligned"/>
              <w:spacing w:after="0"/>
              <w:rPr>
                <w:sz w:val="18"/>
              </w:rPr>
            </w:pPr>
            <w:r>
              <w:rPr>
                <w:sz w:val="18"/>
              </w:rPr>
              <w:t>7.0402</w:t>
            </w:r>
          </w:p>
        </w:tc>
        <w:tc>
          <w:tcPr>
            <w:tcW w:w="1134" w:type="dxa"/>
            <w:shd w:val="clear" w:color="auto" w:fill="FFFFFF" w:themeFill="background1"/>
          </w:tcPr>
          <w:p w14:paraId="1AB7B974" w14:textId="23B16D00" w:rsidR="00BD20D5" w:rsidRPr="003212F5" w:rsidRDefault="00BD20D5" w:rsidP="00BD20D5">
            <w:pPr>
              <w:pStyle w:val="TableTextRightAligned"/>
              <w:spacing w:after="0"/>
              <w:rPr>
                <w:sz w:val="18"/>
              </w:rPr>
            </w:pPr>
            <w:r w:rsidRPr="003212F5">
              <w:rPr>
                <w:sz w:val="18"/>
              </w:rPr>
              <w:t>0.</w:t>
            </w:r>
            <w:r>
              <w:rPr>
                <w:sz w:val="18"/>
              </w:rPr>
              <w:t>7872</w:t>
            </w:r>
          </w:p>
        </w:tc>
        <w:tc>
          <w:tcPr>
            <w:tcW w:w="1064" w:type="dxa"/>
          </w:tcPr>
          <w:p w14:paraId="1552594E" w14:textId="358E809E" w:rsidR="00BD20D5" w:rsidRPr="003212F5" w:rsidRDefault="00BD20D5" w:rsidP="00BD20D5">
            <w:pPr>
              <w:pStyle w:val="TableTextRightAligned"/>
              <w:spacing w:after="0"/>
              <w:rPr>
                <w:sz w:val="18"/>
              </w:rPr>
            </w:pPr>
            <w:r w:rsidRPr="003212F5">
              <w:rPr>
                <w:sz w:val="18"/>
              </w:rPr>
              <w:t>0</w:t>
            </w:r>
            <w:r>
              <w:rPr>
                <w:sz w:val="18"/>
              </w:rPr>
              <w:t>.1490</w:t>
            </w:r>
          </w:p>
        </w:tc>
        <w:tc>
          <w:tcPr>
            <w:tcW w:w="978" w:type="dxa"/>
            <w:shd w:val="clear" w:color="auto" w:fill="FFFFFF" w:themeFill="background1"/>
          </w:tcPr>
          <w:p w14:paraId="1338C7BA" w14:textId="7F6158B0" w:rsidR="00BD20D5" w:rsidRPr="003212F5" w:rsidRDefault="00BD20D5" w:rsidP="00BD20D5">
            <w:pPr>
              <w:pStyle w:val="TableTextRightAligned"/>
              <w:spacing w:after="0"/>
              <w:rPr>
                <w:sz w:val="18"/>
              </w:rPr>
            </w:pPr>
            <w:r w:rsidRPr="003212F5">
              <w:rPr>
                <w:sz w:val="18"/>
              </w:rPr>
              <w:t>0.</w:t>
            </w:r>
            <w:r>
              <w:rPr>
                <w:sz w:val="18"/>
              </w:rPr>
              <w:t>0000</w:t>
            </w:r>
          </w:p>
        </w:tc>
        <w:tc>
          <w:tcPr>
            <w:tcW w:w="962" w:type="dxa"/>
          </w:tcPr>
          <w:p w14:paraId="0452DB81" w14:textId="3E99D4C5" w:rsidR="00BD20D5" w:rsidRPr="003212F5" w:rsidRDefault="00BD20D5" w:rsidP="00BD20D5">
            <w:pPr>
              <w:pStyle w:val="TableTextRightAligned"/>
              <w:spacing w:after="0"/>
              <w:rPr>
                <w:sz w:val="18"/>
              </w:rPr>
            </w:pPr>
            <w:r>
              <w:rPr>
                <w:sz w:val="18"/>
              </w:rPr>
              <w:t>0.4951</w:t>
            </w:r>
          </w:p>
        </w:tc>
        <w:tc>
          <w:tcPr>
            <w:tcW w:w="1056" w:type="dxa"/>
            <w:shd w:val="clear" w:color="auto" w:fill="FFFFFF" w:themeFill="background1"/>
          </w:tcPr>
          <w:p w14:paraId="79BB886D" w14:textId="566E0321" w:rsidR="00BD20D5" w:rsidRPr="003212F5" w:rsidRDefault="00BD20D5" w:rsidP="00BD20D5">
            <w:pPr>
              <w:pStyle w:val="TableTextRightAligned"/>
              <w:spacing w:after="0"/>
              <w:ind w:left="-75" w:hanging="34"/>
              <w:rPr>
                <w:sz w:val="18"/>
              </w:rPr>
            </w:pPr>
            <w:r>
              <w:rPr>
                <w:sz w:val="18"/>
              </w:rPr>
              <w:t>1.0795</w:t>
            </w:r>
          </w:p>
        </w:tc>
      </w:tr>
    </w:tbl>
    <w:p w14:paraId="7FC3B2F3" w14:textId="1F7590C7" w:rsidR="00960CA2" w:rsidRDefault="00960CA2" w:rsidP="00960CA2">
      <w:pPr>
        <w:spacing w:line="240" w:lineRule="auto"/>
        <w:rPr>
          <w:sz w:val="18"/>
        </w:rPr>
      </w:pPr>
      <w:r w:rsidRPr="00BE642E">
        <w:rPr>
          <w:sz w:val="18"/>
        </w:rPr>
        <w:t>Note</w:t>
      </w:r>
      <w:r>
        <w:rPr>
          <w:sz w:val="18"/>
        </w:rPr>
        <w:t>: n = 1</w:t>
      </w:r>
      <w:r w:rsidR="003D4211">
        <w:rPr>
          <w:sz w:val="18"/>
        </w:rPr>
        <w:t>,</w:t>
      </w:r>
      <w:r>
        <w:rPr>
          <w:sz w:val="18"/>
        </w:rPr>
        <w:t>4</w:t>
      </w:r>
      <w:r w:rsidR="00BB579E">
        <w:rPr>
          <w:sz w:val="18"/>
        </w:rPr>
        <w:t>90</w:t>
      </w:r>
      <w:r>
        <w:rPr>
          <w:sz w:val="18"/>
        </w:rPr>
        <w:t xml:space="preserve">, OLS regression, </w:t>
      </w:r>
      <w:r w:rsidRPr="00BE642E">
        <w:rPr>
          <w:sz w:val="18"/>
        </w:rPr>
        <w:t xml:space="preserve">p-values are </w:t>
      </w:r>
      <w:r w:rsidRPr="00236038">
        <w:rPr>
          <w:sz w:val="18"/>
        </w:rPr>
        <w:t xml:space="preserve">from one-tailed tests. </w:t>
      </w:r>
      <w:r w:rsidR="00B41DC6" w:rsidRPr="00B41DC6">
        <w:rPr>
          <w:sz w:val="18"/>
        </w:rPr>
        <w:t>We did not correct for multiple comparisons.</w:t>
      </w:r>
    </w:p>
    <w:p w14:paraId="3C44FF66" w14:textId="1C0C8AC2" w:rsidR="00236038" w:rsidRPr="009F3C0D" w:rsidRDefault="00236038" w:rsidP="00BD20D5">
      <w:pPr>
        <w:pStyle w:val="HeadingTable"/>
        <w:spacing w:before="240" w:after="120"/>
        <w:ind w:left="357" w:hanging="357"/>
        <w:outlineLvl w:val="3"/>
      </w:pPr>
      <w:r>
        <w:lastRenderedPageBreak/>
        <w:t xml:space="preserve">Primary outcome – </w:t>
      </w:r>
      <w:r w:rsidRPr="00236038">
        <w:t>time to make a decision (H1.</w:t>
      </w:r>
      <w:r>
        <w:t>4</w:t>
      </w:r>
      <w:r w:rsidRPr="00236038">
        <w:t>)</w:t>
      </w:r>
    </w:p>
    <w:tbl>
      <w:tblPr>
        <w:tblStyle w:val="DefaultTable"/>
        <w:tblW w:w="7879"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53"/>
        <w:gridCol w:w="1276"/>
        <w:gridCol w:w="1273"/>
        <w:gridCol w:w="849"/>
        <w:gridCol w:w="1131"/>
        <w:gridCol w:w="848"/>
        <w:gridCol w:w="949"/>
      </w:tblGrid>
      <w:tr w:rsidR="001B0BE1" w:rsidRPr="003212F5" w14:paraId="0F3395E7" w14:textId="77777777" w:rsidTr="00E012E1">
        <w:trPr>
          <w:cnfStyle w:val="100000000000" w:firstRow="1" w:lastRow="0" w:firstColumn="0" w:lastColumn="0" w:oddVBand="0" w:evenVBand="0" w:oddHBand="0" w:evenHBand="0" w:firstRowFirstColumn="0" w:firstRowLastColumn="0" w:lastRowFirstColumn="0" w:lastRowLastColumn="0"/>
          <w:trHeight w:val="524"/>
          <w:tblHeader/>
        </w:trPr>
        <w:tc>
          <w:tcPr>
            <w:tcW w:w="1553" w:type="dxa"/>
            <w:tcBorders>
              <w:top w:val="nil"/>
              <w:bottom w:val="single" w:sz="18" w:space="0" w:color="142E3B" w:themeColor="accent6"/>
            </w:tcBorders>
            <w:shd w:val="clear" w:color="auto" w:fill="20B9A3" w:themeFill="accent1"/>
          </w:tcPr>
          <w:p w14:paraId="3E06CAEA" w14:textId="77777777" w:rsidR="00AE71A2" w:rsidRPr="003212F5" w:rsidRDefault="00AE71A2" w:rsidP="000025DD">
            <w:pPr>
              <w:pStyle w:val="TableHeading"/>
              <w:keepNext/>
              <w:spacing w:after="0"/>
              <w:rPr>
                <w:sz w:val="20"/>
              </w:rPr>
            </w:pPr>
            <w:r w:rsidRPr="003212F5">
              <w:rPr>
                <w:sz w:val="20"/>
              </w:rPr>
              <w:t>Treatment arm</w:t>
            </w:r>
          </w:p>
        </w:tc>
        <w:tc>
          <w:tcPr>
            <w:tcW w:w="1276" w:type="dxa"/>
            <w:tcBorders>
              <w:top w:val="nil"/>
              <w:bottom w:val="single" w:sz="18" w:space="0" w:color="142E3B" w:themeColor="accent6"/>
            </w:tcBorders>
            <w:shd w:val="clear" w:color="auto" w:fill="20B9A3" w:themeFill="accent1"/>
          </w:tcPr>
          <w:p w14:paraId="25A34B33" w14:textId="3A2FB80E" w:rsidR="00AE71A2" w:rsidRPr="003212F5" w:rsidRDefault="00AE71A2" w:rsidP="002F277A">
            <w:pPr>
              <w:pStyle w:val="TableHeading"/>
              <w:keepNext/>
              <w:spacing w:after="0"/>
              <w:jc w:val="right"/>
              <w:rPr>
                <w:sz w:val="20"/>
              </w:rPr>
            </w:pPr>
            <w:r w:rsidRPr="003212F5">
              <w:rPr>
                <w:sz w:val="20"/>
              </w:rPr>
              <w:t>Mean</w:t>
            </w:r>
            <w:r w:rsidR="00982DC6">
              <w:rPr>
                <w:sz w:val="20"/>
              </w:rPr>
              <w:t xml:space="preserve"> (seconds)</w:t>
            </w:r>
          </w:p>
        </w:tc>
        <w:tc>
          <w:tcPr>
            <w:tcW w:w="1273" w:type="dxa"/>
            <w:tcBorders>
              <w:top w:val="nil"/>
              <w:bottom w:val="single" w:sz="18" w:space="0" w:color="142E3B" w:themeColor="accent6"/>
            </w:tcBorders>
            <w:shd w:val="clear" w:color="auto" w:fill="20B9A3" w:themeFill="accent1"/>
          </w:tcPr>
          <w:p w14:paraId="0488B55A" w14:textId="365DF9DE" w:rsidR="00AE71A2" w:rsidRPr="003212F5" w:rsidRDefault="00982DC6" w:rsidP="000025DD">
            <w:pPr>
              <w:pStyle w:val="TableHeading"/>
              <w:keepNext/>
              <w:spacing w:after="0"/>
              <w:jc w:val="right"/>
              <w:rPr>
                <w:sz w:val="20"/>
              </w:rPr>
            </w:pPr>
            <w:r>
              <w:rPr>
                <w:sz w:val="20"/>
              </w:rPr>
              <w:t>Effect (seconds)</w:t>
            </w:r>
          </w:p>
        </w:tc>
        <w:tc>
          <w:tcPr>
            <w:tcW w:w="849" w:type="dxa"/>
            <w:tcBorders>
              <w:top w:val="nil"/>
              <w:bottom w:val="single" w:sz="18" w:space="0" w:color="142E3B" w:themeColor="accent6"/>
            </w:tcBorders>
            <w:shd w:val="clear" w:color="auto" w:fill="20B9A3" w:themeFill="accent1"/>
          </w:tcPr>
          <w:p w14:paraId="0BA1FEA9" w14:textId="77777777" w:rsidR="00AE71A2" w:rsidRPr="003212F5" w:rsidRDefault="00AE71A2" w:rsidP="000025DD">
            <w:pPr>
              <w:pStyle w:val="TableHeading"/>
              <w:keepNext/>
              <w:spacing w:after="0"/>
              <w:jc w:val="right"/>
              <w:rPr>
                <w:sz w:val="20"/>
              </w:rPr>
            </w:pPr>
            <w:r w:rsidRPr="003212F5">
              <w:rPr>
                <w:sz w:val="20"/>
              </w:rPr>
              <w:t>Std. error</w:t>
            </w:r>
          </w:p>
        </w:tc>
        <w:tc>
          <w:tcPr>
            <w:tcW w:w="1131" w:type="dxa"/>
            <w:tcBorders>
              <w:top w:val="nil"/>
              <w:bottom w:val="single" w:sz="18" w:space="0" w:color="142E3B" w:themeColor="accent6"/>
            </w:tcBorders>
            <w:shd w:val="clear" w:color="auto" w:fill="20B9A3" w:themeFill="accent1"/>
          </w:tcPr>
          <w:p w14:paraId="5C5ED8BD" w14:textId="77777777" w:rsidR="00AE71A2" w:rsidRPr="003212F5" w:rsidRDefault="00AE71A2" w:rsidP="000025DD">
            <w:pPr>
              <w:pStyle w:val="TableHeading"/>
              <w:keepNext/>
              <w:spacing w:after="0"/>
              <w:jc w:val="right"/>
              <w:rPr>
                <w:sz w:val="20"/>
              </w:rPr>
            </w:pPr>
            <w:r w:rsidRPr="003212F5">
              <w:rPr>
                <w:sz w:val="20"/>
              </w:rPr>
              <w:t>p-value</w:t>
            </w:r>
          </w:p>
        </w:tc>
        <w:tc>
          <w:tcPr>
            <w:tcW w:w="848" w:type="dxa"/>
            <w:tcBorders>
              <w:top w:val="nil"/>
              <w:bottom w:val="single" w:sz="18" w:space="0" w:color="142E3B" w:themeColor="accent6"/>
            </w:tcBorders>
            <w:shd w:val="clear" w:color="auto" w:fill="20B9A3" w:themeFill="accent1"/>
          </w:tcPr>
          <w:p w14:paraId="3DADB5F5" w14:textId="77777777" w:rsidR="00AE71A2" w:rsidRPr="003212F5" w:rsidRDefault="00AE71A2"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949" w:type="dxa"/>
            <w:tcBorders>
              <w:top w:val="nil"/>
              <w:bottom w:val="single" w:sz="18" w:space="0" w:color="142E3B" w:themeColor="accent6"/>
            </w:tcBorders>
            <w:shd w:val="clear" w:color="auto" w:fill="20B9A3" w:themeFill="accent1"/>
          </w:tcPr>
          <w:p w14:paraId="4C2A560A" w14:textId="77777777" w:rsidR="00AE71A2" w:rsidRPr="003212F5" w:rsidRDefault="00AE71A2"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7E1D41" w:rsidRPr="003212F5" w14:paraId="592A5CEC" w14:textId="77777777" w:rsidTr="00E012E1">
        <w:trPr>
          <w:trHeight w:val="226"/>
        </w:trPr>
        <w:tc>
          <w:tcPr>
            <w:tcW w:w="1553" w:type="dxa"/>
            <w:shd w:val="clear" w:color="auto" w:fill="auto"/>
          </w:tcPr>
          <w:p w14:paraId="490A7158" w14:textId="75FA79BF" w:rsidR="00AE71A2" w:rsidRPr="003212F5" w:rsidRDefault="00075A7A" w:rsidP="000025DD">
            <w:pPr>
              <w:pStyle w:val="TableTextLeftAligned"/>
              <w:keepNext/>
              <w:spacing w:after="0"/>
              <w:rPr>
                <w:sz w:val="18"/>
              </w:rPr>
            </w:pPr>
            <w:r w:rsidRPr="00075A7A">
              <w:rPr>
                <w:sz w:val="18"/>
              </w:rPr>
              <w:t>A: 2 categories, unsorted</w:t>
            </w:r>
          </w:p>
        </w:tc>
        <w:tc>
          <w:tcPr>
            <w:tcW w:w="1276" w:type="dxa"/>
          </w:tcPr>
          <w:p w14:paraId="30AB202D" w14:textId="2BAF1B1D" w:rsidR="00AE71A2" w:rsidRPr="003212F5" w:rsidRDefault="00AE71A2" w:rsidP="000025DD">
            <w:pPr>
              <w:pStyle w:val="TableTextRightAligned"/>
              <w:keepNext/>
              <w:spacing w:after="0"/>
              <w:rPr>
                <w:sz w:val="18"/>
              </w:rPr>
            </w:pPr>
            <w:r>
              <w:rPr>
                <w:sz w:val="18"/>
              </w:rPr>
              <w:t>52.8492</w:t>
            </w:r>
          </w:p>
        </w:tc>
        <w:tc>
          <w:tcPr>
            <w:tcW w:w="1273" w:type="dxa"/>
            <w:shd w:val="clear" w:color="auto" w:fill="FFFFFF" w:themeFill="background1"/>
          </w:tcPr>
          <w:p w14:paraId="2FFE24B5" w14:textId="77777777" w:rsidR="00AE71A2" w:rsidRPr="003212F5" w:rsidRDefault="00AE71A2" w:rsidP="000025DD">
            <w:pPr>
              <w:pStyle w:val="TableTextRightAligned"/>
              <w:keepNext/>
              <w:spacing w:after="0"/>
              <w:rPr>
                <w:sz w:val="18"/>
              </w:rPr>
            </w:pPr>
          </w:p>
        </w:tc>
        <w:tc>
          <w:tcPr>
            <w:tcW w:w="849" w:type="dxa"/>
          </w:tcPr>
          <w:p w14:paraId="43D2FCBC" w14:textId="77777777" w:rsidR="00AE71A2" w:rsidRPr="003212F5" w:rsidRDefault="00AE71A2" w:rsidP="000025DD">
            <w:pPr>
              <w:pStyle w:val="TableTextRightAligned"/>
              <w:keepNext/>
              <w:spacing w:after="0"/>
              <w:rPr>
                <w:sz w:val="18"/>
              </w:rPr>
            </w:pPr>
          </w:p>
        </w:tc>
        <w:tc>
          <w:tcPr>
            <w:tcW w:w="1131" w:type="dxa"/>
            <w:shd w:val="clear" w:color="auto" w:fill="FFFFFF" w:themeFill="background1"/>
          </w:tcPr>
          <w:p w14:paraId="18185FD2" w14:textId="77777777" w:rsidR="00AE71A2" w:rsidRPr="003212F5" w:rsidRDefault="00AE71A2" w:rsidP="000025DD">
            <w:pPr>
              <w:pStyle w:val="TableTextRightAligned"/>
              <w:keepNext/>
              <w:spacing w:after="0"/>
              <w:rPr>
                <w:sz w:val="18"/>
              </w:rPr>
            </w:pPr>
          </w:p>
        </w:tc>
        <w:tc>
          <w:tcPr>
            <w:tcW w:w="848" w:type="dxa"/>
          </w:tcPr>
          <w:p w14:paraId="7A20C1F1" w14:textId="77777777" w:rsidR="00AE71A2" w:rsidRPr="003212F5" w:rsidRDefault="00AE71A2" w:rsidP="000025DD">
            <w:pPr>
              <w:pStyle w:val="TableTextRightAligned"/>
              <w:keepNext/>
              <w:spacing w:after="0"/>
              <w:rPr>
                <w:sz w:val="18"/>
              </w:rPr>
            </w:pPr>
          </w:p>
        </w:tc>
        <w:tc>
          <w:tcPr>
            <w:tcW w:w="949" w:type="dxa"/>
            <w:shd w:val="clear" w:color="auto" w:fill="FFFFFF" w:themeFill="background1"/>
          </w:tcPr>
          <w:p w14:paraId="55BD45C4" w14:textId="77777777" w:rsidR="00AE71A2" w:rsidRPr="003212F5" w:rsidRDefault="00AE71A2" w:rsidP="000025DD">
            <w:pPr>
              <w:pStyle w:val="TableTextRightAligned"/>
              <w:keepNext/>
              <w:spacing w:after="0"/>
              <w:ind w:left="-75" w:hanging="34"/>
              <w:rPr>
                <w:sz w:val="18"/>
              </w:rPr>
            </w:pPr>
          </w:p>
        </w:tc>
      </w:tr>
      <w:tr w:rsidR="007E1D41" w:rsidRPr="003212F5" w14:paraId="49D14BDA" w14:textId="77777777" w:rsidTr="00E012E1">
        <w:trPr>
          <w:trHeight w:val="226"/>
        </w:trPr>
        <w:tc>
          <w:tcPr>
            <w:tcW w:w="1553" w:type="dxa"/>
            <w:shd w:val="clear" w:color="auto" w:fill="auto"/>
          </w:tcPr>
          <w:p w14:paraId="493BB914" w14:textId="0449E119" w:rsidR="00AE71A2" w:rsidRPr="003212F5" w:rsidRDefault="006040C0" w:rsidP="000025DD">
            <w:pPr>
              <w:pStyle w:val="TableTextLeftAligned"/>
              <w:spacing w:after="0"/>
              <w:rPr>
                <w:sz w:val="18"/>
              </w:rPr>
            </w:pPr>
            <w:r w:rsidRPr="006040C0">
              <w:rPr>
                <w:sz w:val="18"/>
              </w:rPr>
              <w:t>B: 3 categories, unsorted</w:t>
            </w:r>
          </w:p>
        </w:tc>
        <w:tc>
          <w:tcPr>
            <w:tcW w:w="1276" w:type="dxa"/>
          </w:tcPr>
          <w:p w14:paraId="13380AF6" w14:textId="061D0EEF" w:rsidR="00AE71A2" w:rsidRPr="003212F5" w:rsidRDefault="00AE71A2" w:rsidP="000025DD">
            <w:pPr>
              <w:pStyle w:val="TableTextRightAligned"/>
              <w:spacing w:after="0"/>
              <w:rPr>
                <w:sz w:val="18"/>
              </w:rPr>
            </w:pPr>
            <w:r>
              <w:rPr>
                <w:sz w:val="18"/>
              </w:rPr>
              <w:t>50.4410</w:t>
            </w:r>
          </w:p>
        </w:tc>
        <w:tc>
          <w:tcPr>
            <w:tcW w:w="1273" w:type="dxa"/>
            <w:shd w:val="clear" w:color="auto" w:fill="FFFFFF" w:themeFill="background1"/>
          </w:tcPr>
          <w:p w14:paraId="680938E9" w14:textId="27F0275D" w:rsidR="00AE71A2" w:rsidRPr="003212F5" w:rsidRDefault="00AE71A2" w:rsidP="00927FAF">
            <w:pPr>
              <w:pStyle w:val="TableTextRightAligned"/>
              <w:spacing w:after="0"/>
              <w:rPr>
                <w:sz w:val="18"/>
              </w:rPr>
            </w:pPr>
            <w:r>
              <w:rPr>
                <w:sz w:val="18"/>
              </w:rPr>
              <w:t>-2</w:t>
            </w:r>
            <w:r w:rsidRPr="003212F5">
              <w:rPr>
                <w:sz w:val="18"/>
              </w:rPr>
              <w:t>.</w:t>
            </w:r>
            <w:r>
              <w:rPr>
                <w:sz w:val="18"/>
              </w:rPr>
              <w:t>4082</w:t>
            </w:r>
          </w:p>
        </w:tc>
        <w:tc>
          <w:tcPr>
            <w:tcW w:w="849" w:type="dxa"/>
          </w:tcPr>
          <w:p w14:paraId="44D92FAA" w14:textId="44843BEA" w:rsidR="00AE71A2" w:rsidRPr="003212F5" w:rsidRDefault="00AE71A2" w:rsidP="000025DD">
            <w:pPr>
              <w:pStyle w:val="TableTextRightAligned"/>
              <w:spacing w:after="0"/>
              <w:rPr>
                <w:sz w:val="18"/>
              </w:rPr>
            </w:pPr>
            <w:r>
              <w:rPr>
                <w:sz w:val="18"/>
              </w:rPr>
              <w:t>3.5090</w:t>
            </w:r>
          </w:p>
        </w:tc>
        <w:tc>
          <w:tcPr>
            <w:tcW w:w="1131" w:type="dxa"/>
            <w:shd w:val="clear" w:color="auto" w:fill="FFFFFF" w:themeFill="background1"/>
          </w:tcPr>
          <w:p w14:paraId="21415A3F" w14:textId="2E93082B" w:rsidR="00AE71A2" w:rsidRPr="003212F5" w:rsidRDefault="00AE71A2" w:rsidP="005B1417">
            <w:pPr>
              <w:pStyle w:val="TableTextRightAligned"/>
              <w:spacing w:after="0"/>
              <w:rPr>
                <w:sz w:val="18"/>
              </w:rPr>
            </w:pPr>
            <w:r w:rsidRPr="003212F5">
              <w:rPr>
                <w:sz w:val="18"/>
              </w:rPr>
              <w:t>0.</w:t>
            </w:r>
            <w:r>
              <w:rPr>
                <w:sz w:val="18"/>
              </w:rPr>
              <w:t>2463</w:t>
            </w:r>
          </w:p>
        </w:tc>
        <w:tc>
          <w:tcPr>
            <w:tcW w:w="848" w:type="dxa"/>
          </w:tcPr>
          <w:p w14:paraId="632FDDEE" w14:textId="465A21D1" w:rsidR="00AE71A2" w:rsidRPr="003212F5" w:rsidRDefault="00AE71A2" w:rsidP="000025DD">
            <w:pPr>
              <w:pStyle w:val="TableTextRightAligned"/>
              <w:spacing w:after="0"/>
              <w:rPr>
                <w:sz w:val="18"/>
              </w:rPr>
            </w:pPr>
            <w:r>
              <w:rPr>
                <w:sz w:val="18"/>
              </w:rPr>
              <w:t>-9.2913</w:t>
            </w:r>
          </w:p>
        </w:tc>
        <w:tc>
          <w:tcPr>
            <w:tcW w:w="949" w:type="dxa"/>
            <w:shd w:val="clear" w:color="auto" w:fill="FFFFFF" w:themeFill="background1"/>
          </w:tcPr>
          <w:p w14:paraId="3E61D265" w14:textId="3F786AAE" w:rsidR="00AE71A2" w:rsidRPr="003212F5" w:rsidRDefault="00AE71A2" w:rsidP="00927FAF">
            <w:pPr>
              <w:pStyle w:val="TableTextRightAligned"/>
              <w:spacing w:after="0"/>
              <w:ind w:left="-75" w:hanging="34"/>
              <w:rPr>
                <w:sz w:val="18"/>
              </w:rPr>
            </w:pPr>
            <w:r>
              <w:rPr>
                <w:sz w:val="18"/>
              </w:rPr>
              <w:t>4.4749</w:t>
            </w:r>
          </w:p>
        </w:tc>
      </w:tr>
    </w:tbl>
    <w:p w14:paraId="7D57B7E4" w14:textId="4B77A90E" w:rsidR="00236038" w:rsidRDefault="00236038" w:rsidP="00236038">
      <w:pPr>
        <w:spacing w:line="240" w:lineRule="auto"/>
        <w:rPr>
          <w:sz w:val="18"/>
        </w:rPr>
      </w:pPr>
      <w:r w:rsidRPr="00BE642E">
        <w:rPr>
          <w:sz w:val="18"/>
        </w:rPr>
        <w:t>Note</w:t>
      </w:r>
      <w:r>
        <w:rPr>
          <w:sz w:val="18"/>
        </w:rPr>
        <w:t>: n = 1</w:t>
      </w:r>
      <w:r w:rsidR="003D4211">
        <w:rPr>
          <w:sz w:val="18"/>
        </w:rPr>
        <w:t>,</w:t>
      </w:r>
      <w:r>
        <w:rPr>
          <w:sz w:val="18"/>
        </w:rPr>
        <w:t>4</w:t>
      </w:r>
      <w:r w:rsidR="00BB579E">
        <w:rPr>
          <w:sz w:val="18"/>
        </w:rPr>
        <w:t>88</w:t>
      </w:r>
      <w:r>
        <w:rPr>
          <w:sz w:val="18"/>
        </w:rPr>
        <w:t xml:space="preserve">, OLS regression, </w:t>
      </w:r>
      <w:r w:rsidRPr="00BE642E">
        <w:rPr>
          <w:sz w:val="18"/>
        </w:rPr>
        <w:t xml:space="preserve">p-values are </w:t>
      </w:r>
      <w:r w:rsidRPr="00236038">
        <w:rPr>
          <w:sz w:val="18"/>
        </w:rPr>
        <w:t>from one-tailed tests.</w:t>
      </w:r>
      <w:r w:rsidR="00B41DC6">
        <w:rPr>
          <w:sz w:val="18"/>
        </w:rPr>
        <w:t xml:space="preserve"> </w:t>
      </w:r>
      <w:r w:rsidR="00B41DC6" w:rsidRPr="00B41DC6">
        <w:rPr>
          <w:sz w:val="18"/>
        </w:rPr>
        <w:t>We did not correct for multiple comparisons.</w:t>
      </w:r>
      <w:r w:rsidR="00B41DC6">
        <w:rPr>
          <w:sz w:val="18"/>
          <w:highlight w:val="yellow"/>
        </w:rPr>
        <w:t xml:space="preserve"> </w:t>
      </w:r>
    </w:p>
    <w:p w14:paraId="045E7332" w14:textId="5DDFC647" w:rsidR="00BB579E" w:rsidRPr="009F3C0D" w:rsidRDefault="00BB579E" w:rsidP="00BD20D5">
      <w:pPr>
        <w:pStyle w:val="HeadingTable"/>
        <w:spacing w:before="240" w:after="120"/>
        <w:ind w:left="357" w:hanging="357"/>
        <w:outlineLvl w:val="3"/>
      </w:pPr>
      <w:r>
        <w:t xml:space="preserve">Primary outcome – </w:t>
      </w:r>
      <w:r w:rsidRPr="00236038">
        <w:t>time to make a decision (H1.</w:t>
      </w:r>
      <w:r>
        <w:t>5</w:t>
      </w:r>
      <w:r w:rsidRPr="00236038">
        <w:t>)</w:t>
      </w:r>
    </w:p>
    <w:tbl>
      <w:tblPr>
        <w:tblStyle w:val="DefaultTable"/>
        <w:tblW w:w="7838" w:type="dxa"/>
        <w:tblBorders>
          <w:bottom w:val="single" w:sz="2" w:space="0" w:color="808080" w:themeColor="background1" w:themeShade="80"/>
          <w:insideH w:val="single" w:sz="2" w:space="0" w:color="808080" w:themeColor="background1" w:themeShade="80"/>
        </w:tblBorders>
        <w:tblLayout w:type="fixed"/>
        <w:tblCellMar>
          <w:top w:w="58" w:type="dxa"/>
          <w:left w:w="77" w:type="dxa"/>
          <w:bottom w:w="58" w:type="dxa"/>
          <w:right w:w="77" w:type="dxa"/>
        </w:tblCellMar>
        <w:tblLook w:val="0420" w:firstRow="1" w:lastRow="0" w:firstColumn="0" w:lastColumn="0" w:noHBand="0" w:noVBand="1"/>
        <w:tblCaption w:val="Table 1"/>
        <w:tblDescription w:val="Example table with Alt Text for accessibility"/>
      </w:tblPr>
      <w:tblGrid>
        <w:gridCol w:w="1544"/>
        <w:gridCol w:w="1291"/>
        <w:gridCol w:w="1276"/>
        <w:gridCol w:w="851"/>
        <w:gridCol w:w="1134"/>
        <w:gridCol w:w="850"/>
        <w:gridCol w:w="892"/>
      </w:tblGrid>
      <w:tr w:rsidR="00246F49" w:rsidRPr="003212F5" w14:paraId="199BEAE9" w14:textId="77777777" w:rsidTr="001B0BE1">
        <w:trPr>
          <w:cnfStyle w:val="100000000000" w:firstRow="1" w:lastRow="0" w:firstColumn="0" w:lastColumn="0" w:oddVBand="0" w:evenVBand="0" w:oddHBand="0" w:evenHBand="0" w:firstRowFirstColumn="0" w:firstRowLastColumn="0" w:lastRowFirstColumn="0" w:lastRowLastColumn="0"/>
          <w:trHeight w:val="336"/>
          <w:tblHeader/>
        </w:trPr>
        <w:tc>
          <w:tcPr>
            <w:tcW w:w="1065" w:type="dxa"/>
            <w:tcBorders>
              <w:top w:val="nil"/>
              <w:bottom w:val="single" w:sz="12" w:space="0" w:color="142E3B" w:themeColor="accent6"/>
            </w:tcBorders>
            <w:shd w:val="clear" w:color="auto" w:fill="20B9A3" w:themeFill="accent1"/>
          </w:tcPr>
          <w:p w14:paraId="36760873" w14:textId="77777777" w:rsidR="00AE71A2" w:rsidRPr="003212F5" w:rsidRDefault="00AE71A2" w:rsidP="000025DD">
            <w:pPr>
              <w:pStyle w:val="TableHeading"/>
              <w:keepNext/>
              <w:spacing w:after="0"/>
              <w:rPr>
                <w:sz w:val="20"/>
              </w:rPr>
            </w:pPr>
            <w:r w:rsidRPr="003212F5">
              <w:rPr>
                <w:sz w:val="20"/>
              </w:rPr>
              <w:t>Treatment arm</w:t>
            </w:r>
          </w:p>
        </w:tc>
        <w:tc>
          <w:tcPr>
            <w:tcW w:w="890" w:type="dxa"/>
            <w:tcBorders>
              <w:top w:val="nil"/>
              <w:bottom w:val="single" w:sz="12" w:space="0" w:color="142E3B" w:themeColor="accent6"/>
            </w:tcBorders>
            <w:shd w:val="clear" w:color="auto" w:fill="20B9A3" w:themeFill="accent1"/>
          </w:tcPr>
          <w:p w14:paraId="692F01F6" w14:textId="0E33E1B6" w:rsidR="00AE71A2" w:rsidRPr="003212F5" w:rsidRDefault="00982DC6" w:rsidP="002F277A">
            <w:pPr>
              <w:pStyle w:val="TableHeading"/>
              <w:keepNext/>
              <w:spacing w:after="0"/>
              <w:jc w:val="right"/>
              <w:rPr>
                <w:sz w:val="20"/>
              </w:rPr>
            </w:pPr>
            <w:r w:rsidRPr="003212F5">
              <w:rPr>
                <w:sz w:val="20"/>
              </w:rPr>
              <w:t>Mean</w:t>
            </w:r>
            <w:r>
              <w:rPr>
                <w:sz w:val="20"/>
              </w:rPr>
              <w:t xml:space="preserve"> (seconds)</w:t>
            </w:r>
          </w:p>
        </w:tc>
        <w:tc>
          <w:tcPr>
            <w:tcW w:w="880" w:type="dxa"/>
            <w:tcBorders>
              <w:top w:val="nil"/>
              <w:bottom w:val="single" w:sz="12" w:space="0" w:color="142E3B" w:themeColor="accent6"/>
            </w:tcBorders>
            <w:shd w:val="clear" w:color="auto" w:fill="20B9A3" w:themeFill="accent1"/>
          </w:tcPr>
          <w:p w14:paraId="4B6B2092" w14:textId="66E0445F" w:rsidR="00AE71A2" w:rsidRPr="003212F5" w:rsidRDefault="00982DC6" w:rsidP="000025DD">
            <w:pPr>
              <w:pStyle w:val="TableHeading"/>
              <w:keepNext/>
              <w:spacing w:after="0"/>
              <w:jc w:val="right"/>
              <w:rPr>
                <w:sz w:val="20"/>
              </w:rPr>
            </w:pPr>
            <w:r>
              <w:rPr>
                <w:sz w:val="20"/>
              </w:rPr>
              <w:t>Effect (seconds)</w:t>
            </w:r>
          </w:p>
        </w:tc>
        <w:tc>
          <w:tcPr>
            <w:tcW w:w="587" w:type="dxa"/>
            <w:tcBorders>
              <w:top w:val="nil"/>
              <w:bottom w:val="single" w:sz="12" w:space="0" w:color="142E3B" w:themeColor="accent6"/>
            </w:tcBorders>
            <w:shd w:val="clear" w:color="auto" w:fill="20B9A3" w:themeFill="accent1"/>
          </w:tcPr>
          <w:p w14:paraId="67CD5196" w14:textId="77777777" w:rsidR="00AE71A2" w:rsidRPr="003212F5" w:rsidRDefault="00AE71A2" w:rsidP="000025DD">
            <w:pPr>
              <w:pStyle w:val="TableHeading"/>
              <w:keepNext/>
              <w:spacing w:after="0"/>
              <w:jc w:val="right"/>
              <w:rPr>
                <w:sz w:val="20"/>
              </w:rPr>
            </w:pPr>
            <w:r w:rsidRPr="003212F5">
              <w:rPr>
                <w:sz w:val="20"/>
              </w:rPr>
              <w:t>Std. error</w:t>
            </w:r>
          </w:p>
        </w:tc>
        <w:tc>
          <w:tcPr>
            <w:tcW w:w="782" w:type="dxa"/>
            <w:tcBorders>
              <w:top w:val="nil"/>
              <w:bottom w:val="single" w:sz="12" w:space="0" w:color="142E3B" w:themeColor="accent6"/>
            </w:tcBorders>
            <w:shd w:val="clear" w:color="auto" w:fill="20B9A3" w:themeFill="accent1"/>
          </w:tcPr>
          <w:p w14:paraId="3AECBA18" w14:textId="77777777" w:rsidR="00AE71A2" w:rsidRPr="003212F5" w:rsidRDefault="00AE71A2" w:rsidP="000025DD">
            <w:pPr>
              <w:pStyle w:val="TableHeading"/>
              <w:keepNext/>
              <w:spacing w:after="0"/>
              <w:jc w:val="right"/>
              <w:rPr>
                <w:sz w:val="20"/>
              </w:rPr>
            </w:pPr>
            <w:r w:rsidRPr="003212F5">
              <w:rPr>
                <w:sz w:val="20"/>
              </w:rPr>
              <w:t>p-value</w:t>
            </w:r>
          </w:p>
        </w:tc>
        <w:tc>
          <w:tcPr>
            <w:tcW w:w="586" w:type="dxa"/>
            <w:tcBorders>
              <w:top w:val="nil"/>
              <w:bottom w:val="single" w:sz="12" w:space="0" w:color="142E3B" w:themeColor="accent6"/>
            </w:tcBorders>
            <w:shd w:val="clear" w:color="auto" w:fill="20B9A3" w:themeFill="accent1"/>
          </w:tcPr>
          <w:p w14:paraId="26ABF0DA" w14:textId="77777777" w:rsidR="00AE71A2" w:rsidRPr="003212F5" w:rsidRDefault="00AE71A2"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615" w:type="dxa"/>
            <w:tcBorders>
              <w:top w:val="nil"/>
              <w:bottom w:val="single" w:sz="12" w:space="0" w:color="142E3B" w:themeColor="accent6"/>
            </w:tcBorders>
            <w:shd w:val="clear" w:color="auto" w:fill="20B9A3" w:themeFill="accent1"/>
          </w:tcPr>
          <w:p w14:paraId="2D43B5A3" w14:textId="77777777" w:rsidR="00AE71A2" w:rsidRPr="003212F5" w:rsidRDefault="00AE71A2"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1B0BE1" w:rsidRPr="003212F5" w14:paraId="5832DE93" w14:textId="77777777" w:rsidTr="002F277A">
        <w:tblPrEx>
          <w:tblCellMar>
            <w:top w:w="85" w:type="dxa"/>
          </w:tblCellMar>
        </w:tblPrEx>
        <w:trPr>
          <w:trHeight w:val="210"/>
        </w:trPr>
        <w:tc>
          <w:tcPr>
            <w:tcW w:w="1544" w:type="dxa"/>
            <w:shd w:val="clear" w:color="auto" w:fill="auto"/>
          </w:tcPr>
          <w:p w14:paraId="0D8FA512" w14:textId="15AE9C70" w:rsidR="00AE71A2" w:rsidRPr="003212F5" w:rsidRDefault="006040C0" w:rsidP="000025DD">
            <w:pPr>
              <w:pStyle w:val="TableTextLeftAligned"/>
              <w:keepNext/>
              <w:spacing w:after="0"/>
              <w:rPr>
                <w:sz w:val="18"/>
              </w:rPr>
            </w:pPr>
            <w:r w:rsidRPr="006040C0">
              <w:rPr>
                <w:sz w:val="18"/>
              </w:rPr>
              <w:t>B: 3 categories, unsorted</w:t>
            </w:r>
          </w:p>
        </w:tc>
        <w:tc>
          <w:tcPr>
            <w:tcW w:w="1291" w:type="dxa"/>
          </w:tcPr>
          <w:p w14:paraId="5ABC4E66" w14:textId="48CF50D9" w:rsidR="00AE71A2" w:rsidRPr="003212F5" w:rsidRDefault="00AE71A2" w:rsidP="00BB579E">
            <w:pPr>
              <w:pStyle w:val="TableTextRightAligned"/>
              <w:keepNext/>
              <w:spacing w:after="0"/>
              <w:rPr>
                <w:sz w:val="18"/>
              </w:rPr>
            </w:pPr>
            <w:r>
              <w:rPr>
                <w:sz w:val="18"/>
              </w:rPr>
              <w:t>50.6148</w:t>
            </w:r>
          </w:p>
        </w:tc>
        <w:tc>
          <w:tcPr>
            <w:tcW w:w="1276" w:type="dxa"/>
            <w:shd w:val="clear" w:color="auto" w:fill="FFFFFF" w:themeFill="background1"/>
          </w:tcPr>
          <w:p w14:paraId="05187500" w14:textId="77777777" w:rsidR="00AE71A2" w:rsidRPr="003212F5" w:rsidRDefault="00AE71A2" w:rsidP="000025DD">
            <w:pPr>
              <w:pStyle w:val="TableTextRightAligned"/>
              <w:keepNext/>
              <w:spacing w:after="0"/>
              <w:rPr>
                <w:sz w:val="18"/>
              </w:rPr>
            </w:pPr>
          </w:p>
        </w:tc>
        <w:tc>
          <w:tcPr>
            <w:tcW w:w="851" w:type="dxa"/>
          </w:tcPr>
          <w:p w14:paraId="164D4197" w14:textId="77777777" w:rsidR="00AE71A2" w:rsidRPr="003212F5" w:rsidRDefault="00AE71A2" w:rsidP="000025DD">
            <w:pPr>
              <w:pStyle w:val="TableTextRightAligned"/>
              <w:keepNext/>
              <w:spacing w:after="0"/>
              <w:rPr>
                <w:sz w:val="18"/>
              </w:rPr>
            </w:pPr>
          </w:p>
        </w:tc>
        <w:tc>
          <w:tcPr>
            <w:tcW w:w="1134" w:type="dxa"/>
            <w:shd w:val="clear" w:color="auto" w:fill="FFFFFF" w:themeFill="background1"/>
          </w:tcPr>
          <w:p w14:paraId="43593587" w14:textId="77777777" w:rsidR="00AE71A2" w:rsidRPr="003212F5" w:rsidRDefault="00AE71A2" w:rsidP="000025DD">
            <w:pPr>
              <w:pStyle w:val="TableTextRightAligned"/>
              <w:keepNext/>
              <w:spacing w:after="0"/>
              <w:rPr>
                <w:sz w:val="18"/>
              </w:rPr>
            </w:pPr>
          </w:p>
        </w:tc>
        <w:tc>
          <w:tcPr>
            <w:tcW w:w="850" w:type="dxa"/>
          </w:tcPr>
          <w:p w14:paraId="50676577" w14:textId="77777777" w:rsidR="00AE71A2" w:rsidRPr="003212F5" w:rsidRDefault="00AE71A2" w:rsidP="000025DD">
            <w:pPr>
              <w:pStyle w:val="TableTextRightAligned"/>
              <w:keepNext/>
              <w:spacing w:after="0"/>
              <w:rPr>
                <w:sz w:val="18"/>
              </w:rPr>
            </w:pPr>
          </w:p>
        </w:tc>
        <w:tc>
          <w:tcPr>
            <w:tcW w:w="892" w:type="dxa"/>
            <w:shd w:val="clear" w:color="auto" w:fill="FFFFFF" w:themeFill="background1"/>
          </w:tcPr>
          <w:p w14:paraId="29AC75E0" w14:textId="77777777" w:rsidR="00AE71A2" w:rsidRPr="003212F5" w:rsidRDefault="00AE71A2" w:rsidP="000025DD">
            <w:pPr>
              <w:pStyle w:val="TableTextRightAligned"/>
              <w:keepNext/>
              <w:spacing w:after="0"/>
              <w:ind w:left="-75" w:hanging="34"/>
              <w:rPr>
                <w:sz w:val="18"/>
              </w:rPr>
            </w:pPr>
          </w:p>
        </w:tc>
      </w:tr>
      <w:tr w:rsidR="001B0BE1" w:rsidRPr="003212F5" w14:paraId="79DC5EE5" w14:textId="77777777" w:rsidTr="002F277A">
        <w:tblPrEx>
          <w:tblCellMar>
            <w:top w:w="85" w:type="dxa"/>
          </w:tblCellMar>
        </w:tblPrEx>
        <w:trPr>
          <w:trHeight w:val="210"/>
        </w:trPr>
        <w:tc>
          <w:tcPr>
            <w:tcW w:w="1544" w:type="dxa"/>
            <w:shd w:val="clear" w:color="auto" w:fill="auto"/>
          </w:tcPr>
          <w:p w14:paraId="3291A331" w14:textId="77DAEA0C" w:rsidR="00AE71A2" w:rsidRPr="003212F5" w:rsidRDefault="006040C0" w:rsidP="000025DD">
            <w:pPr>
              <w:pStyle w:val="TableTextLeftAligned"/>
              <w:spacing w:after="0"/>
              <w:rPr>
                <w:sz w:val="18"/>
              </w:rPr>
            </w:pPr>
            <w:r w:rsidRPr="006040C0">
              <w:rPr>
                <w:sz w:val="18"/>
              </w:rPr>
              <w:t>C: 3 categories, sorted</w:t>
            </w:r>
          </w:p>
        </w:tc>
        <w:tc>
          <w:tcPr>
            <w:tcW w:w="1291" w:type="dxa"/>
          </w:tcPr>
          <w:p w14:paraId="182E56F6" w14:textId="2CC5D429" w:rsidR="00AE71A2" w:rsidRPr="003212F5" w:rsidRDefault="00AE71A2" w:rsidP="00BB579E">
            <w:pPr>
              <w:pStyle w:val="TableTextRightAligned"/>
              <w:spacing w:after="0"/>
              <w:rPr>
                <w:sz w:val="18"/>
              </w:rPr>
            </w:pPr>
            <w:r>
              <w:rPr>
                <w:sz w:val="18"/>
              </w:rPr>
              <w:t>51.8821</w:t>
            </w:r>
          </w:p>
        </w:tc>
        <w:tc>
          <w:tcPr>
            <w:tcW w:w="1276" w:type="dxa"/>
            <w:shd w:val="clear" w:color="auto" w:fill="FFFFFF" w:themeFill="background1"/>
          </w:tcPr>
          <w:p w14:paraId="44CACBC5" w14:textId="2A3443D9" w:rsidR="00AE71A2" w:rsidRPr="003212F5" w:rsidRDefault="00AE71A2" w:rsidP="000025DD">
            <w:pPr>
              <w:pStyle w:val="TableTextRightAligned"/>
              <w:spacing w:after="0"/>
              <w:rPr>
                <w:sz w:val="18"/>
              </w:rPr>
            </w:pPr>
            <w:r>
              <w:rPr>
                <w:sz w:val="18"/>
              </w:rPr>
              <w:t>1.2674</w:t>
            </w:r>
          </w:p>
        </w:tc>
        <w:tc>
          <w:tcPr>
            <w:tcW w:w="851" w:type="dxa"/>
          </w:tcPr>
          <w:p w14:paraId="32F82B72" w14:textId="1795FC1C" w:rsidR="00AE71A2" w:rsidRPr="003212F5" w:rsidRDefault="00AE71A2" w:rsidP="000025DD">
            <w:pPr>
              <w:pStyle w:val="TableTextRightAligned"/>
              <w:spacing w:after="0"/>
              <w:rPr>
                <w:sz w:val="18"/>
              </w:rPr>
            </w:pPr>
            <w:r>
              <w:rPr>
                <w:sz w:val="18"/>
              </w:rPr>
              <w:t>3.6644</w:t>
            </w:r>
          </w:p>
        </w:tc>
        <w:tc>
          <w:tcPr>
            <w:tcW w:w="1134" w:type="dxa"/>
            <w:shd w:val="clear" w:color="auto" w:fill="FFFFFF" w:themeFill="background1"/>
          </w:tcPr>
          <w:p w14:paraId="348B2D82" w14:textId="42E8E52B" w:rsidR="00AE71A2" w:rsidRPr="003212F5" w:rsidRDefault="00AE71A2" w:rsidP="005B1417">
            <w:pPr>
              <w:pStyle w:val="TableTextRightAligned"/>
              <w:spacing w:after="0"/>
              <w:rPr>
                <w:sz w:val="18"/>
              </w:rPr>
            </w:pPr>
            <w:r w:rsidRPr="003212F5">
              <w:rPr>
                <w:sz w:val="18"/>
              </w:rPr>
              <w:t>0.</w:t>
            </w:r>
            <w:r>
              <w:rPr>
                <w:sz w:val="18"/>
              </w:rPr>
              <w:t>3647</w:t>
            </w:r>
          </w:p>
        </w:tc>
        <w:tc>
          <w:tcPr>
            <w:tcW w:w="850" w:type="dxa"/>
          </w:tcPr>
          <w:p w14:paraId="5A5D96FD" w14:textId="37B37164" w:rsidR="00AE71A2" w:rsidRPr="003212F5" w:rsidRDefault="00AE71A2" w:rsidP="00BB579E">
            <w:pPr>
              <w:pStyle w:val="TableTextRightAligned"/>
              <w:spacing w:after="0"/>
              <w:rPr>
                <w:sz w:val="18"/>
              </w:rPr>
            </w:pPr>
            <w:r>
              <w:rPr>
                <w:sz w:val="18"/>
              </w:rPr>
              <w:t>-5.9206</w:t>
            </w:r>
          </w:p>
        </w:tc>
        <w:tc>
          <w:tcPr>
            <w:tcW w:w="892" w:type="dxa"/>
            <w:shd w:val="clear" w:color="auto" w:fill="FFFFFF" w:themeFill="background1"/>
          </w:tcPr>
          <w:p w14:paraId="53763BAE" w14:textId="69218262" w:rsidR="00AE71A2" w:rsidRPr="003212F5" w:rsidRDefault="00AE71A2" w:rsidP="000025DD">
            <w:pPr>
              <w:pStyle w:val="TableTextRightAligned"/>
              <w:spacing w:after="0"/>
              <w:ind w:left="-75" w:hanging="34"/>
              <w:rPr>
                <w:sz w:val="18"/>
              </w:rPr>
            </w:pPr>
            <w:r>
              <w:rPr>
                <w:sz w:val="18"/>
              </w:rPr>
              <w:t>8.4553</w:t>
            </w:r>
          </w:p>
        </w:tc>
      </w:tr>
    </w:tbl>
    <w:p w14:paraId="16316B7C" w14:textId="4B585DF8" w:rsidR="00BB579E" w:rsidRDefault="00BB579E" w:rsidP="00BB579E">
      <w:pPr>
        <w:spacing w:line="240" w:lineRule="auto"/>
        <w:rPr>
          <w:sz w:val="18"/>
        </w:rPr>
      </w:pPr>
      <w:r w:rsidRPr="00BE642E">
        <w:rPr>
          <w:sz w:val="18"/>
        </w:rPr>
        <w:t>Note</w:t>
      </w:r>
      <w:r>
        <w:rPr>
          <w:sz w:val="18"/>
        </w:rPr>
        <w:t>: n = 1</w:t>
      </w:r>
      <w:r w:rsidR="003D4211">
        <w:rPr>
          <w:sz w:val="18"/>
        </w:rPr>
        <w:t>,</w:t>
      </w:r>
      <w:r>
        <w:rPr>
          <w:sz w:val="18"/>
        </w:rPr>
        <w:t xml:space="preserve">478, OLS regression, </w:t>
      </w:r>
      <w:r w:rsidRPr="00BE642E">
        <w:rPr>
          <w:sz w:val="18"/>
        </w:rPr>
        <w:t xml:space="preserve">p-values are </w:t>
      </w:r>
      <w:r w:rsidRPr="00236038">
        <w:rPr>
          <w:sz w:val="18"/>
        </w:rPr>
        <w:t>from one-tailed tests.</w:t>
      </w:r>
      <w:r w:rsidR="00B41DC6">
        <w:rPr>
          <w:sz w:val="18"/>
        </w:rPr>
        <w:t xml:space="preserve"> </w:t>
      </w:r>
      <w:r w:rsidR="00B41DC6" w:rsidRPr="00B41DC6">
        <w:rPr>
          <w:sz w:val="18"/>
        </w:rPr>
        <w:t>We did not correct for multiple comparisons.</w:t>
      </w:r>
      <w:r w:rsidR="00B41DC6">
        <w:rPr>
          <w:sz w:val="18"/>
          <w:highlight w:val="yellow"/>
        </w:rPr>
        <w:t xml:space="preserve"> </w:t>
      </w:r>
    </w:p>
    <w:p w14:paraId="35B224C4" w14:textId="4F818C53" w:rsidR="00BB579E" w:rsidRPr="009F3C0D" w:rsidRDefault="00BB579E" w:rsidP="00BD20D5">
      <w:pPr>
        <w:pStyle w:val="HeadingTable"/>
        <w:spacing w:before="240" w:after="120"/>
        <w:ind w:left="357" w:hanging="357"/>
        <w:outlineLvl w:val="3"/>
      </w:pPr>
      <w:r>
        <w:t xml:space="preserve">Primary outcome – </w:t>
      </w:r>
      <w:r w:rsidRPr="00236038">
        <w:t>time to make a decision (H1.</w:t>
      </w:r>
      <w:r>
        <w:t>6</w:t>
      </w:r>
      <w:r w:rsidRPr="00236038">
        <w:t>)</w:t>
      </w:r>
    </w:p>
    <w:tbl>
      <w:tblPr>
        <w:tblStyle w:val="DefaultTable"/>
        <w:tblW w:w="7822" w:type="dxa"/>
        <w:tblBorders>
          <w:bottom w:val="single" w:sz="2" w:space="0" w:color="808080" w:themeColor="background1" w:themeShade="80"/>
          <w:insideH w:val="single" w:sz="2" w:space="0" w:color="808080" w:themeColor="background1" w:themeShade="80"/>
        </w:tblBorders>
        <w:tblLayout w:type="fixed"/>
        <w:tblCellMar>
          <w:top w:w="58" w:type="dxa"/>
          <w:left w:w="77" w:type="dxa"/>
          <w:bottom w:w="58" w:type="dxa"/>
          <w:right w:w="77" w:type="dxa"/>
        </w:tblCellMar>
        <w:tblLook w:val="0420" w:firstRow="1" w:lastRow="0" w:firstColumn="0" w:lastColumn="0" w:noHBand="0" w:noVBand="1"/>
        <w:tblCaption w:val="Table 1"/>
        <w:tblDescription w:val="Example table with Alt Text for accessibility"/>
      </w:tblPr>
      <w:tblGrid>
        <w:gridCol w:w="1540"/>
        <w:gridCol w:w="1295"/>
        <w:gridCol w:w="1276"/>
        <w:gridCol w:w="851"/>
        <w:gridCol w:w="1134"/>
        <w:gridCol w:w="850"/>
        <w:gridCol w:w="876"/>
      </w:tblGrid>
      <w:tr w:rsidR="00246F49" w:rsidRPr="003212F5" w14:paraId="4A7C895B" w14:textId="77777777" w:rsidTr="008F4DF9">
        <w:trPr>
          <w:cnfStyle w:val="100000000000" w:firstRow="1" w:lastRow="0" w:firstColumn="0" w:lastColumn="0" w:oddVBand="0" w:evenVBand="0" w:oddHBand="0" w:evenHBand="0" w:firstRowFirstColumn="0" w:firstRowLastColumn="0" w:lastRowFirstColumn="0" w:lastRowLastColumn="0"/>
          <w:trHeight w:val="344"/>
          <w:tblHeader/>
        </w:trPr>
        <w:tc>
          <w:tcPr>
            <w:tcW w:w="1062" w:type="dxa"/>
            <w:tcBorders>
              <w:top w:val="nil"/>
              <w:bottom w:val="single" w:sz="12" w:space="0" w:color="142E3B" w:themeColor="accent6"/>
            </w:tcBorders>
            <w:shd w:val="clear" w:color="auto" w:fill="20B9A3" w:themeFill="accent1"/>
          </w:tcPr>
          <w:p w14:paraId="0E3936F1" w14:textId="77777777" w:rsidR="00AE71A2" w:rsidRPr="003212F5" w:rsidRDefault="00AE71A2" w:rsidP="000025DD">
            <w:pPr>
              <w:pStyle w:val="TableHeading"/>
              <w:keepNext/>
              <w:spacing w:after="0"/>
              <w:rPr>
                <w:sz w:val="20"/>
              </w:rPr>
            </w:pPr>
            <w:r w:rsidRPr="003212F5">
              <w:rPr>
                <w:sz w:val="20"/>
              </w:rPr>
              <w:t>Treatment arm</w:t>
            </w:r>
          </w:p>
        </w:tc>
        <w:tc>
          <w:tcPr>
            <w:tcW w:w="893" w:type="dxa"/>
            <w:tcBorders>
              <w:top w:val="nil"/>
              <w:bottom w:val="single" w:sz="12" w:space="0" w:color="142E3B" w:themeColor="accent6"/>
            </w:tcBorders>
            <w:shd w:val="clear" w:color="auto" w:fill="20B9A3" w:themeFill="accent1"/>
          </w:tcPr>
          <w:p w14:paraId="43FD76D2" w14:textId="57278B1D" w:rsidR="00AE71A2" w:rsidRPr="003212F5" w:rsidRDefault="00982DC6" w:rsidP="002F277A">
            <w:pPr>
              <w:pStyle w:val="TableHeading"/>
              <w:keepNext/>
              <w:spacing w:after="0"/>
              <w:jc w:val="right"/>
              <w:rPr>
                <w:sz w:val="20"/>
              </w:rPr>
            </w:pPr>
            <w:r w:rsidRPr="003212F5">
              <w:rPr>
                <w:sz w:val="20"/>
              </w:rPr>
              <w:t>Mean</w:t>
            </w:r>
            <w:r>
              <w:rPr>
                <w:sz w:val="20"/>
              </w:rPr>
              <w:t xml:space="preserve"> (seconds)</w:t>
            </w:r>
          </w:p>
        </w:tc>
        <w:tc>
          <w:tcPr>
            <w:tcW w:w="880" w:type="dxa"/>
            <w:tcBorders>
              <w:top w:val="nil"/>
              <w:bottom w:val="single" w:sz="12" w:space="0" w:color="142E3B" w:themeColor="accent6"/>
            </w:tcBorders>
            <w:shd w:val="clear" w:color="auto" w:fill="20B9A3" w:themeFill="accent1"/>
          </w:tcPr>
          <w:p w14:paraId="6DC423C3" w14:textId="149F90E7" w:rsidR="00AE71A2" w:rsidRPr="003212F5" w:rsidRDefault="00982DC6" w:rsidP="000025DD">
            <w:pPr>
              <w:pStyle w:val="TableHeading"/>
              <w:keepNext/>
              <w:spacing w:after="0"/>
              <w:jc w:val="right"/>
              <w:rPr>
                <w:sz w:val="20"/>
              </w:rPr>
            </w:pPr>
            <w:r>
              <w:rPr>
                <w:sz w:val="20"/>
              </w:rPr>
              <w:t>Effect (seconds)</w:t>
            </w:r>
          </w:p>
        </w:tc>
        <w:tc>
          <w:tcPr>
            <w:tcW w:w="587" w:type="dxa"/>
            <w:tcBorders>
              <w:top w:val="nil"/>
              <w:bottom w:val="single" w:sz="12" w:space="0" w:color="142E3B" w:themeColor="accent6"/>
            </w:tcBorders>
            <w:shd w:val="clear" w:color="auto" w:fill="20B9A3" w:themeFill="accent1"/>
          </w:tcPr>
          <w:p w14:paraId="189CE900" w14:textId="77777777" w:rsidR="00AE71A2" w:rsidRPr="003212F5" w:rsidRDefault="00AE71A2" w:rsidP="000025DD">
            <w:pPr>
              <w:pStyle w:val="TableHeading"/>
              <w:keepNext/>
              <w:spacing w:after="0"/>
              <w:jc w:val="right"/>
              <w:rPr>
                <w:sz w:val="20"/>
              </w:rPr>
            </w:pPr>
            <w:r w:rsidRPr="003212F5">
              <w:rPr>
                <w:sz w:val="20"/>
              </w:rPr>
              <w:t>Std. error</w:t>
            </w:r>
          </w:p>
        </w:tc>
        <w:tc>
          <w:tcPr>
            <w:tcW w:w="782" w:type="dxa"/>
            <w:tcBorders>
              <w:top w:val="nil"/>
              <w:bottom w:val="single" w:sz="12" w:space="0" w:color="142E3B" w:themeColor="accent6"/>
            </w:tcBorders>
            <w:shd w:val="clear" w:color="auto" w:fill="20B9A3" w:themeFill="accent1"/>
          </w:tcPr>
          <w:p w14:paraId="57A222A8" w14:textId="77777777" w:rsidR="00AE71A2" w:rsidRPr="003212F5" w:rsidRDefault="00AE71A2" w:rsidP="000025DD">
            <w:pPr>
              <w:pStyle w:val="TableHeading"/>
              <w:keepNext/>
              <w:spacing w:after="0"/>
              <w:jc w:val="right"/>
              <w:rPr>
                <w:sz w:val="20"/>
              </w:rPr>
            </w:pPr>
            <w:r w:rsidRPr="003212F5">
              <w:rPr>
                <w:sz w:val="20"/>
              </w:rPr>
              <w:t>p-value</w:t>
            </w:r>
          </w:p>
        </w:tc>
        <w:tc>
          <w:tcPr>
            <w:tcW w:w="586" w:type="dxa"/>
            <w:tcBorders>
              <w:top w:val="nil"/>
              <w:bottom w:val="single" w:sz="12" w:space="0" w:color="142E3B" w:themeColor="accent6"/>
            </w:tcBorders>
            <w:shd w:val="clear" w:color="auto" w:fill="20B9A3" w:themeFill="accent1"/>
          </w:tcPr>
          <w:p w14:paraId="02187AA6" w14:textId="77777777" w:rsidR="00AE71A2" w:rsidRPr="003212F5" w:rsidRDefault="00AE71A2"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604" w:type="dxa"/>
            <w:tcBorders>
              <w:top w:val="nil"/>
              <w:bottom w:val="single" w:sz="12" w:space="0" w:color="142E3B" w:themeColor="accent6"/>
            </w:tcBorders>
            <w:shd w:val="clear" w:color="auto" w:fill="20B9A3" w:themeFill="accent1"/>
          </w:tcPr>
          <w:p w14:paraId="0025F033" w14:textId="77777777" w:rsidR="00AE71A2" w:rsidRPr="003212F5" w:rsidRDefault="00AE71A2"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8F4DF9" w:rsidRPr="003212F5" w14:paraId="0CB0DCB7" w14:textId="77777777" w:rsidTr="008F4DF9">
        <w:tblPrEx>
          <w:tblBorders>
            <w:bottom w:val="single" w:sz="4" w:space="0" w:color="808080" w:themeColor="background1" w:themeShade="80"/>
            <w:insideH w:val="single" w:sz="4" w:space="0" w:color="808080" w:themeColor="background1" w:themeShade="80"/>
          </w:tblBorders>
          <w:tblCellMar>
            <w:top w:w="85" w:type="dxa"/>
            <w:left w:w="113" w:type="dxa"/>
            <w:bottom w:w="85" w:type="dxa"/>
            <w:right w:w="113" w:type="dxa"/>
          </w:tblCellMar>
        </w:tblPrEx>
        <w:trPr>
          <w:trHeight w:val="216"/>
        </w:trPr>
        <w:tc>
          <w:tcPr>
            <w:tcW w:w="1540" w:type="dxa"/>
            <w:shd w:val="clear" w:color="auto" w:fill="auto"/>
          </w:tcPr>
          <w:p w14:paraId="26AE34B5" w14:textId="1D353192" w:rsidR="00AE71A2" w:rsidRPr="003212F5" w:rsidRDefault="00075A7A" w:rsidP="000025DD">
            <w:pPr>
              <w:pStyle w:val="TableTextLeftAligned"/>
              <w:keepNext/>
              <w:spacing w:after="0"/>
              <w:rPr>
                <w:sz w:val="18"/>
              </w:rPr>
            </w:pPr>
            <w:r w:rsidRPr="00075A7A">
              <w:rPr>
                <w:sz w:val="18"/>
              </w:rPr>
              <w:t>A: 2 categories, unsorted</w:t>
            </w:r>
          </w:p>
        </w:tc>
        <w:tc>
          <w:tcPr>
            <w:tcW w:w="1295" w:type="dxa"/>
          </w:tcPr>
          <w:p w14:paraId="0428C65E" w14:textId="0A778F7C" w:rsidR="00AE71A2" w:rsidRPr="003212F5" w:rsidRDefault="00AE71A2" w:rsidP="000025DD">
            <w:pPr>
              <w:pStyle w:val="TableTextRightAligned"/>
              <w:keepNext/>
              <w:spacing w:after="0"/>
              <w:rPr>
                <w:sz w:val="18"/>
              </w:rPr>
            </w:pPr>
            <w:r>
              <w:rPr>
                <w:sz w:val="18"/>
              </w:rPr>
              <w:t>52.7270</w:t>
            </w:r>
          </w:p>
        </w:tc>
        <w:tc>
          <w:tcPr>
            <w:tcW w:w="1276" w:type="dxa"/>
            <w:shd w:val="clear" w:color="auto" w:fill="FFFFFF" w:themeFill="background1"/>
          </w:tcPr>
          <w:p w14:paraId="2B4EC9FC" w14:textId="77777777" w:rsidR="00AE71A2" w:rsidRPr="003212F5" w:rsidRDefault="00AE71A2" w:rsidP="000025DD">
            <w:pPr>
              <w:pStyle w:val="TableTextRightAligned"/>
              <w:keepNext/>
              <w:spacing w:after="0"/>
              <w:rPr>
                <w:sz w:val="18"/>
              </w:rPr>
            </w:pPr>
          </w:p>
        </w:tc>
        <w:tc>
          <w:tcPr>
            <w:tcW w:w="851" w:type="dxa"/>
          </w:tcPr>
          <w:p w14:paraId="08A7871E" w14:textId="77777777" w:rsidR="00AE71A2" w:rsidRPr="003212F5" w:rsidRDefault="00AE71A2" w:rsidP="000025DD">
            <w:pPr>
              <w:pStyle w:val="TableTextRightAligned"/>
              <w:keepNext/>
              <w:spacing w:after="0"/>
              <w:rPr>
                <w:sz w:val="18"/>
              </w:rPr>
            </w:pPr>
          </w:p>
        </w:tc>
        <w:tc>
          <w:tcPr>
            <w:tcW w:w="1134" w:type="dxa"/>
            <w:shd w:val="clear" w:color="auto" w:fill="FFFFFF" w:themeFill="background1"/>
          </w:tcPr>
          <w:p w14:paraId="2F149367" w14:textId="77777777" w:rsidR="00AE71A2" w:rsidRPr="003212F5" w:rsidRDefault="00AE71A2" w:rsidP="000025DD">
            <w:pPr>
              <w:pStyle w:val="TableTextRightAligned"/>
              <w:keepNext/>
              <w:spacing w:after="0"/>
              <w:rPr>
                <w:sz w:val="18"/>
              </w:rPr>
            </w:pPr>
          </w:p>
        </w:tc>
        <w:tc>
          <w:tcPr>
            <w:tcW w:w="850" w:type="dxa"/>
          </w:tcPr>
          <w:p w14:paraId="4367B5BA" w14:textId="77777777" w:rsidR="00AE71A2" w:rsidRPr="003212F5" w:rsidRDefault="00AE71A2" w:rsidP="000025DD">
            <w:pPr>
              <w:pStyle w:val="TableTextRightAligned"/>
              <w:keepNext/>
              <w:spacing w:after="0"/>
              <w:rPr>
                <w:sz w:val="18"/>
              </w:rPr>
            </w:pPr>
          </w:p>
        </w:tc>
        <w:tc>
          <w:tcPr>
            <w:tcW w:w="876" w:type="dxa"/>
            <w:shd w:val="clear" w:color="auto" w:fill="FFFFFF" w:themeFill="background1"/>
          </w:tcPr>
          <w:p w14:paraId="7CB37C34" w14:textId="77777777" w:rsidR="00AE71A2" w:rsidRPr="003212F5" w:rsidRDefault="00AE71A2" w:rsidP="000025DD">
            <w:pPr>
              <w:pStyle w:val="TableTextRightAligned"/>
              <w:keepNext/>
              <w:spacing w:after="0"/>
              <w:ind w:left="-75" w:hanging="34"/>
              <w:rPr>
                <w:sz w:val="18"/>
              </w:rPr>
            </w:pPr>
          </w:p>
        </w:tc>
      </w:tr>
      <w:tr w:rsidR="008F4DF9" w:rsidRPr="003212F5" w14:paraId="7DBF7DB1" w14:textId="77777777" w:rsidTr="008F4DF9">
        <w:tblPrEx>
          <w:tblBorders>
            <w:bottom w:val="single" w:sz="4" w:space="0" w:color="808080" w:themeColor="background1" w:themeShade="80"/>
            <w:insideH w:val="single" w:sz="4" w:space="0" w:color="808080" w:themeColor="background1" w:themeShade="80"/>
          </w:tblBorders>
          <w:tblCellMar>
            <w:top w:w="85" w:type="dxa"/>
            <w:left w:w="113" w:type="dxa"/>
            <w:bottom w:w="85" w:type="dxa"/>
            <w:right w:w="113" w:type="dxa"/>
          </w:tblCellMar>
        </w:tblPrEx>
        <w:trPr>
          <w:trHeight w:val="216"/>
        </w:trPr>
        <w:tc>
          <w:tcPr>
            <w:tcW w:w="1540" w:type="dxa"/>
            <w:shd w:val="clear" w:color="auto" w:fill="auto"/>
          </w:tcPr>
          <w:p w14:paraId="78101BD7" w14:textId="701E84F6" w:rsidR="00AE71A2" w:rsidRPr="003212F5" w:rsidRDefault="006040C0" w:rsidP="000025DD">
            <w:pPr>
              <w:pStyle w:val="TableTextLeftAligned"/>
              <w:spacing w:after="0"/>
              <w:rPr>
                <w:sz w:val="18"/>
              </w:rPr>
            </w:pPr>
            <w:r w:rsidRPr="006040C0">
              <w:rPr>
                <w:sz w:val="18"/>
              </w:rPr>
              <w:t>C: 3 categories, sorted</w:t>
            </w:r>
          </w:p>
        </w:tc>
        <w:tc>
          <w:tcPr>
            <w:tcW w:w="1295" w:type="dxa"/>
          </w:tcPr>
          <w:p w14:paraId="1D08EC43" w14:textId="6DA99A38" w:rsidR="00AE71A2" w:rsidRPr="003212F5" w:rsidRDefault="00AE71A2" w:rsidP="000025DD">
            <w:pPr>
              <w:pStyle w:val="TableTextRightAligned"/>
              <w:spacing w:after="0"/>
              <w:rPr>
                <w:sz w:val="18"/>
              </w:rPr>
            </w:pPr>
            <w:r>
              <w:rPr>
                <w:sz w:val="18"/>
              </w:rPr>
              <w:t>51.8851</w:t>
            </w:r>
          </w:p>
        </w:tc>
        <w:tc>
          <w:tcPr>
            <w:tcW w:w="1276" w:type="dxa"/>
            <w:shd w:val="clear" w:color="auto" w:fill="FFFFFF" w:themeFill="background1"/>
          </w:tcPr>
          <w:p w14:paraId="7A5C8234" w14:textId="47791067" w:rsidR="00AE71A2" w:rsidRPr="003212F5" w:rsidRDefault="00AE71A2" w:rsidP="000025DD">
            <w:pPr>
              <w:pStyle w:val="TableTextRightAligned"/>
              <w:spacing w:after="0"/>
              <w:rPr>
                <w:sz w:val="18"/>
              </w:rPr>
            </w:pPr>
            <w:r>
              <w:rPr>
                <w:sz w:val="18"/>
              </w:rPr>
              <w:t>-0.8418</w:t>
            </w:r>
          </w:p>
        </w:tc>
        <w:tc>
          <w:tcPr>
            <w:tcW w:w="851" w:type="dxa"/>
          </w:tcPr>
          <w:p w14:paraId="49FC0A1D" w14:textId="07222051" w:rsidR="00AE71A2" w:rsidRPr="003212F5" w:rsidRDefault="00AE71A2" w:rsidP="000025DD">
            <w:pPr>
              <w:pStyle w:val="TableTextRightAligned"/>
              <w:spacing w:after="0"/>
              <w:rPr>
                <w:sz w:val="18"/>
              </w:rPr>
            </w:pPr>
            <w:r>
              <w:rPr>
                <w:sz w:val="18"/>
              </w:rPr>
              <w:t>3.5967</w:t>
            </w:r>
          </w:p>
        </w:tc>
        <w:tc>
          <w:tcPr>
            <w:tcW w:w="1134" w:type="dxa"/>
            <w:shd w:val="clear" w:color="auto" w:fill="FFFFFF" w:themeFill="background1"/>
          </w:tcPr>
          <w:p w14:paraId="1DD2BB23" w14:textId="4B2B9C72" w:rsidR="00AE71A2" w:rsidRPr="003212F5" w:rsidRDefault="00AE71A2" w:rsidP="005B1417">
            <w:pPr>
              <w:pStyle w:val="TableTextRightAligned"/>
              <w:spacing w:after="0"/>
              <w:rPr>
                <w:sz w:val="18"/>
              </w:rPr>
            </w:pPr>
            <w:r>
              <w:rPr>
                <w:sz w:val="18"/>
              </w:rPr>
              <w:t>0.4075</w:t>
            </w:r>
          </w:p>
        </w:tc>
        <w:tc>
          <w:tcPr>
            <w:tcW w:w="850" w:type="dxa"/>
          </w:tcPr>
          <w:p w14:paraId="3861E670" w14:textId="3B20F137" w:rsidR="00AE71A2" w:rsidRPr="003212F5" w:rsidRDefault="00AE71A2" w:rsidP="00BB579E">
            <w:pPr>
              <w:pStyle w:val="TableTextRightAligned"/>
              <w:spacing w:after="0"/>
              <w:rPr>
                <w:sz w:val="18"/>
              </w:rPr>
            </w:pPr>
            <w:r>
              <w:rPr>
                <w:sz w:val="18"/>
              </w:rPr>
              <w:t>-7.8970</w:t>
            </w:r>
          </w:p>
        </w:tc>
        <w:tc>
          <w:tcPr>
            <w:tcW w:w="876" w:type="dxa"/>
            <w:shd w:val="clear" w:color="auto" w:fill="FFFFFF" w:themeFill="background1"/>
          </w:tcPr>
          <w:p w14:paraId="1ED21D6C" w14:textId="58ED21AD" w:rsidR="00AE71A2" w:rsidRPr="003212F5" w:rsidRDefault="00AE71A2" w:rsidP="000025DD">
            <w:pPr>
              <w:pStyle w:val="TableTextRightAligned"/>
              <w:spacing w:after="0"/>
              <w:ind w:left="-75" w:hanging="34"/>
              <w:rPr>
                <w:sz w:val="18"/>
              </w:rPr>
            </w:pPr>
            <w:r>
              <w:rPr>
                <w:sz w:val="18"/>
              </w:rPr>
              <w:t>6.2134</w:t>
            </w:r>
          </w:p>
        </w:tc>
      </w:tr>
    </w:tbl>
    <w:p w14:paraId="3645D7C0" w14:textId="35C402E5" w:rsidR="00BB579E" w:rsidRDefault="00BB579E" w:rsidP="00BB579E">
      <w:pPr>
        <w:spacing w:line="240" w:lineRule="auto"/>
        <w:rPr>
          <w:sz w:val="18"/>
        </w:rPr>
      </w:pPr>
      <w:r w:rsidRPr="00BE642E">
        <w:rPr>
          <w:sz w:val="18"/>
        </w:rPr>
        <w:t>Note</w:t>
      </w:r>
      <w:r>
        <w:rPr>
          <w:sz w:val="18"/>
        </w:rPr>
        <w:t>: n = 1</w:t>
      </w:r>
      <w:r w:rsidR="003D4211">
        <w:rPr>
          <w:sz w:val="18"/>
        </w:rPr>
        <w:t>,</w:t>
      </w:r>
      <w:r>
        <w:rPr>
          <w:sz w:val="18"/>
        </w:rPr>
        <w:t xml:space="preserve">480, OLS regression, </w:t>
      </w:r>
      <w:r w:rsidRPr="00BE642E">
        <w:rPr>
          <w:sz w:val="18"/>
        </w:rPr>
        <w:t xml:space="preserve">p-values are </w:t>
      </w:r>
      <w:r w:rsidRPr="00236038">
        <w:rPr>
          <w:sz w:val="18"/>
        </w:rPr>
        <w:t xml:space="preserve">from one-tailed tests. </w:t>
      </w:r>
      <w:r w:rsidR="00B41DC6" w:rsidRPr="00B41DC6">
        <w:rPr>
          <w:sz w:val="18"/>
        </w:rPr>
        <w:t>We did not correct for multiple comparisons.</w:t>
      </w:r>
    </w:p>
    <w:p w14:paraId="639A5A11" w14:textId="0753B6C4" w:rsidR="007B5382" w:rsidRPr="009F3C0D" w:rsidRDefault="007B5382" w:rsidP="00BD20D5">
      <w:pPr>
        <w:pStyle w:val="HeadingTable"/>
        <w:spacing w:before="240" w:after="120"/>
        <w:ind w:left="357" w:hanging="357"/>
        <w:outlineLvl w:val="3"/>
      </w:pPr>
      <w:r>
        <w:t xml:space="preserve">Secondary outcome – choice of a top fund </w:t>
      </w:r>
    </w:p>
    <w:tbl>
      <w:tblPr>
        <w:tblStyle w:val="DefaultTable"/>
        <w:tblW w:w="7875"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51"/>
        <w:gridCol w:w="1054"/>
        <w:gridCol w:w="1054"/>
        <w:gridCol w:w="1054"/>
        <w:gridCol w:w="1054"/>
        <w:gridCol w:w="1054"/>
        <w:gridCol w:w="1054"/>
      </w:tblGrid>
      <w:tr w:rsidR="00AE71A2" w:rsidRPr="003212F5" w14:paraId="147885D0" w14:textId="77777777" w:rsidTr="002F277A">
        <w:trPr>
          <w:cnfStyle w:val="100000000000" w:firstRow="1" w:lastRow="0" w:firstColumn="0" w:lastColumn="0" w:oddVBand="0" w:evenVBand="0" w:oddHBand="0" w:evenHBand="0" w:firstRowFirstColumn="0" w:firstRowLastColumn="0" w:lastRowFirstColumn="0" w:lastRowLastColumn="0"/>
          <w:trHeight w:val="520"/>
          <w:tblHeader/>
        </w:trPr>
        <w:tc>
          <w:tcPr>
            <w:tcW w:w="1551" w:type="dxa"/>
            <w:tcBorders>
              <w:top w:val="nil"/>
              <w:bottom w:val="single" w:sz="18" w:space="0" w:color="142E3B" w:themeColor="accent6"/>
            </w:tcBorders>
            <w:shd w:val="clear" w:color="auto" w:fill="20B9A3" w:themeFill="accent1"/>
          </w:tcPr>
          <w:p w14:paraId="337E1F22" w14:textId="77777777" w:rsidR="00AE71A2" w:rsidRPr="003212F5" w:rsidRDefault="00AE71A2" w:rsidP="000025DD">
            <w:pPr>
              <w:pStyle w:val="TableHeading"/>
              <w:keepNext/>
              <w:spacing w:after="0"/>
              <w:rPr>
                <w:sz w:val="20"/>
              </w:rPr>
            </w:pPr>
            <w:r w:rsidRPr="003212F5">
              <w:rPr>
                <w:sz w:val="20"/>
              </w:rPr>
              <w:t>Treatment arm</w:t>
            </w:r>
          </w:p>
        </w:tc>
        <w:tc>
          <w:tcPr>
            <w:tcW w:w="1054" w:type="dxa"/>
            <w:tcBorders>
              <w:top w:val="nil"/>
              <w:bottom w:val="single" w:sz="18" w:space="0" w:color="142E3B" w:themeColor="accent6"/>
            </w:tcBorders>
            <w:shd w:val="clear" w:color="auto" w:fill="20B9A3" w:themeFill="accent1"/>
          </w:tcPr>
          <w:p w14:paraId="087D36D8" w14:textId="161C43B8" w:rsidR="00AE71A2" w:rsidRPr="003212F5" w:rsidRDefault="00AE71A2" w:rsidP="000025DD">
            <w:pPr>
              <w:pStyle w:val="TableHeading"/>
              <w:keepNext/>
              <w:spacing w:after="0"/>
              <w:rPr>
                <w:sz w:val="20"/>
              </w:rPr>
            </w:pPr>
            <w:r w:rsidRPr="003212F5">
              <w:rPr>
                <w:sz w:val="20"/>
              </w:rPr>
              <w:t>Mean</w:t>
            </w:r>
            <w:r w:rsidR="001B0BE1">
              <w:rPr>
                <w:sz w:val="20"/>
              </w:rPr>
              <w:t xml:space="preserve"> (%)</w:t>
            </w:r>
          </w:p>
        </w:tc>
        <w:tc>
          <w:tcPr>
            <w:tcW w:w="1054" w:type="dxa"/>
            <w:tcBorders>
              <w:top w:val="nil"/>
              <w:bottom w:val="single" w:sz="18" w:space="0" w:color="142E3B" w:themeColor="accent6"/>
            </w:tcBorders>
            <w:shd w:val="clear" w:color="auto" w:fill="20B9A3" w:themeFill="accent1"/>
          </w:tcPr>
          <w:p w14:paraId="46ADA7A1" w14:textId="5DA87875" w:rsidR="00AE71A2" w:rsidRPr="003212F5" w:rsidRDefault="00AE71A2" w:rsidP="000025DD">
            <w:pPr>
              <w:pStyle w:val="TableHeading"/>
              <w:keepNext/>
              <w:spacing w:after="0"/>
              <w:jc w:val="right"/>
              <w:rPr>
                <w:sz w:val="20"/>
              </w:rPr>
            </w:pPr>
            <w:r>
              <w:rPr>
                <w:sz w:val="20"/>
              </w:rPr>
              <w:t>E</w:t>
            </w:r>
            <w:r w:rsidR="001B0BE1">
              <w:rPr>
                <w:sz w:val="20"/>
              </w:rPr>
              <w:t>ffect (%)</w:t>
            </w:r>
          </w:p>
        </w:tc>
        <w:tc>
          <w:tcPr>
            <w:tcW w:w="1054" w:type="dxa"/>
            <w:tcBorders>
              <w:top w:val="nil"/>
              <w:bottom w:val="single" w:sz="18" w:space="0" w:color="142E3B" w:themeColor="accent6"/>
            </w:tcBorders>
            <w:shd w:val="clear" w:color="auto" w:fill="20B9A3" w:themeFill="accent1"/>
          </w:tcPr>
          <w:p w14:paraId="0F0496F2" w14:textId="77777777" w:rsidR="00AE71A2" w:rsidRPr="003212F5" w:rsidRDefault="00AE71A2" w:rsidP="000025DD">
            <w:pPr>
              <w:pStyle w:val="TableHeading"/>
              <w:keepNext/>
              <w:spacing w:after="0"/>
              <w:jc w:val="right"/>
              <w:rPr>
                <w:sz w:val="20"/>
              </w:rPr>
            </w:pPr>
            <w:r w:rsidRPr="003212F5">
              <w:rPr>
                <w:sz w:val="20"/>
              </w:rPr>
              <w:t>Std. error</w:t>
            </w:r>
          </w:p>
        </w:tc>
        <w:tc>
          <w:tcPr>
            <w:tcW w:w="1054" w:type="dxa"/>
            <w:tcBorders>
              <w:top w:val="nil"/>
              <w:bottom w:val="single" w:sz="18" w:space="0" w:color="142E3B" w:themeColor="accent6"/>
            </w:tcBorders>
            <w:shd w:val="clear" w:color="auto" w:fill="20B9A3" w:themeFill="accent1"/>
          </w:tcPr>
          <w:p w14:paraId="5765F4D2" w14:textId="77777777" w:rsidR="00AE71A2" w:rsidRPr="003212F5" w:rsidRDefault="00AE71A2" w:rsidP="000025DD">
            <w:pPr>
              <w:pStyle w:val="TableHeading"/>
              <w:keepNext/>
              <w:spacing w:after="0"/>
              <w:jc w:val="right"/>
              <w:rPr>
                <w:sz w:val="20"/>
              </w:rPr>
            </w:pPr>
            <w:r w:rsidRPr="003212F5">
              <w:rPr>
                <w:sz w:val="20"/>
              </w:rPr>
              <w:t>p-value</w:t>
            </w:r>
          </w:p>
        </w:tc>
        <w:tc>
          <w:tcPr>
            <w:tcW w:w="1054" w:type="dxa"/>
            <w:tcBorders>
              <w:top w:val="nil"/>
              <w:bottom w:val="single" w:sz="18" w:space="0" w:color="142E3B" w:themeColor="accent6"/>
            </w:tcBorders>
            <w:shd w:val="clear" w:color="auto" w:fill="20B9A3" w:themeFill="accent1"/>
          </w:tcPr>
          <w:p w14:paraId="7D6DEF4E" w14:textId="77777777" w:rsidR="00AE71A2" w:rsidRPr="003212F5" w:rsidRDefault="00AE71A2"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54" w:type="dxa"/>
            <w:tcBorders>
              <w:top w:val="nil"/>
              <w:bottom w:val="single" w:sz="18" w:space="0" w:color="142E3B" w:themeColor="accent6"/>
            </w:tcBorders>
            <w:shd w:val="clear" w:color="auto" w:fill="20B9A3" w:themeFill="accent1"/>
          </w:tcPr>
          <w:p w14:paraId="7D828D6D" w14:textId="77777777" w:rsidR="00AE71A2" w:rsidRPr="003212F5" w:rsidRDefault="00AE71A2"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62D353D4" w14:textId="77777777" w:rsidTr="002F277A">
        <w:trPr>
          <w:trHeight w:val="225"/>
        </w:trPr>
        <w:tc>
          <w:tcPr>
            <w:tcW w:w="1551" w:type="dxa"/>
            <w:shd w:val="clear" w:color="auto" w:fill="auto"/>
          </w:tcPr>
          <w:p w14:paraId="6EB22FBC" w14:textId="14703A51" w:rsidR="00AE71A2" w:rsidRPr="003212F5" w:rsidRDefault="00075A7A" w:rsidP="000025DD">
            <w:pPr>
              <w:pStyle w:val="TableTextLeftAligned"/>
              <w:keepNext/>
              <w:spacing w:after="0"/>
              <w:rPr>
                <w:sz w:val="18"/>
              </w:rPr>
            </w:pPr>
            <w:r w:rsidRPr="00075A7A">
              <w:rPr>
                <w:sz w:val="18"/>
              </w:rPr>
              <w:t>A: 2 categories, unsorted</w:t>
            </w:r>
          </w:p>
        </w:tc>
        <w:tc>
          <w:tcPr>
            <w:tcW w:w="1054" w:type="dxa"/>
          </w:tcPr>
          <w:p w14:paraId="44DE41D2" w14:textId="2611F7D1" w:rsidR="00AE71A2" w:rsidRPr="003212F5" w:rsidRDefault="00AE71A2" w:rsidP="000025DD">
            <w:pPr>
              <w:pStyle w:val="TableTextRightAligned"/>
              <w:keepNext/>
              <w:spacing w:after="0"/>
              <w:rPr>
                <w:sz w:val="18"/>
              </w:rPr>
            </w:pPr>
            <w:r>
              <w:rPr>
                <w:sz w:val="18"/>
              </w:rPr>
              <w:t>33.51</w:t>
            </w:r>
          </w:p>
        </w:tc>
        <w:tc>
          <w:tcPr>
            <w:tcW w:w="1054" w:type="dxa"/>
            <w:shd w:val="clear" w:color="auto" w:fill="FFFFFF" w:themeFill="background1"/>
          </w:tcPr>
          <w:p w14:paraId="1D8FFF51" w14:textId="77777777" w:rsidR="00AE71A2" w:rsidRPr="003212F5" w:rsidRDefault="00AE71A2" w:rsidP="000025DD">
            <w:pPr>
              <w:pStyle w:val="TableTextRightAligned"/>
              <w:keepNext/>
              <w:spacing w:after="0"/>
              <w:rPr>
                <w:sz w:val="18"/>
              </w:rPr>
            </w:pPr>
          </w:p>
        </w:tc>
        <w:tc>
          <w:tcPr>
            <w:tcW w:w="1054" w:type="dxa"/>
          </w:tcPr>
          <w:p w14:paraId="38427ABA" w14:textId="77777777" w:rsidR="00AE71A2" w:rsidRPr="003212F5" w:rsidRDefault="00AE71A2" w:rsidP="000025DD">
            <w:pPr>
              <w:pStyle w:val="TableTextRightAligned"/>
              <w:keepNext/>
              <w:spacing w:after="0"/>
              <w:rPr>
                <w:sz w:val="18"/>
              </w:rPr>
            </w:pPr>
          </w:p>
        </w:tc>
        <w:tc>
          <w:tcPr>
            <w:tcW w:w="1054" w:type="dxa"/>
            <w:shd w:val="clear" w:color="auto" w:fill="FFFFFF" w:themeFill="background1"/>
          </w:tcPr>
          <w:p w14:paraId="49655B0B" w14:textId="77777777" w:rsidR="00AE71A2" w:rsidRPr="003212F5" w:rsidRDefault="00AE71A2" w:rsidP="000025DD">
            <w:pPr>
              <w:pStyle w:val="TableTextRightAligned"/>
              <w:keepNext/>
              <w:spacing w:after="0"/>
              <w:rPr>
                <w:sz w:val="18"/>
              </w:rPr>
            </w:pPr>
          </w:p>
        </w:tc>
        <w:tc>
          <w:tcPr>
            <w:tcW w:w="1054" w:type="dxa"/>
          </w:tcPr>
          <w:p w14:paraId="50628757" w14:textId="77777777" w:rsidR="00AE71A2" w:rsidRPr="003212F5" w:rsidRDefault="00AE71A2" w:rsidP="000025DD">
            <w:pPr>
              <w:pStyle w:val="TableTextRightAligned"/>
              <w:keepNext/>
              <w:spacing w:after="0"/>
              <w:rPr>
                <w:sz w:val="18"/>
              </w:rPr>
            </w:pPr>
          </w:p>
        </w:tc>
        <w:tc>
          <w:tcPr>
            <w:tcW w:w="1054" w:type="dxa"/>
            <w:shd w:val="clear" w:color="auto" w:fill="FFFFFF" w:themeFill="background1"/>
          </w:tcPr>
          <w:p w14:paraId="6EEF0658" w14:textId="77777777" w:rsidR="00AE71A2" w:rsidRPr="003212F5" w:rsidRDefault="00AE71A2" w:rsidP="000025DD">
            <w:pPr>
              <w:pStyle w:val="TableTextRightAligned"/>
              <w:keepNext/>
              <w:spacing w:after="0"/>
              <w:ind w:left="-75" w:hanging="34"/>
              <w:rPr>
                <w:sz w:val="18"/>
              </w:rPr>
            </w:pPr>
          </w:p>
        </w:tc>
      </w:tr>
      <w:tr w:rsidR="00AE71A2" w:rsidRPr="003212F5" w14:paraId="2C04FC39" w14:textId="77777777" w:rsidTr="002F277A">
        <w:trPr>
          <w:trHeight w:val="225"/>
        </w:trPr>
        <w:tc>
          <w:tcPr>
            <w:tcW w:w="1551" w:type="dxa"/>
            <w:shd w:val="clear" w:color="auto" w:fill="auto"/>
          </w:tcPr>
          <w:p w14:paraId="6043E194" w14:textId="00DC9C62" w:rsidR="00AE71A2" w:rsidRPr="003212F5" w:rsidRDefault="006040C0" w:rsidP="000025DD">
            <w:pPr>
              <w:pStyle w:val="TableTextLeftAligned"/>
              <w:spacing w:after="0"/>
              <w:rPr>
                <w:sz w:val="18"/>
              </w:rPr>
            </w:pPr>
            <w:r w:rsidRPr="006040C0">
              <w:rPr>
                <w:sz w:val="18"/>
              </w:rPr>
              <w:t>B: 3 categories, unsorted</w:t>
            </w:r>
          </w:p>
        </w:tc>
        <w:tc>
          <w:tcPr>
            <w:tcW w:w="1054" w:type="dxa"/>
          </w:tcPr>
          <w:p w14:paraId="2731C462" w14:textId="70E19540" w:rsidR="00AE71A2" w:rsidRPr="003212F5" w:rsidRDefault="00AE71A2" w:rsidP="000025DD">
            <w:pPr>
              <w:pStyle w:val="TableTextRightAligned"/>
              <w:spacing w:after="0"/>
              <w:rPr>
                <w:sz w:val="18"/>
              </w:rPr>
            </w:pPr>
            <w:r>
              <w:rPr>
                <w:sz w:val="18"/>
              </w:rPr>
              <w:t>55.50</w:t>
            </w:r>
          </w:p>
        </w:tc>
        <w:tc>
          <w:tcPr>
            <w:tcW w:w="1054" w:type="dxa"/>
            <w:shd w:val="clear" w:color="auto" w:fill="FFFFFF" w:themeFill="background1"/>
          </w:tcPr>
          <w:p w14:paraId="3B47A05E" w14:textId="0EC53741" w:rsidR="00AE71A2" w:rsidRPr="003212F5" w:rsidRDefault="00AE71A2" w:rsidP="000025DD">
            <w:pPr>
              <w:pStyle w:val="TableTextRightAligned"/>
              <w:spacing w:after="0"/>
              <w:rPr>
                <w:sz w:val="18"/>
              </w:rPr>
            </w:pPr>
            <w:r>
              <w:rPr>
                <w:sz w:val="18"/>
              </w:rPr>
              <w:t>21.98</w:t>
            </w:r>
          </w:p>
        </w:tc>
        <w:tc>
          <w:tcPr>
            <w:tcW w:w="1054" w:type="dxa"/>
          </w:tcPr>
          <w:p w14:paraId="45E01BE7" w14:textId="75059312" w:rsidR="00AE71A2" w:rsidRPr="003212F5" w:rsidRDefault="00AE71A2" w:rsidP="000025DD">
            <w:pPr>
              <w:pStyle w:val="TableTextRightAligned"/>
              <w:spacing w:after="0"/>
              <w:rPr>
                <w:sz w:val="18"/>
              </w:rPr>
            </w:pPr>
            <w:r>
              <w:rPr>
                <w:sz w:val="18"/>
              </w:rPr>
              <w:t>2.51</w:t>
            </w:r>
          </w:p>
        </w:tc>
        <w:tc>
          <w:tcPr>
            <w:tcW w:w="1054" w:type="dxa"/>
            <w:shd w:val="clear" w:color="auto" w:fill="FFFFFF" w:themeFill="background1"/>
          </w:tcPr>
          <w:p w14:paraId="7B0DA821" w14:textId="41727AD3" w:rsidR="00AE71A2" w:rsidRPr="003212F5" w:rsidRDefault="00AE71A2" w:rsidP="000025DD">
            <w:pPr>
              <w:pStyle w:val="TableTextRightAligned"/>
              <w:spacing w:after="0"/>
              <w:rPr>
                <w:sz w:val="18"/>
              </w:rPr>
            </w:pPr>
            <w:r>
              <w:rPr>
                <w:sz w:val="18"/>
              </w:rPr>
              <w:t>0.0000</w:t>
            </w:r>
          </w:p>
        </w:tc>
        <w:tc>
          <w:tcPr>
            <w:tcW w:w="1054" w:type="dxa"/>
          </w:tcPr>
          <w:p w14:paraId="55F803C8" w14:textId="0A177503" w:rsidR="00AE71A2" w:rsidRPr="003212F5" w:rsidRDefault="00AE71A2" w:rsidP="000025DD">
            <w:pPr>
              <w:pStyle w:val="TableTextRightAligned"/>
              <w:spacing w:after="0"/>
              <w:rPr>
                <w:sz w:val="18"/>
              </w:rPr>
            </w:pPr>
            <w:r>
              <w:rPr>
                <w:sz w:val="18"/>
              </w:rPr>
              <w:t>17.06</w:t>
            </w:r>
          </w:p>
        </w:tc>
        <w:tc>
          <w:tcPr>
            <w:tcW w:w="1054" w:type="dxa"/>
            <w:shd w:val="clear" w:color="auto" w:fill="FFFFFF" w:themeFill="background1"/>
          </w:tcPr>
          <w:p w14:paraId="26B5EAFF" w14:textId="75D95508" w:rsidR="00AE71A2" w:rsidRPr="003212F5" w:rsidRDefault="00AE71A2" w:rsidP="000025DD">
            <w:pPr>
              <w:pStyle w:val="TableTextRightAligned"/>
              <w:spacing w:after="0"/>
              <w:ind w:left="-75" w:hanging="34"/>
              <w:rPr>
                <w:sz w:val="18"/>
              </w:rPr>
            </w:pPr>
            <w:r>
              <w:rPr>
                <w:sz w:val="18"/>
              </w:rPr>
              <w:t>26.90</w:t>
            </w:r>
          </w:p>
        </w:tc>
      </w:tr>
    </w:tbl>
    <w:p w14:paraId="564CEA67" w14:textId="12B87097" w:rsidR="007B5382" w:rsidRDefault="007B5382" w:rsidP="007B5382">
      <w:pPr>
        <w:spacing w:line="240" w:lineRule="auto"/>
        <w:rPr>
          <w:sz w:val="18"/>
        </w:rPr>
      </w:pPr>
      <w:r w:rsidRPr="00BE642E">
        <w:rPr>
          <w:sz w:val="18"/>
        </w:rPr>
        <w:t>Note</w:t>
      </w:r>
      <w:r>
        <w:rPr>
          <w:sz w:val="18"/>
        </w:rPr>
        <w:t>: n = 1</w:t>
      </w:r>
      <w:r w:rsidR="003D4211">
        <w:rPr>
          <w:sz w:val="18"/>
        </w:rPr>
        <w:t>,</w:t>
      </w:r>
      <w:r>
        <w:rPr>
          <w:sz w:val="18"/>
        </w:rPr>
        <w:t xml:space="preserve">498, OLS regression, </w:t>
      </w:r>
      <w:r w:rsidRPr="00BE642E">
        <w:rPr>
          <w:sz w:val="18"/>
        </w:rPr>
        <w:t xml:space="preserve">p-values are </w:t>
      </w:r>
      <w:r w:rsidRPr="00236038">
        <w:rPr>
          <w:sz w:val="18"/>
        </w:rPr>
        <w:t xml:space="preserve">from one-tailed tests. </w:t>
      </w:r>
      <w:r w:rsidR="00B41DC6" w:rsidRPr="00B41DC6">
        <w:rPr>
          <w:sz w:val="18"/>
        </w:rPr>
        <w:t>We did not correct for multiple comparisons.</w:t>
      </w:r>
    </w:p>
    <w:p w14:paraId="22FC0235" w14:textId="77777777" w:rsidR="007B5382" w:rsidRPr="009F3C0D" w:rsidRDefault="007B5382" w:rsidP="00BD20D5">
      <w:pPr>
        <w:pStyle w:val="HeadingTable"/>
        <w:spacing w:before="240" w:after="120"/>
        <w:ind w:left="357" w:hanging="357"/>
        <w:outlineLvl w:val="3"/>
      </w:pPr>
      <w:r>
        <w:lastRenderedPageBreak/>
        <w:t xml:space="preserve">Secondary outcome – choice of a top fund </w:t>
      </w:r>
    </w:p>
    <w:tbl>
      <w:tblPr>
        <w:tblStyle w:val="DefaultTable"/>
        <w:tblW w:w="7837"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43"/>
        <w:gridCol w:w="1049"/>
        <w:gridCol w:w="1049"/>
        <w:gridCol w:w="1049"/>
        <w:gridCol w:w="1049"/>
        <w:gridCol w:w="1049"/>
        <w:gridCol w:w="1049"/>
      </w:tblGrid>
      <w:tr w:rsidR="00AE71A2" w:rsidRPr="003212F5" w14:paraId="72A5534A" w14:textId="77777777" w:rsidTr="002F277A">
        <w:trPr>
          <w:cnfStyle w:val="100000000000" w:firstRow="1" w:lastRow="0" w:firstColumn="0" w:lastColumn="0" w:oddVBand="0" w:evenVBand="0" w:oddHBand="0" w:evenHBand="0" w:firstRowFirstColumn="0" w:firstRowLastColumn="0" w:lastRowFirstColumn="0" w:lastRowLastColumn="0"/>
          <w:trHeight w:val="507"/>
          <w:tblHeader/>
        </w:trPr>
        <w:tc>
          <w:tcPr>
            <w:tcW w:w="1543" w:type="dxa"/>
            <w:tcBorders>
              <w:top w:val="nil"/>
              <w:bottom w:val="single" w:sz="18" w:space="0" w:color="142E3B" w:themeColor="accent6"/>
            </w:tcBorders>
            <w:shd w:val="clear" w:color="auto" w:fill="20B9A3" w:themeFill="accent1"/>
          </w:tcPr>
          <w:p w14:paraId="38ED7835" w14:textId="77777777" w:rsidR="00AE71A2" w:rsidRPr="003212F5" w:rsidRDefault="00AE71A2" w:rsidP="000025DD">
            <w:pPr>
              <w:pStyle w:val="TableHeading"/>
              <w:keepNext/>
              <w:spacing w:after="0"/>
              <w:rPr>
                <w:sz w:val="20"/>
              </w:rPr>
            </w:pPr>
            <w:r w:rsidRPr="003212F5">
              <w:rPr>
                <w:sz w:val="20"/>
              </w:rPr>
              <w:t>Treatment arm</w:t>
            </w:r>
          </w:p>
        </w:tc>
        <w:tc>
          <w:tcPr>
            <w:tcW w:w="1049" w:type="dxa"/>
            <w:tcBorders>
              <w:top w:val="nil"/>
              <w:bottom w:val="single" w:sz="18" w:space="0" w:color="142E3B" w:themeColor="accent6"/>
            </w:tcBorders>
            <w:shd w:val="clear" w:color="auto" w:fill="20B9A3" w:themeFill="accent1"/>
          </w:tcPr>
          <w:p w14:paraId="092951A3" w14:textId="142162A7" w:rsidR="00AE71A2" w:rsidRPr="003212F5" w:rsidRDefault="00AE71A2" w:rsidP="000025DD">
            <w:pPr>
              <w:pStyle w:val="TableHeading"/>
              <w:keepNext/>
              <w:spacing w:after="0"/>
              <w:rPr>
                <w:sz w:val="20"/>
              </w:rPr>
            </w:pPr>
            <w:r w:rsidRPr="003212F5">
              <w:rPr>
                <w:sz w:val="20"/>
              </w:rPr>
              <w:t>Mean</w:t>
            </w:r>
            <w:r w:rsidR="001B0BE1">
              <w:rPr>
                <w:sz w:val="20"/>
              </w:rPr>
              <w:t xml:space="preserve"> (%)</w:t>
            </w:r>
          </w:p>
        </w:tc>
        <w:tc>
          <w:tcPr>
            <w:tcW w:w="1049" w:type="dxa"/>
            <w:tcBorders>
              <w:top w:val="nil"/>
              <w:bottom w:val="single" w:sz="18" w:space="0" w:color="142E3B" w:themeColor="accent6"/>
            </w:tcBorders>
            <w:shd w:val="clear" w:color="auto" w:fill="20B9A3" w:themeFill="accent1"/>
          </w:tcPr>
          <w:p w14:paraId="112D9F87" w14:textId="667BDCB9" w:rsidR="00AE71A2" w:rsidRPr="003212F5" w:rsidRDefault="00AE71A2" w:rsidP="000025DD">
            <w:pPr>
              <w:pStyle w:val="TableHeading"/>
              <w:keepNext/>
              <w:spacing w:after="0"/>
              <w:jc w:val="right"/>
              <w:rPr>
                <w:sz w:val="20"/>
              </w:rPr>
            </w:pPr>
            <w:r>
              <w:rPr>
                <w:sz w:val="20"/>
              </w:rPr>
              <w:t>E</w:t>
            </w:r>
            <w:r w:rsidR="001B0BE1">
              <w:rPr>
                <w:sz w:val="20"/>
              </w:rPr>
              <w:t>ffect (%)</w:t>
            </w:r>
          </w:p>
        </w:tc>
        <w:tc>
          <w:tcPr>
            <w:tcW w:w="1049" w:type="dxa"/>
            <w:tcBorders>
              <w:top w:val="nil"/>
              <w:bottom w:val="single" w:sz="18" w:space="0" w:color="142E3B" w:themeColor="accent6"/>
            </w:tcBorders>
            <w:shd w:val="clear" w:color="auto" w:fill="20B9A3" w:themeFill="accent1"/>
          </w:tcPr>
          <w:p w14:paraId="1E4DB232" w14:textId="77777777" w:rsidR="00AE71A2" w:rsidRPr="003212F5" w:rsidRDefault="00AE71A2" w:rsidP="000025DD">
            <w:pPr>
              <w:pStyle w:val="TableHeading"/>
              <w:keepNext/>
              <w:spacing w:after="0"/>
              <w:jc w:val="right"/>
              <w:rPr>
                <w:sz w:val="20"/>
              </w:rPr>
            </w:pPr>
            <w:r w:rsidRPr="003212F5">
              <w:rPr>
                <w:sz w:val="20"/>
              </w:rPr>
              <w:t>Std. error</w:t>
            </w:r>
          </w:p>
        </w:tc>
        <w:tc>
          <w:tcPr>
            <w:tcW w:w="1049" w:type="dxa"/>
            <w:tcBorders>
              <w:top w:val="nil"/>
              <w:bottom w:val="single" w:sz="18" w:space="0" w:color="142E3B" w:themeColor="accent6"/>
            </w:tcBorders>
            <w:shd w:val="clear" w:color="auto" w:fill="20B9A3" w:themeFill="accent1"/>
          </w:tcPr>
          <w:p w14:paraId="6898D850" w14:textId="77777777" w:rsidR="00AE71A2" w:rsidRPr="003212F5" w:rsidRDefault="00AE71A2" w:rsidP="000025DD">
            <w:pPr>
              <w:pStyle w:val="TableHeading"/>
              <w:keepNext/>
              <w:spacing w:after="0"/>
              <w:jc w:val="right"/>
              <w:rPr>
                <w:sz w:val="20"/>
              </w:rPr>
            </w:pPr>
            <w:r w:rsidRPr="003212F5">
              <w:rPr>
                <w:sz w:val="20"/>
              </w:rPr>
              <w:t>p-value</w:t>
            </w:r>
          </w:p>
        </w:tc>
        <w:tc>
          <w:tcPr>
            <w:tcW w:w="1049" w:type="dxa"/>
            <w:tcBorders>
              <w:top w:val="nil"/>
              <w:bottom w:val="single" w:sz="18" w:space="0" w:color="142E3B" w:themeColor="accent6"/>
            </w:tcBorders>
            <w:shd w:val="clear" w:color="auto" w:fill="20B9A3" w:themeFill="accent1"/>
          </w:tcPr>
          <w:p w14:paraId="4AAF6D06" w14:textId="77777777" w:rsidR="00AE71A2" w:rsidRPr="003212F5" w:rsidRDefault="00AE71A2"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49" w:type="dxa"/>
            <w:tcBorders>
              <w:top w:val="nil"/>
              <w:bottom w:val="single" w:sz="18" w:space="0" w:color="142E3B" w:themeColor="accent6"/>
            </w:tcBorders>
            <w:shd w:val="clear" w:color="auto" w:fill="20B9A3" w:themeFill="accent1"/>
          </w:tcPr>
          <w:p w14:paraId="46F6519A" w14:textId="77777777" w:rsidR="00AE71A2" w:rsidRPr="003212F5" w:rsidRDefault="00AE71A2"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78D8952F" w14:textId="77777777" w:rsidTr="002F277A">
        <w:trPr>
          <w:trHeight w:val="219"/>
        </w:trPr>
        <w:tc>
          <w:tcPr>
            <w:tcW w:w="1543" w:type="dxa"/>
            <w:shd w:val="clear" w:color="auto" w:fill="auto"/>
          </w:tcPr>
          <w:p w14:paraId="4B792FA0" w14:textId="4E96FD8C" w:rsidR="00AE71A2" w:rsidRPr="003212F5" w:rsidRDefault="006040C0" w:rsidP="000025DD">
            <w:pPr>
              <w:pStyle w:val="TableTextLeftAligned"/>
              <w:keepNext/>
              <w:spacing w:after="0"/>
              <w:rPr>
                <w:sz w:val="18"/>
              </w:rPr>
            </w:pPr>
            <w:r w:rsidRPr="006040C0">
              <w:rPr>
                <w:sz w:val="18"/>
              </w:rPr>
              <w:t>B: 3 categories, unsorted</w:t>
            </w:r>
          </w:p>
        </w:tc>
        <w:tc>
          <w:tcPr>
            <w:tcW w:w="1049" w:type="dxa"/>
          </w:tcPr>
          <w:p w14:paraId="0324DCC7" w14:textId="28532DB9" w:rsidR="00AE71A2" w:rsidRPr="003212F5" w:rsidRDefault="00AE71A2" w:rsidP="000025DD">
            <w:pPr>
              <w:pStyle w:val="TableTextRightAligned"/>
              <w:keepNext/>
              <w:spacing w:after="0"/>
              <w:rPr>
                <w:sz w:val="18"/>
              </w:rPr>
            </w:pPr>
            <w:r>
              <w:rPr>
                <w:sz w:val="18"/>
              </w:rPr>
              <w:t>55.47</w:t>
            </w:r>
          </w:p>
        </w:tc>
        <w:tc>
          <w:tcPr>
            <w:tcW w:w="1049" w:type="dxa"/>
            <w:shd w:val="clear" w:color="auto" w:fill="FFFFFF" w:themeFill="background1"/>
          </w:tcPr>
          <w:p w14:paraId="383674FE" w14:textId="77777777" w:rsidR="00AE71A2" w:rsidRPr="003212F5" w:rsidRDefault="00AE71A2" w:rsidP="000025DD">
            <w:pPr>
              <w:pStyle w:val="TableTextRightAligned"/>
              <w:keepNext/>
              <w:spacing w:after="0"/>
              <w:rPr>
                <w:sz w:val="18"/>
              </w:rPr>
            </w:pPr>
          </w:p>
        </w:tc>
        <w:tc>
          <w:tcPr>
            <w:tcW w:w="1049" w:type="dxa"/>
          </w:tcPr>
          <w:p w14:paraId="1C32FEAF" w14:textId="77777777" w:rsidR="00AE71A2" w:rsidRPr="003212F5" w:rsidRDefault="00AE71A2" w:rsidP="000025DD">
            <w:pPr>
              <w:pStyle w:val="TableTextRightAligned"/>
              <w:keepNext/>
              <w:spacing w:after="0"/>
              <w:rPr>
                <w:sz w:val="18"/>
              </w:rPr>
            </w:pPr>
          </w:p>
        </w:tc>
        <w:tc>
          <w:tcPr>
            <w:tcW w:w="1049" w:type="dxa"/>
            <w:shd w:val="clear" w:color="auto" w:fill="FFFFFF" w:themeFill="background1"/>
          </w:tcPr>
          <w:p w14:paraId="0AC24D78" w14:textId="77777777" w:rsidR="00AE71A2" w:rsidRPr="003212F5" w:rsidRDefault="00AE71A2" w:rsidP="000025DD">
            <w:pPr>
              <w:pStyle w:val="TableTextRightAligned"/>
              <w:keepNext/>
              <w:spacing w:after="0"/>
              <w:rPr>
                <w:sz w:val="18"/>
              </w:rPr>
            </w:pPr>
          </w:p>
        </w:tc>
        <w:tc>
          <w:tcPr>
            <w:tcW w:w="1049" w:type="dxa"/>
          </w:tcPr>
          <w:p w14:paraId="5B229CFB" w14:textId="77777777" w:rsidR="00AE71A2" w:rsidRPr="003212F5" w:rsidRDefault="00AE71A2" w:rsidP="000025DD">
            <w:pPr>
              <w:pStyle w:val="TableTextRightAligned"/>
              <w:keepNext/>
              <w:spacing w:after="0"/>
              <w:rPr>
                <w:sz w:val="18"/>
              </w:rPr>
            </w:pPr>
          </w:p>
        </w:tc>
        <w:tc>
          <w:tcPr>
            <w:tcW w:w="1049" w:type="dxa"/>
            <w:shd w:val="clear" w:color="auto" w:fill="FFFFFF" w:themeFill="background1"/>
          </w:tcPr>
          <w:p w14:paraId="59ED1F5A" w14:textId="77777777" w:rsidR="00AE71A2" w:rsidRPr="003212F5" w:rsidRDefault="00AE71A2" w:rsidP="000025DD">
            <w:pPr>
              <w:pStyle w:val="TableTextRightAligned"/>
              <w:keepNext/>
              <w:spacing w:after="0"/>
              <w:ind w:left="-75" w:hanging="34"/>
              <w:rPr>
                <w:sz w:val="18"/>
              </w:rPr>
            </w:pPr>
          </w:p>
        </w:tc>
      </w:tr>
      <w:tr w:rsidR="00AE71A2" w:rsidRPr="003212F5" w14:paraId="6BE167FF" w14:textId="77777777" w:rsidTr="002F277A">
        <w:trPr>
          <w:trHeight w:val="219"/>
        </w:trPr>
        <w:tc>
          <w:tcPr>
            <w:tcW w:w="1543" w:type="dxa"/>
            <w:shd w:val="clear" w:color="auto" w:fill="auto"/>
          </w:tcPr>
          <w:p w14:paraId="27E035F2" w14:textId="70A977AE" w:rsidR="00AE71A2" w:rsidRPr="003212F5" w:rsidRDefault="006040C0" w:rsidP="000025DD">
            <w:pPr>
              <w:pStyle w:val="TableTextLeftAligned"/>
              <w:spacing w:after="0"/>
              <w:rPr>
                <w:sz w:val="18"/>
              </w:rPr>
            </w:pPr>
            <w:r w:rsidRPr="006040C0">
              <w:rPr>
                <w:sz w:val="18"/>
              </w:rPr>
              <w:t>C: 3 categories, sorted</w:t>
            </w:r>
          </w:p>
        </w:tc>
        <w:tc>
          <w:tcPr>
            <w:tcW w:w="1049" w:type="dxa"/>
          </w:tcPr>
          <w:p w14:paraId="5F8240C8" w14:textId="65251790" w:rsidR="00AE71A2" w:rsidRPr="003212F5" w:rsidRDefault="00AE71A2" w:rsidP="000025DD">
            <w:pPr>
              <w:pStyle w:val="TableTextRightAligned"/>
              <w:spacing w:after="0"/>
              <w:rPr>
                <w:sz w:val="18"/>
              </w:rPr>
            </w:pPr>
            <w:r>
              <w:rPr>
                <w:sz w:val="18"/>
              </w:rPr>
              <w:t>60.87</w:t>
            </w:r>
          </w:p>
        </w:tc>
        <w:tc>
          <w:tcPr>
            <w:tcW w:w="1049" w:type="dxa"/>
            <w:shd w:val="clear" w:color="auto" w:fill="FFFFFF" w:themeFill="background1"/>
          </w:tcPr>
          <w:p w14:paraId="22FC1784" w14:textId="0DAB72AC" w:rsidR="00AE71A2" w:rsidRPr="003212F5" w:rsidRDefault="00AE71A2" w:rsidP="000025DD">
            <w:pPr>
              <w:pStyle w:val="TableTextRightAligned"/>
              <w:spacing w:after="0"/>
              <w:rPr>
                <w:sz w:val="18"/>
              </w:rPr>
            </w:pPr>
            <w:r>
              <w:rPr>
                <w:sz w:val="18"/>
              </w:rPr>
              <w:t>5.40</w:t>
            </w:r>
          </w:p>
        </w:tc>
        <w:tc>
          <w:tcPr>
            <w:tcW w:w="1049" w:type="dxa"/>
          </w:tcPr>
          <w:p w14:paraId="3C1EFB25" w14:textId="00955266" w:rsidR="00AE71A2" w:rsidRPr="003212F5" w:rsidRDefault="00AE71A2" w:rsidP="000025DD">
            <w:pPr>
              <w:pStyle w:val="TableTextRightAligned"/>
              <w:spacing w:after="0"/>
              <w:rPr>
                <w:sz w:val="18"/>
              </w:rPr>
            </w:pPr>
            <w:r>
              <w:rPr>
                <w:sz w:val="18"/>
              </w:rPr>
              <w:t>2.56</w:t>
            </w:r>
          </w:p>
        </w:tc>
        <w:tc>
          <w:tcPr>
            <w:tcW w:w="1049" w:type="dxa"/>
            <w:shd w:val="clear" w:color="auto" w:fill="FFFFFF" w:themeFill="background1"/>
          </w:tcPr>
          <w:p w14:paraId="0332CDAC" w14:textId="3C297E97" w:rsidR="00AE71A2" w:rsidRPr="003212F5" w:rsidRDefault="00AE71A2" w:rsidP="00807271">
            <w:pPr>
              <w:pStyle w:val="TableTextRightAligned"/>
              <w:spacing w:after="0"/>
              <w:rPr>
                <w:sz w:val="18"/>
              </w:rPr>
            </w:pPr>
            <w:r>
              <w:rPr>
                <w:sz w:val="18"/>
              </w:rPr>
              <w:t>0.0174</w:t>
            </w:r>
          </w:p>
        </w:tc>
        <w:tc>
          <w:tcPr>
            <w:tcW w:w="1049" w:type="dxa"/>
          </w:tcPr>
          <w:p w14:paraId="4F08DF1B" w14:textId="50162C4F" w:rsidR="00AE71A2" w:rsidRPr="003212F5" w:rsidRDefault="00AE71A2" w:rsidP="000025DD">
            <w:pPr>
              <w:pStyle w:val="TableTextRightAligned"/>
              <w:spacing w:after="0"/>
              <w:rPr>
                <w:sz w:val="18"/>
              </w:rPr>
            </w:pPr>
            <w:r>
              <w:rPr>
                <w:sz w:val="18"/>
              </w:rPr>
              <w:t>0.39</w:t>
            </w:r>
          </w:p>
        </w:tc>
        <w:tc>
          <w:tcPr>
            <w:tcW w:w="1049" w:type="dxa"/>
            <w:shd w:val="clear" w:color="auto" w:fill="FFFFFF" w:themeFill="background1"/>
          </w:tcPr>
          <w:p w14:paraId="2263DB51" w14:textId="3BCE1148" w:rsidR="00AE71A2" w:rsidRPr="003212F5" w:rsidRDefault="00AE71A2" w:rsidP="000025DD">
            <w:pPr>
              <w:pStyle w:val="TableTextRightAligned"/>
              <w:spacing w:after="0"/>
              <w:ind w:left="-75" w:hanging="34"/>
              <w:rPr>
                <w:sz w:val="18"/>
              </w:rPr>
            </w:pPr>
            <w:r>
              <w:rPr>
                <w:sz w:val="18"/>
              </w:rPr>
              <w:t>10.41</w:t>
            </w:r>
          </w:p>
        </w:tc>
      </w:tr>
    </w:tbl>
    <w:p w14:paraId="415F9CF8" w14:textId="7EB31520" w:rsidR="007B5382" w:rsidRDefault="007B5382" w:rsidP="007B5382">
      <w:pPr>
        <w:spacing w:line="240" w:lineRule="auto"/>
        <w:rPr>
          <w:sz w:val="18"/>
        </w:rPr>
      </w:pPr>
      <w:r w:rsidRPr="00BE642E">
        <w:rPr>
          <w:sz w:val="18"/>
        </w:rPr>
        <w:t>Note</w:t>
      </w:r>
      <w:r>
        <w:rPr>
          <w:sz w:val="18"/>
        </w:rPr>
        <w:t>: n = 1</w:t>
      </w:r>
      <w:r w:rsidR="003D4211">
        <w:rPr>
          <w:sz w:val="18"/>
        </w:rPr>
        <w:t>,</w:t>
      </w:r>
      <w:r>
        <w:rPr>
          <w:sz w:val="18"/>
        </w:rPr>
        <w:t xml:space="preserve">484, OLS regression, </w:t>
      </w:r>
      <w:r w:rsidRPr="00BE642E">
        <w:rPr>
          <w:sz w:val="18"/>
        </w:rPr>
        <w:t xml:space="preserve">p-values are </w:t>
      </w:r>
      <w:r w:rsidRPr="00236038">
        <w:rPr>
          <w:sz w:val="18"/>
        </w:rPr>
        <w:t>from one-tailed tests.</w:t>
      </w:r>
      <w:r w:rsidR="00B41DC6">
        <w:rPr>
          <w:sz w:val="18"/>
        </w:rPr>
        <w:t xml:space="preserve"> </w:t>
      </w:r>
      <w:r w:rsidR="00B41DC6" w:rsidRPr="00B41DC6">
        <w:rPr>
          <w:sz w:val="18"/>
        </w:rPr>
        <w:t>We did not correct for multiple comparisons.</w:t>
      </w:r>
      <w:r w:rsidR="00B41DC6">
        <w:rPr>
          <w:sz w:val="18"/>
          <w:highlight w:val="yellow"/>
        </w:rPr>
        <w:t xml:space="preserve"> </w:t>
      </w:r>
    </w:p>
    <w:p w14:paraId="4DFD0B58" w14:textId="77777777" w:rsidR="007B5382" w:rsidRPr="009F3C0D" w:rsidRDefault="007B5382" w:rsidP="00BD20D5">
      <w:pPr>
        <w:pStyle w:val="HeadingTable"/>
        <w:spacing w:before="240" w:after="120"/>
        <w:ind w:left="357" w:hanging="357"/>
        <w:outlineLvl w:val="3"/>
      </w:pPr>
      <w:r>
        <w:t xml:space="preserve">Secondary outcome – choice of a top fund </w:t>
      </w:r>
    </w:p>
    <w:tbl>
      <w:tblPr>
        <w:tblStyle w:val="DefaultTable"/>
        <w:tblW w:w="7860"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48"/>
        <w:gridCol w:w="1052"/>
        <w:gridCol w:w="1052"/>
        <w:gridCol w:w="1052"/>
        <w:gridCol w:w="1052"/>
        <w:gridCol w:w="1052"/>
        <w:gridCol w:w="1052"/>
      </w:tblGrid>
      <w:tr w:rsidR="00AE71A2" w:rsidRPr="003212F5" w14:paraId="369E0211" w14:textId="77777777" w:rsidTr="002F277A">
        <w:trPr>
          <w:cnfStyle w:val="100000000000" w:firstRow="1" w:lastRow="0" w:firstColumn="0" w:lastColumn="0" w:oddVBand="0" w:evenVBand="0" w:oddHBand="0" w:evenHBand="0" w:firstRowFirstColumn="0" w:firstRowLastColumn="0" w:lastRowFirstColumn="0" w:lastRowLastColumn="0"/>
          <w:trHeight w:val="547"/>
          <w:tblHeader/>
        </w:trPr>
        <w:tc>
          <w:tcPr>
            <w:tcW w:w="1548" w:type="dxa"/>
            <w:tcBorders>
              <w:top w:val="nil"/>
              <w:bottom w:val="single" w:sz="18" w:space="0" w:color="142E3B" w:themeColor="accent6"/>
            </w:tcBorders>
            <w:shd w:val="clear" w:color="auto" w:fill="20B9A3" w:themeFill="accent1"/>
          </w:tcPr>
          <w:p w14:paraId="7FA90A9A" w14:textId="77777777" w:rsidR="00AE71A2" w:rsidRPr="003212F5" w:rsidRDefault="00AE71A2" w:rsidP="000025DD">
            <w:pPr>
              <w:pStyle w:val="TableHeading"/>
              <w:keepNext/>
              <w:spacing w:after="0"/>
              <w:rPr>
                <w:sz w:val="20"/>
              </w:rPr>
            </w:pPr>
            <w:r w:rsidRPr="003212F5">
              <w:rPr>
                <w:sz w:val="20"/>
              </w:rPr>
              <w:t>Treatment arm</w:t>
            </w:r>
          </w:p>
        </w:tc>
        <w:tc>
          <w:tcPr>
            <w:tcW w:w="1052" w:type="dxa"/>
            <w:tcBorders>
              <w:top w:val="nil"/>
              <w:bottom w:val="single" w:sz="18" w:space="0" w:color="142E3B" w:themeColor="accent6"/>
            </w:tcBorders>
            <w:shd w:val="clear" w:color="auto" w:fill="20B9A3" w:themeFill="accent1"/>
          </w:tcPr>
          <w:p w14:paraId="1308BBC5" w14:textId="77A26A7F" w:rsidR="00AE71A2" w:rsidRPr="003212F5" w:rsidRDefault="00AE71A2" w:rsidP="000025DD">
            <w:pPr>
              <w:pStyle w:val="TableHeading"/>
              <w:keepNext/>
              <w:spacing w:after="0"/>
              <w:rPr>
                <w:sz w:val="20"/>
              </w:rPr>
            </w:pPr>
            <w:r w:rsidRPr="003212F5">
              <w:rPr>
                <w:sz w:val="20"/>
              </w:rPr>
              <w:t>Mean</w:t>
            </w:r>
            <w:r w:rsidR="001B0BE1">
              <w:rPr>
                <w:sz w:val="20"/>
              </w:rPr>
              <w:t xml:space="preserve"> (%)</w:t>
            </w:r>
          </w:p>
        </w:tc>
        <w:tc>
          <w:tcPr>
            <w:tcW w:w="1052" w:type="dxa"/>
            <w:tcBorders>
              <w:top w:val="nil"/>
              <w:bottom w:val="single" w:sz="18" w:space="0" w:color="142E3B" w:themeColor="accent6"/>
            </w:tcBorders>
            <w:shd w:val="clear" w:color="auto" w:fill="20B9A3" w:themeFill="accent1"/>
          </w:tcPr>
          <w:p w14:paraId="511837ED" w14:textId="7C834DB1" w:rsidR="00AE71A2" w:rsidRPr="003212F5" w:rsidRDefault="00AE71A2" w:rsidP="000025DD">
            <w:pPr>
              <w:pStyle w:val="TableHeading"/>
              <w:keepNext/>
              <w:spacing w:after="0"/>
              <w:jc w:val="right"/>
              <w:rPr>
                <w:sz w:val="20"/>
              </w:rPr>
            </w:pPr>
            <w:r>
              <w:rPr>
                <w:sz w:val="20"/>
              </w:rPr>
              <w:t>E</w:t>
            </w:r>
            <w:r w:rsidR="001B0BE1">
              <w:rPr>
                <w:sz w:val="20"/>
              </w:rPr>
              <w:t>ffect (%)</w:t>
            </w:r>
          </w:p>
        </w:tc>
        <w:tc>
          <w:tcPr>
            <w:tcW w:w="1052" w:type="dxa"/>
            <w:tcBorders>
              <w:top w:val="nil"/>
              <w:bottom w:val="single" w:sz="18" w:space="0" w:color="142E3B" w:themeColor="accent6"/>
            </w:tcBorders>
            <w:shd w:val="clear" w:color="auto" w:fill="20B9A3" w:themeFill="accent1"/>
          </w:tcPr>
          <w:p w14:paraId="29266441" w14:textId="77777777" w:rsidR="00AE71A2" w:rsidRPr="003212F5" w:rsidRDefault="00AE71A2" w:rsidP="000025DD">
            <w:pPr>
              <w:pStyle w:val="TableHeading"/>
              <w:keepNext/>
              <w:spacing w:after="0"/>
              <w:jc w:val="right"/>
              <w:rPr>
                <w:sz w:val="20"/>
              </w:rPr>
            </w:pPr>
            <w:r w:rsidRPr="003212F5">
              <w:rPr>
                <w:sz w:val="20"/>
              </w:rPr>
              <w:t>Std. error</w:t>
            </w:r>
          </w:p>
        </w:tc>
        <w:tc>
          <w:tcPr>
            <w:tcW w:w="1052" w:type="dxa"/>
            <w:tcBorders>
              <w:top w:val="nil"/>
              <w:bottom w:val="single" w:sz="18" w:space="0" w:color="142E3B" w:themeColor="accent6"/>
            </w:tcBorders>
            <w:shd w:val="clear" w:color="auto" w:fill="20B9A3" w:themeFill="accent1"/>
          </w:tcPr>
          <w:p w14:paraId="0B3206CE" w14:textId="77777777" w:rsidR="00AE71A2" w:rsidRPr="003212F5" w:rsidRDefault="00AE71A2" w:rsidP="000025DD">
            <w:pPr>
              <w:pStyle w:val="TableHeading"/>
              <w:keepNext/>
              <w:spacing w:after="0"/>
              <w:jc w:val="right"/>
              <w:rPr>
                <w:sz w:val="20"/>
              </w:rPr>
            </w:pPr>
            <w:r w:rsidRPr="003212F5">
              <w:rPr>
                <w:sz w:val="20"/>
              </w:rPr>
              <w:t>p-value</w:t>
            </w:r>
          </w:p>
        </w:tc>
        <w:tc>
          <w:tcPr>
            <w:tcW w:w="1052" w:type="dxa"/>
            <w:tcBorders>
              <w:top w:val="nil"/>
              <w:bottom w:val="single" w:sz="18" w:space="0" w:color="142E3B" w:themeColor="accent6"/>
            </w:tcBorders>
            <w:shd w:val="clear" w:color="auto" w:fill="20B9A3" w:themeFill="accent1"/>
          </w:tcPr>
          <w:p w14:paraId="193BC6E8" w14:textId="77777777" w:rsidR="00AE71A2" w:rsidRPr="003212F5" w:rsidRDefault="00AE71A2"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52" w:type="dxa"/>
            <w:tcBorders>
              <w:top w:val="nil"/>
              <w:bottom w:val="single" w:sz="18" w:space="0" w:color="142E3B" w:themeColor="accent6"/>
            </w:tcBorders>
            <w:shd w:val="clear" w:color="auto" w:fill="20B9A3" w:themeFill="accent1"/>
          </w:tcPr>
          <w:p w14:paraId="254A835B" w14:textId="77777777" w:rsidR="00AE71A2" w:rsidRPr="003212F5" w:rsidRDefault="00AE71A2"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5C2882D5" w14:textId="77777777" w:rsidTr="002F277A">
        <w:trPr>
          <w:trHeight w:val="236"/>
        </w:trPr>
        <w:tc>
          <w:tcPr>
            <w:tcW w:w="1548" w:type="dxa"/>
            <w:shd w:val="clear" w:color="auto" w:fill="auto"/>
          </w:tcPr>
          <w:p w14:paraId="66C20F01" w14:textId="1B7697E4" w:rsidR="00AE71A2" w:rsidRPr="003212F5" w:rsidRDefault="00075A7A" w:rsidP="000025DD">
            <w:pPr>
              <w:pStyle w:val="TableTextLeftAligned"/>
              <w:keepNext/>
              <w:spacing w:after="0"/>
              <w:rPr>
                <w:sz w:val="18"/>
              </w:rPr>
            </w:pPr>
            <w:r w:rsidRPr="00075A7A">
              <w:rPr>
                <w:sz w:val="18"/>
              </w:rPr>
              <w:t>A: 2 categories, unsorted</w:t>
            </w:r>
          </w:p>
        </w:tc>
        <w:tc>
          <w:tcPr>
            <w:tcW w:w="1052" w:type="dxa"/>
          </w:tcPr>
          <w:p w14:paraId="3DC6887B" w14:textId="5341A39E" w:rsidR="00AE71A2" w:rsidRPr="003212F5" w:rsidRDefault="00AE71A2" w:rsidP="000025DD">
            <w:pPr>
              <w:pStyle w:val="TableTextRightAligned"/>
              <w:keepNext/>
              <w:spacing w:after="0"/>
              <w:rPr>
                <w:sz w:val="18"/>
              </w:rPr>
            </w:pPr>
            <w:r>
              <w:rPr>
                <w:sz w:val="18"/>
              </w:rPr>
              <w:t>33.48</w:t>
            </w:r>
          </w:p>
        </w:tc>
        <w:tc>
          <w:tcPr>
            <w:tcW w:w="1052" w:type="dxa"/>
            <w:shd w:val="clear" w:color="auto" w:fill="FFFFFF" w:themeFill="background1"/>
          </w:tcPr>
          <w:p w14:paraId="046EBED6" w14:textId="77777777" w:rsidR="00AE71A2" w:rsidRPr="003212F5" w:rsidRDefault="00AE71A2" w:rsidP="000025DD">
            <w:pPr>
              <w:pStyle w:val="TableTextRightAligned"/>
              <w:keepNext/>
              <w:spacing w:after="0"/>
              <w:rPr>
                <w:sz w:val="18"/>
              </w:rPr>
            </w:pPr>
          </w:p>
        </w:tc>
        <w:tc>
          <w:tcPr>
            <w:tcW w:w="1052" w:type="dxa"/>
          </w:tcPr>
          <w:p w14:paraId="279BDDA7" w14:textId="77777777" w:rsidR="00AE71A2" w:rsidRPr="003212F5" w:rsidRDefault="00AE71A2" w:rsidP="000025DD">
            <w:pPr>
              <w:pStyle w:val="TableTextRightAligned"/>
              <w:keepNext/>
              <w:spacing w:after="0"/>
              <w:rPr>
                <w:sz w:val="18"/>
              </w:rPr>
            </w:pPr>
          </w:p>
        </w:tc>
        <w:tc>
          <w:tcPr>
            <w:tcW w:w="1052" w:type="dxa"/>
            <w:shd w:val="clear" w:color="auto" w:fill="FFFFFF" w:themeFill="background1"/>
          </w:tcPr>
          <w:p w14:paraId="22A134F3" w14:textId="77777777" w:rsidR="00AE71A2" w:rsidRPr="003212F5" w:rsidRDefault="00AE71A2" w:rsidP="000025DD">
            <w:pPr>
              <w:pStyle w:val="TableTextRightAligned"/>
              <w:keepNext/>
              <w:spacing w:after="0"/>
              <w:rPr>
                <w:sz w:val="18"/>
              </w:rPr>
            </w:pPr>
          </w:p>
        </w:tc>
        <w:tc>
          <w:tcPr>
            <w:tcW w:w="1052" w:type="dxa"/>
          </w:tcPr>
          <w:p w14:paraId="1D790594" w14:textId="77777777" w:rsidR="00AE71A2" w:rsidRPr="003212F5" w:rsidRDefault="00AE71A2" w:rsidP="000025DD">
            <w:pPr>
              <w:pStyle w:val="TableTextRightAligned"/>
              <w:keepNext/>
              <w:spacing w:after="0"/>
              <w:rPr>
                <w:sz w:val="18"/>
              </w:rPr>
            </w:pPr>
          </w:p>
        </w:tc>
        <w:tc>
          <w:tcPr>
            <w:tcW w:w="1052" w:type="dxa"/>
            <w:shd w:val="clear" w:color="auto" w:fill="FFFFFF" w:themeFill="background1"/>
          </w:tcPr>
          <w:p w14:paraId="46D7B430" w14:textId="77777777" w:rsidR="00AE71A2" w:rsidRPr="003212F5" w:rsidRDefault="00AE71A2" w:rsidP="000025DD">
            <w:pPr>
              <w:pStyle w:val="TableTextRightAligned"/>
              <w:keepNext/>
              <w:spacing w:after="0"/>
              <w:ind w:left="-75" w:hanging="34"/>
              <w:rPr>
                <w:sz w:val="18"/>
              </w:rPr>
            </w:pPr>
          </w:p>
        </w:tc>
      </w:tr>
      <w:tr w:rsidR="00AE71A2" w:rsidRPr="003212F5" w14:paraId="4B534A6D" w14:textId="77777777" w:rsidTr="002F277A">
        <w:trPr>
          <w:trHeight w:val="236"/>
        </w:trPr>
        <w:tc>
          <w:tcPr>
            <w:tcW w:w="1548" w:type="dxa"/>
            <w:shd w:val="clear" w:color="auto" w:fill="auto"/>
          </w:tcPr>
          <w:p w14:paraId="193006B7" w14:textId="11FF9CA2" w:rsidR="00AE71A2" w:rsidRPr="003212F5" w:rsidRDefault="006040C0" w:rsidP="000025DD">
            <w:pPr>
              <w:pStyle w:val="TableTextLeftAligned"/>
              <w:spacing w:after="0"/>
              <w:rPr>
                <w:sz w:val="18"/>
              </w:rPr>
            </w:pPr>
            <w:r w:rsidRPr="006040C0">
              <w:rPr>
                <w:sz w:val="18"/>
              </w:rPr>
              <w:t>C: 3 categories, sorted</w:t>
            </w:r>
          </w:p>
        </w:tc>
        <w:tc>
          <w:tcPr>
            <w:tcW w:w="1052" w:type="dxa"/>
          </w:tcPr>
          <w:p w14:paraId="627E4C15" w14:textId="059983F9" w:rsidR="00AE71A2" w:rsidRPr="003212F5" w:rsidRDefault="00AE71A2" w:rsidP="00064BB5">
            <w:pPr>
              <w:pStyle w:val="TableTextRightAligned"/>
              <w:spacing w:after="0"/>
              <w:rPr>
                <w:sz w:val="18"/>
              </w:rPr>
            </w:pPr>
            <w:r>
              <w:rPr>
                <w:sz w:val="18"/>
              </w:rPr>
              <w:t>60.86</w:t>
            </w:r>
          </w:p>
        </w:tc>
        <w:tc>
          <w:tcPr>
            <w:tcW w:w="1052" w:type="dxa"/>
            <w:shd w:val="clear" w:color="auto" w:fill="FFFFFF" w:themeFill="background1"/>
          </w:tcPr>
          <w:p w14:paraId="2239A4E9" w14:textId="56FF48B9" w:rsidR="00AE71A2" w:rsidRPr="003212F5" w:rsidRDefault="00AE71A2" w:rsidP="000025DD">
            <w:pPr>
              <w:pStyle w:val="TableTextRightAligned"/>
              <w:spacing w:after="0"/>
              <w:rPr>
                <w:sz w:val="18"/>
              </w:rPr>
            </w:pPr>
            <w:r>
              <w:rPr>
                <w:sz w:val="18"/>
              </w:rPr>
              <w:t>27.38</w:t>
            </w:r>
          </w:p>
        </w:tc>
        <w:tc>
          <w:tcPr>
            <w:tcW w:w="1052" w:type="dxa"/>
          </w:tcPr>
          <w:p w14:paraId="18784BF9" w14:textId="49427FB0" w:rsidR="00AE71A2" w:rsidRPr="003212F5" w:rsidRDefault="00AE71A2" w:rsidP="000025DD">
            <w:pPr>
              <w:pStyle w:val="TableTextRightAligned"/>
              <w:spacing w:after="0"/>
              <w:rPr>
                <w:sz w:val="18"/>
              </w:rPr>
            </w:pPr>
            <w:r>
              <w:rPr>
                <w:sz w:val="18"/>
              </w:rPr>
              <w:t>2.49</w:t>
            </w:r>
          </w:p>
        </w:tc>
        <w:tc>
          <w:tcPr>
            <w:tcW w:w="1052" w:type="dxa"/>
            <w:shd w:val="clear" w:color="auto" w:fill="FFFFFF" w:themeFill="background1"/>
          </w:tcPr>
          <w:p w14:paraId="663A7E7E" w14:textId="48E5170A" w:rsidR="00AE71A2" w:rsidRPr="003212F5" w:rsidRDefault="00AE71A2" w:rsidP="000025DD">
            <w:pPr>
              <w:pStyle w:val="TableTextRightAligned"/>
              <w:spacing w:after="0"/>
              <w:rPr>
                <w:sz w:val="18"/>
              </w:rPr>
            </w:pPr>
            <w:r>
              <w:rPr>
                <w:sz w:val="18"/>
              </w:rPr>
              <w:t>0.0000</w:t>
            </w:r>
          </w:p>
        </w:tc>
        <w:tc>
          <w:tcPr>
            <w:tcW w:w="1052" w:type="dxa"/>
          </w:tcPr>
          <w:p w14:paraId="6D138428" w14:textId="2F4D07D4" w:rsidR="00AE71A2" w:rsidRPr="003212F5" w:rsidRDefault="00AE71A2" w:rsidP="000025DD">
            <w:pPr>
              <w:pStyle w:val="TableTextRightAligned"/>
              <w:spacing w:after="0"/>
              <w:rPr>
                <w:sz w:val="18"/>
              </w:rPr>
            </w:pPr>
            <w:r>
              <w:rPr>
                <w:sz w:val="18"/>
              </w:rPr>
              <w:t>22.50</w:t>
            </w:r>
          </w:p>
        </w:tc>
        <w:tc>
          <w:tcPr>
            <w:tcW w:w="1052" w:type="dxa"/>
            <w:shd w:val="clear" w:color="auto" w:fill="FFFFFF" w:themeFill="background1"/>
          </w:tcPr>
          <w:p w14:paraId="20C1F150" w14:textId="1759F8C9" w:rsidR="00AE71A2" w:rsidRPr="003212F5" w:rsidRDefault="00AE71A2" w:rsidP="000025DD">
            <w:pPr>
              <w:pStyle w:val="TableTextRightAligned"/>
              <w:spacing w:after="0"/>
              <w:ind w:left="-75" w:hanging="34"/>
              <w:rPr>
                <w:sz w:val="18"/>
              </w:rPr>
            </w:pPr>
            <w:r>
              <w:rPr>
                <w:sz w:val="18"/>
              </w:rPr>
              <w:t>32.26</w:t>
            </w:r>
          </w:p>
        </w:tc>
      </w:tr>
    </w:tbl>
    <w:p w14:paraId="2EBA0769" w14:textId="6AAA48F4" w:rsidR="00960CA2" w:rsidRDefault="007B5382" w:rsidP="00E404B9">
      <w:pPr>
        <w:spacing w:line="240" w:lineRule="auto"/>
        <w:rPr>
          <w:sz w:val="18"/>
        </w:rPr>
      </w:pPr>
      <w:r w:rsidRPr="00BE642E">
        <w:rPr>
          <w:sz w:val="18"/>
        </w:rPr>
        <w:t>Note</w:t>
      </w:r>
      <w:r>
        <w:rPr>
          <w:sz w:val="18"/>
        </w:rPr>
        <w:t>: n = 1</w:t>
      </w:r>
      <w:r w:rsidR="003D4211">
        <w:rPr>
          <w:sz w:val="18"/>
        </w:rPr>
        <w:t>,</w:t>
      </w:r>
      <w:r>
        <w:rPr>
          <w:sz w:val="18"/>
        </w:rPr>
        <w:t xml:space="preserve">490, OLS regression, </w:t>
      </w:r>
      <w:r w:rsidRPr="00BE642E">
        <w:rPr>
          <w:sz w:val="18"/>
        </w:rPr>
        <w:t xml:space="preserve">p-values are </w:t>
      </w:r>
      <w:r w:rsidRPr="00236038">
        <w:rPr>
          <w:sz w:val="18"/>
        </w:rPr>
        <w:t>from one-tailed tests.</w:t>
      </w:r>
      <w:r w:rsidR="00B41DC6">
        <w:rPr>
          <w:sz w:val="18"/>
        </w:rPr>
        <w:t xml:space="preserve"> </w:t>
      </w:r>
      <w:r w:rsidR="00B41DC6" w:rsidRPr="00B41DC6">
        <w:rPr>
          <w:sz w:val="18"/>
        </w:rPr>
        <w:t>We did not correct for multiple comparisons.</w:t>
      </w:r>
      <w:r w:rsidR="00B41DC6">
        <w:rPr>
          <w:sz w:val="18"/>
          <w:highlight w:val="yellow"/>
        </w:rPr>
        <w:t xml:space="preserve"> </w:t>
      </w:r>
    </w:p>
    <w:p w14:paraId="022B772A" w14:textId="7EAC5409" w:rsidR="00643F9E" w:rsidRPr="009F3C0D" w:rsidRDefault="00643F9E" w:rsidP="00BD20D5">
      <w:pPr>
        <w:pStyle w:val="HeadingTable"/>
        <w:spacing w:before="240" w:after="120"/>
        <w:ind w:left="357" w:hanging="357"/>
        <w:outlineLvl w:val="3"/>
      </w:pPr>
      <w:r>
        <w:t xml:space="preserve">Secondary outcome – choice of </w:t>
      </w:r>
      <w:r w:rsidR="00A3125B">
        <w:t>any fund that is not ‘poor’ performing</w:t>
      </w:r>
    </w:p>
    <w:tbl>
      <w:tblPr>
        <w:tblStyle w:val="DefaultTable"/>
        <w:tblW w:w="7837"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43"/>
        <w:gridCol w:w="1049"/>
        <w:gridCol w:w="1049"/>
        <w:gridCol w:w="1049"/>
        <w:gridCol w:w="1049"/>
        <w:gridCol w:w="1049"/>
        <w:gridCol w:w="1049"/>
      </w:tblGrid>
      <w:tr w:rsidR="00AE71A2" w:rsidRPr="003212F5" w14:paraId="5001B219" w14:textId="77777777" w:rsidTr="002F277A">
        <w:trPr>
          <w:cnfStyle w:val="100000000000" w:firstRow="1" w:lastRow="0" w:firstColumn="0" w:lastColumn="0" w:oddVBand="0" w:evenVBand="0" w:oddHBand="0" w:evenHBand="0" w:firstRowFirstColumn="0" w:firstRowLastColumn="0" w:lastRowFirstColumn="0" w:lastRowLastColumn="0"/>
          <w:trHeight w:val="516"/>
          <w:tblHeader/>
        </w:trPr>
        <w:tc>
          <w:tcPr>
            <w:tcW w:w="1543" w:type="dxa"/>
            <w:tcBorders>
              <w:top w:val="nil"/>
              <w:bottom w:val="single" w:sz="18" w:space="0" w:color="142E3B" w:themeColor="accent6"/>
            </w:tcBorders>
            <w:shd w:val="clear" w:color="auto" w:fill="20B9A3" w:themeFill="accent1"/>
          </w:tcPr>
          <w:p w14:paraId="58872D4B" w14:textId="19866E45" w:rsidR="00AE71A2" w:rsidRPr="003212F5" w:rsidRDefault="00AE71A2" w:rsidP="00643F9E">
            <w:pPr>
              <w:pStyle w:val="TableHeading"/>
              <w:keepNext/>
              <w:spacing w:after="0"/>
              <w:rPr>
                <w:sz w:val="20"/>
              </w:rPr>
            </w:pPr>
            <w:r w:rsidRPr="003212F5">
              <w:rPr>
                <w:sz w:val="20"/>
              </w:rPr>
              <w:t>Treatment arm</w:t>
            </w:r>
          </w:p>
        </w:tc>
        <w:tc>
          <w:tcPr>
            <w:tcW w:w="1049" w:type="dxa"/>
            <w:tcBorders>
              <w:top w:val="nil"/>
              <w:bottom w:val="single" w:sz="18" w:space="0" w:color="142E3B" w:themeColor="accent6"/>
            </w:tcBorders>
            <w:shd w:val="clear" w:color="auto" w:fill="20B9A3" w:themeFill="accent1"/>
          </w:tcPr>
          <w:p w14:paraId="54E18870" w14:textId="22E2D44A" w:rsidR="00AE71A2" w:rsidRPr="003212F5" w:rsidRDefault="00AE71A2" w:rsidP="00643F9E">
            <w:pPr>
              <w:pStyle w:val="TableHeading"/>
              <w:keepNext/>
              <w:spacing w:after="0"/>
              <w:rPr>
                <w:sz w:val="20"/>
              </w:rPr>
            </w:pPr>
            <w:r w:rsidRPr="003212F5">
              <w:rPr>
                <w:sz w:val="20"/>
              </w:rPr>
              <w:t>Mean</w:t>
            </w:r>
            <w:r w:rsidR="001B0BE1">
              <w:rPr>
                <w:sz w:val="20"/>
              </w:rPr>
              <w:t xml:space="preserve"> (%)</w:t>
            </w:r>
          </w:p>
        </w:tc>
        <w:tc>
          <w:tcPr>
            <w:tcW w:w="1049" w:type="dxa"/>
            <w:tcBorders>
              <w:top w:val="nil"/>
              <w:bottom w:val="single" w:sz="18" w:space="0" w:color="142E3B" w:themeColor="accent6"/>
            </w:tcBorders>
            <w:shd w:val="clear" w:color="auto" w:fill="20B9A3" w:themeFill="accent1"/>
          </w:tcPr>
          <w:p w14:paraId="6B3C1AA2" w14:textId="12FB509C" w:rsidR="00AE71A2" w:rsidRPr="003212F5" w:rsidRDefault="00AE71A2" w:rsidP="00643F9E">
            <w:pPr>
              <w:pStyle w:val="TableHeading"/>
              <w:keepNext/>
              <w:spacing w:after="0"/>
              <w:jc w:val="right"/>
              <w:rPr>
                <w:sz w:val="20"/>
              </w:rPr>
            </w:pPr>
            <w:r>
              <w:rPr>
                <w:sz w:val="20"/>
              </w:rPr>
              <w:t>E</w:t>
            </w:r>
            <w:r w:rsidR="001B0BE1">
              <w:rPr>
                <w:sz w:val="20"/>
              </w:rPr>
              <w:t>ffect (%)</w:t>
            </w:r>
          </w:p>
        </w:tc>
        <w:tc>
          <w:tcPr>
            <w:tcW w:w="1049" w:type="dxa"/>
            <w:tcBorders>
              <w:top w:val="nil"/>
              <w:bottom w:val="single" w:sz="18" w:space="0" w:color="142E3B" w:themeColor="accent6"/>
            </w:tcBorders>
            <w:shd w:val="clear" w:color="auto" w:fill="20B9A3" w:themeFill="accent1"/>
          </w:tcPr>
          <w:p w14:paraId="7BD6B2E8" w14:textId="77777777" w:rsidR="00AE71A2" w:rsidRPr="003212F5" w:rsidRDefault="00AE71A2" w:rsidP="00643F9E">
            <w:pPr>
              <w:pStyle w:val="TableHeading"/>
              <w:keepNext/>
              <w:spacing w:after="0"/>
              <w:jc w:val="right"/>
              <w:rPr>
                <w:sz w:val="20"/>
              </w:rPr>
            </w:pPr>
            <w:r w:rsidRPr="003212F5">
              <w:rPr>
                <w:sz w:val="20"/>
              </w:rPr>
              <w:t>Std. error</w:t>
            </w:r>
          </w:p>
        </w:tc>
        <w:tc>
          <w:tcPr>
            <w:tcW w:w="1049" w:type="dxa"/>
            <w:tcBorders>
              <w:top w:val="nil"/>
              <w:bottom w:val="single" w:sz="18" w:space="0" w:color="142E3B" w:themeColor="accent6"/>
            </w:tcBorders>
            <w:shd w:val="clear" w:color="auto" w:fill="20B9A3" w:themeFill="accent1"/>
          </w:tcPr>
          <w:p w14:paraId="1CF223C8" w14:textId="77777777" w:rsidR="00AE71A2" w:rsidRPr="003212F5" w:rsidRDefault="00AE71A2" w:rsidP="00643F9E">
            <w:pPr>
              <w:pStyle w:val="TableHeading"/>
              <w:keepNext/>
              <w:spacing w:after="0"/>
              <w:jc w:val="right"/>
              <w:rPr>
                <w:sz w:val="20"/>
              </w:rPr>
            </w:pPr>
            <w:r w:rsidRPr="003212F5">
              <w:rPr>
                <w:sz w:val="20"/>
              </w:rPr>
              <w:t>p-value</w:t>
            </w:r>
          </w:p>
        </w:tc>
        <w:tc>
          <w:tcPr>
            <w:tcW w:w="1049" w:type="dxa"/>
            <w:tcBorders>
              <w:top w:val="nil"/>
              <w:bottom w:val="single" w:sz="18" w:space="0" w:color="142E3B" w:themeColor="accent6"/>
            </w:tcBorders>
            <w:shd w:val="clear" w:color="auto" w:fill="20B9A3" w:themeFill="accent1"/>
          </w:tcPr>
          <w:p w14:paraId="10536216" w14:textId="77777777" w:rsidR="00AE71A2" w:rsidRPr="003212F5" w:rsidRDefault="00AE71A2" w:rsidP="00643F9E">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49" w:type="dxa"/>
            <w:tcBorders>
              <w:top w:val="nil"/>
              <w:bottom w:val="single" w:sz="18" w:space="0" w:color="142E3B" w:themeColor="accent6"/>
            </w:tcBorders>
            <w:shd w:val="clear" w:color="auto" w:fill="20B9A3" w:themeFill="accent1"/>
          </w:tcPr>
          <w:p w14:paraId="69E6A2D5" w14:textId="77777777" w:rsidR="00AE71A2" w:rsidRPr="003212F5" w:rsidRDefault="00AE71A2" w:rsidP="00643F9E">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364C5AFA" w14:textId="77777777" w:rsidTr="002F277A">
        <w:trPr>
          <w:trHeight w:val="223"/>
        </w:trPr>
        <w:tc>
          <w:tcPr>
            <w:tcW w:w="1543" w:type="dxa"/>
            <w:shd w:val="clear" w:color="auto" w:fill="auto"/>
          </w:tcPr>
          <w:p w14:paraId="6C1A586C" w14:textId="44C802E0" w:rsidR="00AE71A2" w:rsidRPr="003212F5" w:rsidRDefault="00075A7A" w:rsidP="00643F9E">
            <w:pPr>
              <w:pStyle w:val="TableTextLeftAligned"/>
              <w:keepNext/>
              <w:spacing w:after="0"/>
              <w:rPr>
                <w:sz w:val="18"/>
              </w:rPr>
            </w:pPr>
            <w:r w:rsidRPr="00075A7A">
              <w:rPr>
                <w:sz w:val="18"/>
              </w:rPr>
              <w:t>A: 2 categories, unsorted</w:t>
            </w:r>
          </w:p>
        </w:tc>
        <w:tc>
          <w:tcPr>
            <w:tcW w:w="1049" w:type="dxa"/>
          </w:tcPr>
          <w:p w14:paraId="49BF244A" w14:textId="133F2AE9" w:rsidR="00AE71A2" w:rsidRPr="003212F5" w:rsidRDefault="00AE71A2" w:rsidP="00643F9E">
            <w:pPr>
              <w:pStyle w:val="TableTextRightAligned"/>
              <w:keepNext/>
              <w:spacing w:after="0"/>
              <w:rPr>
                <w:sz w:val="18"/>
              </w:rPr>
            </w:pPr>
            <w:r>
              <w:rPr>
                <w:sz w:val="18"/>
              </w:rPr>
              <w:t>79.92</w:t>
            </w:r>
          </w:p>
        </w:tc>
        <w:tc>
          <w:tcPr>
            <w:tcW w:w="1049" w:type="dxa"/>
            <w:shd w:val="clear" w:color="auto" w:fill="FFFFFF" w:themeFill="background1"/>
          </w:tcPr>
          <w:p w14:paraId="44E00ADE" w14:textId="77777777" w:rsidR="00AE71A2" w:rsidRPr="003212F5" w:rsidRDefault="00AE71A2" w:rsidP="00643F9E">
            <w:pPr>
              <w:pStyle w:val="TableTextRightAligned"/>
              <w:keepNext/>
              <w:spacing w:after="0"/>
              <w:rPr>
                <w:sz w:val="18"/>
              </w:rPr>
            </w:pPr>
          </w:p>
        </w:tc>
        <w:tc>
          <w:tcPr>
            <w:tcW w:w="1049" w:type="dxa"/>
          </w:tcPr>
          <w:p w14:paraId="620DB446" w14:textId="77777777" w:rsidR="00AE71A2" w:rsidRPr="003212F5" w:rsidRDefault="00AE71A2" w:rsidP="00643F9E">
            <w:pPr>
              <w:pStyle w:val="TableTextRightAligned"/>
              <w:keepNext/>
              <w:spacing w:after="0"/>
              <w:rPr>
                <w:sz w:val="18"/>
              </w:rPr>
            </w:pPr>
          </w:p>
        </w:tc>
        <w:tc>
          <w:tcPr>
            <w:tcW w:w="1049" w:type="dxa"/>
            <w:shd w:val="clear" w:color="auto" w:fill="FFFFFF" w:themeFill="background1"/>
          </w:tcPr>
          <w:p w14:paraId="512A8BD7" w14:textId="77777777" w:rsidR="00AE71A2" w:rsidRPr="003212F5" w:rsidRDefault="00AE71A2" w:rsidP="00643F9E">
            <w:pPr>
              <w:pStyle w:val="TableTextRightAligned"/>
              <w:keepNext/>
              <w:spacing w:after="0"/>
              <w:rPr>
                <w:sz w:val="18"/>
              </w:rPr>
            </w:pPr>
          </w:p>
        </w:tc>
        <w:tc>
          <w:tcPr>
            <w:tcW w:w="1049" w:type="dxa"/>
          </w:tcPr>
          <w:p w14:paraId="684394FD" w14:textId="77777777" w:rsidR="00AE71A2" w:rsidRPr="003212F5" w:rsidRDefault="00AE71A2" w:rsidP="00643F9E">
            <w:pPr>
              <w:pStyle w:val="TableTextRightAligned"/>
              <w:keepNext/>
              <w:spacing w:after="0"/>
              <w:rPr>
                <w:sz w:val="18"/>
              </w:rPr>
            </w:pPr>
          </w:p>
        </w:tc>
        <w:tc>
          <w:tcPr>
            <w:tcW w:w="1049" w:type="dxa"/>
            <w:shd w:val="clear" w:color="auto" w:fill="FFFFFF" w:themeFill="background1"/>
          </w:tcPr>
          <w:p w14:paraId="03B79E9B" w14:textId="77777777" w:rsidR="00AE71A2" w:rsidRPr="003212F5" w:rsidRDefault="00AE71A2" w:rsidP="00643F9E">
            <w:pPr>
              <w:pStyle w:val="TableTextRightAligned"/>
              <w:keepNext/>
              <w:spacing w:after="0"/>
              <w:ind w:left="-75" w:hanging="34"/>
              <w:rPr>
                <w:sz w:val="18"/>
              </w:rPr>
            </w:pPr>
          </w:p>
        </w:tc>
      </w:tr>
      <w:tr w:rsidR="00AE71A2" w:rsidRPr="003212F5" w14:paraId="26F24376" w14:textId="77777777" w:rsidTr="002F277A">
        <w:trPr>
          <w:trHeight w:val="223"/>
        </w:trPr>
        <w:tc>
          <w:tcPr>
            <w:tcW w:w="1543" w:type="dxa"/>
            <w:shd w:val="clear" w:color="auto" w:fill="auto"/>
          </w:tcPr>
          <w:p w14:paraId="2A4B0B47" w14:textId="75109580" w:rsidR="00AE71A2" w:rsidRPr="003212F5" w:rsidRDefault="006040C0" w:rsidP="00643F9E">
            <w:pPr>
              <w:pStyle w:val="TableTextLeftAligned"/>
              <w:spacing w:after="0"/>
              <w:rPr>
                <w:sz w:val="18"/>
              </w:rPr>
            </w:pPr>
            <w:r w:rsidRPr="006040C0">
              <w:rPr>
                <w:sz w:val="18"/>
              </w:rPr>
              <w:t>B: 3 categories, unsorted</w:t>
            </w:r>
          </w:p>
        </w:tc>
        <w:tc>
          <w:tcPr>
            <w:tcW w:w="1049" w:type="dxa"/>
          </w:tcPr>
          <w:p w14:paraId="1BFC7032" w14:textId="69BAB1E5" w:rsidR="00AE71A2" w:rsidRPr="003212F5" w:rsidRDefault="00AE71A2" w:rsidP="00643F9E">
            <w:pPr>
              <w:pStyle w:val="TableTextRightAligned"/>
              <w:spacing w:after="0"/>
              <w:rPr>
                <w:sz w:val="18"/>
              </w:rPr>
            </w:pPr>
            <w:r>
              <w:rPr>
                <w:sz w:val="18"/>
              </w:rPr>
              <w:t>82.44</w:t>
            </w:r>
          </w:p>
        </w:tc>
        <w:tc>
          <w:tcPr>
            <w:tcW w:w="1049" w:type="dxa"/>
            <w:shd w:val="clear" w:color="auto" w:fill="FFFFFF" w:themeFill="background1"/>
          </w:tcPr>
          <w:p w14:paraId="3E68F9FE" w14:textId="731C19ED" w:rsidR="00AE71A2" w:rsidRPr="003212F5" w:rsidRDefault="00AE71A2" w:rsidP="00643F9E">
            <w:pPr>
              <w:pStyle w:val="TableTextRightAligned"/>
              <w:spacing w:after="0"/>
              <w:rPr>
                <w:sz w:val="18"/>
              </w:rPr>
            </w:pPr>
            <w:r>
              <w:rPr>
                <w:sz w:val="18"/>
              </w:rPr>
              <w:t>2.52</w:t>
            </w:r>
          </w:p>
        </w:tc>
        <w:tc>
          <w:tcPr>
            <w:tcW w:w="1049" w:type="dxa"/>
          </w:tcPr>
          <w:p w14:paraId="5C4B5838" w14:textId="2B518581" w:rsidR="00AE71A2" w:rsidRPr="003212F5" w:rsidRDefault="00AE71A2" w:rsidP="00643F9E">
            <w:pPr>
              <w:pStyle w:val="TableTextRightAligned"/>
              <w:spacing w:after="0"/>
              <w:rPr>
                <w:sz w:val="18"/>
              </w:rPr>
            </w:pPr>
            <w:r>
              <w:rPr>
                <w:sz w:val="18"/>
              </w:rPr>
              <w:t>2.02</w:t>
            </w:r>
          </w:p>
        </w:tc>
        <w:tc>
          <w:tcPr>
            <w:tcW w:w="1049" w:type="dxa"/>
            <w:shd w:val="clear" w:color="auto" w:fill="FFFFFF" w:themeFill="background1"/>
          </w:tcPr>
          <w:p w14:paraId="588F95B4" w14:textId="63841B5E" w:rsidR="00AE71A2" w:rsidRPr="003212F5" w:rsidRDefault="00AE71A2" w:rsidP="00643F9E">
            <w:pPr>
              <w:pStyle w:val="TableTextRightAligned"/>
              <w:spacing w:after="0"/>
              <w:rPr>
                <w:sz w:val="18"/>
              </w:rPr>
            </w:pPr>
            <w:r>
              <w:rPr>
                <w:sz w:val="18"/>
              </w:rPr>
              <w:t>0.1064</w:t>
            </w:r>
          </w:p>
        </w:tc>
        <w:tc>
          <w:tcPr>
            <w:tcW w:w="1049" w:type="dxa"/>
          </w:tcPr>
          <w:p w14:paraId="176EEC84" w14:textId="07B6E7BE" w:rsidR="00AE71A2" w:rsidRPr="003212F5" w:rsidRDefault="00AE71A2" w:rsidP="00DF2A47">
            <w:pPr>
              <w:pStyle w:val="TableTextRightAligned"/>
              <w:spacing w:after="0"/>
              <w:rPr>
                <w:sz w:val="18"/>
              </w:rPr>
            </w:pPr>
            <w:r>
              <w:rPr>
                <w:sz w:val="18"/>
              </w:rPr>
              <w:t>-1.44</w:t>
            </w:r>
          </w:p>
        </w:tc>
        <w:tc>
          <w:tcPr>
            <w:tcW w:w="1049" w:type="dxa"/>
            <w:shd w:val="clear" w:color="auto" w:fill="FFFFFF" w:themeFill="background1"/>
          </w:tcPr>
          <w:p w14:paraId="15743A6E" w14:textId="5B19E000" w:rsidR="00AE71A2" w:rsidRPr="003212F5" w:rsidRDefault="00AE71A2" w:rsidP="00DF2A47">
            <w:pPr>
              <w:pStyle w:val="TableTextRightAligned"/>
              <w:spacing w:after="0"/>
              <w:ind w:left="-75" w:hanging="34"/>
              <w:rPr>
                <w:sz w:val="18"/>
              </w:rPr>
            </w:pPr>
            <w:r>
              <w:rPr>
                <w:sz w:val="18"/>
              </w:rPr>
              <w:t>6.57</w:t>
            </w:r>
          </w:p>
        </w:tc>
      </w:tr>
    </w:tbl>
    <w:p w14:paraId="3712D3DE" w14:textId="77777777" w:rsidR="00643F9E" w:rsidRDefault="00643F9E" w:rsidP="00643F9E">
      <w:pPr>
        <w:spacing w:line="240" w:lineRule="auto"/>
        <w:rPr>
          <w:sz w:val="18"/>
        </w:rPr>
      </w:pPr>
      <w:r w:rsidRPr="00BE642E">
        <w:rPr>
          <w:sz w:val="18"/>
        </w:rPr>
        <w:t>Note</w:t>
      </w:r>
      <w:r>
        <w:rPr>
          <w:sz w:val="18"/>
        </w:rPr>
        <w:t xml:space="preserve">: n = 1,498, OLS regression, </w:t>
      </w:r>
      <w:r w:rsidRPr="00BE642E">
        <w:rPr>
          <w:sz w:val="18"/>
        </w:rPr>
        <w:t xml:space="preserve">p-values are </w:t>
      </w:r>
      <w:r w:rsidRPr="00236038">
        <w:rPr>
          <w:sz w:val="18"/>
        </w:rPr>
        <w:t xml:space="preserve">from one-tailed tests. </w:t>
      </w:r>
      <w:r w:rsidRPr="00B41DC6">
        <w:rPr>
          <w:sz w:val="18"/>
        </w:rPr>
        <w:t>We did not correct for multiple comparisons.</w:t>
      </w:r>
    </w:p>
    <w:p w14:paraId="6856C8DB" w14:textId="54FEBE52" w:rsidR="00643F9E" w:rsidRPr="009F3C0D" w:rsidRDefault="00643F9E" w:rsidP="00BD20D5">
      <w:pPr>
        <w:pStyle w:val="HeadingTable"/>
        <w:spacing w:before="240" w:after="120"/>
        <w:ind w:left="357" w:hanging="357"/>
        <w:outlineLvl w:val="3"/>
      </w:pPr>
      <w:r>
        <w:t xml:space="preserve">Secondary outcome – </w:t>
      </w:r>
      <w:r w:rsidR="00A3125B">
        <w:t>choice of any fund that is not ‘poor’ performing</w:t>
      </w:r>
    </w:p>
    <w:tbl>
      <w:tblPr>
        <w:tblStyle w:val="DefaultTable"/>
        <w:tblW w:w="7777"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31"/>
        <w:gridCol w:w="1041"/>
        <w:gridCol w:w="1041"/>
        <w:gridCol w:w="1041"/>
        <w:gridCol w:w="1041"/>
        <w:gridCol w:w="1041"/>
        <w:gridCol w:w="1041"/>
      </w:tblGrid>
      <w:tr w:rsidR="00AE71A2" w:rsidRPr="003212F5" w14:paraId="2AE72F03" w14:textId="77777777" w:rsidTr="002F277A">
        <w:trPr>
          <w:cnfStyle w:val="100000000000" w:firstRow="1" w:lastRow="0" w:firstColumn="0" w:lastColumn="0" w:oddVBand="0" w:evenVBand="0" w:oddHBand="0" w:evenHBand="0" w:firstRowFirstColumn="0" w:firstRowLastColumn="0" w:lastRowFirstColumn="0" w:lastRowLastColumn="0"/>
          <w:trHeight w:val="525"/>
          <w:tblHeader/>
        </w:trPr>
        <w:tc>
          <w:tcPr>
            <w:tcW w:w="1531" w:type="dxa"/>
            <w:tcBorders>
              <w:top w:val="nil"/>
              <w:bottom w:val="single" w:sz="18" w:space="0" w:color="142E3B" w:themeColor="accent6"/>
            </w:tcBorders>
            <w:shd w:val="clear" w:color="auto" w:fill="20B9A3" w:themeFill="accent1"/>
          </w:tcPr>
          <w:p w14:paraId="64647843" w14:textId="77777777" w:rsidR="00AE71A2" w:rsidRPr="003212F5" w:rsidRDefault="00AE71A2" w:rsidP="00643F9E">
            <w:pPr>
              <w:pStyle w:val="TableHeading"/>
              <w:keepNext/>
              <w:spacing w:after="0"/>
              <w:rPr>
                <w:sz w:val="20"/>
              </w:rPr>
            </w:pPr>
            <w:r w:rsidRPr="003212F5">
              <w:rPr>
                <w:sz w:val="20"/>
              </w:rPr>
              <w:t>Treatment arm</w:t>
            </w:r>
          </w:p>
        </w:tc>
        <w:tc>
          <w:tcPr>
            <w:tcW w:w="1041" w:type="dxa"/>
            <w:tcBorders>
              <w:top w:val="nil"/>
              <w:bottom w:val="single" w:sz="18" w:space="0" w:color="142E3B" w:themeColor="accent6"/>
            </w:tcBorders>
            <w:shd w:val="clear" w:color="auto" w:fill="20B9A3" w:themeFill="accent1"/>
          </w:tcPr>
          <w:p w14:paraId="7D668218" w14:textId="7BB085AA" w:rsidR="00AE71A2" w:rsidRPr="003212F5" w:rsidRDefault="00AE71A2" w:rsidP="00643F9E">
            <w:pPr>
              <w:pStyle w:val="TableHeading"/>
              <w:keepNext/>
              <w:spacing w:after="0"/>
              <w:rPr>
                <w:sz w:val="20"/>
              </w:rPr>
            </w:pPr>
            <w:r w:rsidRPr="003212F5">
              <w:rPr>
                <w:sz w:val="20"/>
              </w:rPr>
              <w:t>Mean</w:t>
            </w:r>
            <w:r w:rsidR="001B0BE1">
              <w:rPr>
                <w:sz w:val="20"/>
              </w:rPr>
              <w:t>v (%)</w:t>
            </w:r>
          </w:p>
        </w:tc>
        <w:tc>
          <w:tcPr>
            <w:tcW w:w="1041" w:type="dxa"/>
            <w:tcBorders>
              <w:top w:val="nil"/>
              <w:bottom w:val="single" w:sz="18" w:space="0" w:color="142E3B" w:themeColor="accent6"/>
            </w:tcBorders>
            <w:shd w:val="clear" w:color="auto" w:fill="20B9A3" w:themeFill="accent1"/>
          </w:tcPr>
          <w:p w14:paraId="6099D82A" w14:textId="55F93384" w:rsidR="00AE71A2" w:rsidRPr="003212F5" w:rsidRDefault="00AE71A2" w:rsidP="00643F9E">
            <w:pPr>
              <w:pStyle w:val="TableHeading"/>
              <w:keepNext/>
              <w:spacing w:after="0"/>
              <w:jc w:val="right"/>
              <w:rPr>
                <w:sz w:val="20"/>
              </w:rPr>
            </w:pPr>
            <w:r>
              <w:rPr>
                <w:sz w:val="20"/>
              </w:rPr>
              <w:t>E</w:t>
            </w:r>
            <w:r w:rsidR="001B0BE1">
              <w:rPr>
                <w:sz w:val="20"/>
              </w:rPr>
              <w:t>ffect (%)</w:t>
            </w:r>
          </w:p>
        </w:tc>
        <w:tc>
          <w:tcPr>
            <w:tcW w:w="1041" w:type="dxa"/>
            <w:tcBorders>
              <w:top w:val="nil"/>
              <w:bottom w:val="single" w:sz="18" w:space="0" w:color="142E3B" w:themeColor="accent6"/>
            </w:tcBorders>
            <w:shd w:val="clear" w:color="auto" w:fill="20B9A3" w:themeFill="accent1"/>
          </w:tcPr>
          <w:p w14:paraId="0906B06F" w14:textId="77777777" w:rsidR="00AE71A2" w:rsidRPr="003212F5" w:rsidRDefault="00AE71A2" w:rsidP="00643F9E">
            <w:pPr>
              <w:pStyle w:val="TableHeading"/>
              <w:keepNext/>
              <w:spacing w:after="0"/>
              <w:jc w:val="right"/>
              <w:rPr>
                <w:sz w:val="20"/>
              </w:rPr>
            </w:pPr>
            <w:r w:rsidRPr="003212F5">
              <w:rPr>
                <w:sz w:val="20"/>
              </w:rPr>
              <w:t>Std. error</w:t>
            </w:r>
          </w:p>
        </w:tc>
        <w:tc>
          <w:tcPr>
            <w:tcW w:w="1041" w:type="dxa"/>
            <w:tcBorders>
              <w:top w:val="nil"/>
              <w:bottom w:val="single" w:sz="18" w:space="0" w:color="142E3B" w:themeColor="accent6"/>
            </w:tcBorders>
            <w:shd w:val="clear" w:color="auto" w:fill="20B9A3" w:themeFill="accent1"/>
          </w:tcPr>
          <w:p w14:paraId="239F124C" w14:textId="77777777" w:rsidR="00AE71A2" w:rsidRPr="003212F5" w:rsidRDefault="00AE71A2" w:rsidP="00643F9E">
            <w:pPr>
              <w:pStyle w:val="TableHeading"/>
              <w:keepNext/>
              <w:spacing w:after="0"/>
              <w:jc w:val="right"/>
              <w:rPr>
                <w:sz w:val="20"/>
              </w:rPr>
            </w:pPr>
            <w:r w:rsidRPr="003212F5">
              <w:rPr>
                <w:sz w:val="20"/>
              </w:rPr>
              <w:t>p-value</w:t>
            </w:r>
          </w:p>
        </w:tc>
        <w:tc>
          <w:tcPr>
            <w:tcW w:w="1041" w:type="dxa"/>
            <w:tcBorders>
              <w:top w:val="nil"/>
              <w:bottom w:val="single" w:sz="18" w:space="0" w:color="142E3B" w:themeColor="accent6"/>
            </w:tcBorders>
            <w:shd w:val="clear" w:color="auto" w:fill="20B9A3" w:themeFill="accent1"/>
          </w:tcPr>
          <w:p w14:paraId="288DA967" w14:textId="77777777" w:rsidR="00AE71A2" w:rsidRPr="003212F5" w:rsidRDefault="00AE71A2" w:rsidP="00643F9E">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41" w:type="dxa"/>
            <w:tcBorders>
              <w:top w:val="nil"/>
              <w:bottom w:val="single" w:sz="18" w:space="0" w:color="142E3B" w:themeColor="accent6"/>
            </w:tcBorders>
            <w:shd w:val="clear" w:color="auto" w:fill="20B9A3" w:themeFill="accent1"/>
          </w:tcPr>
          <w:p w14:paraId="5DA8AC4F" w14:textId="77777777" w:rsidR="00AE71A2" w:rsidRPr="003212F5" w:rsidRDefault="00AE71A2" w:rsidP="00643F9E">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64491452" w14:textId="77777777" w:rsidTr="002F277A">
        <w:trPr>
          <w:trHeight w:val="227"/>
        </w:trPr>
        <w:tc>
          <w:tcPr>
            <w:tcW w:w="1531" w:type="dxa"/>
            <w:shd w:val="clear" w:color="auto" w:fill="auto"/>
          </w:tcPr>
          <w:p w14:paraId="0203578A" w14:textId="075E0BAF" w:rsidR="00AE71A2" w:rsidRPr="003212F5" w:rsidRDefault="006040C0" w:rsidP="00643F9E">
            <w:pPr>
              <w:pStyle w:val="TableTextLeftAligned"/>
              <w:keepNext/>
              <w:spacing w:after="0"/>
              <w:rPr>
                <w:sz w:val="18"/>
              </w:rPr>
            </w:pPr>
            <w:r w:rsidRPr="006040C0">
              <w:rPr>
                <w:sz w:val="18"/>
              </w:rPr>
              <w:t>B: 3 categories, unsorted</w:t>
            </w:r>
          </w:p>
        </w:tc>
        <w:tc>
          <w:tcPr>
            <w:tcW w:w="1041" w:type="dxa"/>
          </w:tcPr>
          <w:p w14:paraId="55420D9E" w14:textId="4E2F9A8C" w:rsidR="00AE71A2" w:rsidRPr="003212F5" w:rsidRDefault="00AE71A2" w:rsidP="00DF2A47">
            <w:pPr>
              <w:pStyle w:val="TableTextRightAligned"/>
              <w:keepNext/>
              <w:spacing w:after="0"/>
              <w:rPr>
                <w:sz w:val="18"/>
              </w:rPr>
            </w:pPr>
            <w:r>
              <w:rPr>
                <w:sz w:val="18"/>
              </w:rPr>
              <w:t>82.42</w:t>
            </w:r>
          </w:p>
        </w:tc>
        <w:tc>
          <w:tcPr>
            <w:tcW w:w="1041" w:type="dxa"/>
            <w:shd w:val="clear" w:color="auto" w:fill="FFFFFF" w:themeFill="background1"/>
          </w:tcPr>
          <w:p w14:paraId="621140FD" w14:textId="77777777" w:rsidR="00AE71A2" w:rsidRPr="003212F5" w:rsidRDefault="00AE71A2" w:rsidP="00643F9E">
            <w:pPr>
              <w:pStyle w:val="TableTextRightAligned"/>
              <w:keepNext/>
              <w:spacing w:after="0"/>
              <w:rPr>
                <w:sz w:val="18"/>
              </w:rPr>
            </w:pPr>
          </w:p>
        </w:tc>
        <w:tc>
          <w:tcPr>
            <w:tcW w:w="1041" w:type="dxa"/>
          </w:tcPr>
          <w:p w14:paraId="4AF70B8B" w14:textId="77777777" w:rsidR="00AE71A2" w:rsidRPr="003212F5" w:rsidRDefault="00AE71A2" w:rsidP="00643F9E">
            <w:pPr>
              <w:pStyle w:val="TableTextRightAligned"/>
              <w:keepNext/>
              <w:spacing w:after="0"/>
              <w:rPr>
                <w:sz w:val="18"/>
              </w:rPr>
            </w:pPr>
          </w:p>
        </w:tc>
        <w:tc>
          <w:tcPr>
            <w:tcW w:w="1041" w:type="dxa"/>
            <w:shd w:val="clear" w:color="auto" w:fill="FFFFFF" w:themeFill="background1"/>
          </w:tcPr>
          <w:p w14:paraId="68664340" w14:textId="77777777" w:rsidR="00AE71A2" w:rsidRPr="003212F5" w:rsidRDefault="00AE71A2" w:rsidP="00643F9E">
            <w:pPr>
              <w:pStyle w:val="TableTextRightAligned"/>
              <w:keepNext/>
              <w:spacing w:after="0"/>
              <w:rPr>
                <w:sz w:val="18"/>
              </w:rPr>
            </w:pPr>
          </w:p>
        </w:tc>
        <w:tc>
          <w:tcPr>
            <w:tcW w:w="1041" w:type="dxa"/>
          </w:tcPr>
          <w:p w14:paraId="362EE371" w14:textId="77777777" w:rsidR="00AE71A2" w:rsidRPr="003212F5" w:rsidRDefault="00AE71A2" w:rsidP="00643F9E">
            <w:pPr>
              <w:pStyle w:val="TableTextRightAligned"/>
              <w:keepNext/>
              <w:spacing w:after="0"/>
              <w:rPr>
                <w:sz w:val="18"/>
              </w:rPr>
            </w:pPr>
          </w:p>
        </w:tc>
        <w:tc>
          <w:tcPr>
            <w:tcW w:w="1041" w:type="dxa"/>
            <w:shd w:val="clear" w:color="auto" w:fill="FFFFFF" w:themeFill="background1"/>
          </w:tcPr>
          <w:p w14:paraId="3FD833D4" w14:textId="77777777" w:rsidR="00AE71A2" w:rsidRPr="003212F5" w:rsidRDefault="00AE71A2" w:rsidP="00643F9E">
            <w:pPr>
              <w:pStyle w:val="TableTextRightAligned"/>
              <w:keepNext/>
              <w:spacing w:after="0"/>
              <w:ind w:left="-75" w:hanging="34"/>
              <w:rPr>
                <w:sz w:val="18"/>
              </w:rPr>
            </w:pPr>
          </w:p>
        </w:tc>
      </w:tr>
      <w:tr w:rsidR="00AE71A2" w:rsidRPr="003212F5" w14:paraId="150FF15E" w14:textId="77777777" w:rsidTr="002F277A">
        <w:trPr>
          <w:trHeight w:val="227"/>
        </w:trPr>
        <w:tc>
          <w:tcPr>
            <w:tcW w:w="1531" w:type="dxa"/>
            <w:shd w:val="clear" w:color="auto" w:fill="auto"/>
          </w:tcPr>
          <w:p w14:paraId="629D727E" w14:textId="0FAD389B" w:rsidR="00AE71A2" w:rsidRPr="003212F5" w:rsidRDefault="006040C0" w:rsidP="00643F9E">
            <w:pPr>
              <w:pStyle w:val="TableTextLeftAligned"/>
              <w:spacing w:after="0"/>
              <w:rPr>
                <w:sz w:val="18"/>
              </w:rPr>
            </w:pPr>
            <w:r w:rsidRPr="006040C0">
              <w:rPr>
                <w:sz w:val="18"/>
              </w:rPr>
              <w:t>C: 3 categories, sorted</w:t>
            </w:r>
          </w:p>
        </w:tc>
        <w:tc>
          <w:tcPr>
            <w:tcW w:w="1041" w:type="dxa"/>
          </w:tcPr>
          <w:p w14:paraId="4D3E2A68" w14:textId="5E4AE990" w:rsidR="00AE71A2" w:rsidRPr="003212F5" w:rsidRDefault="00AE71A2" w:rsidP="00DF2A47">
            <w:pPr>
              <w:pStyle w:val="TableTextRightAligned"/>
              <w:spacing w:after="0"/>
              <w:rPr>
                <w:sz w:val="18"/>
              </w:rPr>
            </w:pPr>
            <w:r>
              <w:rPr>
                <w:sz w:val="18"/>
              </w:rPr>
              <w:t>83.76</w:t>
            </w:r>
          </w:p>
        </w:tc>
        <w:tc>
          <w:tcPr>
            <w:tcW w:w="1041" w:type="dxa"/>
            <w:shd w:val="clear" w:color="auto" w:fill="FFFFFF" w:themeFill="background1"/>
          </w:tcPr>
          <w:p w14:paraId="64EDC16E" w14:textId="09B254E5" w:rsidR="00AE71A2" w:rsidRPr="003212F5" w:rsidRDefault="00AE71A2" w:rsidP="00DF2A47">
            <w:pPr>
              <w:pStyle w:val="TableTextRightAligned"/>
              <w:spacing w:after="0"/>
              <w:rPr>
                <w:sz w:val="18"/>
              </w:rPr>
            </w:pPr>
            <w:r>
              <w:rPr>
                <w:sz w:val="18"/>
              </w:rPr>
              <w:t>1.34</w:t>
            </w:r>
          </w:p>
        </w:tc>
        <w:tc>
          <w:tcPr>
            <w:tcW w:w="1041" w:type="dxa"/>
          </w:tcPr>
          <w:p w14:paraId="10227726" w14:textId="5D789809" w:rsidR="00AE71A2" w:rsidRPr="003212F5" w:rsidRDefault="00AE71A2" w:rsidP="00643F9E">
            <w:pPr>
              <w:pStyle w:val="TableTextRightAligned"/>
              <w:spacing w:after="0"/>
              <w:rPr>
                <w:sz w:val="18"/>
              </w:rPr>
            </w:pPr>
            <w:r>
              <w:rPr>
                <w:sz w:val="18"/>
              </w:rPr>
              <w:t>1.94</w:t>
            </w:r>
          </w:p>
        </w:tc>
        <w:tc>
          <w:tcPr>
            <w:tcW w:w="1041" w:type="dxa"/>
            <w:shd w:val="clear" w:color="auto" w:fill="FFFFFF" w:themeFill="background1"/>
          </w:tcPr>
          <w:p w14:paraId="1389067E" w14:textId="4B340D19" w:rsidR="00AE71A2" w:rsidRPr="003212F5" w:rsidRDefault="00AE71A2" w:rsidP="00DF2A47">
            <w:pPr>
              <w:pStyle w:val="TableTextRightAligned"/>
              <w:spacing w:after="0"/>
              <w:rPr>
                <w:sz w:val="18"/>
              </w:rPr>
            </w:pPr>
            <w:r>
              <w:rPr>
                <w:sz w:val="18"/>
              </w:rPr>
              <w:t>0.2447</w:t>
            </w:r>
          </w:p>
        </w:tc>
        <w:tc>
          <w:tcPr>
            <w:tcW w:w="1041" w:type="dxa"/>
          </w:tcPr>
          <w:p w14:paraId="0ACACD5E" w14:textId="71A0252B" w:rsidR="00AE71A2" w:rsidRPr="003212F5" w:rsidRDefault="00AE71A2" w:rsidP="00643F9E">
            <w:pPr>
              <w:pStyle w:val="TableTextRightAligned"/>
              <w:spacing w:after="0"/>
              <w:rPr>
                <w:sz w:val="18"/>
              </w:rPr>
            </w:pPr>
            <w:r>
              <w:rPr>
                <w:sz w:val="18"/>
              </w:rPr>
              <w:t>-2.46</w:t>
            </w:r>
          </w:p>
        </w:tc>
        <w:tc>
          <w:tcPr>
            <w:tcW w:w="1041" w:type="dxa"/>
            <w:shd w:val="clear" w:color="auto" w:fill="FFFFFF" w:themeFill="background1"/>
          </w:tcPr>
          <w:p w14:paraId="21354E77" w14:textId="28D7F007" w:rsidR="00AE71A2" w:rsidRPr="003212F5" w:rsidRDefault="00AE71A2" w:rsidP="00DF2A47">
            <w:pPr>
              <w:pStyle w:val="TableTextRightAligned"/>
              <w:spacing w:after="0"/>
              <w:ind w:left="-75" w:hanging="34"/>
              <w:rPr>
                <w:sz w:val="18"/>
              </w:rPr>
            </w:pPr>
            <w:r>
              <w:rPr>
                <w:sz w:val="18"/>
              </w:rPr>
              <w:t>5.15</w:t>
            </w:r>
          </w:p>
        </w:tc>
      </w:tr>
    </w:tbl>
    <w:p w14:paraId="1FAB573A" w14:textId="77777777" w:rsidR="00643F9E" w:rsidRDefault="00643F9E" w:rsidP="00643F9E">
      <w:pPr>
        <w:spacing w:line="240" w:lineRule="auto"/>
        <w:rPr>
          <w:sz w:val="18"/>
        </w:rPr>
      </w:pPr>
      <w:r w:rsidRPr="00BE642E">
        <w:rPr>
          <w:sz w:val="18"/>
        </w:rPr>
        <w:t>Note</w:t>
      </w:r>
      <w:r>
        <w:rPr>
          <w:sz w:val="18"/>
        </w:rPr>
        <w:t xml:space="preserve">: n = 1,484, OLS regression, </w:t>
      </w:r>
      <w:r w:rsidRPr="00BE642E">
        <w:rPr>
          <w:sz w:val="18"/>
        </w:rPr>
        <w:t xml:space="preserve">p-values are </w:t>
      </w:r>
      <w:r w:rsidRPr="00236038">
        <w:rPr>
          <w:sz w:val="18"/>
        </w:rPr>
        <w:t>from one-tailed tests.</w:t>
      </w:r>
      <w:r>
        <w:rPr>
          <w:sz w:val="18"/>
        </w:rPr>
        <w:t xml:space="preserve"> </w:t>
      </w:r>
      <w:r w:rsidRPr="00B41DC6">
        <w:rPr>
          <w:sz w:val="18"/>
        </w:rPr>
        <w:t>We did not correct for multiple comparisons.</w:t>
      </w:r>
      <w:r>
        <w:rPr>
          <w:sz w:val="18"/>
          <w:highlight w:val="yellow"/>
        </w:rPr>
        <w:t xml:space="preserve"> </w:t>
      </w:r>
    </w:p>
    <w:p w14:paraId="0B3E08C4" w14:textId="7367209D" w:rsidR="00643F9E" w:rsidRPr="009F3C0D" w:rsidRDefault="00643F9E" w:rsidP="00BD20D5">
      <w:pPr>
        <w:pStyle w:val="HeadingTable"/>
        <w:spacing w:before="240" w:after="120"/>
        <w:ind w:left="357" w:hanging="357"/>
        <w:outlineLvl w:val="3"/>
      </w:pPr>
      <w:r>
        <w:lastRenderedPageBreak/>
        <w:t xml:space="preserve">Secondary outcome – </w:t>
      </w:r>
      <w:r w:rsidR="00A3125B">
        <w:t>choice of any fund that is not ‘poor’ performing</w:t>
      </w:r>
    </w:p>
    <w:tbl>
      <w:tblPr>
        <w:tblStyle w:val="DefaultTable"/>
        <w:tblW w:w="7837"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43"/>
        <w:gridCol w:w="1049"/>
        <w:gridCol w:w="1049"/>
        <w:gridCol w:w="1049"/>
        <w:gridCol w:w="1049"/>
        <w:gridCol w:w="1049"/>
        <w:gridCol w:w="1049"/>
      </w:tblGrid>
      <w:tr w:rsidR="00AE71A2" w:rsidRPr="003212F5" w14:paraId="05BE7A84" w14:textId="77777777" w:rsidTr="002F277A">
        <w:trPr>
          <w:cnfStyle w:val="100000000000" w:firstRow="1" w:lastRow="0" w:firstColumn="0" w:lastColumn="0" w:oddVBand="0" w:evenVBand="0" w:oddHBand="0" w:evenHBand="0" w:firstRowFirstColumn="0" w:firstRowLastColumn="0" w:lastRowFirstColumn="0" w:lastRowLastColumn="0"/>
          <w:trHeight w:val="538"/>
          <w:tblHeader/>
        </w:trPr>
        <w:tc>
          <w:tcPr>
            <w:tcW w:w="1543" w:type="dxa"/>
            <w:tcBorders>
              <w:top w:val="nil"/>
              <w:bottom w:val="single" w:sz="18" w:space="0" w:color="142E3B" w:themeColor="accent6"/>
            </w:tcBorders>
            <w:shd w:val="clear" w:color="auto" w:fill="20B9A3" w:themeFill="accent1"/>
          </w:tcPr>
          <w:p w14:paraId="65E2FF9F" w14:textId="77777777" w:rsidR="00AE71A2" w:rsidRPr="003212F5" w:rsidRDefault="00AE71A2" w:rsidP="00643F9E">
            <w:pPr>
              <w:pStyle w:val="TableHeading"/>
              <w:keepNext/>
              <w:spacing w:after="0"/>
              <w:rPr>
                <w:sz w:val="20"/>
              </w:rPr>
            </w:pPr>
            <w:r w:rsidRPr="003212F5">
              <w:rPr>
                <w:sz w:val="20"/>
              </w:rPr>
              <w:t>Treatment arm</w:t>
            </w:r>
          </w:p>
        </w:tc>
        <w:tc>
          <w:tcPr>
            <w:tcW w:w="1049" w:type="dxa"/>
            <w:tcBorders>
              <w:top w:val="nil"/>
              <w:bottom w:val="single" w:sz="18" w:space="0" w:color="142E3B" w:themeColor="accent6"/>
            </w:tcBorders>
            <w:shd w:val="clear" w:color="auto" w:fill="20B9A3" w:themeFill="accent1"/>
          </w:tcPr>
          <w:p w14:paraId="50756E59" w14:textId="6C2F95F4" w:rsidR="00AE71A2" w:rsidRPr="003212F5" w:rsidRDefault="00AE71A2" w:rsidP="00643F9E">
            <w:pPr>
              <w:pStyle w:val="TableHeading"/>
              <w:keepNext/>
              <w:spacing w:after="0"/>
              <w:rPr>
                <w:sz w:val="20"/>
              </w:rPr>
            </w:pPr>
            <w:r w:rsidRPr="003212F5">
              <w:rPr>
                <w:sz w:val="20"/>
              </w:rPr>
              <w:t>Mean</w:t>
            </w:r>
            <w:r w:rsidR="001B0BE1">
              <w:rPr>
                <w:sz w:val="20"/>
              </w:rPr>
              <w:t xml:space="preserve"> (%)</w:t>
            </w:r>
          </w:p>
        </w:tc>
        <w:tc>
          <w:tcPr>
            <w:tcW w:w="1049" w:type="dxa"/>
            <w:tcBorders>
              <w:top w:val="nil"/>
              <w:bottom w:val="single" w:sz="18" w:space="0" w:color="142E3B" w:themeColor="accent6"/>
            </w:tcBorders>
            <w:shd w:val="clear" w:color="auto" w:fill="20B9A3" w:themeFill="accent1"/>
          </w:tcPr>
          <w:p w14:paraId="44172246" w14:textId="2B690EE5" w:rsidR="00AE71A2" w:rsidRPr="003212F5" w:rsidRDefault="00AE71A2" w:rsidP="00643F9E">
            <w:pPr>
              <w:pStyle w:val="TableHeading"/>
              <w:keepNext/>
              <w:spacing w:after="0"/>
              <w:jc w:val="right"/>
              <w:rPr>
                <w:sz w:val="20"/>
              </w:rPr>
            </w:pPr>
            <w:r>
              <w:rPr>
                <w:sz w:val="20"/>
              </w:rPr>
              <w:t>E</w:t>
            </w:r>
            <w:r w:rsidR="001B0BE1">
              <w:rPr>
                <w:sz w:val="20"/>
              </w:rPr>
              <w:t>ffect (%)</w:t>
            </w:r>
          </w:p>
        </w:tc>
        <w:tc>
          <w:tcPr>
            <w:tcW w:w="1049" w:type="dxa"/>
            <w:tcBorders>
              <w:top w:val="nil"/>
              <w:bottom w:val="single" w:sz="18" w:space="0" w:color="142E3B" w:themeColor="accent6"/>
            </w:tcBorders>
            <w:shd w:val="clear" w:color="auto" w:fill="20B9A3" w:themeFill="accent1"/>
          </w:tcPr>
          <w:p w14:paraId="468ABE62" w14:textId="77777777" w:rsidR="00AE71A2" w:rsidRPr="003212F5" w:rsidRDefault="00AE71A2" w:rsidP="00643F9E">
            <w:pPr>
              <w:pStyle w:val="TableHeading"/>
              <w:keepNext/>
              <w:spacing w:after="0"/>
              <w:jc w:val="right"/>
              <w:rPr>
                <w:sz w:val="20"/>
              </w:rPr>
            </w:pPr>
            <w:r w:rsidRPr="003212F5">
              <w:rPr>
                <w:sz w:val="20"/>
              </w:rPr>
              <w:t>Std. error</w:t>
            </w:r>
          </w:p>
        </w:tc>
        <w:tc>
          <w:tcPr>
            <w:tcW w:w="1049" w:type="dxa"/>
            <w:tcBorders>
              <w:top w:val="nil"/>
              <w:bottom w:val="single" w:sz="18" w:space="0" w:color="142E3B" w:themeColor="accent6"/>
            </w:tcBorders>
            <w:shd w:val="clear" w:color="auto" w:fill="20B9A3" w:themeFill="accent1"/>
          </w:tcPr>
          <w:p w14:paraId="1B370FEB" w14:textId="77777777" w:rsidR="00AE71A2" w:rsidRPr="003212F5" w:rsidRDefault="00AE71A2" w:rsidP="00643F9E">
            <w:pPr>
              <w:pStyle w:val="TableHeading"/>
              <w:keepNext/>
              <w:spacing w:after="0"/>
              <w:jc w:val="right"/>
              <w:rPr>
                <w:sz w:val="20"/>
              </w:rPr>
            </w:pPr>
            <w:r w:rsidRPr="003212F5">
              <w:rPr>
                <w:sz w:val="20"/>
              </w:rPr>
              <w:t>p-value</w:t>
            </w:r>
          </w:p>
        </w:tc>
        <w:tc>
          <w:tcPr>
            <w:tcW w:w="1049" w:type="dxa"/>
            <w:tcBorders>
              <w:top w:val="nil"/>
              <w:bottom w:val="single" w:sz="18" w:space="0" w:color="142E3B" w:themeColor="accent6"/>
            </w:tcBorders>
            <w:shd w:val="clear" w:color="auto" w:fill="20B9A3" w:themeFill="accent1"/>
          </w:tcPr>
          <w:p w14:paraId="2A6A6D6F" w14:textId="77777777" w:rsidR="00AE71A2" w:rsidRPr="003212F5" w:rsidRDefault="00AE71A2" w:rsidP="00643F9E">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49" w:type="dxa"/>
            <w:tcBorders>
              <w:top w:val="nil"/>
              <w:bottom w:val="single" w:sz="18" w:space="0" w:color="142E3B" w:themeColor="accent6"/>
            </w:tcBorders>
            <w:shd w:val="clear" w:color="auto" w:fill="20B9A3" w:themeFill="accent1"/>
          </w:tcPr>
          <w:p w14:paraId="4FF5049A" w14:textId="77777777" w:rsidR="00AE71A2" w:rsidRPr="003212F5" w:rsidRDefault="00AE71A2" w:rsidP="00643F9E">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5849EB14" w14:textId="77777777" w:rsidTr="002F277A">
        <w:trPr>
          <w:trHeight w:val="232"/>
        </w:trPr>
        <w:tc>
          <w:tcPr>
            <w:tcW w:w="1543" w:type="dxa"/>
            <w:shd w:val="clear" w:color="auto" w:fill="auto"/>
          </w:tcPr>
          <w:p w14:paraId="776EC303" w14:textId="1D405D4C" w:rsidR="00AE71A2" w:rsidRPr="003212F5" w:rsidRDefault="00075A7A" w:rsidP="00643F9E">
            <w:pPr>
              <w:pStyle w:val="TableTextLeftAligned"/>
              <w:keepNext/>
              <w:spacing w:after="0"/>
              <w:rPr>
                <w:sz w:val="18"/>
              </w:rPr>
            </w:pPr>
            <w:r w:rsidRPr="00075A7A">
              <w:rPr>
                <w:sz w:val="18"/>
              </w:rPr>
              <w:t>A: 2 categories, unsorted</w:t>
            </w:r>
          </w:p>
        </w:tc>
        <w:tc>
          <w:tcPr>
            <w:tcW w:w="1049" w:type="dxa"/>
          </w:tcPr>
          <w:p w14:paraId="6F3C389B" w14:textId="7DFBC013" w:rsidR="00AE71A2" w:rsidRPr="003212F5" w:rsidRDefault="00AE71A2" w:rsidP="00DF2A47">
            <w:pPr>
              <w:pStyle w:val="TableTextRightAligned"/>
              <w:keepNext/>
              <w:spacing w:after="0"/>
              <w:rPr>
                <w:sz w:val="18"/>
              </w:rPr>
            </w:pPr>
            <w:r>
              <w:rPr>
                <w:sz w:val="18"/>
              </w:rPr>
              <w:t>79</w:t>
            </w:r>
            <w:r w:rsidR="008730BB">
              <w:rPr>
                <w:sz w:val="18"/>
              </w:rPr>
              <w:t>.</w:t>
            </w:r>
            <w:r>
              <w:rPr>
                <w:sz w:val="18"/>
              </w:rPr>
              <w:t>81</w:t>
            </w:r>
          </w:p>
        </w:tc>
        <w:tc>
          <w:tcPr>
            <w:tcW w:w="1049" w:type="dxa"/>
            <w:shd w:val="clear" w:color="auto" w:fill="FFFFFF" w:themeFill="background1"/>
          </w:tcPr>
          <w:p w14:paraId="74548F83" w14:textId="77777777" w:rsidR="00AE71A2" w:rsidRPr="003212F5" w:rsidRDefault="00AE71A2" w:rsidP="00643F9E">
            <w:pPr>
              <w:pStyle w:val="TableTextRightAligned"/>
              <w:keepNext/>
              <w:spacing w:after="0"/>
              <w:rPr>
                <w:sz w:val="18"/>
              </w:rPr>
            </w:pPr>
          </w:p>
        </w:tc>
        <w:tc>
          <w:tcPr>
            <w:tcW w:w="1049" w:type="dxa"/>
          </w:tcPr>
          <w:p w14:paraId="6B128282" w14:textId="77777777" w:rsidR="00AE71A2" w:rsidRPr="003212F5" w:rsidRDefault="00AE71A2" w:rsidP="00643F9E">
            <w:pPr>
              <w:pStyle w:val="TableTextRightAligned"/>
              <w:keepNext/>
              <w:spacing w:after="0"/>
              <w:rPr>
                <w:sz w:val="18"/>
              </w:rPr>
            </w:pPr>
          </w:p>
        </w:tc>
        <w:tc>
          <w:tcPr>
            <w:tcW w:w="1049" w:type="dxa"/>
            <w:shd w:val="clear" w:color="auto" w:fill="FFFFFF" w:themeFill="background1"/>
          </w:tcPr>
          <w:p w14:paraId="7EA031E1" w14:textId="77777777" w:rsidR="00AE71A2" w:rsidRPr="003212F5" w:rsidRDefault="00AE71A2" w:rsidP="00643F9E">
            <w:pPr>
              <w:pStyle w:val="TableTextRightAligned"/>
              <w:keepNext/>
              <w:spacing w:after="0"/>
              <w:rPr>
                <w:sz w:val="18"/>
              </w:rPr>
            </w:pPr>
          </w:p>
        </w:tc>
        <w:tc>
          <w:tcPr>
            <w:tcW w:w="1049" w:type="dxa"/>
          </w:tcPr>
          <w:p w14:paraId="62A693D9" w14:textId="77777777" w:rsidR="00AE71A2" w:rsidRPr="003212F5" w:rsidRDefault="00AE71A2" w:rsidP="00643F9E">
            <w:pPr>
              <w:pStyle w:val="TableTextRightAligned"/>
              <w:keepNext/>
              <w:spacing w:after="0"/>
              <w:rPr>
                <w:sz w:val="18"/>
              </w:rPr>
            </w:pPr>
          </w:p>
        </w:tc>
        <w:tc>
          <w:tcPr>
            <w:tcW w:w="1049" w:type="dxa"/>
            <w:shd w:val="clear" w:color="auto" w:fill="FFFFFF" w:themeFill="background1"/>
          </w:tcPr>
          <w:p w14:paraId="2B82E9A3" w14:textId="77777777" w:rsidR="00AE71A2" w:rsidRPr="003212F5" w:rsidRDefault="00AE71A2" w:rsidP="00643F9E">
            <w:pPr>
              <w:pStyle w:val="TableTextRightAligned"/>
              <w:keepNext/>
              <w:spacing w:after="0"/>
              <w:ind w:left="-75" w:hanging="34"/>
              <w:rPr>
                <w:sz w:val="18"/>
              </w:rPr>
            </w:pPr>
          </w:p>
        </w:tc>
      </w:tr>
      <w:tr w:rsidR="00AE71A2" w:rsidRPr="003212F5" w14:paraId="2C9BD589" w14:textId="77777777" w:rsidTr="002F277A">
        <w:trPr>
          <w:trHeight w:val="232"/>
        </w:trPr>
        <w:tc>
          <w:tcPr>
            <w:tcW w:w="1543" w:type="dxa"/>
            <w:shd w:val="clear" w:color="auto" w:fill="auto"/>
          </w:tcPr>
          <w:p w14:paraId="26CC4871" w14:textId="62723FC7" w:rsidR="00AE71A2" w:rsidRPr="003212F5" w:rsidRDefault="006040C0" w:rsidP="00643F9E">
            <w:pPr>
              <w:pStyle w:val="TableTextLeftAligned"/>
              <w:spacing w:after="0"/>
              <w:rPr>
                <w:sz w:val="18"/>
              </w:rPr>
            </w:pPr>
            <w:r w:rsidRPr="006040C0">
              <w:rPr>
                <w:sz w:val="18"/>
              </w:rPr>
              <w:t>C: 3 categories, sorted</w:t>
            </w:r>
          </w:p>
        </w:tc>
        <w:tc>
          <w:tcPr>
            <w:tcW w:w="1049" w:type="dxa"/>
          </w:tcPr>
          <w:p w14:paraId="0603D94B" w14:textId="39B60308" w:rsidR="00AE71A2" w:rsidRPr="003212F5" w:rsidRDefault="00AE71A2" w:rsidP="00DF2A47">
            <w:pPr>
              <w:pStyle w:val="TableTextRightAligned"/>
              <w:spacing w:after="0"/>
              <w:rPr>
                <w:sz w:val="18"/>
              </w:rPr>
            </w:pPr>
            <w:r>
              <w:rPr>
                <w:sz w:val="18"/>
              </w:rPr>
              <w:t>83</w:t>
            </w:r>
            <w:r w:rsidR="008730BB">
              <w:rPr>
                <w:sz w:val="18"/>
              </w:rPr>
              <w:t>.</w:t>
            </w:r>
            <w:r>
              <w:rPr>
                <w:sz w:val="18"/>
              </w:rPr>
              <w:t>75</w:t>
            </w:r>
          </w:p>
        </w:tc>
        <w:tc>
          <w:tcPr>
            <w:tcW w:w="1049" w:type="dxa"/>
            <w:shd w:val="clear" w:color="auto" w:fill="FFFFFF" w:themeFill="background1"/>
          </w:tcPr>
          <w:p w14:paraId="5CB3B53C" w14:textId="499C738F" w:rsidR="00AE71A2" w:rsidRPr="003212F5" w:rsidRDefault="00AE71A2" w:rsidP="00DF2A47">
            <w:pPr>
              <w:pStyle w:val="TableTextRightAligned"/>
              <w:spacing w:after="0"/>
              <w:rPr>
                <w:sz w:val="18"/>
              </w:rPr>
            </w:pPr>
            <w:r>
              <w:rPr>
                <w:sz w:val="18"/>
              </w:rPr>
              <w:t>3</w:t>
            </w:r>
            <w:r w:rsidR="008730BB">
              <w:rPr>
                <w:sz w:val="18"/>
              </w:rPr>
              <w:t>.</w:t>
            </w:r>
            <w:r>
              <w:rPr>
                <w:sz w:val="18"/>
              </w:rPr>
              <w:t>94</w:t>
            </w:r>
          </w:p>
        </w:tc>
        <w:tc>
          <w:tcPr>
            <w:tcW w:w="1049" w:type="dxa"/>
          </w:tcPr>
          <w:p w14:paraId="753CB854" w14:textId="68CF394C" w:rsidR="00AE71A2" w:rsidRPr="003212F5" w:rsidRDefault="00AE71A2" w:rsidP="00643F9E">
            <w:pPr>
              <w:pStyle w:val="TableTextRightAligned"/>
              <w:spacing w:after="0"/>
              <w:rPr>
                <w:sz w:val="18"/>
              </w:rPr>
            </w:pPr>
            <w:r>
              <w:rPr>
                <w:sz w:val="18"/>
              </w:rPr>
              <w:t>1</w:t>
            </w:r>
            <w:r w:rsidR="008730BB">
              <w:rPr>
                <w:sz w:val="18"/>
              </w:rPr>
              <w:t>.</w:t>
            </w:r>
            <w:r>
              <w:rPr>
                <w:sz w:val="18"/>
              </w:rPr>
              <w:t>99</w:t>
            </w:r>
          </w:p>
        </w:tc>
        <w:tc>
          <w:tcPr>
            <w:tcW w:w="1049" w:type="dxa"/>
            <w:shd w:val="clear" w:color="auto" w:fill="FFFFFF" w:themeFill="background1"/>
          </w:tcPr>
          <w:p w14:paraId="660EB3AE" w14:textId="65855B4D" w:rsidR="00AE71A2" w:rsidRPr="003212F5" w:rsidRDefault="00AE71A2" w:rsidP="00643F9E">
            <w:pPr>
              <w:pStyle w:val="TableTextRightAligned"/>
              <w:spacing w:after="0"/>
              <w:rPr>
                <w:sz w:val="18"/>
              </w:rPr>
            </w:pPr>
            <w:r>
              <w:rPr>
                <w:sz w:val="18"/>
              </w:rPr>
              <w:t>0.0239</w:t>
            </w:r>
          </w:p>
        </w:tc>
        <w:tc>
          <w:tcPr>
            <w:tcW w:w="1049" w:type="dxa"/>
          </w:tcPr>
          <w:p w14:paraId="5D0FF46C" w14:textId="10A3279B" w:rsidR="00AE71A2" w:rsidRPr="003212F5" w:rsidRDefault="00AE71A2" w:rsidP="00DF2A47">
            <w:pPr>
              <w:pStyle w:val="TableTextRightAligned"/>
              <w:spacing w:after="0"/>
              <w:rPr>
                <w:sz w:val="18"/>
              </w:rPr>
            </w:pPr>
            <w:r>
              <w:rPr>
                <w:sz w:val="18"/>
              </w:rPr>
              <w:t>0</w:t>
            </w:r>
            <w:r w:rsidR="008730BB">
              <w:rPr>
                <w:sz w:val="18"/>
              </w:rPr>
              <w:t>.</w:t>
            </w:r>
            <w:r>
              <w:rPr>
                <w:sz w:val="18"/>
              </w:rPr>
              <w:t>04</w:t>
            </w:r>
          </w:p>
        </w:tc>
        <w:tc>
          <w:tcPr>
            <w:tcW w:w="1049" w:type="dxa"/>
            <w:shd w:val="clear" w:color="auto" w:fill="FFFFFF" w:themeFill="background1"/>
          </w:tcPr>
          <w:p w14:paraId="4820C7BF" w14:textId="61B31EEC" w:rsidR="00AE71A2" w:rsidRPr="003212F5" w:rsidRDefault="00AE71A2" w:rsidP="00DF2A47">
            <w:pPr>
              <w:pStyle w:val="TableTextRightAligned"/>
              <w:spacing w:after="0"/>
              <w:ind w:left="-75" w:hanging="34"/>
              <w:rPr>
                <w:sz w:val="18"/>
              </w:rPr>
            </w:pPr>
            <w:r>
              <w:rPr>
                <w:sz w:val="18"/>
              </w:rPr>
              <w:t>7</w:t>
            </w:r>
            <w:r w:rsidR="008730BB">
              <w:rPr>
                <w:sz w:val="18"/>
              </w:rPr>
              <w:t>.</w:t>
            </w:r>
            <w:r>
              <w:rPr>
                <w:sz w:val="18"/>
              </w:rPr>
              <w:t>84</w:t>
            </w:r>
          </w:p>
        </w:tc>
      </w:tr>
    </w:tbl>
    <w:p w14:paraId="21BDA48A" w14:textId="1EB1D38E" w:rsidR="00643F9E" w:rsidRDefault="00643F9E" w:rsidP="00E404B9">
      <w:pPr>
        <w:spacing w:line="240" w:lineRule="auto"/>
        <w:rPr>
          <w:sz w:val="18"/>
        </w:rPr>
      </w:pPr>
      <w:r w:rsidRPr="00BE642E">
        <w:rPr>
          <w:sz w:val="18"/>
        </w:rPr>
        <w:t>Note</w:t>
      </w:r>
      <w:r>
        <w:rPr>
          <w:sz w:val="18"/>
        </w:rPr>
        <w:t xml:space="preserve">: n = 1,490, OLS regression, </w:t>
      </w:r>
      <w:r w:rsidRPr="00BE642E">
        <w:rPr>
          <w:sz w:val="18"/>
        </w:rPr>
        <w:t xml:space="preserve">p-values are </w:t>
      </w:r>
      <w:r w:rsidRPr="00236038">
        <w:rPr>
          <w:sz w:val="18"/>
        </w:rPr>
        <w:t>from one-tailed tests.</w:t>
      </w:r>
      <w:r>
        <w:rPr>
          <w:sz w:val="18"/>
        </w:rPr>
        <w:t xml:space="preserve"> </w:t>
      </w:r>
      <w:r w:rsidRPr="00B41DC6">
        <w:rPr>
          <w:sz w:val="18"/>
        </w:rPr>
        <w:t>We did not correct for multiple comparisons.</w:t>
      </w:r>
      <w:r>
        <w:rPr>
          <w:sz w:val="18"/>
          <w:highlight w:val="yellow"/>
        </w:rPr>
        <w:t xml:space="preserve"> </w:t>
      </w:r>
    </w:p>
    <w:p w14:paraId="7EAB2F8D" w14:textId="15805FFB" w:rsidR="003D6D05" w:rsidRPr="009F3C0D" w:rsidRDefault="003D6D05" w:rsidP="00BD20D5">
      <w:pPr>
        <w:pStyle w:val="HeadingTable"/>
        <w:spacing w:before="240" w:after="120"/>
        <w:ind w:left="357" w:hanging="357"/>
        <w:outlineLvl w:val="3"/>
      </w:pPr>
      <w:r>
        <w:t xml:space="preserve">Secondary outcome – </w:t>
      </w:r>
      <w:r w:rsidR="009E55DA">
        <w:t>intention to switch</w:t>
      </w:r>
    </w:p>
    <w:tbl>
      <w:tblPr>
        <w:tblStyle w:val="DefaultTable"/>
        <w:tblW w:w="7837"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43"/>
        <w:gridCol w:w="1049"/>
        <w:gridCol w:w="1049"/>
        <w:gridCol w:w="1049"/>
        <w:gridCol w:w="1049"/>
        <w:gridCol w:w="1049"/>
        <w:gridCol w:w="1049"/>
      </w:tblGrid>
      <w:tr w:rsidR="00AE71A2" w:rsidRPr="003212F5" w14:paraId="394C92CC" w14:textId="77777777" w:rsidTr="002F277A">
        <w:trPr>
          <w:cnfStyle w:val="100000000000" w:firstRow="1" w:lastRow="0" w:firstColumn="0" w:lastColumn="0" w:oddVBand="0" w:evenVBand="0" w:oddHBand="0" w:evenHBand="0" w:firstRowFirstColumn="0" w:firstRowLastColumn="0" w:lastRowFirstColumn="0" w:lastRowLastColumn="0"/>
          <w:trHeight w:val="529"/>
          <w:tblHeader/>
        </w:trPr>
        <w:tc>
          <w:tcPr>
            <w:tcW w:w="1543" w:type="dxa"/>
            <w:tcBorders>
              <w:top w:val="nil"/>
              <w:bottom w:val="single" w:sz="18" w:space="0" w:color="142E3B" w:themeColor="accent6"/>
            </w:tcBorders>
            <w:shd w:val="clear" w:color="auto" w:fill="20B9A3" w:themeFill="accent1"/>
          </w:tcPr>
          <w:p w14:paraId="084C4177" w14:textId="77777777" w:rsidR="00AE71A2" w:rsidRPr="003212F5" w:rsidRDefault="00AE71A2" w:rsidP="0024594C">
            <w:pPr>
              <w:pStyle w:val="TableHeading"/>
              <w:keepNext/>
              <w:spacing w:after="0"/>
              <w:rPr>
                <w:sz w:val="20"/>
              </w:rPr>
            </w:pPr>
            <w:r w:rsidRPr="003212F5">
              <w:rPr>
                <w:sz w:val="20"/>
              </w:rPr>
              <w:t>Treatment arm</w:t>
            </w:r>
          </w:p>
        </w:tc>
        <w:tc>
          <w:tcPr>
            <w:tcW w:w="1049" w:type="dxa"/>
            <w:tcBorders>
              <w:top w:val="nil"/>
              <w:bottom w:val="single" w:sz="18" w:space="0" w:color="142E3B" w:themeColor="accent6"/>
            </w:tcBorders>
            <w:shd w:val="clear" w:color="auto" w:fill="20B9A3" w:themeFill="accent1"/>
          </w:tcPr>
          <w:p w14:paraId="1A2F83B4" w14:textId="77777777" w:rsidR="00283D2E" w:rsidRDefault="00AE71A2">
            <w:pPr>
              <w:pStyle w:val="TableHeading"/>
              <w:keepNext/>
              <w:spacing w:after="0"/>
              <w:rPr>
                <w:sz w:val="20"/>
              </w:rPr>
            </w:pPr>
            <w:r w:rsidRPr="003212F5">
              <w:rPr>
                <w:sz w:val="20"/>
              </w:rPr>
              <w:t>Mean</w:t>
            </w:r>
            <w:r w:rsidR="00064BB5">
              <w:rPr>
                <w:sz w:val="20"/>
              </w:rPr>
              <w:t xml:space="preserve"> </w:t>
            </w:r>
          </w:p>
          <w:p w14:paraId="707834D7" w14:textId="32EBC69F" w:rsidR="00AE71A2" w:rsidRPr="003212F5" w:rsidRDefault="00064BB5">
            <w:pPr>
              <w:pStyle w:val="TableHeading"/>
              <w:keepNext/>
              <w:spacing w:after="0"/>
              <w:rPr>
                <w:sz w:val="20"/>
              </w:rPr>
            </w:pPr>
            <w:r>
              <w:rPr>
                <w:sz w:val="20"/>
              </w:rPr>
              <w:t xml:space="preserve">(5 point </w:t>
            </w:r>
            <w:r w:rsidR="00E11C6F">
              <w:rPr>
                <w:sz w:val="20"/>
              </w:rPr>
              <w:t>Likert</w:t>
            </w:r>
            <w:r>
              <w:rPr>
                <w:sz w:val="20"/>
              </w:rPr>
              <w:t xml:space="preserve"> scale</w:t>
            </w:r>
            <w:r w:rsidR="001B0BE1">
              <w:rPr>
                <w:sz w:val="20"/>
              </w:rPr>
              <w:t>)</w:t>
            </w:r>
          </w:p>
        </w:tc>
        <w:tc>
          <w:tcPr>
            <w:tcW w:w="1049" w:type="dxa"/>
            <w:tcBorders>
              <w:top w:val="nil"/>
              <w:bottom w:val="single" w:sz="18" w:space="0" w:color="142E3B" w:themeColor="accent6"/>
            </w:tcBorders>
            <w:shd w:val="clear" w:color="auto" w:fill="20B9A3" w:themeFill="accent1"/>
          </w:tcPr>
          <w:p w14:paraId="3811F4A6" w14:textId="77777777" w:rsidR="00283D2E" w:rsidRDefault="00AE71A2" w:rsidP="0024594C">
            <w:pPr>
              <w:pStyle w:val="TableHeading"/>
              <w:keepNext/>
              <w:spacing w:after="0"/>
              <w:jc w:val="right"/>
              <w:rPr>
                <w:sz w:val="20"/>
              </w:rPr>
            </w:pPr>
            <w:r>
              <w:rPr>
                <w:sz w:val="20"/>
              </w:rPr>
              <w:t>E</w:t>
            </w:r>
            <w:r w:rsidR="001B0BE1">
              <w:rPr>
                <w:sz w:val="20"/>
              </w:rPr>
              <w:t xml:space="preserve">ffect </w:t>
            </w:r>
          </w:p>
          <w:p w14:paraId="4E90084D" w14:textId="228DE188" w:rsidR="00AE71A2" w:rsidRPr="003212F5" w:rsidRDefault="00064BB5" w:rsidP="0024594C">
            <w:pPr>
              <w:pStyle w:val="TableHeading"/>
              <w:keepNext/>
              <w:spacing w:after="0"/>
              <w:jc w:val="right"/>
              <w:rPr>
                <w:sz w:val="20"/>
              </w:rPr>
            </w:pPr>
            <w:r>
              <w:rPr>
                <w:sz w:val="20"/>
              </w:rPr>
              <w:t xml:space="preserve">(5 point </w:t>
            </w:r>
            <w:r w:rsidR="00E11C6F">
              <w:rPr>
                <w:sz w:val="20"/>
              </w:rPr>
              <w:t>Likert</w:t>
            </w:r>
            <w:r>
              <w:rPr>
                <w:sz w:val="20"/>
              </w:rPr>
              <w:t xml:space="preserve"> scale)</w:t>
            </w:r>
          </w:p>
        </w:tc>
        <w:tc>
          <w:tcPr>
            <w:tcW w:w="1049" w:type="dxa"/>
            <w:tcBorders>
              <w:top w:val="nil"/>
              <w:bottom w:val="single" w:sz="18" w:space="0" w:color="142E3B" w:themeColor="accent6"/>
            </w:tcBorders>
            <w:shd w:val="clear" w:color="auto" w:fill="20B9A3" w:themeFill="accent1"/>
          </w:tcPr>
          <w:p w14:paraId="069B56E8" w14:textId="77777777" w:rsidR="00AE71A2" w:rsidRPr="003212F5" w:rsidRDefault="00AE71A2" w:rsidP="0024594C">
            <w:pPr>
              <w:pStyle w:val="TableHeading"/>
              <w:keepNext/>
              <w:spacing w:after="0"/>
              <w:jc w:val="right"/>
              <w:rPr>
                <w:sz w:val="20"/>
              </w:rPr>
            </w:pPr>
            <w:r w:rsidRPr="003212F5">
              <w:rPr>
                <w:sz w:val="20"/>
              </w:rPr>
              <w:t>Std. error</w:t>
            </w:r>
          </w:p>
        </w:tc>
        <w:tc>
          <w:tcPr>
            <w:tcW w:w="1049" w:type="dxa"/>
            <w:tcBorders>
              <w:top w:val="nil"/>
              <w:bottom w:val="single" w:sz="18" w:space="0" w:color="142E3B" w:themeColor="accent6"/>
            </w:tcBorders>
            <w:shd w:val="clear" w:color="auto" w:fill="20B9A3" w:themeFill="accent1"/>
          </w:tcPr>
          <w:p w14:paraId="0DA0DB02" w14:textId="77777777" w:rsidR="00AE71A2" w:rsidRPr="003212F5" w:rsidRDefault="00AE71A2" w:rsidP="0024594C">
            <w:pPr>
              <w:pStyle w:val="TableHeading"/>
              <w:keepNext/>
              <w:spacing w:after="0"/>
              <w:jc w:val="right"/>
              <w:rPr>
                <w:sz w:val="20"/>
              </w:rPr>
            </w:pPr>
            <w:r w:rsidRPr="003212F5">
              <w:rPr>
                <w:sz w:val="20"/>
              </w:rPr>
              <w:t>p-value</w:t>
            </w:r>
          </w:p>
        </w:tc>
        <w:tc>
          <w:tcPr>
            <w:tcW w:w="1049" w:type="dxa"/>
            <w:tcBorders>
              <w:top w:val="nil"/>
              <w:bottom w:val="single" w:sz="18" w:space="0" w:color="142E3B" w:themeColor="accent6"/>
            </w:tcBorders>
            <w:shd w:val="clear" w:color="auto" w:fill="20B9A3" w:themeFill="accent1"/>
          </w:tcPr>
          <w:p w14:paraId="6EFE94AB" w14:textId="77777777" w:rsidR="00AE71A2" w:rsidRPr="003212F5" w:rsidRDefault="00AE71A2" w:rsidP="0024594C">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49" w:type="dxa"/>
            <w:tcBorders>
              <w:top w:val="nil"/>
              <w:bottom w:val="single" w:sz="18" w:space="0" w:color="142E3B" w:themeColor="accent6"/>
            </w:tcBorders>
            <w:shd w:val="clear" w:color="auto" w:fill="20B9A3" w:themeFill="accent1"/>
          </w:tcPr>
          <w:p w14:paraId="379A661F" w14:textId="77777777" w:rsidR="00AE71A2" w:rsidRPr="003212F5" w:rsidRDefault="00AE71A2" w:rsidP="0024594C">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6F255E80" w14:textId="77777777" w:rsidTr="002F277A">
        <w:trPr>
          <w:trHeight w:val="228"/>
        </w:trPr>
        <w:tc>
          <w:tcPr>
            <w:tcW w:w="1543" w:type="dxa"/>
            <w:shd w:val="clear" w:color="auto" w:fill="auto"/>
          </w:tcPr>
          <w:p w14:paraId="49A8664A" w14:textId="500B1F96" w:rsidR="00AE71A2" w:rsidRPr="003212F5" w:rsidRDefault="00075A7A" w:rsidP="0024594C">
            <w:pPr>
              <w:pStyle w:val="TableTextLeftAligned"/>
              <w:keepNext/>
              <w:spacing w:after="0"/>
              <w:rPr>
                <w:sz w:val="18"/>
              </w:rPr>
            </w:pPr>
            <w:r w:rsidRPr="00075A7A">
              <w:rPr>
                <w:sz w:val="18"/>
              </w:rPr>
              <w:t>A: 2 categories, unsorted</w:t>
            </w:r>
          </w:p>
        </w:tc>
        <w:tc>
          <w:tcPr>
            <w:tcW w:w="1049" w:type="dxa"/>
          </w:tcPr>
          <w:p w14:paraId="5C68F7FA" w14:textId="18E6C53B" w:rsidR="00AE71A2" w:rsidRPr="003212F5" w:rsidRDefault="00AE71A2" w:rsidP="0024594C">
            <w:pPr>
              <w:pStyle w:val="TableTextRightAligned"/>
              <w:keepNext/>
              <w:spacing w:after="0"/>
              <w:rPr>
                <w:sz w:val="18"/>
              </w:rPr>
            </w:pPr>
            <w:r>
              <w:rPr>
                <w:sz w:val="18"/>
              </w:rPr>
              <w:t>3.5742</w:t>
            </w:r>
          </w:p>
        </w:tc>
        <w:tc>
          <w:tcPr>
            <w:tcW w:w="1049" w:type="dxa"/>
            <w:shd w:val="clear" w:color="auto" w:fill="FFFFFF" w:themeFill="background1"/>
          </w:tcPr>
          <w:p w14:paraId="41FE1C85" w14:textId="77777777" w:rsidR="00AE71A2" w:rsidRPr="003212F5" w:rsidRDefault="00AE71A2" w:rsidP="0024594C">
            <w:pPr>
              <w:pStyle w:val="TableTextRightAligned"/>
              <w:keepNext/>
              <w:spacing w:after="0"/>
              <w:rPr>
                <w:sz w:val="18"/>
              </w:rPr>
            </w:pPr>
          </w:p>
        </w:tc>
        <w:tc>
          <w:tcPr>
            <w:tcW w:w="1049" w:type="dxa"/>
          </w:tcPr>
          <w:p w14:paraId="4C98E6F8" w14:textId="77777777" w:rsidR="00AE71A2" w:rsidRPr="003212F5" w:rsidRDefault="00AE71A2" w:rsidP="0024594C">
            <w:pPr>
              <w:pStyle w:val="TableTextRightAligned"/>
              <w:keepNext/>
              <w:spacing w:after="0"/>
              <w:rPr>
                <w:sz w:val="18"/>
              </w:rPr>
            </w:pPr>
          </w:p>
        </w:tc>
        <w:tc>
          <w:tcPr>
            <w:tcW w:w="1049" w:type="dxa"/>
            <w:shd w:val="clear" w:color="auto" w:fill="FFFFFF" w:themeFill="background1"/>
          </w:tcPr>
          <w:p w14:paraId="079CFB87" w14:textId="77777777" w:rsidR="00AE71A2" w:rsidRPr="003212F5" w:rsidRDefault="00AE71A2" w:rsidP="0024594C">
            <w:pPr>
              <w:pStyle w:val="TableTextRightAligned"/>
              <w:keepNext/>
              <w:spacing w:after="0"/>
              <w:rPr>
                <w:sz w:val="18"/>
              </w:rPr>
            </w:pPr>
          </w:p>
        </w:tc>
        <w:tc>
          <w:tcPr>
            <w:tcW w:w="1049" w:type="dxa"/>
          </w:tcPr>
          <w:p w14:paraId="2C6A1CB2" w14:textId="77777777" w:rsidR="00AE71A2" w:rsidRPr="003212F5" w:rsidRDefault="00AE71A2" w:rsidP="0024594C">
            <w:pPr>
              <w:pStyle w:val="TableTextRightAligned"/>
              <w:keepNext/>
              <w:spacing w:after="0"/>
              <w:rPr>
                <w:sz w:val="18"/>
              </w:rPr>
            </w:pPr>
          </w:p>
        </w:tc>
        <w:tc>
          <w:tcPr>
            <w:tcW w:w="1049" w:type="dxa"/>
            <w:shd w:val="clear" w:color="auto" w:fill="FFFFFF" w:themeFill="background1"/>
          </w:tcPr>
          <w:p w14:paraId="7DDBAA68" w14:textId="77777777" w:rsidR="00AE71A2" w:rsidRPr="003212F5" w:rsidRDefault="00AE71A2" w:rsidP="0024594C">
            <w:pPr>
              <w:pStyle w:val="TableTextRightAligned"/>
              <w:keepNext/>
              <w:spacing w:after="0"/>
              <w:ind w:left="-75" w:hanging="34"/>
              <w:rPr>
                <w:sz w:val="18"/>
              </w:rPr>
            </w:pPr>
          </w:p>
        </w:tc>
      </w:tr>
      <w:tr w:rsidR="00AE71A2" w:rsidRPr="003212F5" w14:paraId="3288B7F9" w14:textId="77777777" w:rsidTr="002F277A">
        <w:trPr>
          <w:trHeight w:val="228"/>
        </w:trPr>
        <w:tc>
          <w:tcPr>
            <w:tcW w:w="1543" w:type="dxa"/>
            <w:shd w:val="clear" w:color="auto" w:fill="auto"/>
          </w:tcPr>
          <w:p w14:paraId="07A7451F" w14:textId="1068803F" w:rsidR="00AE71A2" w:rsidRPr="003212F5" w:rsidRDefault="006040C0" w:rsidP="0024594C">
            <w:pPr>
              <w:pStyle w:val="TableTextLeftAligned"/>
              <w:spacing w:after="0"/>
              <w:rPr>
                <w:sz w:val="18"/>
              </w:rPr>
            </w:pPr>
            <w:r w:rsidRPr="006040C0">
              <w:rPr>
                <w:sz w:val="18"/>
              </w:rPr>
              <w:t>B: 3 categories, unsorted</w:t>
            </w:r>
          </w:p>
        </w:tc>
        <w:tc>
          <w:tcPr>
            <w:tcW w:w="1049" w:type="dxa"/>
          </w:tcPr>
          <w:p w14:paraId="37136A0A" w14:textId="2C7ACB78" w:rsidR="00AE71A2" w:rsidRPr="003212F5" w:rsidRDefault="00AE71A2" w:rsidP="0024594C">
            <w:pPr>
              <w:pStyle w:val="TableTextRightAligned"/>
              <w:spacing w:after="0"/>
              <w:rPr>
                <w:sz w:val="18"/>
              </w:rPr>
            </w:pPr>
            <w:r>
              <w:rPr>
                <w:sz w:val="18"/>
              </w:rPr>
              <w:t>3.5940</w:t>
            </w:r>
          </w:p>
        </w:tc>
        <w:tc>
          <w:tcPr>
            <w:tcW w:w="1049" w:type="dxa"/>
            <w:shd w:val="clear" w:color="auto" w:fill="FFFFFF" w:themeFill="background1"/>
          </w:tcPr>
          <w:p w14:paraId="7ED7C8D0" w14:textId="574180A0" w:rsidR="00AE71A2" w:rsidRPr="003212F5" w:rsidRDefault="00AE71A2" w:rsidP="00DF2A47">
            <w:pPr>
              <w:pStyle w:val="TableTextRightAligned"/>
              <w:spacing w:after="0"/>
              <w:rPr>
                <w:sz w:val="18"/>
              </w:rPr>
            </w:pPr>
            <w:r>
              <w:rPr>
                <w:sz w:val="18"/>
              </w:rPr>
              <w:t>0.0198</w:t>
            </w:r>
          </w:p>
        </w:tc>
        <w:tc>
          <w:tcPr>
            <w:tcW w:w="1049" w:type="dxa"/>
          </w:tcPr>
          <w:p w14:paraId="373FC2D5" w14:textId="3A30726F" w:rsidR="00AE71A2" w:rsidRPr="003212F5" w:rsidRDefault="00AE71A2" w:rsidP="00DF2A47">
            <w:pPr>
              <w:pStyle w:val="TableTextRightAligned"/>
              <w:spacing w:after="0"/>
              <w:rPr>
                <w:sz w:val="18"/>
              </w:rPr>
            </w:pPr>
            <w:r>
              <w:rPr>
                <w:sz w:val="18"/>
              </w:rPr>
              <w:t>0.0534</w:t>
            </w:r>
          </w:p>
        </w:tc>
        <w:tc>
          <w:tcPr>
            <w:tcW w:w="1049" w:type="dxa"/>
            <w:shd w:val="clear" w:color="auto" w:fill="FFFFFF" w:themeFill="background1"/>
          </w:tcPr>
          <w:p w14:paraId="4F5EEA58" w14:textId="26AF4FF4" w:rsidR="00AE71A2" w:rsidRPr="003212F5" w:rsidRDefault="00AE71A2" w:rsidP="00DF2A47">
            <w:pPr>
              <w:pStyle w:val="TableTextRightAligned"/>
              <w:spacing w:after="0"/>
              <w:rPr>
                <w:sz w:val="18"/>
              </w:rPr>
            </w:pPr>
            <w:r>
              <w:rPr>
                <w:sz w:val="18"/>
              </w:rPr>
              <w:t>0.3556</w:t>
            </w:r>
          </w:p>
        </w:tc>
        <w:tc>
          <w:tcPr>
            <w:tcW w:w="1049" w:type="dxa"/>
          </w:tcPr>
          <w:p w14:paraId="07511A7F" w14:textId="3A80DFDD" w:rsidR="00AE71A2" w:rsidRPr="003212F5" w:rsidRDefault="00AE71A2" w:rsidP="00DF2A47">
            <w:pPr>
              <w:pStyle w:val="TableTextRightAligned"/>
              <w:spacing w:after="0"/>
              <w:rPr>
                <w:sz w:val="18"/>
              </w:rPr>
            </w:pPr>
            <w:r>
              <w:rPr>
                <w:sz w:val="18"/>
              </w:rPr>
              <w:t>-0.0850</w:t>
            </w:r>
          </w:p>
        </w:tc>
        <w:tc>
          <w:tcPr>
            <w:tcW w:w="1049" w:type="dxa"/>
            <w:shd w:val="clear" w:color="auto" w:fill="FFFFFF" w:themeFill="background1"/>
          </w:tcPr>
          <w:p w14:paraId="4D723C86" w14:textId="789A216A" w:rsidR="00AE71A2" w:rsidRPr="003212F5" w:rsidRDefault="00AE71A2">
            <w:pPr>
              <w:pStyle w:val="TableTextRightAligned"/>
              <w:spacing w:after="0"/>
              <w:ind w:left="-75" w:hanging="34"/>
              <w:rPr>
                <w:sz w:val="18"/>
              </w:rPr>
            </w:pPr>
            <w:r>
              <w:rPr>
                <w:sz w:val="18"/>
              </w:rPr>
              <w:t>0.1246</w:t>
            </w:r>
          </w:p>
        </w:tc>
      </w:tr>
    </w:tbl>
    <w:p w14:paraId="42069663" w14:textId="4490244A" w:rsidR="003D6D05" w:rsidRDefault="003D6D05" w:rsidP="003D6D05">
      <w:pPr>
        <w:spacing w:line="240" w:lineRule="auto"/>
        <w:rPr>
          <w:sz w:val="18"/>
        </w:rPr>
      </w:pPr>
      <w:r w:rsidRPr="00BE642E">
        <w:rPr>
          <w:sz w:val="18"/>
        </w:rPr>
        <w:t>Note</w:t>
      </w:r>
      <w:r>
        <w:rPr>
          <w:sz w:val="18"/>
        </w:rPr>
        <w:t xml:space="preserve">: n = 1,498, OLS regression, </w:t>
      </w:r>
      <w:r w:rsidRPr="00BE642E">
        <w:rPr>
          <w:sz w:val="18"/>
        </w:rPr>
        <w:t xml:space="preserve">p-values are </w:t>
      </w:r>
      <w:r w:rsidRPr="00236038">
        <w:rPr>
          <w:sz w:val="18"/>
        </w:rPr>
        <w:t xml:space="preserve">from one-tailed tests. </w:t>
      </w:r>
      <w:r w:rsidRPr="00B41DC6">
        <w:rPr>
          <w:sz w:val="18"/>
        </w:rPr>
        <w:t>We did not correct for multiple comparisons.</w:t>
      </w:r>
      <w:r w:rsidR="00064BB5">
        <w:rPr>
          <w:sz w:val="18"/>
        </w:rPr>
        <w:t xml:space="preserve"> Units – 5 point </w:t>
      </w:r>
      <w:r w:rsidR="00E11C6F">
        <w:rPr>
          <w:sz w:val="18"/>
        </w:rPr>
        <w:t>Likert</w:t>
      </w:r>
      <w:r w:rsidR="00064BB5">
        <w:rPr>
          <w:sz w:val="18"/>
        </w:rPr>
        <w:t xml:space="preserve"> scale where</w:t>
      </w:r>
      <w:r w:rsidR="00064BB5" w:rsidRPr="00064BB5">
        <w:rPr>
          <w:sz w:val="18"/>
        </w:rPr>
        <w:t xml:space="preserve"> 1 = very unlikely, 5 = very likely</w:t>
      </w:r>
      <w:r w:rsidR="00064BB5">
        <w:rPr>
          <w:sz w:val="18"/>
        </w:rPr>
        <w:t>.</w:t>
      </w:r>
    </w:p>
    <w:p w14:paraId="11C42005" w14:textId="13F68957" w:rsidR="003D6D05" w:rsidRPr="009F3C0D" w:rsidRDefault="003D6D05" w:rsidP="00BD20D5">
      <w:pPr>
        <w:pStyle w:val="HeadingTable"/>
        <w:spacing w:before="240" w:after="120"/>
        <w:ind w:left="357" w:hanging="357"/>
        <w:outlineLvl w:val="3"/>
      </w:pPr>
      <w:r>
        <w:t xml:space="preserve">Secondary outcome – </w:t>
      </w:r>
      <w:r w:rsidR="009E55DA">
        <w:t>intention to switch</w:t>
      </w:r>
    </w:p>
    <w:tbl>
      <w:tblPr>
        <w:tblStyle w:val="DefaultTable"/>
        <w:tblW w:w="7852"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46"/>
        <w:gridCol w:w="1051"/>
        <w:gridCol w:w="1051"/>
        <w:gridCol w:w="1051"/>
        <w:gridCol w:w="1051"/>
        <w:gridCol w:w="1051"/>
        <w:gridCol w:w="1051"/>
      </w:tblGrid>
      <w:tr w:rsidR="00AE71A2" w:rsidRPr="003212F5" w14:paraId="471AE228" w14:textId="77777777" w:rsidTr="002F277A">
        <w:trPr>
          <w:cnfStyle w:val="100000000000" w:firstRow="1" w:lastRow="0" w:firstColumn="0" w:lastColumn="0" w:oddVBand="0" w:evenVBand="0" w:oddHBand="0" w:evenHBand="0" w:firstRowFirstColumn="0" w:firstRowLastColumn="0" w:lastRowFirstColumn="0" w:lastRowLastColumn="0"/>
          <w:trHeight w:val="520"/>
          <w:tblHeader/>
        </w:trPr>
        <w:tc>
          <w:tcPr>
            <w:tcW w:w="1546" w:type="dxa"/>
            <w:tcBorders>
              <w:top w:val="nil"/>
              <w:bottom w:val="single" w:sz="18" w:space="0" w:color="142E3B" w:themeColor="accent6"/>
            </w:tcBorders>
            <w:shd w:val="clear" w:color="auto" w:fill="20B9A3" w:themeFill="accent1"/>
          </w:tcPr>
          <w:p w14:paraId="2C0D214E" w14:textId="77777777" w:rsidR="00AE71A2" w:rsidRPr="003212F5" w:rsidRDefault="00AE71A2" w:rsidP="0024594C">
            <w:pPr>
              <w:pStyle w:val="TableHeading"/>
              <w:keepNext/>
              <w:spacing w:after="0"/>
              <w:rPr>
                <w:sz w:val="20"/>
              </w:rPr>
            </w:pPr>
            <w:r w:rsidRPr="003212F5">
              <w:rPr>
                <w:sz w:val="20"/>
              </w:rPr>
              <w:t>Treatment arm</w:t>
            </w:r>
          </w:p>
        </w:tc>
        <w:tc>
          <w:tcPr>
            <w:tcW w:w="1051" w:type="dxa"/>
            <w:tcBorders>
              <w:top w:val="nil"/>
              <w:bottom w:val="single" w:sz="18" w:space="0" w:color="142E3B" w:themeColor="accent6"/>
            </w:tcBorders>
            <w:shd w:val="clear" w:color="auto" w:fill="20B9A3" w:themeFill="accent1"/>
          </w:tcPr>
          <w:p w14:paraId="75EECB6B" w14:textId="77777777" w:rsidR="00283D2E" w:rsidRDefault="00AE71A2" w:rsidP="0024594C">
            <w:pPr>
              <w:pStyle w:val="TableHeading"/>
              <w:keepNext/>
              <w:spacing w:after="0"/>
              <w:rPr>
                <w:sz w:val="20"/>
              </w:rPr>
            </w:pPr>
            <w:r w:rsidRPr="003212F5">
              <w:rPr>
                <w:sz w:val="20"/>
              </w:rPr>
              <w:t>Mean</w:t>
            </w:r>
            <w:r w:rsidR="001B0BE1">
              <w:rPr>
                <w:sz w:val="20"/>
              </w:rPr>
              <w:t xml:space="preserve"> </w:t>
            </w:r>
          </w:p>
          <w:p w14:paraId="0EC37DBD" w14:textId="53B2302B" w:rsidR="00AE71A2" w:rsidRPr="003212F5" w:rsidRDefault="00064BB5" w:rsidP="0024594C">
            <w:pPr>
              <w:pStyle w:val="TableHeading"/>
              <w:keepNext/>
              <w:spacing w:after="0"/>
              <w:rPr>
                <w:sz w:val="20"/>
              </w:rPr>
            </w:pPr>
            <w:r>
              <w:rPr>
                <w:sz w:val="20"/>
              </w:rPr>
              <w:t xml:space="preserve">(5 point </w:t>
            </w:r>
            <w:r w:rsidR="00E11C6F">
              <w:rPr>
                <w:sz w:val="20"/>
              </w:rPr>
              <w:t>Likert</w:t>
            </w:r>
            <w:r>
              <w:rPr>
                <w:sz w:val="20"/>
              </w:rPr>
              <w:t xml:space="preserve"> scale)</w:t>
            </w:r>
          </w:p>
        </w:tc>
        <w:tc>
          <w:tcPr>
            <w:tcW w:w="1051" w:type="dxa"/>
            <w:tcBorders>
              <w:top w:val="nil"/>
              <w:bottom w:val="single" w:sz="18" w:space="0" w:color="142E3B" w:themeColor="accent6"/>
            </w:tcBorders>
            <w:shd w:val="clear" w:color="auto" w:fill="20B9A3" w:themeFill="accent1"/>
          </w:tcPr>
          <w:p w14:paraId="1A85D94F" w14:textId="77777777" w:rsidR="00283D2E" w:rsidRDefault="00AE71A2">
            <w:pPr>
              <w:pStyle w:val="TableHeading"/>
              <w:keepNext/>
              <w:spacing w:after="0"/>
              <w:jc w:val="right"/>
              <w:rPr>
                <w:sz w:val="20"/>
              </w:rPr>
            </w:pPr>
            <w:r>
              <w:rPr>
                <w:sz w:val="20"/>
              </w:rPr>
              <w:t>E</w:t>
            </w:r>
            <w:r w:rsidR="00064BB5">
              <w:rPr>
                <w:sz w:val="20"/>
              </w:rPr>
              <w:t xml:space="preserve">ffect </w:t>
            </w:r>
          </w:p>
          <w:p w14:paraId="7CBB6B50" w14:textId="383D161B" w:rsidR="00AE71A2" w:rsidRPr="003212F5" w:rsidRDefault="00064BB5">
            <w:pPr>
              <w:pStyle w:val="TableHeading"/>
              <w:keepNext/>
              <w:spacing w:after="0"/>
              <w:jc w:val="right"/>
              <w:rPr>
                <w:sz w:val="20"/>
              </w:rPr>
            </w:pPr>
            <w:r>
              <w:rPr>
                <w:sz w:val="20"/>
              </w:rPr>
              <w:t xml:space="preserve">(5 point </w:t>
            </w:r>
            <w:r w:rsidR="00E11C6F">
              <w:rPr>
                <w:sz w:val="20"/>
              </w:rPr>
              <w:t>Likert</w:t>
            </w:r>
            <w:r>
              <w:rPr>
                <w:sz w:val="20"/>
              </w:rPr>
              <w:t xml:space="preserve"> scale)</w:t>
            </w:r>
          </w:p>
        </w:tc>
        <w:tc>
          <w:tcPr>
            <w:tcW w:w="1051" w:type="dxa"/>
            <w:tcBorders>
              <w:top w:val="nil"/>
              <w:bottom w:val="single" w:sz="18" w:space="0" w:color="142E3B" w:themeColor="accent6"/>
            </w:tcBorders>
            <w:shd w:val="clear" w:color="auto" w:fill="20B9A3" w:themeFill="accent1"/>
          </w:tcPr>
          <w:p w14:paraId="3D10C9FC" w14:textId="77777777" w:rsidR="00AE71A2" w:rsidRPr="003212F5" w:rsidRDefault="00AE71A2" w:rsidP="0024594C">
            <w:pPr>
              <w:pStyle w:val="TableHeading"/>
              <w:keepNext/>
              <w:spacing w:after="0"/>
              <w:jc w:val="right"/>
              <w:rPr>
                <w:sz w:val="20"/>
              </w:rPr>
            </w:pPr>
            <w:r w:rsidRPr="003212F5">
              <w:rPr>
                <w:sz w:val="20"/>
              </w:rPr>
              <w:t>Std. error</w:t>
            </w:r>
          </w:p>
        </w:tc>
        <w:tc>
          <w:tcPr>
            <w:tcW w:w="1051" w:type="dxa"/>
            <w:tcBorders>
              <w:top w:val="nil"/>
              <w:bottom w:val="single" w:sz="18" w:space="0" w:color="142E3B" w:themeColor="accent6"/>
            </w:tcBorders>
            <w:shd w:val="clear" w:color="auto" w:fill="20B9A3" w:themeFill="accent1"/>
          </w:tcPr>
          <w:p w14:paraId="4A51A4D0" w14:textId="77777777" w:rsidR="00AE71A2" w:rsidRPr="003212F5" w:rsidRDefault="00AE71A2" w:rsidP="0024594C">
            <w:pPr>
              <w:pStyle w:val="TableHeading"/>
              <w:keepNext/>
              <w:spacing w:after="0"/>
              <w:jc w:val="right"/>
              <w:rPr>
                <w:sz w:val="20"/>
              </w:rPr>
            </w:pPr>
            <w:r w:rsidRPr="003212F5">
              <w:rPr>
                <w:sz w:val="20"/>
              </w:rPr>
              <w:t>p-value</w:t>
            </w:r>
          </w:p>
        </w:tc>
        <w:tc>
          <w:tcPr>
            <w:tcW w:w="1051" w:type="dxa"/>
            <w:tcBorders>
              <w:top w:val="nil"/>
              <w:bottom w:val="single" w:sz="18" w:space="0" w:color="142E3B" w:themeColor="accent6"/>
            </w:tcBorders>
            <w:shd w:val="clear" w:color="auto" w:fill="20B9A3" w:themeFill="accent1"/>
          </w:tcPr>
          <w:p w14:paraId="392CA158" w14:textId="77777777" w:rsidR="00AE71A2" w:rsidRPr="003212F5" w:rsidRDefault="00AE71A2" w:rsidP="0024594C">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51" w:type="dxa"/>
            <w:tcBorders>
              <w:top w:val="nil"/>
              <w:bottom w:val="single" w:sz="18" w:space="0" w:color="142E3B" w:themeColor="accent6"/>
            </w:tcBorders>
            <w:shd w:val="clear" w:color="auto" w:fill="20B9A3" w:themeFill="accent1"/>
          </w:tcPr>
          <w:p w14:paraId="00368863" w14:textId="77777777" w:rsidR="00AE71A2" w:rsidRPr="003212F5" w:rsidRDefault="00AE71A2" w:rsidP="0024594C">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287E8B5A" w14:textId="77777777" w:rsidTr="002F277A">
        <w:trPr>
          <w:trHeight w:val="225"/>
        </w:trPr>
        <w:tc>
          <w:tcPr>
            <w:tcW w:w="1546" w:type="dxa"/>
            <w:shd w:val="clear" w:color="auto" w:fill="auto"/>
          </w:tcPr>
          <w:p w14:paraId="6D62E81B" w14:textId="3508A8A1" w:rsidR="00AE71A2" w:rsidRPr="003212F5" w:rsidRDefault="006040C0" w:rsidP="0024594C">
            <w:pPr>
              <w:pStyle w:val="TableTextLeftAligned"/>
              <w:keepNext/>
              <w:spacing w:after="0"/>
              <w:rPr>
                <w:sz w:val="18"/>
              </w:rPr>
            </w:pPr>
            <w:r w:rsidRPr="006040C0">
              <w:rPr>
                <w:sz w:val="18"/>
              </w:rPr>
              <w:t>B: 3 categories, unsorted</w:t>
            </w:r>
          </w:p>
        </w:tc>
        <w:tc>
          <w:tcPr>
            <w:tcW w:w="1051" w:type="dxa"/>
          </w:tcPr>
          <w:p w14:paraId="066F384B" w14:textId="38761E81" w:rsidR="00AE71A2" w:rsidRPr="003212F5" w:rsidRDefault="00AE71A2" w:rsidP="0024594C">
            <w:pPr>
              <w:pStyle w:val="TableTextRightAligned"/>
              <w:keepNext/>
              <w:spacing w:after="0"/>
              <w:rPr>
                <w:sz w:val="18"/>
              </w:rPr>
            </w:pPr>
            <w:r>
              <w:rPr>
                <w:sz w:val="18"/>
              </w:rPr>
              <w:t>3.6004</w:t>
            </w:r>
          </w:p>
        </w:tc>
        <w:tc>
          <w:tcPr>
            <w:tcW w:w="1051" w:type="dxa"/>
            <w:shd w:val="clear" w:color="auto" w:fill="FFFFFF" w:themeFill="background1"/>
          </w:tcPr>
          <w:p w14:paraId="73CF38AF" w14:textId="77777777" w:rsidR="00AE71A2" w:rsidRPr="003212F5" w:rsidRDefault="00AE71A2" w:rsidP="0024594C">
            <w:pPr>
              <w:pStyle w:val="TableTextRightAligned"/>
              <w:keepNext/>
              <w:spacing w:after="0"/>
              <w:rPr>
                <w:sz w:val="18"/>
              </w:rPr>
            </w:pPr>
          </w:p>
        </w:tc>
        <w:tc>
          <w:tcPr>
            <w:tcW w:w="1051" w:type="dxa"/>
          </w:tcPr>
          <w:p w14:paraId="6FBE8E8D" w14:textId="77777777" w:rsidR="00AE71A2" w:rsidRPr="003212F5" w:rsidRDefault="00AE71A2" w:rsidP="0024594C">
            <w:pPr>
              <w:pStyle w:val="TableTextRightAligned"/>
              <w:keepNext/>
              <w:spacing w:after="0"/>
              <w:rPr>
                <w:sz w:val="18"/>
              </w:rPr>
            </w:pPr>
          </w:p>
        </w:tc>
        <w:tc>
          <w:tcPr>
            <w:tcW w:w="1051" w:type="dxa"/>
            <w:shd w:val="clear" w:color="auto" w:fill="FFFFFF" w:themeFill="background1"/>
          </w:tcPr>
          <w:p w14:paraId="64BA23E5" w14:textId="77777777" w:rsidR="00AE71A2" w:rsidRPr="003212F5" w:rsidRDefault="00AE71A2" w:rsidP="0024594C">
            <w:pPr>
              <w:pStyle w:val="TableTextRightAligned"/>
              <w:keepNext/>
              <w:spacing w:after="0"/>
              <w:rPr>
                <w:sz w:val="18"/>
              </w:rPr>
            </w:pPr>
          </w:p>
        </w:tc>
        <w:tc>
          <w:tcPr>
            <w:tcW w:w="1051" w:type="dxa"/>
          </w:tcPr>
          <w:p w14:paraId="53FFF3B6" w14:textId="77777777" w:rsidR="00AE71A2" w:rsidRPr="003212F5" w:rsidRDefault="00AE71A2" w:rsidP="0024594C">
            <w:pPr>
              <w:pStyle w:val="TableTextRightAligned"/>
              <w:keepNext/>
              <w:spacing w:after="0"/>
              <w:rPr>
                <w:sz w:val="18"/>
              </w:rPr>
            </w:pPr>
          </w:p>
        </w:tc>
        <w:tc>
          <w:tcPr>
            <w:tcW w:w="1051" w:type="dxa"/>
            <w:shd w:val="clear" w:color="auto" w:fill="FFFFFF" w:themeFill="background1"/>
          </w:tcPr>
          <w:p w14:paraId="1D35800F" w14:textId="77777777" w:rsidR="00AE71A2" w:rsidRPr="003212F5" w:rsidRDefault="00AE71A2" w:rsidP="0024594C">
            <w:pPr>
              <w:pStyle w:val="TableTextRightAligned"/>
              <w:keepNext/>
              <w:spacing w:after="0"/>
              <w:ind w:left="-75" w:hanging="34"/>
              <w:rPr>
                <w:sz w:val="18"/>
              </w:rPr>
            </w:pPr>
          </w:p>
        </w:tc>
      </w:tr>
      <w:tr w:rsidR="00AE71A2" w:rsidRPr="003212F5" w14:paraId="1F8F64C1" w14:textId="77777777" w:rsidTr="002F277A">
        <w:trPr>
          <w:trHeight w:val="225"/>
        </w:trPr>
        <w:tc>
          <w:tcPr>
            <w:tcW w:w="1546" w:type="dxa"/>
            <w:shd w:val="clear" w:color="auto" w:fill="auto"/>
          </w:tcPr>
          <w:p w14:paraId="19B4D59D" w14:textId="2319DFF4" w:rsidR="00AE71A2" w:rsidRPr="003212F5" w:rsidRDefault="006040C0" w:rsidP="0024594C">
            <w:pPr>
              <w:pStyle w:val="TableTextLeftAligned"/>
              <w:spacing w:after="0"/>
              <w:rPr>
                <w:sz w:val="18"/>
              </w:rPr>
            </w:pPr>
            <w:r w:rsidRPr="006040C0">
              <w:rPr>
                <w:sz w:val="18"/>
              </w:rPr>
              <w:t>C: 3 categories, sorted</w:t>
            </w:r>
          </w:p>
        </w:tc>
        <w:tc>
          <w:tcPr>
            <w:tcW w:w="1051" w:type="dxa"/>
          </w:tcPr>
          <w:p w14:paraId="49739A50" w14:textId="5C7D1770" w:rsidR="00AE71A2" w:rsidRPr="003212F5" w:rsidRDefault="00AE71A2" w:rsidP="0024594C">
            <w:pPr>
              <w:pStyle w:val="TableTextRightAligned"/>
              <w:spacing w:after="0"/>
              <w:rPr>
                <w:sz w:val="18"/>
              </w:rPr>
            </w:pPr>
            <w:r>
              <w:rPr>
                <w:sz w:val="18"/>
              </w:rPr>
              <w:t>3.5926</w:t>
            </w:r>
          </w:p>
        </w:tc>
        <w:tc>
          <w:tcPr>
            <w:tcW w:w="1051" w:type="dxa"/>
            <w:shd w:val="clear" w:color="auto" w:fill="FFFFFF" w:themeFill="background1"/>
          </w:tcPr>
          <w:p w14:paraId="72F3C454" w14:textId="4BDEAE63" w:rsidR="00AE71A2" w:rsidRPr="003212F5" w:rsidRDefault="00AE71A2" w:rsidP="00DF2A47">
            <w:pPr>
              <w:pStyle w:val="TableTextRightAligned"/>
              <w:spacing w:after="0"/>
              <w:rPr>
                <w:sz w:val="18"/>
              </w:rPr>
            </w:pPr>
            <w:r>
              <w:rPr>
                <w:sz w:val="18"/>
              </w:rPr>
              <w:t>-0.0079</w:t>
            </w:r>
          </w:p>
        </w:tc>
        <w:tc>
          <w:tcPr>
            <w:tcW w:w="1051" w:type="dxa"/>
          </w:tcPr>
          <w:p w14:paraId="0CBFBF7B" w14:textId="4D97CDF6" w:rsidR="00AE71A2" w:rsidRPr="003212F5" w:rsidRDefault="00AE71A2" w:rsidP="00DF2A47">
            <w:pPr>
              <w:pStyle w:val="TableTextRightAligned"/>
              <w:spacing w:after="0"/>
              <w:rPr>
                <w:sz w:val="18"/>
              </w:rPr>
            </w:pPr>
            <w:r>
              <w:rPr>
                <w:sz w:val="18"/>
              </w:rPr>
              <w:t>0.0543</w:t>
            </w:r>
          </w:p>
        </w:tc>
        <w:tc>
          <w:tcPr>
            <w:tcW w:w="1051" w:type="dxa"/>
            <w:shd w:val="clear" w:color="auto" w:fill="FFFFFF" w:themeFill="background1"/>
          </w:tcPr>
          <w:p w14:paraId="2B1D639E" w14:textId="562F10BC" w:rsidR="00AE71A2" w:rsidRPr="003212F5" w:rsidRDefault="00AE71A2" w:rsidP="00D4615B">
            <w:pPr>
              <w:pStyle w:val="TableTextRightAligned"/>
              <w:spacing w:after="0"/>
              <w:rPr>
                <w:sz w:val="18"/>
              </w:rPr>
            </w:pPr>
            <w:r>
              <w:rPr>
                <w:sz w:val="18"/>
              </w:rPr>
              <w:t>0.5578</w:t>
            </w:r>
          </w:p>
        </w:tc>
        <w:tc>
          <w:tcPr>
            <w:tcW w:w="1051" w:type="dxa"/>
          </w:tcPr>
          <w:p w14:paraId="21835CAC" w14:textId="2604F701" w:rsidR="00AE71A2" w:rsidRPr="003212F5" w:rsidRDefault="00AE71A2" w:rsidP="00DF2A47">
            <w:pPr>
              <w:pStyle w:val="TableTextRightAligned"/>
              <w:spacing w:after="0"/>
              <w:rPr>
                <w:sz w:val="18"/>
              </w:rPr>
            </w:pPr>
            <w:r>
              <w:rPr>
                <w:sz w:val="18"/>
              </w:rPr>
              <w:t>-0.1143</w:t>
            </w:r>
          </w:p>
        </w:tc>
        <w:tc>
          <w:tcPr>
            <w:tcW w:w="1051" w:type="dxa"/>
            <w:shd w:val="clear" w:color="auto" w:fill="FFFFFF" w:themeFill="background1"/>
          </w:tcPr>
          <w:p w14:paraId="4786F5C5" w14:textId="5C80F0D0" w:rsidR="00AE71A2" w:rsidRPr="003212F5" w:rsidRDefault="00AE71A2">
            <w:pPr>
              <w:pStyle w:val="TableTextRightAligned"/>
              <w:spacing w:after="0"/>
              <w:ind w:left="-75" w:hanging="34"/>
              <w:rPr>
                <w:sz w:val="18"/>
              </w:rPr>
            </w:pPr>
            <w:r>
              <w:rPr>
                <w:sz w:val="18"/>
              </w:rPr>
              <w:t>0.0985</w:t>
            </w:r>
          </w:p>
        </w:tc>
      </w:tr>
    </w:tbl>
    <w:p w14:paraId="5B18FFF3" w14:textId="008CEFAD" w:rsidR="003D6D05" w:rsidRDefault="003D6D05" w:rsidP="003D6D05">
      <w:pPr>
        <w:spacing w:line="240" w:lineRule="auto"/>
        <w:rPr>
          <w:sz w:val="18"/>
        </w:rPr>
      </w:pPr>
      <w:r w:rsidRPr="00BE642E">
        <w:rPr>
          <w:sz w:val="18"/>
        </w:rPr>
        <w:t>Note</w:t>
      </w:r>
      <w:r>
        <w:rPr>
          <w:sz w:val="18"/>
        </w:rPr>
        <w:t xml:space="preserve">: n = 1,484, OLS regression, </w:t>
      </w:r>
      <w:r w:rsidRPr="00BE642E">
        <w:rPr>
          <w:sz w:val="18"/>
        </w:rPr>
        <w:t xml:space="preserve">p-values are </w:t>
      </w:r>
      <w:r w:rsidRPr="00236038">
        <w:rPr>
          <w:sz w:val="18"/>
        </w:rPr>
        <w:t>from one-tailed tests.</w:t>
      </w:r>
      <w:r>
        <w:rPr>
          <w:sz w:val="18"/>
        </w:rPr>
        <w:t xml:space="preserve"> </w:t>
      </w:r>
      <w:r w:rsidRPr="00B41DC6">
        <w:rPr>
          <w:sz w:val="18"/>
        </w:rPr>
        <w:t xml:space="preserve">We did not correct for multiple </w:t>
      </w:r>
      <w:r w:rsidRPr="00064BB5">
        <w:rPr>
          <w:sz w:val="18"/>
        </w:rPr>
        <w:t>comparisons.</w:t>
      </w:r>
      <w:r w:rsidRPr="002F277A">
        <w:rPr>
          <w:sz w:val="18"/>
        </w:rPr>
        <w:t xml:space="preserve"> </w:t>
      </w:r>
      <w:r w:rsidR="00064BB5" w:rsidRPr="00064BB5">
        <w:rPr>
          <w:sz w:val="18"/>
        </w:rPr>
        <w:t>Units</w:t>
      </w:r>
      <w:r w:rsidR="00064BB5">
        <w:rPr>
          <w:sz w:val="18"/>
        </w:rPr>
        <w:t xml:space="preserve"> – 5 point </w:t>
      </w:r>
      <w:r w:rsidR="00E11C6F">
        <w:rPr>
          <w:sz w:val="18"/>
        </w:rPr>
        <w:t>Likert</w:t>
      </w:r>
      <w:r w:rsidR="00064BB5">
        <w:rPr>
          <w:sz w:val="18"/>
        </w:rPr>
        <w:t xml:space="preserve"> scale where</w:t>
      </w:r>
      <w:r w:rsidR="00064BB5" w:rsidRPr="00064BB5">
        <w:rPr>
          <w:sz w:val="18"/>
        </w:rPr>
        <w:t xml:space="preserve"> 1 = very unlikely, 5 = very likely</w:t>
      </w:r>
      <w:r w:rsidR="00064BB5">
        <w:rPr>
          <w:sz w:val="18"/>
        </w:rPr>
        <w:t>.</w:t>
      </w:r>
    </w:p>
    <w:p w14:paraId="69200430" w14:textId="5D3D791B" w:rsidR="003D6D05" w:rsidRPr="009F3C0D" w:rsidRDefault="003D6D05" w:rsidP="00BD20D5">
      <w:pPr>
        <w:pStyle w:val="HeadingTable"/>
        <w:spacing w:before="240" w:after="120"/>
        <w:ind w:left="357" w:hanging="357"/>
        <w:outlineLvl w:val="3"/>
      </w:pPr>
      <w:r>
        <w:t xml:space="preserve">Secondary outcome – </w:t>
      </w:r>
      <w:r w:rsidR="009E55DA">
        <w:t>intention to switch</w:t>
      </w:r>
    </w:p>
    <w:tbl>
      <w:tblPr>
        <w:tblStyle w:val="DefaultTable"/>
        <w:tblW w:w="7875"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51"/>
        <w:gridCol w:w="1054"/>
        <w:gridCol w:w="1054"/>
        <w:gridCol w:w="1054"/>
        <w:gridCol w:w="1054"/>
        <w:gridCol w:w="1054"/>
        <w:gridCol w:w="1054"/>
      </w:tblGrid>
      <w:tr w:rsidR="00AE71A2" w:rsidRPr="003212F5" w14:paraId="3FD7E6DC" w14:textId="77777777" w:rsidTr="002F277A">
        <w:trPr>
          <w:cnfStyle w:val="100000000000" w:firstRow="1" w:lastRow="0" w:firstColumn="0" w:lastColumn="0" w:oddVBand="0" w:evenVBand="0" w:oddHBand="0" w:evenHBand="0" w:firstRowFirstColumn="0" w:firstRowLastColumn="0" w:lastRowFirstColumn="0" w:lastRowLastColumn="0"/>
          <w:trHeight w:val="529"/>
          <w:tblHeader/>
        </w:trPr>
        <w:tc>
          <w:tcPr>
            <w:tcW w:w="1551" w:type="dxa"/>
            <w:tcBorders>
              <w:top w:val="nil"/>
              <w:bottom w:val="single" w:sz="18" w:space="0" w:color="142E3B" w:themeColor="accent6"/>
            </w:tcBorders>
            <w:shd w:val="clear" w:color="auto" w:fill="20B9A3" w:themeFill="accent1"/>
          </w:tcPr>
          <w:p w14:paraId="0C4D8965" w14:textId="77777777" w:rsidR="00AE71A2" w:rsidRPr="003212F5" w:rsidRDefault="00AE71A2" w:rsidP="0024594C">
            <w:pPr>
              <w:pStyle w:val="TableHeading"/>
              <w:keepNext/>
              <w:spacing w:after="0"/>
              <w:rPr>
                <w:sz w:val="20"/>
              </w:rPr>
            </w:pPr>
            <w:r w:rsidRPr="003212F5">
              <w:rPr>
                <w:sz w:val="20"/>
              </w:rPr>
              <w:t>Treatment arm</w:t>
            </w:r>
          </w:p>
        </w:tc>
        <w:tc>
          <w:tcPr>
            <w:tcW w:w="1054" w:type="dxa"/>
            <w:tcBorders>
              <w:top w:val="nil"/>
              <w:bottom w:val="single" w:sz="18" w:space="0" w:color="142E3B" w:themeColor="accent6"/>
            </w:tcBorders>
            <w:shd w:val="clear" w:color="auto" w:fill="20B9A3" w:themeFill="accent1"/>
          </w:tcPr>
          <w:p w14:paraId="4E7C5E6A" w14:textId="77777777" w:rsidR="00283D2E" w:rsidRDefault="00AE71A2" w:rsidP="0024594C">
            <w:pPr>
              <w:pStyle w:val="TableHeading"/>
              <w:keepNext/>
              <w:spacing w:after="0"/>
              <w:rPr>
                <w:sz w:val="20"/>
              </w:rPr>
            </w:pPr>
            <w:r w:rsidRPr="003212F5">
              <w:rPr>
                <w:sz w:val="20"/>
              </w:rPr>
              <w:t>Mean</w:t>
            </w:r>
            <w:r w:rsidR="001B0BE1">
              <w:rPr>
                <w:sz w:val="20"/>
              </w:rPr>
              <w:t xml:space="preserve"> </w:t>
            </w:r>
          </w:p>
          <w:p w14:paraId="159CA702" w14:textId="54C96D8B" w:rsidR="00AE71A2" w:rsidRPr="003212F5" w:rsidRDefault="00064BB5" w:rsidP="0024594C">
            <w:pPr>
              <w:pStyle w:val="TableHeading"/>
              <w:keepNext/>
              <w:spacing w:after="0"/>
              <w:rPr>
                <w:sz w:val="20"/>
              </w:rPr>
            </w:pPr>
            <w:r>
              <w:rPr>
                <w:sz w:val="20"/>
              </w:rPr>
              <w:t xml:space="preserve">(5 point </w:t>
            </w:r>
            <w:r w:rsidR="00E11C6F">
              <w:rPr>
                <w:sz w:val="20"/>
              </w:rPr>
              <w:t>Likert</w:t>
            </w:r>
            <w:r>
              <w:rPr>
                <w:sz w:val="20"/>
              </w:rPr>
              <w:t xml:space="preserve"> scale)</w:t>
            </w:r>
          </w:p>
        </w:tc>
        <w:tc>
          <w:tcPr>
            <w:tcW w:w="1054" w:type="dxa"/>
            <w:tcBorders>
              <w:top w:val="nil"/>
              <w:bottom w:val="single" w:sz="18" w:space="0" w:color="142E3B" w:themeColor="accent6"/>
            </w:tcBorders>
            <w:shd w:val="clear" w:color="auto" w:fill="20B9A3" w:themeFill="accent1"/>
          </w:tcPr>
          <w:p w14:paraId="42C14B6E" w14:textId="77777777" w:rsidR="00283D2E" w:rsidRDefault="00AE71A2" w:rsidP="0024594C">
            <w:pPr>
              <w:pStyle w:val="TableHeading"/>
              <w:keepNext/>
              <w:spacing w:after="0"/>
              <w:jc w:val="right"/>
              <w:rPr>
                <w:sz w:val="20"/>
              </w:rPr>
            </w:pPr>
            <w:r>
              <w:rPr>
                <w:sz w:val="20"/>
              </w:rPr>
              <w:t>E</w:t>
            </w:r>
            <w:r w:rsidR="00064BB5">
              <w:rPr>
                <w:sz w:val="20"/>
              </w:rPr>
              <w:t>ff</w:t>
            </w:r>
            <w:r w:rsidR="001B0BE1">
              <w:rPr>
                <w:sz w:val="20"/>
              </w:rPr>
              <w:t>ect</w:t>
            </w:r>
            <w:r w:rsidR="00064BB5">
              <w:rPr>
                <w:sz w:val="20"/>
              </w:rPr>
              <w:t xml:space="preserve"> </w:t>
            </w:r>
          </w:p>
          <w:p w14:paraId="35BFBDDC" w14:textId="61D1A55A" w:rsidR="00AE71A2" w:rsidRPr="003212F5" w:rsidRDefault="00064BB5" w:rsidP="0024594C">
            <w:pPr>
              <w:pStyle w:val="TableHeading"/>
              <w:keepNext/>
              <w:spacing w:after="0"/>
              <w:jc w:val="right"/>
              <w:rPr>
                <w:sz w:val="20"/>
              </w:rPr>
            </w:pPr>
            <w:r>
              <w:rPr>
                <w:sz w:val="20"/>
              </w:rPr>
              <w:t xml:space="preserve">(5 point </w:t>
            </w:r>
            <w:r w:rsidR="00E11C6F">
              <w:rPr>
                <w:sz w:val="20"/>
              </w:rPr>
              <w:t>Likert</w:t>
            </w:r>
            <w:r>
              <w:rPr>
                <w:sz w:val="20"/>
              </w:rPr>
              <w:t xml:space="preserve"> scale)</w:t>
            </w:r>
            <w:r w:rsidR="001B0BE1">
              <w:rPr>
                <w:sz w:val="20"/>
              </w:rPr>
              <w:t xml:space="preserve"> </w:t>
            </w:r>
          </w:p>
        </w:tc>
        <w:tc>
          <w:tcPr>
            <w:tcW w:w="1054" w:type="dxa"/>
            <w:tcBorders>
              <w:top w:val="nil"/>
              <w:bottom w:val="single" w:sz="18" w:space="0" w:color="142E3B" w:themeColor="accent6"/>
            </w:tcBorders>
            <w:shd w:val="clear" w:color="auto" w:fill="20B9A3" w:themeFill="accent1"/>
          </w:tcPr>
          <w:p w14:paraId="17E37B5D" w14:textId="77777777" w:rsidR="00AE71A2" w:rsidRPr="003212F5" w:rsidRDefault="00AE71A2" w:rsidP="0024594C">
            <w:pPr>
              <w:pStyle w:val="TableHeading"/>
              <w:keepNext/>
              <w:spacing w:after="0"/>
              <w:jc w:val="right"/>
              <w:rPr>
                <w:sz w:val="20"/>
              </w:rPr>
            </w:pPr>
            <w:r w:rsidRPr="003212F5">
              <w:rPr>
                <w:sz w:val="20"/>
              </w:rPr>
              <w:t>Std. error</w:t>
            </w:r>
          </w:p>
        </w:tc>
        <w:tc>
          <w:tcPr>
            <w:tcW w:w="1054" w:type="dxa"/>
            <w:tcBorders>
              <w:top w:val="nil"/>
              <w:bottom w:val="single" w:sz="18" w:space="0" w:color="142E3B" w:themeColor="accent6"/>
            </w:tcBorders>
            <w:shd w:val="clear" w:color="auto" w:fill="20B9A3" w:themeFill="accent1"/>
          </w:tcPr>
          <w:p w14:paraId="61C2361A" w14:textId="77777777" w:rsidR="00AE71A2" w:rsidRPr="003212F5" w:rsidRDefault="00AE71A2" w:rsidP="0024594C">
            <w:pPr>
              <w:pStyle w:val="TableHeading"/>
              <w:keepNext/>
              <w:spacing w:after="0"/>
              <w:jc w:val="right"/>
              <w:rPr>
                <w:sz w:val="20"/>
              </w:rPr>
            </w:pPr>
            <w:r w:rsidRPr="003212F5">
              <w:rPr>
                <w:sz w:val="20"/>
              </w:rPr>
              <w:t>p-value</w:t>
            </w:r>
          </w:p>
        </w:tc>
        <w:tc>
          <w:tcPr>
            <w:tcW w:w="1054" w:type="dxa"/>
            <w:tcBorders>
              <w:top w:val="nil"/>
              <w:bottom w:val="single" w:sz="18" w:space="0" w:color="142E3B" w:themeColor="accent6"/>
            </w:tcBorders>
            <w:shd w:val="clear" w:color="auto" w:fill="20B9A3" w:themeFill="accent1"/>
          </w:tcPr>
          <w:p w14:paraId="72A27B07" w14:textId="77777777" w:rsidR="00AE71A2" w:rsidRPr="003212F5" w:rsidRDefault="00AE71A2" w:rsidP="0024594C">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54" w:type="dxa"/>
            <w:tcBorders>
              <w:top w:val="nil"/>
              <w:bottom w:val="single" w:sz="18" w:space="0" w:color="142E3B" w:themeColor="accent6"/>
            </w:tcBorders>
            <w:shd w:val="clear" w:color="auto" w:fill="20B9A3" w:themeFill="accent1"/>
          </w:tcPr>
          <w:p w14:paraId="5E56B7D9" w14:textId="77777777" w:rsidR="00AE71A2" w:rsidRPr="003212F5" w:rsidRDefault="00AE71A2" w:rsidP="0024594C">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18E328B4" w14:textId="77777777" w:rsidTr="002F277A">
        <w:trPr>
          <w:trHeight w:val="228"/>
        </w:trPr>
        <w:tc>
          <w:tcPr>
            <w:tcW w:w="1551" w:type="dxa"/>
            <w:shd w:val="clear" w:color="auto" w:fill="auto"/>
          </w:tcPr>
          <w:p w14:paraId="58C05665" w14:textId="0CEB2D01" w:rsidR="00AE71A2" w:rsidRPr="003212F5" w:rsidRDefault="00075A7A" w:rsidP="0024594C">
            <w:pPr>
              <w:pStyle w:val="TableTextLeftAligned"/>
              <w:keepNext/>
              <w:spacing w:after="0"/>
              <w:rPr>
                <w:sz w:val="18"/>
              </w:rPr>
            </w:pPr>
            <w:r w:rsidRPr="00075A7A">
              <w:rPr>
                <w:sz w:val="18"/>
              </w:rPr>
              <w:t>A: 2 categories, unsorted</w:t>
            </w:r>
          </w:p>
        </w:tc>
        <w:tc>
          <w:tcPr>
            <w:tcW w:w="1054" w:type="dxa"/>
          </w:tcPr>
          <w:p w14:paraId="65BF3DAD" w14:textId="152EBD83" w:rsidR="00AE71A2" w:rsidRPr="003212F5" w:rsidRDefault="00AE71A2" w:rsidP="0024594C">
            <w:pPr>
              <w:pStyle w:val="TableTextRightAligned"/>
              <w:keepNext/>
              <w:spacing w:after="0"/>
              <w:rPr>
                <w:sz w:val="18"/>
              </w:rPr>
            </w:pPr>
            <w:r>
              <w:rPr>
                <w:sz w:val="18"/>
              </w:rPr>
              <w:t>3.5826</w:t>
            </w:r>
          </w:p>
        </w:tc>
        <w:tc>
          <w:tcPr>
            <w:tcW w:w="1054" w:type="dxa"/>
            <w:shd w:val="clear" w:color="auto" w:fill="FFFFFF" w:themeFill="background1"/>
          </w:tcPr>
          <w:p w14:paraId="74ADFFA5" w14:textId="77777777" w:rsidR="00AE71A2" w:rsidRPr="003212F5" w:rsidRDefault="00AE71A2" w:rsidP="0024594C">
            <w:pPr>
              <w:pStyle w:val="TableTextRightAligned"/>
              <w:keepNext/>
              <w:spacing w:after="0"/>
              <w:rPr>
                <w:sz w:val="18"/>
              </w:rPr>
            </w:pPr>
          </w:p>
        </w:tc>
        <w:tc>
          <w:tcPr>
            <w:tcW w:w="1054" w:type="dxa"/>
          </w:tcPr>
          <w:p w14:paraId="52354910" w14:textId="77777777" w:rsidR="00AE71A2" w:rsidRPr="003212F5" w:rsidRDefault="00AE71A2" w:rsidP="0024594C">
            <w:pPr>
              <w:pStyle w:val="TableTextRightAligned"/>
              <w:keepNext/>
              <w:spacing w:after="0"/>
              <w:rPr>
                <w:sz w:val="18"/>
              </w:rPr>
            </w:pPr>
          </w:p>
        </w:tc>
        <w:tc>
          <w:tcPr>
            <w:tcW w:w="1054" w:type="dxa"/>
            <w:shd w:val="clear" w:color="auto" w:fill="FFFFFF" w:themeFill="background1"/>
          </w:tcPr>
          <w:p w14:paraId="0D66051A" w14:textId="77777777" w:rsidR="00AE71A2" w:rsidRPr="003212F5" w:rsidRDefault="00AE71A2" w:rsidP="0024594C">
            <w:pPr>
              <w:pStyle w:val="TableTextRightAligned"/>
              <w:keepNext/>
              <w:spacing w:after="0"/>
              <w:rPr>
                <w:sz w:val="18"/>
              </w:rPr>
            </w:pPr>
          </w:p>
        </w:tc>
        <w:tc>
          <w:tcPr>
            <w:tcW w:w="1054" w:type="dxa"/>
          </w:tcPr>
          <w:p w14:paraId="1DDE68E0" w14:textId="77777777" w:rsidR="00AE71A2" w:rsidRPr="003212F5" w:rsidRDefault="00AE71A2" w:rsidP="0024594C">
            <w:pPr>
              <w:pStyle w:val="TableTextRightAligned"/>
              <w:keepNext/>
              <w:spacing w:after="0"/>
              <w:rPr>
                <w:sz w:val="18"/>
              </w:rPr>
            </w:pPr>
          </w:p>
        </w:tc>
        <w:tc>
          <w:tcPr>
            <w:tcW w:w="1054" w:type="dxa"/>
            <w:shd w:val="clear" w:color="auto" w:fill="FFFFFF" w:themeFill="background1"/>
          </w:tcPr>
          <w:p w14:paraId="786A1637" w14:textId="77777777" w:rsidR="00AE71A2" w:rsidRPr="003212F5" w:rsidRDefault="00AE71A2" w:rsidP="0024594C">
            <w:pPr>
              <w:pStyle w:val="TableTextRightAligned"/>
              <w:keepNext/>
              <w:spacing w:after="0"/>
              <w:ind w:left="-75" w:hanging="34"/>
              <w:rPr>
                <w:sz w:val="18"/>
              </w:rPr>
            </w:pPr>
          </w:p>
        </w:tc>
      </w:tr>
      <w:tr w:rsidR="00AE71A2" w:rsidRPr="003212F5" w14:paraId="669B1CB8" w14:textId="77777777" w:rsidTr="002F277A">
        <w:trPr>
          <w:trHeight w:val="228"/>
        </w:trPr>
        <w:tc>
          <w:tcPr>
            <w:tcW w:w="1551" w:type="dxa"/>
            <w:shd w:val="clear" w:color="auto" w:fill="auto"/>
          </w:tcPr>
          <w:p w14:paraId="5D9D4A72" w14:textId="61F5CA90" w:rsidR="00AE71A2" w:rsidRPr="003212F5" w:rsidRDefault="006040C0" w:rsidP="0024594C">
            <w:pPr>
              <w:pStyle w:val="TableTextLeftAligned"/>
              <w:spacing w:after="0"/>
              <w:rPr>
                <w:sz w:val="18"/>
              </w:rPr>
            </w:pPr>
            <w:r w:rsidRPr="006040C0">
              <w:rPr>
                <w:sz w:val="18"/>
              </w:rPr>
              <w:t>C: 3 categories, sorted</w:t>
            </w:r>
          </w:p>
        </w:tc>
        <w:tc>
          <w:tcPr>
            <w:tcW w:w="1054" w:type="dxa"/>
          </w:tcPr>
          <w:p w14:paraId="763DD512" w14:textId="3BE2472B" w:rsidR="00AE71A2" w:rsidRPr="003212F5" w:rsidRDefault="00AE71A2" w:rsidP="0024594C">
            <w:pPr>
              <w:pStyle w:val="TableTextRightAligned"/>
              <w:spacing w:after="0"/>
              <w:rPr>
                <w:sz w:val="18"/>
              </w:rPr>
            </w:pPr>
            <w:r>
              <w:rPr>
                <w:sz w:val="18"/>
              </w:rPr>
              <w:t>3.5927</w:t>
            </w:r>
          </w:p>
        </w:tc>
        <w:tc>
          <w:tcPr>
            <w:tcW w:w="1054" w:type="dxa"/>
            <w:shd w:val="clear" w:color="auto" w:fill="FFFFFF" w:themeFill="background1"/>
          </w:tcPr>
          <w:p w14:paraId="3D2415B1" w14:textId="52BDCCFB" w:rsidR="00AE71A2" w:rsidRPr="003212F5" w:rsidRDefault="00AE71A2" w:rsidP="00DF2A47">
            <w:pPr>
              <w:pStyle w:val="TableTextRightAligned"/>
              <w:spacing w:after="0"/>
              <w:rPr>
                <w:sz w:val="18"/>
              </w:rPr>
            </w:pPr>
            <w:r>
              <w:rPr>
                <w:sz w:val="18"/>
              </w:rPr>
              <w:t>0.0101</w:t>
            </w:r>
          </w:p>
        </w:tc>
        <w:tc>
          <w:tcPr>
            <w:tcW w:w="1054" w:type="dxa"/>
          </w:tcPr>
          <w:p w14:paraId="2C60EE69" w14:textId="450574A9" w:rsidR="00AE71A2" w:rsidRPr="003212F5" w:rsidRDefault="00AE71A2" w:rsidP="00DF2A47">
            <w:pPr>
              <w:pStyle w:val="TableTextRightAligned"/>
              <w:spacing w:after="0"/>
              <w:rPr>
                <w:sz w:val="18"/>
              </w:rPr>
            </w:pPr>
            <w:r>
              <w:rPr>
                <w:sz w:val="18"/>
              </w:rPr>
              <w:t>0.0532</w:t>
            </w:r>
          </w:p>
        </w:tc>
        <w:tc>
          <w:tcPr>
            <w:tcW w:w="1054" w:type="dxa"/>
            <w:shd w:val="clear" w:color="auto" w:fill="FFFFFF" w:themeFill="background1"/>
          </w:tcPr>
          <w:p w14:paraId="28EE9D7A" w14:textId="2DEFA272" w:rsidR="00AE71A2" w:rsidRPr="003212F5" w:rsidRDefault="00AE71A2" w:rsidP="00DF2A47">
            <w:pPr>
              <w:pStyle w:val="TableTextRightAligned"/>
              <w:spacing w:after="0"/>
              <w:rPr>
                <w:sz w:val="18"/>
              </w:rPr>
            </w:pPr>
            <w:r>
              <w:rPr>
                <w:sz w:val="18"/>
              </w:rPr>
              <w:t>0.4244</w:t>
            </w:r>
          </w:p>
        </w:tc>
        <w:tc>
          <w:tcPr>
            <w:tcW w:w="1054" w:type="dxa"/>
          </w:tcPr>
          <w:p w14:paraId="651C0E9C" w14:textId="24C2E720" w:rsidR="00AE71A2" w:rsidRPr="003212F5" w:rsidRDefault="00AE71A2" w:rsidP="0024594C">
            <w:pPr>
              <w:pStyle w:val="TableTextRightAligned"/>
              <w:spacing w:after="0"/>
              <w:rPr>
                <w:sz w:val="18"/>
              </w:rPr>
            </w:pPr>
            <w:r>
              <w:rPr>
                <w:sz w:val="18"/>
              </w:rPr>
              <w:t>-0.0943</w:t>
            </w:r>
          </w:p>
        </w:tc>
        <w:tc>
          <w:tcPr>
            <w:tcW w:w="1054" w:type="dxa"/>
            <w:shd w:val="clear" w:color="auto" w:fill="FFFFFF" w:themeFill="background1"/>
          </w:tcPr>
          <w:p w14:paraId="006966D8" w14:textId="3C9969DD" w:rsidR="00AE71A2" w:rsidRPr="003212F5" w:rsidRDefault="00AE71A2" w:rsidP="00DF2A47">
            <w:pPr>
              <w:pStyle w:val="TableTextRightAligned"/>
              <w:spacing w:after="0"/>
              <w:ind w:left="-75" w:hanging="34"/>
              <w:rPr>
                <w:sz w:val="18"/>
              </w:rPr>
            </w:pPr>
            <w:r>
              <w:rPr>
                <w:sz w:val="18"/>
              </w:rPr>
              <w:t>0.1146</w:t>
            </w:r>
          </w:p>
        </w:tc>
      </w:tr>
    </w:tbl>
    <w:p w14:paraId="114BEAF5" w14:textId="5273C655" w:rsidR="003D6D05" w:rsidRDefault="003D6D05" w:rsidP="00E404B9">
      <w:pPr>
        <w:spacing w:line="240" w:lineRule="auto"/>
        <w:rPr>
          <w:sz w:val="18"/>
        </w:rPr>
      </w:pPr>
      <w:r w:rsidRPr="00BE642E">
        <w:rPr>
          <w:sz w:val="18"/>
        </w:rPr>
        <w:t>Note</w:t>
      </w:r>
      <w:r>
        <w:rPr>
          <w:sz w:val="18"/>
        </w:rPr>
        <w:t xml:space="preserve">: n = 1,490, OLS regression, </w:t>
      </w:r>
      <w:r w:rsidRPr="00BE642E">
        <w:rPr>
          <w:sz w:val="18"/>
        </w:rPr>
        <w:t xml:space="preserve">p-values are </w:t>
      </w:r>
      <w:r w:rsidRPr="00236038">
        <w:rPr>
          <w:sz w:val="18"/>
        </w:rPr>
        <w:t>from one-tailed tests.</w:t>
      </w:r>
      <w:r>
        <w:rPr>
          <w:sz w:val="18"/>
        </w:rPr>
        <w:t xml:space="preserve"> </w:t>
      </w:r>
      <w:r w:rsidRPr="00B41DC6">
        <w:rPr>
          <w:sz w:val="18"/>
        </w:rPr>
        <w:t xml:space="preserve">We did not correct for multiple </w:t>
      </w:r>
      <w:r w:rsidRPr="00064BB5">
        <w:rPr>
          <w:sz w:val="18"/>
        </w:rPr>
        <w:t>comparisons.</w:t>
      </w:r>
      <w:r w:rsidRPr="002F277A">
        <w:rPr>
          <w:sz w:val="18"/>
        </w:rPr>
        <w:t xml:space="preserve"> </w:t>
      </w:r>
      <w:r w:rsidR="00064BB5" w:rsidRPr="00064BB5">
        <w:rPr>
          <w:sz w:val="18"/>
        </w:rPr>
        <w:t>Units</w:t>
      </w:r>
      <w:r w:rsidR="00064BB5">
        <w:rPr>
          <w:sz w:val="18"/>
        </w:rPr>
        <w:t xml:space="preserve"> – 5 point </w:t>
      </w:r>
      <w:r w:rsidR="00E11C6F">
        <w:rPr>
          <w:sz w:val="18"/>
        </w:rPr>
        <w:t>Likert</w:t>
      </w:r>
      <w:r w:rsidR="00064BB5">
        <w:rPr>
          <w:sz w:val="18"/>
        </w:rPr>
        <w:t xml:space="preserve"> scale where</w:t>
      </w:r>
      <w:r w:rsidR="00064BB5" w:rsidRPr="00064BB5">
        <w:rPr>
          <w:sz w:val="18"/>
        </w:rPr>
        <w:t xml:space="preserve"> 1 = very unlikely, 5 = very likely</w:t>
      </w:r>
      <w:r w:rsidR="00064BB5">
        <w:rPr>
          <w:sz w:val="18"/>
        </w:rPr>
        <w:t>.</w:t>
      </w:r>
    </w:p>
    <w:p w14:paraId="156F0179" w14:textId="269C64A3" w:rsidR="00FB17BE" w:rsidRPr="009F3C0D" w:rsidRDefault="00FB17BE" w:rsidP="00BD20D5">
      <w:pPr>
        <w:pStyle w:val="HeadingTable"/>
        <w:spacing w:before="240" w:after="120"/>
        <w:ind w:left="357" w:hanging="357"/>
        <w:outlineLvl w:val="3"/>
      </w:pPr>
      <w:r>
        <w:lastRenderedPageBreak/>
        <w:t xml:space="preserve">Secondary outcome – ease rating </w:t>
      </w:r>
    </w:p>
    <w:tbl>
      <w:tblPr>
        <w:tblStyle w:val="DefaultTable"/>
        <w:tblW w:w="7927"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61"/>
        <w:gridCol w:w="1061"/>
        <w:gridCol w:w="1061"/>
        <w:gridCol w:w="1061"/>
        <w:gridCol w:w="1061"/>
        <w:gridCol w:w="1061"/>
        <w:gridCol w:w="1061"/>
      </w:tblGrid>
      <w:tr w:rsidR="00AE71A2" w:rsidRPr="003212F5" w14:paraId="74A3100D" w14:textId="77777777" w:rsidTr="002F277A">
        <w:trPr>
          <w:cnfStyle w:val="100000000000" w:firstRow="1" w:lastRow="0" w:firstColumn="0" w:lastColumn="0" w:oddVBand="0" w:evenVBand="0" w:oddHBand="0" w:evenHBand="0" w:firstRowFirstColumn="0" w:firstRowLastColumn="0" w:lastRowFirstColumn="0" w:lastRowLastColumn="0"/>
          <w:trHeight w:val="494"/>
          <w:tblHeader/>
        </w:trPr>
        <w:tc>
          <w:tcPr>
            <w:tcW w:w="1561" w:type="dxa"/>
            <w:tcBorders>
              <w:top w:val="nil"/>
              <w:bottom w:val="single" w:sz="18" w:space="0" w:color="142E3B" w:themeColor="accent6"/>
            </w:tcBorders>
            <w:shd w:val="clear" w:color="auto" w:fill="20B9A3" w:themeFill="accent1"/>
          </w:tcPr>
          <w:p w14:paraId="5E9831C2" w14:textId="19A86CFA" w:rsidR="00AE71A2" w:rsidRPr="003212F5" w:rsidRDefault="00AE71A2" w:rsidP="006A5E36">
            <w:pPr>
              <w:pStyle w:val="TableHeading"/>
              <w:keepNext/>
              <w:spacing w:after="0"/>
              <w:rPr>
                <w:sz w:val="20"/>
              </w:rPr>
            </w:pPr>
            <w:r w:rsidRPr="003212F5">
              <w:rPr>
                <w:sz w:val="20"/>
              </w:rPr>
              <w:t>Treatment arm</w:t>
            </w:r>
          </w:p>
        </w:tc>
        <w:tc>
          <w:tcPr>
            <w:tcW w:w="1061" w:type="dxa"/>
            <w:tcBorders>
              <w:top w:val="nil"/>
              <w:bottom w:val="single" w:sz="18" w:space="0" w:color="142E3B" w:themeColor="accent6"/>
            </w:tcBorders>
            <w:shd w:val="clear" w:color="auto" w:fill="20B9A3" w:themeFill="accent1"/>
          </w:tcPr>
          <w:p w14:paraId="07E0B3CB" w14:textId="77777777" w:rsidR="00283D2E" w:rsidRDefault="00AE71A2" w:rsidP="006A5E36">
            <w:pPr>
              <w:pStyle w:val="TableHeading"/>
              <w:keepNext/>
              <w:spacing w:after="0"/>
              <w:rPr>
                <w:sz w:val="20"/>
              </w:rPr>
            </w:pPr>
            <w:r w:rsidRPr="003212F5">
              <w:rPr>
                <w:sz w:val="20"/>
              </w:rPr>
              <w:t>Mean</w:t>
            </w:r>
            <w:r w:rsidR="00064BB5">
              <w:rPr>
                <w:sz w:val="20"/>
              </w:rPr>
              <w:t xml:space="preserve"> </w:t>
            </w:r>
          </w:p>
          <w:p w14:paraId="0FB9BF2A" w14:textId="1AC80E7E" w:rsidR="00AE71A2" w:rsidRPr="003212F5" w:rsidRDefault="00064BB5" w:rsidP="006A5E36">
            <w:pPr>
              <w:pStyle w:val="TableHeading"/>
              <w:keepNext/>
              <w:spacing w:after="0"/>
              <w:rPr>
                <w:sz w:val="20"/>
              </w:rPr>
            </w:pPr>
            <w:r>
              <w:rPr>
                <w:sz w:val="20"/>
              </w:rPr>
              <w:t xml:space="preserve">(5 point </w:t>
            </w:r>
            <w:r w:rsidR="00E11C6F">
              <w:rPr>
                <w:sz w:val="20"/>
              </w:rPr>
              <w:t>Likert</w:t>
            </w:r>
            <w:r>
              <w:rPr>
                <w:sz w:val="20"/>
              </w:rPr>
              <w:t xml:space="preserve"> scale)</w:t>
            </w:r>
          </w:p>
        </w:tc>
        <w:tc>
          <w:tcPr>
            <w:tcW w:w="1061" w:type="dxa"/>
            <w:tcBorders>
              <w:top w:val="nil"/>
              <w:bottom w:val="single" w:sz="18" w:space="0" w:color="142E3B" w:themeColor="accent6"/>
            </w:tcBorders>
            <w:shd w:val="clear" w:color="auto" w:fill="20B9A3" w:themeFill="accent1"/>
          </w:tcPr>
          <w:p w14:paraId="38EB0C2A" w14:textId="77777777" w:rsidR="00283D2E" w:rsidRDefault="001472E5" w:rsidP="006A5E36">
            <w:pPr>
              <w:pStyle w:val="TableHeading"/>
              <w:keepNext/>
              <w:spacing w:after="0"/>
              <w:jc w:val="right"/>
              <w:rPr>
                <w:sz w:val="20"/>
              </w:rPr>
            </w:pPr>
            <w:r>
              <w:rPr>
                <w:sz w:val="20"/>
              </w:rPr>
              <w:t>Effect</w:t>
            </w:r>
            <w:r w:rsidR="00064BB5">
              <w:rPr>
                <w:sz w:val="20"/>
              </w:rPr>
              <w:t xml:space="preserve"> </w:t>
            </w:r>
          </w:p>
          <w:p w14:paraId="63E76002" w14:textId="3F1C3A08" w:rsidR="00AE71A2" w:rsidRPr="003212F5" w:rsidRDefault="00064BB5" w:rsidP="006A5E36">
            <w:pPr>
              <w:pStyle w:val="TableHeading"/>
              <w:keepNext/>
              <w:spacing w:after="0"/>
              <w:jc w:val="right"/>
              <w:rPr>
                <w:sz w:val="20"/>
              </w:rPr>
            </w:pPr>
            <w:r>
              <w:rPr>
                <w:sz w:val="20"/>
              </w:rPr>
              <w:t xml:space="preserve">(5 point </w:t>
            </w:r>
            <w:r w:rsidR="00E11C6F">
              <w:rPr>
                <w:sz w:val="20"/>
              </w:rPr>
              <w:t>Likert</w:t>
            </w:r>
            <w:r>
              <w:rPr>
                <w:sz w:val="20"/>
              </w:rPr>
              <w:t xml:space="preserve"> scale)</w:t>
            </w:r>
          </w:p>
        </w:tc>
        <w:tc>
          <w:tcPr>
            <w:tcW w:w="1061" w:type="dxa"/>
            <w:tcBorders>
              <w:top w:val="nil"/>
              <w:bottom w:val="single" w:sz="18" w:space="0" w:color="142E3B" w:themeColor="accent6"/>
            </w:tcBorders>
            <w:shd w:val="clear" w:color="auto" w:fill="20B9A3" w:themeFill="accent1"/>
          </w:tcPr>
          <w:p w14:paraId="3E5B1DF2" w14:textId="77777777" w:rsidR="00AE71A2" w:rsidRPr="003212F5" w:rsidRDefault="00AE71A2" w:rsidP="006A5E36">
            <w:pPr>
              <w:pStyle w:val="TableHeading"/>
              <w:keepNext/>
              <w:spacing w:after="0"/>
              <w:jc w:val="right"/>
              <w:rPr>
                <w:sz w:val="20"/>
              </w:rPr>
            </w:pPr>
            <w:r w:rsidRPr="003212F5">
              <w:rPr>
                <w:sz w:val="20"/>
              </w:rPr>
              <w:t>Std. error</w:t>
            </w:r>
          </w:p>
        </w:tc>
        <w:tc>
          <w:tcPr>
            <w:tcW w:w="1061" w:type="dxa"/>
            <w:tcBorders>
              <w:top w:val="nil"/>
              <w:bottom w:val="single" w:sz="18" w:space="0" w:color="142E3B" w:themeColor="accent6"/>
            </w:tcBorders>
            <w:shd w:val="clear" w:color="auto" w:fill="20B9A3" w:themeFill="accent1"/>
          </w:tcPr>
          <w:p w14:paraId="2025CF9C" w14:textId="77777777" w:rsidR="00AE71A2" w:rsidRPr="003212F5" w:rsidRDefault="00AE71A2" w:rsidP="006A5E36">
            <w:pPr>
              <w:pStyle w:val="TableHeading"/>
              <w:keepNext/>
              <w:spacing w:after="0"/>
              <w:jc w:val="right"/>
              <w:rPr>
                <w:sz w:val="20"/>
              </w:rPr>
            </w:pPr>
            <w:r w:rsidRPr="003212F5">
              <w:rPr>
                <w:sz w:val="20"/>
              </w:rPr>
              <w:t>p-value</w:t>
            </w:r>
          </w:p>
        </w:tc>
        <w:tc>
          <w:tcPr>
            <w:tcW w:w="1061" w:type="dxa"/>
            <w:tcBorders>
              <w:top w:val="nil"/>
              <w:bottom w:val="single" w:sz="18" w:space="0" w:color="142E3B" w:themeColor="accent6"/>
            </w:tcBorders>
            <w:shd w:val="clear" w:color="auto" w:fill="20B9A3" w:themeFill="accent1"/>
          </w:tcPr>
          <w:p w14:paraId="659A63B1" w14:textId="77777777" w:rsidR="00AE71A2" w:rsidRPr="003212F5" w:rsidRDefault="00AE71A2" w:rsidP="006A5E36">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61" w:type="dxa"/>
            <w:tcBorders>
              <w:top w:val="nil"/>
              <w:bottom w:val="single" w:sz="18" w:space="0" w:color="142E3B" w:themeColor="accent6"/>
            </w:tcBorders>
            <w:shd w:val="clear" w:color="auto" w:fill="20B9A3" w:themeFill="accent1"/>
          </w:tcPr>
          <w:p w14:paraId="6EEF7D33" w14:textId="77777777" w:rsidR="00AE71A2" w:rsidRPr="003212F5" w:rsidRDefault="00AE71A2" w:rsidP="006A5E36">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4B934C3E" w14:textId="77777777" w:rsidTr="002F277A">
        <w:trPr>
          <w:trHeight w:val="213"/>
        </w:trPr>
        <w:tc>
          <w:tcPr>
            <w:tcW w:w="1561" w:type="dxa"/>
            <w:shd w:val="clear" w:color="auto" w:fill="auto"/>
          </w:tcPr>
          <w:p w14:paraId="2EABACBF" w14:textId="563DFF0C" w:rsidR="00AE71A2" w:rsidRPr="003212F5" w:rsidRDefault="00075A7A" w:rsidP="006A5E36">
            <w:pPr>
              <w:pStyle w:val="TableTextLeftAligned"/>
              <w:keepNext/>
              <w:spacing w:after="0"/>
              <w:rPr>
                <w:sz w:val="18"/>
              </w:rPr>
            </w:pPr>
            <w:r w:rsidRPr="00075A7A">
              <w:rPr>
                <w:sz w:val="18"/>
              </w:rPr>
              <w:t>A: 2 categories, unsorted</w:t>
            </w:r>
          </w:p>
        </w:tc>
        <w:tc>
          <w:tcPr>
            <w:tcW w:w="1061" w:type="dxa"/>
          </w:tcPr>
          <w:p w14:paraId="0B0EF621" w14:textId="1EF7AD98" w:rsidR="00AE71A2" w:rsidRPr="003212F5" w:rsidRDefault="00AE71A2" w:rsidP="006A5E36">
            <w:pPr>
              <w:pStyle w:val="TableTextRightAligned"/>
              <w:keepNext/>
              <w:spacing w:after="0"/>
              <w:rPr>
                <w:sz w:val="18"/>
              </w:rPr>
            </w:pPr>
            <w:r>
              <w:rPr>
                <w:sz w:val="18"/>
              </w:rPr>
              <w:t>3.8576</w:t>
            </w:r>
          </w:p>
        </w:tc>
        <w:tc>
          <w:tcPr>
            <w:tcW w:w="1061" w:type="dxa"/>
            <w:shd w:val="clear" w:color="auto" w:fill="FFFFFF" w:themeFill="background1"/>
          </w:tcPr>
          <w:p w14:paraId="58050230" w14:textId="77777777" w:rsidR="00AE71A2" w:rsidRPr="003212F5" w:rsidRDefault="00AE71A2" w:rsidP="006A5E36">
            <w:pPr>
              <w:pStyle w:val="TableTextRightAligned"/>
              <w:keepNext/>
              <w:spacing w:after="0"/>
              <w:rPr>
                <w:sz w:val="18"/>
              </w:rPr>
            </w:pPr>
          </w:p>
        </w:tc>
        <w:tc>
          <w:tcPr>
            <w:tcW w:w="1061" w:type="dxa"/>
          </w:tcPr>
          <w:p w14:paraId="5331E01A" w14:textId="77777777" w:rsidR="00AE71A2" w:rsidRPr="003212F5" w:rsidRDefault="00AE71A2" w:rsidP="006A5E36">
            <w:pPr>
              <w:pStyle w:val="TableTextRightAligned"/>
              <w:keepNext/>
              <w:spacing w:after="0"/>
              <w:rPr>
                <w:sz w:val="18"/>
              </w:rPr>
            </w:pPr>
          </w:p>
        </w:tc>
        <w:tc>
          <w:tcPr>
            <w:tcW w:w="1061" w:type="dxa"/>
            <w:shd w:val="clear" w:color="auto" w:fill="FFFFFF" w:themeFill="background1"/>
          </w:tcPr>
          <w:p w14:paraId="2FFEF17B" w14:textId="77777777" w:rsidR="00AE71A2" w:rsidRPr="003212F5" w:rsidRDefault="00AE71A2" w:rsidP="006A5E36">
            <w:pPr>
              <w:pStyle w:val="TableTextRightAligned"/>
              <w:keepNext/>
              <w:spacing w:after="0"/>
              <w:rPr>
                <w:sz w:val="18"/>
              </w:rPr>
            </w:pPr>
          </w:p>
        </w:tc>
        <w:tc>
          <w:tcPr>
            <w:tcW w:w="1061" w:type="dxa"/>
          </w:tcPr>
          <w:p w14:paraId="6282B693" w14:textId="77777777" w:rsidR="00AE71A2" w:rsidRPr="003212F5" w:rsidRDefault="00AE71A2" w:rsidP="006A5E36">
            <w:pPr>
              <w:pStyle w:val="TableTextRightAligned"/>
              <w:keepNext/>
              <w:spacing w:after="0"/>
              <w:rPr>
                <w:sz w:val="18"/>
              </w:rPr>
            </w:pPr>
          </w:p>
        </w:tc>
        <w:tc>
          <w:tcPr>
            <w:tcW w:w="1061" w:type="dxa"/>
            <w:shd w:val="clear" w:color="auto" w:fill="FFFFFF" w:themeFill="background1"/>
          </w:tcPr>
          <w:p w14:paraId="4BA31CC3" w14:textId="77777777" w:rsidR="00AE71A2" w:rsidRPr="003212F5" w:rsidRDefault="00AE71A2" w:rsidP="006A5E36">
            <w:pPr>
              <w:pStyle w:val="TableTextRightAligned"/>
              <w:keepNext/>
              <w:spacing w:after="0"/>
              <w:ind w:left="-75" w:hanging="34"/>
              <w:rPr>
                <w:sz w:val="18"/>
              </w:rPr>
            </w:pPr>
          </w:p>
        </w:tc>
      </w:tr>
      <w:tr w:rsidR="00AE71A2" w:rsidRPr="003212F5" w14:paraId="3E4C4F97" w14:textId="77777777" w:rsidTr="002F277A">
        <w:trPr>
          <w:trHeight w:val="213"/>
        </w:trPr>
        <w:tc>
          <w:tcPr>
            <w:tcW w:w="1561" w:type="dxa"/>
            <w:shd w:val="clear" w:color="auto" w:fill="auto"/>
          </w:tcPr>
          <w:p w14:paraId="6CE0B379" w14:textId="179AC631" w:rsidR="00AE71A2" w:rsidRPr="003212F5" w:rsidRDefault="006040C0" w:rsidP="00C5167B">
            <w:pPr>
              <w:pStyle w:val="TableTextLeftAligned"/>
              <w:spacing w:after="0"/>
              <w:rPr>
                <w:sz w:val="18"/>
              </w:rPr>
            </w:pPr>
            <w:r w:rsidRPr="006040C0">
              <w:rPr>
                <w:sz w:val="18"/>
              </w:rPr>
              <w:t>B: 3 categories, unsorted</w:t>
            </w:r>
          </w:p>
        </w:tc>
        <w:tc>
          <w:tcPr>
            <w:tcW w:w="1061" w:type="dxa"/>
          </w:tcPr>
          <w:p w14:paraId="035217B5" w14:textId="68EC424F" w:rsidR="00AE71A2" w:rsidRPr="003212F5" w:rsidRDefault="00AE71A2" w:rsidP="006A5E36">
            <w:pPr>
              <w:pStyle w:val="TableTextRightAligned"/>
              <w:spacing w:after="0"/>
              <w:rPr>
                <w:sz w:val="18"/>
              </w:rPr>
            </w:pPr>
            <w:r>
              <w:rPr>
                <w:sz w:val="18"/>
              </w:rPr>
              <w:t>3.9934</w:t>
            </w:r>
          </w:p>
        </w:tc>
        <w:tc>
          <w:tcPr>
            <w:tcW w:w="1061" w:type="dxa"/>
            <w:shd w:val="clear" w:color="auto" w:fill="FFFFFF" w:themeFill="background1"/>
          </w:tcPr>
          <w:p w14:paraId="7F6419D8" w14:textId="3A59D5C2" w:rsidR="00AE71A2" w:rsidRPr="003212F5" w:rsidRDefault="00AE71A2" w:rsidP="003D0C7F">
            <w:pPr>
              <w:pStyle w:val="TableTextRightAligned"/>
              <w:spacing w:after="0"/>
              <w:rPr>
                <w:sz w:val="18"/>
              </w:rPr>
            </w:pPr>
            <w:r>
              <w:rPr>
                <w:sz w:val="18"/>
              </w:rPr>
              <w:t>0.1358</w:t>
            </w:r>
          </w:p>
        </w:tc>
        <w:tc>
          <w:tcPr>
            <w:tcW w:w="1061" w:type="dxa"/>
          </w:tcPr>
          <w:p w14:paraId="3E408249" w14:textId="53FAC418" w:rsidR="00AE71A2" w:rsidRPr="003212F5" w:rsidRDefault="00AE71A2" w:rsidP="006A5E36">
            <w:pPr>
              <w:pStyle w:val="TableTextRightAligned"/>
              <w:spacing w:after="0"/>
              <w:rPr>
                <w:sz w:val="18"/>
              </w:rPr>
            </w:pPr>
            <w:r>
              <w:rPr>
                <w:sz w:val="18"/>
              </w:rPr>
              <w:t>0.0476</w:t>
            </w:r>
          </w:p>
        </w:tc>
        <w:tc>
          <w:tcPr>
            <w:tcW w:w="1061" w:type="dxa"/>
            <w:shd w:val="clear" w:color="auto" w:fill="FFFFFF" w:themeFill="background1"/>
          </w:tcPr>
          <w:p w14:paraId="78415BC4" w14:textId="3F3A0FA4" w:rsidR="00AE71A2" w:rsidRPr="003212F5" w:rsidRDefault="00AE71A2" w:rsidP="006A5E36">
            <w:pPr>
              <w:pStyle w:val="TableTextRightAligned"/>
              <w:spacing w:after="0"/>
              <w:rPr>
                <w:sz w:val="18"/>
              </w:rPr>
            </w:pPr>
            <w:r>
              <w:rPr>
                <w:sz w:val="18"/>
              </w:rPr>
              <w:t>0.0022</w:t>
            </w:r>
          </w:p>
        </w:tc>
        <w:tc>
          <w:tcPr>
            <w:tcW w:w="1061" w:type="dxa"/>
          </w:tcPr>
          <w:p w14:paraId="7E6A5BD2" w14:textId="712F7DA0" w:rsidR="00AE71A2" w:rsidRPr="003212F5" w:rsidRDefault="00AE71A2" w:rsidP="006A5E36">
            <w:pPr>
              <w:pStyle w:val="TableTextRightAligned"/>
              <w:spacing w:after="0"/>
              <w:rPr>
                <w:sz w:val="18"/>
              </w:rPr>
            </w:pPr>
            <w:r>
              <w:rPr>
                <w:sz w:val="18"/>
              </w:rPr>
              <w:t>0.0423</w:t>
            </w:r>
          </w:p>
        </w:tc>
        <w:tc>
          <w:tcPr>
            <w:tcW w:w="1061" w:type="dxa"/>
            <w:shd w:val="clear" w:color="auto" w:fill="FFFFFF" w:themeFill="background1"/>
          </w:tcPr>
          <w:p w14:paraId="51517D9A" w14:textId="2C22FAED" w:rsidR="00AE71A2" w:rsidRPr="003212F5" w:rsidRDefault="00AE71A2" w:rsidP="003D0C7F">
            <w:pPr>
              <w:pStyle w:val="TableTextRightAligned"/>
              <w:spacing w:after="0"/>
              <w:ind w:left="-75" w:hanging="34"/>
              <w:rPr>
                <w:sz w:val="18"/>
              </w:rPr>
            </w:pPr>
            <w:r>
              <w:rPr>
                <w:sz w:val="18"/>
              </w:rPr>
              <w:t>0.2292</w:t>
            </w:r>
          </w:p>
        </w:tc>
      </w:tr>
    </w:tbl>
    <w:p w14:paraId="546C12C4" w14:textId="5DDE7C37" w:rsidR="00FB17BE" w:rsidRDefault="00FB17BE" w:rsidP="00E404B9">
      <w:pPr>
        <w:spacing w:line="240" w:lineRule="auto"/>
        <w:rPr>
          <w:sz w:val="18"/>
        </w:rPr>
      </w:pPr>
      <w:r w:rsidRPr="00BE642E">
        <w:rPr>
          <w:sz w:val="18"/>
        </w:rPr>
        <w:t>Note</w:t>
      </w:r>
      <w:r>
        <w:rPr>
          <w:sz w:val="18"/>
        </w:rPr>
        <w:t xml:space="preserve">: n = 1,498, OLS regression, </w:t>
      </w:r>
      <w:r w:rsidRPr="00BE642E">
        <w:rPr>
          <w:sz w:val="18"/>
        </w:rPr>
        <w:t xml:space="preserve">p-values are </w:t>
      </w:r>
      <w:r w:rsidRPr="00236038">
        <w:rPr>
          <w:sz w:val="18"/>
        </w:rPr>
        <w:t>from one-tailed tests.</w:t>
      </w:r>
      <w:r>
        <w:rPr>
          <w:sz w:val="18"/>
        </w:rPr>
        <w:t xml:space="preserve"> </w:t>
      </w:r>
      <w:r w:rsidRPr="00B41DC6">
        <w:rPr>
          <w:sz w:val="18"/>
        </w:rPr>
        <w:t>We did not correct for multiple comparisons.</w:t>
      </w:r>
    </w:p>
    <w:p w14:paraId="53F28AF0" w14:textId="77777777" w:rsidR="00BE38BD" w:rsidRPr="009F3C0D" w:rsidRDefault="00BE38BD" w:rsidP="00BD20D5">
      <w:pPr>
        <w:pStyle w:val="HeadingTable"/>
        <w:spacing w:before="240" w:after="120"/>
        <w:ind w:left="357" w:hanging="357"/>
        <w:outlineLvl w:val="3"/>
      </w:pPr>
      <w:r>
        <w:t xml:space="preserve">Secondary outcome – ease rating </w:t>
      </w:r>
    </w:p>
    <w:tbl>
      <w:tblPr>
        <w:tblStyle w:val="DefaultTable"/>
        <w:tblW w:w="7860"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48"/>
        <w:gridCol w:w="1052"/>
        <w:gridCol w:w="1052"/>
        <w:gridCol w:w="1052"/>
        <w:gridCol w:w="1052"/>
        <w:gridCol w:w="1052"/>
        <w:gridCol w:w="1052"/>
      </w:tblGrid>
      <w:tr w:rsidR="00AE71A2" w:rsidRPr="003212F5" w14:paraId="7B1A3746" w14:textId="77777777" w:rsidTr="002F277A">
        <w:trPr>
          <w:cnfStyle w:val="100000000000" w:firstRow="1" w:lastRow="0" w:firstColumn="0" w:lastColumn="0" w:oddVBand="0" w:evenVBand="0" w:oddHBand="0" w:evenHBand="0" w:firstRowFirstColumn="0" w:firstRowLastColumn="0" w:lastRowFirstColumn="0" w:lastRowLastColumn="0"/>
          <w:trHeight w:val="503"/>
          <w:tblHeader/>
        </w:trPr>
        <w:tc>
          <w:tcPr>
            <w:tcW w:w="1548" w:type="dxa"/>
            <w:tcBorders>
              <w:top w:val="nil"/>
              <w:bottom w:val="single" w:sz="18" w:space="0" w:color="142E3B" w:themeColor="accent6"/>
            </w:tcBorders>
            <w:shd w:val="clear" w:color="auto" w:fill="20B9A3" w:themeFill="accent1"/>
          </w:tcPr>
          <w:p w14:paraId="1AC8EB03" w14:textId="77777777" w:rsidR="00AE71A2" w:rsidRPr="003212F5" w:rsidRDefault="00AE71A2" w:rsidP="006A5E36">
            <w:pPr>
              <w:pStyle w:val="TableHeading"/>
              <w:keepNext/>
              <w:spacing w:after="0"/>
              <w:rPr>
                <w:sz w:val="20"/>
              </w:rPr>
            </w:pPr>
            <w:r w:rsidRPr="003212F5">
              <w:rPr>
                <w:sz w:val="20"/>
              </w:rPr>
              <w:t>Treatment arm</w:t>
            </w:r>
          </w:p>
        </w:tc>
        <w:tc>
          <w:tcPr>
            <w:tcW w:w="1052" w:type="dxa"/>
            <w:tcBorders>
              <w:top w:val="nil"/>
              <w:bottom w:val="single" w:sz="18" w:space="0" w:color="142E3B" w:themeColor="accent6"/>
            </w:tcBorders>
            <w:shd w:val="clear" w:color="auto" w:fill="20B9A3" w:themeFill="accent1"/>
          </w:tcPr>
          <w:p w14:paraId="53EA2B93" w14:textId="77777777" w:rsidR="00283D2E" w:rsidRDefault="00AE71A2" w:rsidP="006A5E36">
            <w:pPr>
              <w:pStyle w:val="TableHeading"/>
              <w:keepNext/>
              <w:spacing w:after="0"/>
              <w:rPr>
                <w:sz w:val="20"/>
              </w:rPr>
            </w:pPr>
            <w:r w:rsidRPr="003212F5">
              <w:rPr>
                <w:sz w:val="20"/>
              </w:rPr>
              <w:t>Mean</w:t>
            </w:r>
            <w:r w:rsidR="00064BB5">
              <w:rPr>
                <w:sz w:val="20"/>
              </w:rPr>
              <w:t xml:space="preserve"> </w:t>
            </w:r>
          </w:p>
          <w:p w14:paraId="28EC930E" w14:textId="601655E5" w:rsidR="00AE71A2" w:rsidRPr="003212F5" w:rsidRDefault="00064BB5" w:rsidP="006A5E36">
            <w:pPr>
              <w:pStyle w:val="TableHeading"/>
              <w:keepNext/>
              <w:spacing w:after="0"/>
              <w:rPr>
                <w:sz w:val="20"/>
              </w:rPr>
            </w:pPr>
            <w:r>
              <w:rPr>
                <w:sz w:val="20"/>
              </w:rPr>
              <w:t xml:space="preserve">(5 point </w:t>
            </w:r>
            <w:r w:rsidR="00E11C6F">
              <w:rPr>
                <w:sz w:val="20"/>
              </w:rPr>
              <w:t>Likert</w:t>
            </w:r>
            <w:r>
              <w:rPr>
                <w:sz w:val="20"/>
              </w:rPr>
              <w:t xml:space="preserve"> scale)</w:t>
            </w:r>
          </w:p>
        </w:tc>
        <w:tc>
          <w:tcPr>
            <w:tcW w:w="1052" w:type="dxa"/>
            <w:tcBorders>
              <w:top w:val="nil"/>
              <w:bottom w:val="single" w:sz="18" w:space="0" w:color="142E3B" w:themeColor="accent6"/>
            </w:tcBorders>
            <w:shd w:val="clear" w:color="auto" w:fill="20B9A3" w:themeFill="accent1"/>
          </w:tcPr>
          <w:p w14:paraId="7EAB3A6B" w14:textId="77777777" w:rsidR="00283D2E" w:rsidRDefault="00AE71A2" w:rsidP="006A5E36">
            <w:pPr>
              <w:pStyle w:val="TableHeading"/>
              <w:keepNext/>
              <w:spacing w:after="0"/>
              <w:jc w:val="right"/>
              <w:rPr>
                <w:sz w:val="20"/>
              </w:rPr>
            </w:pPr>
            <w:r>
              <w:rPr>
                <w:sz w:val="20"/>
              </w:rPr>
              <w:t>E</w:t>
            </w:r>
            <w:r w:rsidR="001472E5">
              <w:rPr>
                <w:sz w:val="20"/>
              </w:rPr>
              <w:t>ffect</w:t>
            </w:r>
          </w:p>
          <w:p w14:paraId="16D24612" w14:textId="74871E88" w:rsidR="00AE71A2" w:rsidRPr="003212F5" w:rsidRDefault="00064BB5" w:rsidP="006A5E36">
            <w:pPr>
              <w:pStyle w:val="TableHeading"/>
              <w:keepNext/>
              <w:spacing w:after="0"/>
              <w:jc w:val="right"/>
              <w:rPr>
                <w:sz w:val="20"/>
              </w:rPr>
            </w:pPr>
            <w:r>
              <w:rPr>
                <w:sz w:val="20"/>
              </w:rPr>
              <w:t xml:space="preserve"> (5 point </w:t>
            </w:r>
            <w:r w:rsidR="00E11C6F">
              <w:rPr>
                <w:sz w:val="20"/>
              </w:rPr>
              <w:t>Likert</w:t>
            </w:r>
            <w:r>
              <w:rPr>
                <w:sz w:val="20"/>
              </w:rPr>
              <w:t xml:space="preserve"> scale)</w:t>
            </w:r>
          </w:p>
        </w:tc>
        <w:tc>
          <w:tcPr>
            <w:tcW w:w="1052" w:type="dxa"/>
            <w:tcBorders>
              <w:top w:val="nil"/>
              <w:bottom w:val="single" w:sz="18" w:space="0" w:color="142E3B" w:themeColor="accent6"/>
            </w:tcBorders>
            <w:shd w:val="clear" w:color="auto" w:fill="20B9A3" w:themeFill="accent1"/>
          </w:tcPr>
          <w:p w14:paraId="1BD6ED0B" w14:textId="77777777" w:rsidR="00AE71A2" w:rsidRPr="003212F5" w:rsidRDefault="00AE71A2" w:rsidP="006A5E36">
            <w:pPr>
              <w:pStyle w:val="TableHeading"/>
              <w:keepNext/>
              <w:spacing w:after="0"/>
              <w:jc w:val="right"/>
              <w:rPr>
                <w:sz w:val="20"/>
              </w:rPr>
            </w:pPr>
            <w:r w:rsidRPr="003212F5">
              <w:rPr>
                <w:sz w:val="20"/>
              </w:rPr>
              <w:t>Std. error</w:t>
            </w:r>
          </w:p>
        </w:tc>
        <w:tc>
          <w:tcPr>
            <w:tcW w:w="1052" w:type="dxa"/>
            <w:tcBorders>
              <w:top w:val="nil"/>
              <w:bottom w:val="single" w:sz="18" w:space="0" w:color="142E3B" w:themeColor="accent6"/>
            </w:tcBorders>
            <w:shd w:val="clear" w:color="auto" w:fill="20B9A3" w:themeFill="accent1"/>
          </w:tcPr>
          <w:p w14:paraId="6EE21F7E" w14:textId="77777777" w:rsidR="00AE71A2" w:rsidRPr="003212F5" w:rsidRDefault="00AE71A2" w:rsidP="006A5E36">
            <w:pPr>
              <w:pStyle w:val="TableHeading"/>
              <w:keepNext/>
              <w:spacing w:after="0"/>
              <w:jc w:val="right"/>
              <w:rPr>
                <w:sz w:val="20"/>
              </w:rPr>
            </w:pPr>
            <w:r w:rsidRPr="003212F5">
              <w:rPr>
                <w:sz w:val="20"/>
              </w:rPr>
              <w:t>p-value</w:t>
            </w:r>
          </w:p>
        </w:tc>
        <w:tc>
          <w:tcPr>
            <w:tcW w:w="1052" w:type="dxa"/>
            <w:tcBorders>
              <w:top w:val="nil"/>
              <w:bottom w:val="single" w:sz="18" w:space="0" w:color="142E3B" w:themeColor="accent6"/>
            </w:tcBorders>
            <w:shd w:val="clear" w:color="auto" w:fill="20B9A3" w:themeFill="accent1"/>
          </w:tcPr>
          <w:p w14:paraId="73DF2366" w14:textId="77777777" w:rsidR="00AE71A2" w:rsidRPr="003212F5" w:rsidRDefault="00AE71A2" w:rsidP="006A5E36">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52" w:type="dxa"/>
            <w:tcBorders>
              <w:top w:val="nil"/>
              <w:bottom w:val="single" w:sz="18" w:space="0" w:color="142E3B" w:themeColor="accent6"/>
            </w:tcBorders>
            <w:shd w:val="clear" w:color="auto" w:fill="20B9A3" w:themeFill="accent1"/>
          </w:tcPr>
          <w:p w14:paraId="525DFF5B" w14:textId="77777777" w:rsidR="00AE71A2" w:rsidRPr="003212F5" w:rsidRDefault="00AE71A2" w:rsidP="006A5E36">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28FF8BF8" w14:textId="77777777" w:rsidTr="002F277A">
        <w:trPr>
          <w:trHeight w:val="217"/>
        </w:trPr>
        <w:tc>
          <w:tcPr>
            <w:tcW w:w="1548" w:type="dxa"/>
            <w:shd w:val="clear" w:color="auto" w:fill="auto"/>
          </w:tcPr>
          <w:p w14:paraId="37C763E1" w14:textId="71FBF704" w:rsidR="00AE71A2" w:rsidRPr="003212F5" w:rsidRDefault="006040C0" w:rsidP="006A5E36">
            <w:pPr>
              <w:pStyle w:val="TableTextLeftAligned"/>
              <w:keepNext/>
              <w:spacing w:after="0"/>
              <w:rPr>
                <w:sz w:val="18"/>
              </w:rPr>
            </w:pPr>
            <w:r w:rsidRPr="006040C0">
              <w:rPr>
                <w:sz w:val="18"/>
              </w:rPr>
              <w:t>B: 3 categories, unsorted</w:t>
            </w:r>
          </w:p>
        </w:tc>
        <w:tc>
          <w:tcPr>
            <w:tcW w:w="1052" w:type="dxa"/>
          </w:tcPr>
          <w:p w14:paraId="774F747E" w14:textId="17CFA1A9" w:rsidR="00AE71A2" w:rsidRPr="003212F5" w:rsidRDefault="00AE71A2" w:rsidP="006A5E36">
            <w:pPr>
              <w:pStyle w:val="TableTextRightAligned"/>
              <w:keepNext/>
              <w:spacing w:after="0"/>
              <w:rPr>
                <w:sz w:val="18"/>
              </w:rPr>
            </w:pPr>
            <w:r>
              <w:rPr>
                <w:sz w:val="18"/>
              </w:rPr>
              <w:t>3.9956</w:t>
            </w:r>
          </w:p>
        </w:tc>
        <w:tc>
          <w:tcPr>
            <w:tcW w:w="1052" w:type="dxa"/>
            <w:shd w:val="clear" w:color="auto" w:fill="FFFFFF" w:themeFill="background1"/>
          </w:tcPr>
          <w:p w14:paraId="3E350A19" w14:textId="77777777" w:rsidR="00AE71A2" w:rsidRPr="003212F5" w:rsidRDefault="00AE71A2" w:rsidP="006A5E36">
            <w:pPr>
              <w:pStyle w:val="TableTextRightAligned"/>
              <w:keepNext/>
              <w:spacing w:after="0"/>
              <w:rPr>
                <w:sz w:val="18"/>
              </w:rPr>
            </w:pPr>
          </w:p>
        </w:tc>
        <w:tc>
          <w:tcPr>
            <w:tcW w:w="1052" w:type="dxa"/>
          </w:tcPr>
          <w:p w14:paraId="13D13288" w14:textId="77777777" w:rsidR="00AE71A2" w:rsidRPr="003212F5" w:rsidRDefault="00AE71A2" w:rsidP="006A5E36">
            <w:pPr>
              <w:pStyle w:val="TableTextRightAligned"/>
              <w:keepNext/>
              <w:spacing w:after="0"/>
              <w:rPr>
                <w:sz w:val="18"/>
              </w:rPr>
            </w:pPr>
          </w:p>
        </w:tc>
        <w:tc>
          <w:tcPr>
            <w:tcW w:w="1052" w:type="dxa"/>
            <w:shd w:val="clear" w:color="auto" w:fill="FFFFFF" w:themeFill="background1"/>
          </w:tcPr>
          <w:p w14:paraId="30E1B86B" w14:textId="77777777" w:rsidR="00AE71A2" w:rsidRPr="003212F5" w:rsidRDefault="00AE71A2" w:rsidP="006A5E36">
            <w:pPr>
              <w:pStyle w:val="TableTextRightAligned"/>
              <w:keepNext/>
              <w:spacing w:after="0"/>
              <w:rPr>
                <w:sz w:val="18"/>
              </w:rPr>
            </w:pPr>
          </w:p>
        </w:tc>
        <w:tc>
          <w:tcPr>
            <w:tcW w:w="1052" w:type="dxa"/>
          </w:tcPr>
          <w:p w14:paraId="5E6CAB80" w14:textId="77777777" w:rsidR="00AE71A2" w:rsidRPr="003212F5" w:rsidRDefault="00AE71A2" w:rsidP="006A5E36">
            <w:pPr>
              <w:pStyle w:val="TableTextRightAligned"/>
              <w:keepNext/>
              <w:spacing w:after="0"/>
              <w:rPr>
                <w:sz w:val="18"/>
              </w:rPr>
            </w:pPr>
          </w:p>
        </w:tc>
        <w:tc>
          <w:tcPr>
            <w:tcW w:w="1052" w:type="dxa"/>
            <w:shd w:val="clear" w:color="auto" w:fill="FFFFFF" w:themeFill="background1"/>
          </w:tcPr>
          <w:p w14:paraId="09FC240C" w14:textId="77777777" w:rsidR="00AE71A2" w:rsidRPr="003212F5" w:rsidRDefault="00AE71A2" w:rsidP="006A5E36">
            <w:pPr>
              <w:pStyle w:val="TableTextRightAligned"/>
              <w:keepNext/>
              <w:spacing w:after="0"/>
              <w:ind w:left="-75" w:hanging="34"/>
              <w:rPr>
                <w:sz w:val="18"/>
              </w:rPr>
            </w:pPr>
          </w:p>
        </w:tc>
      </w:tr>
      <w:tr w:rsidR="00AE71A2" w:rsidRPr="003212F5" w14:paraId="66A1F928" w14:textId="77777777" w:rsidTr="002F277A">
        <w:trPr>
          <w:trHeight w:val="217"/>
        </w:trPr>
        <w:tc>
          <w:tcPr>
            <w:tcW w:w="1548" w:type="dxa"/>
            <w:shd w:val="clear" w:color="auto" w:fill="auto"/>
          </w:tcPr>
          <w:p w14:paraId="6EA977FE" w14:textId="2473EDF7" w:rsidR="00AE71A2" w:rsidRPr="003212F5" w:rsidRDefault="006040C0" w:rsidP="006A5E36">
            <w:pPr>
              <w:pStyle w:val="TableTextLeftAligned"/>
              <w:spacing w:after="0"/>
              <w:rPr>
                <w:sz w:val="18"/>
              </w:rPr>
            </w:pPr>
            <w:r w:rsidRPr="006040C0">
              <w:rPr>
                <w:sz w:val="18"/>
              </w:rPr>
              <w:t>C: 3 categories, sorted</w:t>
            </w:r>
          </w:p>
        </w:tc>
        <w:tc>
          <w:tcPr>
            <w:tcW w:w="1052" w:type="dxa"/>
          </w:tcPr>
          <w:p w14:paraId="766D2F60" w14:textId="4B09BF9A" w:rsidR="00AE71A2" w:rsidRPr="003212F5" w:rsidRDefault="00AE71A2" w:rsidP="006A5E36">
            <w:pPr>
              <w:pStyle w:val="TableTextRightAligned"/>
              <w:spacing w:after="0"/>
              <w:rPr>
                <w:sz w:val="18"/>
              </w:rPr>
            </w:pPr>
            <w:r>
              <w:rPr>
                <w:sz w:val="18"/>
              </w:rPr>
              <w:t>3.8736</w:t>
            </w:r>
          </w:p>
        </w:tc>
        <w:tc>
          <w:tcPr>
            <w:tcW w:w="1052" w:type="dxa"/>
            <w:shd w:val="clear" w:color="auto" w:fill="FFFFFF" w:themeFill="background1"/>
          </w:tcPr>
          <w:p w14:paraId="55BF697D" w14:textId="32D83B3C" w:rsidR="00AE71A2" w:rsidRPr="003212F5" w:rsidRDefault="00AE71A2" w:rsidP="006A5E36">
            <w:pPr>
              <w:pStyle w:val="TableTextRightAligned"/>
              <w:spacing w:after="0"/>
              <w:rPr>
                <w:sz w:val="18"/>
              </w:rPr>
            </w:pPr>
            <w:r>
              <w:rPr>
                <w:sz w:val="18"/>
              </w:rPr>
              <w:t>-0.1220</w:t>
            </w:r>
          </w:p>
        </w:tc>
        <w:tc>
          <w:tcPr>
            <w:tcW w:w="1052" w:type="dxa"/>
          </w:tcPr>
          <w:p w14:paraId="2B3EC4BE" w14:textId="725F664F" w:rsidR="00AE71A2" w:rsidRPr="003212F5" w:rsidRDefault="00AE71A2" w:rsidP="006A5E36">
            <w:pPr>
              <w:pStyle w:val="TableTextRightAligned"/>
              <w:spacing w:after="0"/>
              <w:rPr>
                <w:sz w:val="18"/>
              </w:rPr>
            </w:pPr>
            <w:r>
              <w:rPr>
                <w:sz w:val="18"/>
              </w:rPr>
              <w:t>0.0477</w:t>
            </w:r>
          </w:p>
        </w:tc>
        <w:tc>
          <w:tcPr>
            <w:tcW w:w="1052" w:type="dxa"/>
            <w:shd w:val="clear" w:color="auto" w:fill="FFFFFF" w:themeFill="background1"/>
          </w:tcPr>
          <w:p w14:paraId="1DD7F1D2" w14:textId="68F5C622" w:rsidR="00AE71A2" w:rsidRPr="003212F5" w:rsidRDefault="00AE71A2" w:rsidP="00D4615B">
            <w:pPr>
              <w:pStyle w:val="TableTextRightAligned"/>
              <w:spacing w:after="0"/>
              <w:rPr>
                <w:sz w:val="18"/>
              </w:rPr>
            </w:pPr>
            <w:r>
              <w:rPr>
                <w:sz w:val="18"/>
              </w:rPr>
              <w:t>0.9947</w:t>
            </w:r>
          </w:p>
        </w:tc>
        <w:tc>
          <w:tcPr>
            <w:tcW w:w="1052" w:type="dxa"/>
          </w:tcPr>
          <w:p w14:paraId="0064BB3E" w14:textId="2A20ABB3" w:rsidR="00AE71A2" w:rsidRPr="003212F5" w:rsidRDefault="00AE71A2" w:rsidP="003D0C7F">
            <w:pPr>
              <w:pStyle w:val="TableTextRightAligned"/>
              <w:spacing w:after="0"/>
              <w:rPr>
                <w:sz w:val="18"/>
              </w:rPr>
            </w:pPr>
            <w:r>
              <w:rPr>
                <w:sz w:val="18"/>
              </w:rPr>
              <w:t>-0.2156</w:t>
            </w:r>
          </w:p>
        </w:tc>
        <w:tc>
          <w:tcPr>
            <w:tcW w:w="1052" w:type="dxa"/>
            <w:shd w:val="clear" w:color="auto" w:fill="FFFFFF" w:themeFill="background1"/>
          </w:tcPr>
          <w:p w14:paraId="336FE49C" w14:textId="17FDFFEA" w:rsidR="00AE71A2" w:rsidRPr="003212F5" w:rsidRDefault="00AE71A2" w:rsidP="003D0C7F">
            <w:pPr>
              <w:pStyle w:val="TableTextRightAligned"/>
              <w:spacing w:after="0"/>
              <w:ind w:left="-75" w:hanging="34"/>
              <w:rPr>
                <w:sz w:val="18"/>
              </w:rPr>
            </w:pPr>
            <w:r>
              <w:rPr>
                <w:sz w:val="18"/>
              </w:rPr>
              <w:t>-0.0284</w:t>
            </w:r>
          </w:p>
        </w:tc>
      </w:tr>
    </w:tbl>
    <w:p w14:paraId="6EE05C81" w14:textId="64B9A27F" w:rsidR="00BE38BD" w:rsidRPr="00E404B9" w:rsidRDefault="00BE38BD" w:rsidP="00BE38BD">
      <w:pPr>
        <w:spacing w:line="240" w:lineRule="auto"/>
        <w:rPr>
          <w:sz w:val="18"/>
        </w:rPr>
      </w:pPr>
      <w:r w:rsidRPr="00BE642E">
        <w:rPr>
          <w:sz w:val="18"/>
        </w:rPr>
        <w:t>Note</w:t>
      </w:r>
      <w:r>
        <w:rPr>
          <w:sz w:val="18"/>
        </w:rPr>
        <w:t xml:space="preserve">: n = 1,484, OLS regression, </w:t>
      </w:r>
      <w:r w:rsidRPr="00BE642E">
        <w:rPr>
          <w:sz w:val="18"/>
        </w:rPr>
        <w:t xml:space="preserve">p-values are </w:t>
      </w:r>
      <w:r w:rsidRPr="00236038">
        <w:rPr>
          <w:sz w:val="18"/>
        </w:rPr>
        <w:t>from one-tailed tests.</w:t>
      </w:r>
      <w:r>
        <w:rPr>
          <w:sz w:val="18"/>
        </w:rPr>
        <w:t xml:space="preserve"> </w:t>
      </w:r>
      <w:r w:rsidRPr="00B41DC6">
        <w:rPr>
          <w:sz w:val="18"/>
        </w:rPr>
        <w:t>We did not correct for multiple comparisons.</w:t>
      </w:r>
    </w:p>
    <w:p w14:paraId="53377AE0" w14:textId="77777777" w:rsidR="00BE38BD" w:rsidRPr="009F3C0D" w:rsidRDefault="00BE38BD" w:rsidP="00BD20D5">
      <w:pPr>
        <w:pStyle w:val="HeadingTable"/>
        <w:spacing w:before="240" w:after="120"/>
        <w:ind w:left="357" w:hanging="357"/>
        <w:outlineLvl w:val="3"/>
      </w:pPr>
      <w:r>
        <w:t xml:space="preserve">Secondary outcome – ease rating </w:t>
      </w:r>
    </w:p>
    <w:tbl>
      <w:tblPr>
        <w:tblStyle w:val="DefaultTable"/>
        <w:tblW w:w="7823" w:type="dxa"/>
        <w:tblLayout w:type="fixed"/>
        <w:tblCellMar>
          <w:top w:w="85" w:type="dxa"/>
        </w:tblCellMar>
        <w:tblLook w:val="0420" w:firstRow="1" w:lastRow="0" w:firstColumn="0" w:lastColumn="0" w:noHBand="0" w:noVBand="1"/>
        <w:tblCaption w:val="Table 1"/>
        <w:tblDescription w:val="Example table with Alt Text for accessibility"/>
      </w:tblPr>
      <w:tblGrid>
        <w:gridCol w:w="1541"/>
        <w:gridCol w:w="1047"/>
        <w:gridCol w:w="1047"/>
        <w:gridCol w:w="1047"/>
        <w:gridCol w:w="1047"/>
        <w:gridCol w:w="1047"/>
        <w:gridCol w:w="1047"/>
      </w:tblGrid>
      <w:tr w:rsidR="00AE71A2" w:rsidRPr="003212F5" w14:paraId="27BFBFF3" w14:textId="77777777" w:rsidTr="002F277A">
        <w:trPr>
          <w:cnfStyle w:val="100000000000" w:firstRow="1" w:lastRow="0" w:firstColumn="0" w:lastColumn="0" w:oddVBand="0" w:evenVBand="0" w:oddHBand="0" w:evenHBand="0" w:firstRowFirstColumn="0" w:firstRowLastColumn="0" w:lastRowFirstColumn="0" w:lastRowLastColumn="0"/>
          <w:trHeight w:val="538"/>
          <w:tblHeader/>
        </w:trPr>
        <w:tc>
          <w:tcPr>
            <w:tcW w:w="1541" w:type="dxa"/>
            <w:tcBorders>
              <w:top w:val="nil"/>
              <w:bottom w:val="single" w:sz="18" w:space="0" w:color="142E3B" w:themeColor="accent6"/>
            </w:tcBorders>
            <w:shd w:val="clear" w:color="auto" w:fill="20B9A3" w:themeFill="accent1"/>
          </w:tcPr>
          <w:p w14:paraId="1271D438" w14:textId="77777777" w:rsidR="00AE71A2" w:rsidRPr="003212F5" w:rsidRDefault="00AE71A2" w:rsidP="006A5E36">
            <w:pPr>
              <w:pStyle w:val="TableHeading"/>
              <w:keepNext/>
              <w:spacing w:after="0"/>
              <w:rPr>
                <w:sz w:val="20"/>
              </w:rPr>
            </w:pPr>
            <w:r w:rsidRPr="003212F5">
              <w:rPr>
                <w:sz w:val="20"/>
              </w:rPr>
              <w:t>Treatment arm</w:t>
            </w:r>
          </w:p>
        </w:tc>
        <w:tc>
          <w:tcPr>
            <w:tcW w:w="1047" w:type="dxa"/>
            <w:tcBorders>
              <w:top w:val="nil"/>
              <w:bottom w:val="single" w:sz="18" w:space="0" w:color="142E3B" w:themeColor="accent6"/>
            </w:tcBorders>
            <w:shd w:val="clear" w:color="auto" w:fill="20B9A3" w:themeFill="accent1"/>
          </w:tcPr>
          <w:p w14:paraId="6401E074" w14:textId="77777777" w:rsidR="00283D2E" w:rsidRDefault="00AE71A2" w:rsidP="006A5E36">
            <w:pPr>
              <w:pStyle w:val="TableHeading"/>
              <w:keepNext/>
              <w:spacing w:after="0"/>
              <w:rPr>
                <w:sz w:val="20"/>
              </w:rPr>
            </w:pPr>
            <w:r w:rsidRPr="003212F5">
              <w:rPr>
                <w:sz w:val="20"/>
              </w:rPr>
              <w:t>Mean</w:t>
            </w:r>
            <w:r w:rsidR="00064BB5">
              <w:rPr>
                <w:sz w:val="20"/>
              </w:rPr>
              <w:t xml:space="preserve"> </w:t>
            </w:r>
          </w:p>
          <w:p w14:paraId="33E730F3" w14:textId="3E4B261C" w:rsidR="00AE71A2" w:rsidRPr="003212F5" w:rsidRDefault="00064BB5" w:rsidP="006A5E36">
            <w:pPr>
              <w:pStyle w:val="TableHeading"/>
              <w:keepNext/>
              <w:spacing w:after="0"/>
              <w:rPr>
                <w:sz w:val="20"/>
              </w:rPr>
            </w:pPr>
            <w:r>
              <w:rPr>
                <w:sz w:val="20"/>
              </w:rPr>
              <w:t xml:space="preserve">(5 point </w:t>
            </w:r>
            <w:r w:rsidR="00E11C6F">
              <w:rPr>
                <w:sz w:val="20"/>
              </w:rPr>
              <w:t>Likert</w:t>
            </w:r>
            <w:r>
              <w:rPr>
                <w:sz w:val="20"/>
              </w:rPr>
              <w:t xml:space="preserve"> scale)</w:t>
            </w:r>
          </w:p>
        </w:tc>
        <w:tc>
          <w:tcPr>
            <w:tcW w:w="1047" w:type="dxa"/>
            <w:tcBorders>
              <w:top w:val="nil"/>
              <w:bottom w:val="single" w:sz="18" w:space="0" w:color="142E3B" w:themeColor="accent6"/>
            </w:tcBorders>
            <w:shd w:val="clear" w:color="auto" w:fill="20B9A3" w:themeFill="accent1"/>
          </w:tcPr>
          <w:p w14:paraId="57630C43" w14:textId="77777777" w:rsidR="00283D2E" w:rsidRDefault="00AE71A2" w:rsidP="006A5E36">
            <w:pPr>
              <w:pStyle w:val="TableHeading"/>
              <w:keepNext/>
              <w:spacing w:after="0"/>
              <w:jc w:val="right"/>
              <w:rPr>
                <w:sz w:val="20"/>
              </w:rPr>
            </w:pPr>
            <w:r>
              <w:rPr>
                <w:sz w:val="20"/>
              </w:rPr>
              <w:t>E</w:t>
            </w:r>
            <w:r w:rsidR="001472E5">
              <w:rPr>
                <w:sz w:val="20"/>
              </w:rPr>
              <w:t>ffect</w:t>
            </w:r>
            <w:r w:rsidR="00064BB5">
              <w:rPr>
                <w:sz w:val="20"/>
              </w:rPr>
              <w:t xml:space="preserve"> </w:t>
            </w:r>
          </w:p>
          <w:p w14:paraId="474DB47E" w14:textId="0C669B5E" w:rsidR="00AE71A2" w:rsidRPr="003212F5" w:rsidRDefault="00064BB5" w:rsidP="006A5E36">
            <w:pPr>
              <w:pStyle w:val="TableHeading"/>
              <w:keepNext/>
              <w:spacing w:after="0"/>
              <w:jc w:val="right"/>
              <w:rPr>
                <w:sz w:val="20"/>
              </w:rPr>
            </w:pPr>
            <w:r>
              <w:rPr>
                <w:sz w:val="20"/>
              </w:rPr>
              <w:t xml:space="preserve">(5 point </w:t>
            </w:r>
            <w:r w:rsidR="00E11C6F">
              <w:rPr>
                <w:sz w:val="20"/>
              </w:rPr>
              <w:t>Likert</w:t>
            </w:r>
            <w:r>
              <w:rPr>
                <w:sz w:val="20"/>
              </w:rPr>
              <w:t xml:space="preserve"> scale)</w:t>
            </w:r>
          </w:p>
        </w:tc>
        <w:tc>
          <w:tcPr>
            <w:tcW w:w="1047" w:type="dxa"/>
            <w:tcBorders>
              <w:top w:val="nil"/>
              <w:bottom w:val="single" w:sz="18" w:space="0" w:color="142E3B" w:themeColor="accent6"/>
            </w:tcBorders>
            <w:shd w:val="clear" w:color="auto" w:fill="20B9A3" w:themeFill="accent1"/>
          </w:tcPr>
          <w:p w14:paraId="0B1213ED" w14:textId="77777777" w:rsidR="00AE71A2" w:rsidRPr="003212F5" w:rsidRDefault="00AE71A2" w:rsidP="006A5E36">
            <w:pPr>
              <w:pStyle w:val="TableHeading"/>
              <w:keepNext/>
              <w:spacing w:after="0"/>
              <w:jc w:val="right"/>
              <w:rPr>
                <w:sz w:val="20"/>
              </w:rPr>
            </w:pPr>
            <w:r w:rsidRPr="003212F5">
              <w:rPr>
                <w:sz w:val="20"/>
              </w:rPr>
              <w:t>Std. error</w:t>
            </w:r>
          </w:p>
        </w:tc>
        <w:tc>
          <w:tcPr>
            <w:tcW w:w="1047" w:type="dxa"/>
            <w:tcBorders>
              <w:top w:val="nil"/>
              <w:bottom w:val="single" w:sz="18" w:space="0" w:color="142E3B" w:themeColor="accent6"/>
            </w:tcBorders>
            <w:shd w:val="clear" w:color="auto" w:fill="20B9A3" w:themeFill="accent1"/>
          </w:tcPr>
          <w:p w14:paraId="5CA0C133" w14:textId="77777777" w:rsidR="00AE71A2" w:rsidRPr="003212F5" w:rsidRDefault="00AE71A2" w:rsidP="006A5E36">
            <w:pPr>
              <w:pStyle w:val="TableHeading"/>
              <w:keepNext/>
              <w:spacing w:after="0"/>
              <w:jc w:val="right"/>
              <w:rPr>
                <w:sz w:val="20"/>
              </w:rPr>
            </w:pPr>
            <w:r w:rsidRPr="003212F5">
              <w:rPr>
                <w:sz w:val="20"/>
              </w:rPr>
              <w:t>p-value</w:t>
            </w:r>
          </w:p>
        </w:tc>
        <w:tc>
          <w:tcPr>
            <w:tcW w:w="1047" w:type="dxa"/>
            <w:tcBorders>
              <w:top w:val="nil"/>
              <w:bottom w:val="single" w:sz="18" w:space="0" w:color="142E3B" w:themeColor="accent6"/>
            </w:tcBorders>
            <w:shd w:val="clear" w:color="auto" w:fill="20B9A3" w:themeFill="accent1"/>
          </w:tcPr>
          <w:p w14:paraId="1E20A20A" w14:textId="77777777" w:rsidR="00AE71A2" w:rsidRPr="003212F5" w:rsidRDefault="00AE71A2" w:rsidP="006A5E36">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1047" w:type="dxa"/>
            <w:tcBorders>
              <w:top w:val="nil"/>
              <w:bottom w:val="single" w:sz="18" w:space="0" w:color="142E3B" w:themeColor="accent6"/>
            </w:tcBorders>
            <w:shd w:val="clear" w:color="auto" w:fill="20B9A3" w:themeFill="accent1"/>
          </w:tcPr>
          <w:p w14:paraId="64F50B4F" w14:textId="77777777" w:rsidR="00AE71A2" w:rsidRPr="003212F5" w:rsidRDefault="00AE71A2" w:rsidP="006A5E36">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AE71A2" w:rsidRPr="003212F5" w14:paraId="53093116" w14:textId="77777777" w:rsidTr="002F277A">
        <w:trPr>
          <w:trHeight w:val="232"/>
        </w:trPr>
        <w:tc>
          <w:tcPr>
            <w:tcW w:w="1541" w:type="dxa"/>
            <w:shd w:val="clear" w:color="auto" w:fill="auto"/>
          </w:tcPr>
          <w:p w14:paraId="0233967D" w14:textId="7394D79A" w:rsidR="00AE71A2" w:rsidRPr="003212F5" w:rsidRDefault="00075A7A" w:rsidP="006A5E36">
            <w:pPr>
              <w:pStyle w:val="TableTextLeftAligned"/>
              <w:keepNext/>
              <w:spacing w:after="0"/>
              <w:rPr>
                <w:sz w:val="18"/>
              </w:rPr>
            </w:pPr>
            <w:r w:rsidRPr="00075A7A">
              <w:rPr>
                <w:sz w:val="18"/>
              </w:rPr>
              <w:t>A: 2 categories, unsorted</w:t>
            </w:r>
          </w:p>
        </w:tc>
        <w:tc>
          <w:tcPr>
            <w:tcW w:w="1047" w:type="dxa"/>
          </w:tcPr>
          <w:p w14:paraId="1020D849" w14:textId="383A2854" w:rsidR="00AE71A2" w:rsidRPr="003212F5" w:rsidRDefault="00AE71A2" w:rsidP="006A5E36">
            <w:pPr>
              <w:pStyle w:val="TableTextRightAligned"/>
              <w:keepNext/>
              <w:spacing w:after="0"/>
              <w:rPr>
                <w:sz w:val="18"/>
              </w:rPr>
            </w:pPr>
            <w:r>
              <w:rPr>
                <w:sz w:val="18"/>
              </w:rPr>
              <w:t>3.8613</w:t>
            </w:r>
          </w:p>
        </w:tc>
        <w:tc>
          <w:tcPr>
            <w:tcW w:w="1047" w:type="dxa"/>
            <w:shd w:val="clear" w:color="auto" w:fill="FFFFFF" w:themeFill="background1"/>
          </w:tcPr>
          <w:p w14:paraId="571615B4" w14:textId="77777777" w:rsidR="00AE71A2" w:rsidRPr="003212F5" w:rsidRDefault="00AE71A2" w:rsidP="006A5E36">
            <w:pPr>
              <w:pStyle w:val="TableTextRightAligned"/>
              <w:keepNext/>
              <w:spacing w:after="0"/>
              <w:rPr>
                <w:sz w:val="18"/>
              </w:rPr>
            </w:pPr>
          </w:p>
        </w:tc>
        <w:tc>
          <w:tcPr>
            <w:tcW w:w="1047" w:type="dxa"/>
          </w:tcPr>
          <w:p w14:paraId="054B792E" w14:textId="77777777" w:rsidR="00AE71A2" w:rsidRPr="003212F5" w:rsidRDefault="00AE71A2" w:rsidP="006A5E36">
            <w:pPr>
              <w:pStyle w:val="TableTextRightAligned"/>
              <w:keepNext/>
              <w:spacing w:after="0"/>
              <w:rPr>
                <w:sz w:val="18"/>
              </w:rPr>
            </w:pPr>
          </w:p>
        </w:tc>
        <w:tc>
          <w:tcPr>
            <w:tcW w:w="1047" w:type="dxa"/>
            <w:shd w:val="clear" w:color="auto" w:fill="FFFFFF" w:themeFill="background1"/>
          </w:tcPr>
          <w:p w14:paraId="000EAAFC" w14:textId="77777777" w:rsidR="00AE71A2" w:rsidRPr="003212F5" w:rsidRDefault="00AE71A2" w:rsidP="006A5E36">
            <w:pPr>
              <w:pStyle w:val="TableTextRightAligned"/>
              <w:keepNext/>
              <w:spacing w:after="0"/>
              <w:rPr>
                <w:sz w:val="18"/>
              </w:rPr>
            </w:pPr>
          </w:p>
        </w:tc>
        <w:tc>
          <w:tcPr>
            <w:tcW w:w="1047" w:type="dxa"/>
          </w:tcPr>
          <w:p w14:paraId="4DC24622" w14:textId="77777777" w:rsidR="00AE71A2" w:rsidRPr="003212F5" w:rsidRDefault="00AE71A2" w:rsidP="006A5E36">
            <w:pPr>
              <w:pStyle w:val="TableTextRightAligned"/>
              <w:keepNext/>
              <w:spacing w:after="0"/>
              <w:rPr>
                <w:sz w:val="18"/>
              </w:rPr>
            </w:pPr>
          </w:p>
        </w:tc>
        <w:tc>
          <w:tcPr>
            <w:tcW w:w="1047" w:type="dxa"/>
            <w:shd w:val="clear" w:color="auto" w:fill="FFFFFF" w:themeFill="background1"/>
          </w:tcPr>
          <w:p w14:paraId="31097639" w14:textId="77777777" w:rsidR="00AE71A2" w:rsidRPr="003212F5" w:rsidRDefault="00AE71A2" w:rsidP="006A5E36">
            <w:pPr>
              <w:pStyle w:val="TableTextRightAligned"/>
              <w:keepNext/>
              <w:spacing w:after="0"/>
              <w:ind w:left="-75" w:hanging="34"/>
              <w:rPr>
                <w:sz w:val="18"/>
              </w:rPr>
            </w:pPr>
          </w:p>
        </w:tc>
      </w:tr>
      <w:tr w:rsidR="00AE71A2" w:rsidRPr="003212F5" w14:paraId="071DD845" w14:textId="77777777" w:rsidTr="002F277A">
        <w:trPr>
          <w:trHeight w:val="232"/>
        </w:trPr>
        <w:tc>
          <w:tcPr>
            <w:tcW w:w="1541" w:type="dxa"/>
            <w:shd w:val="clear" w:color="auto" w:fill="auto"/>
          </w:tcPr>
          <w:p w14:paraId="22AD04AB" w14:textId="22F89793" w:rsidR="00AE71A2" w:rsidRPr="003212F5" w:rsidRDefault="006040C0" w:rsidP="006A5E36">
            <w:pPr>
              <w:pStyle w:val="TableTextLeftAligned"/>
              <w:spacing w:after="0"/>
              <w:rPr>
                <w:sz w:val="18"/>
              </w:rPr>
            </w:pPr>
            <w:r w:rsidRPr="006040C0">
              <w:rPr>
                <w:sz w:val="18"/>
              </w:rPr>
              <w:t>C: 3 categories, sorted</w:t>
            </w:r>
          </w:p>
        </w:tc>
        <w:tc>
          <w:tcPr>
            <w:tcW w:w="1047" w:type="dxa"/>
          </w:tcPr>
          <w:p w14:paraId="6298C845" w14:textId="77777777" w:rsidR="00AE71A2" w:rsidRPr="003212F5" w:rsidRDefault="00AE71A2" w:rsidP="006A5E36">
            <w:pPr>
              <w:pStyle w:val="TableTextRightAligned"/>
              <w:spacing w:after="0"/>
              <w:rPr>
                <w:sz w:val="18"/>
              </w:rPr>
            </w:pPr>
            <w:r>
              <w:rPr>
                <w:sz w:val="18"/>
              </w:rPr>
              <w:t>3.8736</w:t>
            </w:r>
          </w:p>
        </w:tc>
        <w:tc>
          <w:tcPr>
            <w:tcW w:w="1047" w:type="dxa"/>
            <w:shd w:val="clear" w:color="auto" w:fill="FFFFFF" w:themeFill="background1"/>
          </w:tcPr>
          <w:p w14:paraId="1A47E918" w14:textId="57DD2090" w:rsidR="00AE71A2" w:rsidRPr="003212F5" w:rsidRDefault="00AE71A2" w:rsidP="003D0C7F">
            <w:pPr>
              <w:pStyle w:val="TableTextRightAligned"/>
              <w:spacing w:after="0"/>
              <w:rPr>
                <w:sz w:val="18"/>
              </w:rPr>
            </w:pPr>
            <w:r>
              <w:rPr>
                <w:sz w:val="18"/>
              </w:rPr>
              <w:t>0.0123</w:t>
            </w:r>
          </w:p>
        </w:tc>
        <w:tc>
          <w:tcPr>
            <w:tcW w:w="1047" w:type="dxa"/>
          </w:tcPr>
          <w:p w14:paraId="53C5F205" w14:textId="790BE6E4" w:rsidR="00AE71A2" w:rsidRPr="003212F5" w:rsidRDefault="00AE71A2" w:rsidP="006A5E36">
            <w:pPr>
              <w:pStyle w:val="TableTextRightAligned"/>
              <w:spacing w:after="0"/>
              <w:rPr>
                <w:sz w:val="18"/>
              </w:rPr>
            </w:pPr>
            <w:r>
              <w:rPr>
                <w:sz w:val="18"/>
              </w:rPr>
              <w:t>0.0486</w:t>
            </w:r>
          </w:p>
        </w:tc>
        <w:tc>
          <w:tcPr>
            <w:tcW w:w="1047" w:type="dxa"/>
            <w:shd w:val="clear" w:color="auto" w:fill="FFFFFF" w:themeFill="background1"/>
          </w:tcPr>
          <w:p w14:paraId="6AA563ED" w14:textId="520B4ADF" w:rsidR="00AE71A2" w:rsidRPr="003212F5" w:rsidRDefault="00AE71A2" w:rsidP="003D0C7F">
            <w:pPr>
              <w:pStyle w:val="TableTextRightAligned"/>
              <w:spacing w:after="0"/>
              <w:rPr>
                <w:sz w:val="18"/>
              </w:rPr>
            </w:pPr>
            <w:r>
              <w:rPr>
                <w:sz w:val="18"/>
              </w:rPr>
              <w:t>0.3999</w:t>
            </w:r>
          </w:p>
        </w:tc>
        <w:tc>
          <w:tcPr>
            <w:tcW w:w="1047" w:type="dxa"/>
          </w:tcPr>
          <w:p w14:paraId="65F773CE" w14:textId="51168204" w:rsidR="00AE71A2" w:rsidRPr="003212F5" w:rsidRDefault="00AE71A2" w:rsidP="003D0C7F">
            <w:pPr>
              <w:pStyle w:val="TableTextRightAligned"/>
              <w:spacing w:after="0"/>
              <w:rPr>
                <w:sz w:val="18"/>
              </w:rPr>
            </w:pPr>
            <w:r>
              <w:rPr>
                <w:sz w:val="18"/>
              </w:rPr>
              <w:t>-0.0831</w:t>
            </w:r>
          </w:p>
        </w:tc>
        <w:tc>
          <w:tcPr>
            <w:tcW w:w="1047" w:type="dxa"/>
            <w:shd w:val="clear" w:color="auto" w:fill="FFFFFF" w:themeFill="background1"/>
          </w:tcPr>
          <w:p w14:paraId="61229793" w14:textId="32BEE228" w:rsidR="00AE71A2" w:rsidRPr="003212F5" w:rsidRDefault="00AE71A2">
            <w:pPr>
              <w:pStyle w:val="TableTextRightAligned"/>
              <w:spacing w:after="0"/>
              <w:ind w:left="-75" w:hanging="34"/>
              <w:rPr>
                <w:sz w:val="18"/>
              </w:rPr>
            </w:pPr>
            <w:r>
              <w:rPr>
                <w:sz w:val="18"/>
              </w:rPr>
              <w:t>0.1078</w:t>
            </w:r>
          </w:p>
        </w:tc>
      </w:tr>
    </w:tbl>
    <w:p w14:paraId="1EFE77D4" w14:textId="59F1833E" w:rsidR="00BE38BD" w:rsidRPr="00E404B9" w:rsidRDefault="00BE38BD" w:rsidP="00BE38BD">
      <w:pPr>
        <w:spacing w:line="240" w:lineRule="auto"/>
        <w:rPr>
          <w:sz w:val="18"/>
        </w:rPr>
      </w:pPr>
      <w:r w:rsidRPr="00BE642E">
        <w:rPr>
          <w:sz w:val="18"/>
        </w:rPr>
        <w:t>Note</w:t>
      </w:r>
      <w:r>
        <w:rPr>
          <w:sz w:val="18"/>
        </w:rPr>
        <w:t xml:space="preserve">: n = 1,490, OLS regression, </w:t>
      </w:r>
      <w:r w:rsidRPr="00BE642E">
        <w:rPr>
          <w:sz w:val="18"/>
        </w:rPr>
        <w:t xml:space="preserve">p-values are </w:t>
      </w:r>
      <w:r w:rsidRPr="00236038">
        <w:rPr>
          <w:sz w:val="18"/>
        </w:rPr>
        <w:t>from one-tailed tests.</w:t>
      </w:r>
      <w:r>
        <w:rPr>
          <w:sz w:val="18"/>
        </w:rPr>
        <w:t xml:space="preserve"> </w:t>
      </w:r>
      <w:r w:rsidRPr="00B41DC6">
        <w:rPr>
          <w:sz w:val="18"/>
        </w:rPr>
        <w:t>We did not correct for multiple comparisons.</w:t>
      </w:r>
    </w:p>
    <w:p w14:paraId="3B50458A" w14:textId="77777777" w:rsidR="00BE38BD" w:rsidRPr="00E404B9" w:rsidRDefault="00BE38BD" w:rsidP="00E404B9">
      <w:pPr>
        <w:spacing w:line="240" w:lineRule="auto"/>
        <w:rPr>
          <w:sz w:val="18"/>
        </w:rPr>
      </w:pPr>
    </w:p>
    <w:p w14:paraId="292E9537" w14:textId="7730493C" w:rsidR="003452D3" w:rsidRDefault="00F3090C" w:rsidP="005E62D4">
      <w:pPr>
        <w:pStyle w:val="Heading3"/>
      </w:pPr>
      <w:r>
        <w:t>Experiment one</w:t>
      </w:r>
      <w:r w:rsidR="00196A75">
        <w:t xml:space="preserve"> – </w:t>
      </w:r>
      <w:r w:rsidR="00943C96">
        <w:t>further detail</w:t>
      </w:r>
    </w:p>
    <w:p w14:paraId="72C6EA64" w14:textId="132F945E" w:rsidR="00930EB8" w:rsidRDefault="00196A75" w:rsidP="00196A75">
      <w:r>
        <w:t>The following 3 tables show the frequency with which each of the 10 super products w</w:t>
      </w:r>
      <w:r w:rsidR="00283D2E">
        <w:t xml:space="preserve">ere </w:t>
      </w:r>
      <w:r>
        <w:t>chosen for each of the 3 treatment arms.</w:t>
      </w:r>
      <w:r w:rsidR="00930EB8">
        <w:t xml:space="preserve"> Key points:</w:t>
      </w:r>
    </w:p>
    <w:p w14:paraId="3EFE1B7A" w14:textId="31C11537" w:rsidR="00930EB8" w:rsidRDefault="00930EB8" w:rsidP="00930EB8">
      <w:pPr>
        <w:pStyle w:val="ListBullet"/>
      </w:pPr>
      <w:r>
        <w:t>When only 2 performance categories were shown, a low-fee product (‘Acumen Super Growth’) was the single most popular product. However, its popularity fell once it was compared against other products that were rated as ‘top’ performers.</w:t>
      </w:r>
    </w:p>
    <w:p w14:paraId="1725D6F0" w14:textId="058808B0" w:rsidR="00930EB8" w:rsidRDefault="00930EB8" w:rsidP="00930EB8">
      <w:pPr>
        <w:pStyle w:val="ListBullet"/>
      </w:pPr>
      <w:r>
        <w:t>When 3 performance categories were shown, the most popular product was ‘</w:t>
      </w:r>
      <w:r w:rsidRPr="00930EB8">
        <w:t>SafeInvest Super Growth</w:t>
      </w:r>
      <w:r>
        <w:t xml:space="preserve">’. This had the lowest fees amongst the 3 ‘top’ performers. </w:t>
      </w:r>
    </w:p>
    <w:p w14:paraId="798CA31C" w14:textId="4BAA7A02" w:rsidR="00196A75" w:rsidRDefault="00930EB8" w:rsidP="00930EB8">
      <w:pPr>
        <w:pStyle w:val="ListBullet"/>
      </w:pPr>
      <w:r>
        <w:lastRenderedPageBreak/>
        <w:t>Across the 3 arms, a similar proportion (10-13%) chose their current fund, ‘Stability Super Balanced’, which was pinned to the top of the table.</w:t>
      </w:r>
    </w:p>
    <w:p w14:paraId="167028E5" w14:textId="5B2778C0" w:rsidR="003452D3" w:rsidRPr="009F3C0D" w:rsidRDefault="00062017" w:rsidP="00BD20D5">
      <w:pPr>
        <w:pStyle w:val="HeadingTable"/>
        <w:spacing w:before="240" w:after="120"/>
        <w:ind w:left="357" w:hanging="357"/>
        <w:outlineLvl w:val="3"/>
      </w:pPr>
      <w:r>
        <w:t xml:space="preserve">Choice of </w:t>
      </w:r>
      <w:r w:rsidR="00196A75">
        <w:t xml:space="preserve">super product – </w:t>
      </w:r>
      <w:r w:rsidR="003452D3">
        <w:t xml:space="preserve">Group A </w:t>
      </w:r>
      <w:r w:rsidR="00980265">
        <w:t xml:space="preserve">(2 </w:t>
      </w:r>
      <w:r w:rsidR="00196A75">
        <w:t xml:space="preserve">performance </w:t>
      </w:r>
      <w:r w:rsidR="00980265">
        <w:t>categories, unsorted)</w:t>
      </w:r>
    </w:p>
    <w:tbl>
      <w:tblPr>
        <w:tblStyle w:val="DefaultTable"/>
        <w:tblW w:w="8135" w:type="dxa"/>
        <w:tblLayout w:type="fixed"/>
        <w:tblCellMar>
          <w:top w:w="85" w:type="dxa"/>
        </w:tblCellMar>
        <w:tblLook w:val="0420" w:firstRow="1" w:lastRow="0" w:firstColumn="0" w:lastColumn="0" w:noHBand="0" w:noVBand="1"/>
        <w:tblCaption w:val="Table 1"/>
        <w:tblDescription w:val="Example table with Alt Text for accessibility"/>
      </w:tblPr>
      <w:tblGrid>
        <w:gridCol w:w="1701"/>
        <w:gridCol w:w="1560"/>
        <w:gridCol w:w="992"/>
        <w:gridCol w:w="1276"/>
        <w:gridCol w:w="1275"/>
        <w:gridCol w:w="1331"/>
      </w:tblGrid>
      <w:tr w:rsidR="003452D3" w:rsidRPr="003212F5" w14:paraId="57203D7F" w14:textId="77777777" w:rsidTr="007228E8">
        <w:trPr>
          <w:cnfStyle w:val="100000000000" w:firstRow="1" w:lastRow="0" w:firstColumn="0" w:lastColumn="0" w:oddVBand="0" w:evenVBand="0" w:oddHBand="0" w:evenHBand="0" w:firstRowFirstColumn="0" w:firstRowLastColumn="0" w:lastRowFirstColumn="0" w:lastRowLastColumn="0"/>
          <w:trHeight w:val="227"/>
          <w:tblHeader/>
        </w:trPr>
        <w:tc>
          <w:tcPr>
            <w:tcW w:w="1701" w:type="dxa"/>
            <w:tcBorders>
              <w:top w:val="nil"/>
              <w:bottom w:val="single" w:sz="18" w:space="0" w:color="142E3B" w:themeColor="accent6"/>
            </w:tcBorders>
            <w:shd w:val="clear" w:color="auto" w:fill="20B9A3" w:themeFill="accent1"/>
          </w:tcPr>
          <w:p w14:paraId="67DD8F10" w14:textId="6B4C27CF" w:rsidR="003452D3" w:rsidRPr="003212F5" w:rsidRDefault="003452D3" w:rsidP="00D452C1">
            <w:pPr>
              <w:pStyle w:val="TableHeading"/>
              <w:keepNext/>
              <w:spacing w:after="0"/>
              <w:rPr>
                <w:sz w:val="20"/>
              </w:rPr>
            </w:pPr>
            <w:r>
              <w:rPr>
                <w:sz w:val="20"/>
              </w:rPr>
              <w:t>Fund</w:t>
            </w:r>
          </w:p>
        </w:tc>
        <w:tc>
          <w:tcPr>
            <w:tcW w:w="1560" w:type="dxa"/>
            <w:tcBorders>
              <w:top w:val="nil"/>
              <w:bottom w:val="single" w:sz="18" w:space="0" w:color="142E3B" w:themeColor="accent6"/>
            </w:tcBorders>
            <w:shd w:val="clear" w:color="auto" w:fill="20B9A3" w:themeFill="accent1"/>
          </w:tcPr>
          <w:p w14:paraId="39C649A8" w14:textId="7EC5C2DB" w:rsidR="003452D3" w:rsidRPr="003212F5" w:rsidRDefault="003452D3" w:rsidP="00D452C1">
            <w:pPr>
              <w:pStyle w:val="TableHeading"/>
              <w:keepNext/>
              <w:spacing w:after="0"/>
              <w:rPr>
                <w:sz w:val="20"/>
              </w:rPr>
            </w:pPr>
            <w:r>
              <w:rPr>
                <w:sz w:val="20"/>
              </w:rPr>
              <w:t>Performance</w:t>
            </w:r>
          </w:p>
        </w:tc>
        <w:tc>
          <w:tcPr>
            <w:tcW w:w="992" w:type="dxa"/>
            <w:tcBorders>
              <w:top w:val="nil"/>
              <w:bottom w:val="single" w:sz="18" w:space="0" w:color="142E3B" w:themeColor="accent6"/>
            </w:tcBorders>
            <w:shd w:val="clear" w:color="auto" w:fill="20B9A3" w:themeFill="accent1"/>
          </w:tcPr>
          <w:p w14:paraId="07047AA4" w14:textId="1444875A" w:rsidR="003452D3" w:rsidRPr="003212F5" w:rsidRDefault="003452D3" w:rsidP="00D452C1">
            <w:pPr>
              <w:pStyle w:val="TableHeading"/>
              <w:keepNext/>
              <w:spacing w:after="0"/>
              <w:jc w:val="right"/>
              <w:rPr>
                <w:sz w:val="20"/>
              </w:rPr>
            </w:pPr>
            <w:r>
              <w:rPr>
                <w:sz w:val="20"/>
              </w:rPr>
              <w:t>Fees</w:t>
            </w:r>
          </w:p>
        </w:tc>
        <w:tc>
          <w:tcPr>
            <w:tcW w:w="1276" w:type="dxa"/>
            <w:tcBorders>
              <w:top w:val="nil"/>
              <w:bottom w:val="single" w:sz="18" w:space="0" w:color="142E3B" w:themeColor="accent6"/>
            </w:tcBorders>
            <w:shd w:val="clear" w:color="auto" w:fill="20B9A3" w:themeFill="accent1"/>
          </w:tcPr>
          <w:p w14:paraId="51E1996E" w14:textId="31F83AFF" w:rsidR="003452D3" w:rsidRPr="003212F5" w:rsidRDefault="003452D3" w:rsidP="00D452C1">
            <w:pPr>
              <w:pStyle w:val="TableHeading"/>
              <w:keepNext/>
              <w:spacing w:after="0"/>
              <w:jc w:val="right"/>
              <w:rPr>
                <w:sz w:val="20"/>
              </w:rPr>
            </w:pPr>
            <w:r>
              <w:rPr>
                <w:sz w:val="20"/>
              </w:rPr>
              <w:t>Net return</w:t>
            </w:r>
          </w:p>
        </w:tc>
        <w:tc>
          <w:tcPr>
            <w:tcW w:w="1275" w:type="dxa"/>
            <w:tcBorders>
              <w:top w:val="nil"/>
              <w:bottom w:val="single" w:sz="18" w:space="0" w:color="142E3B" w:themeColor="accent6"/>
            </w:tcBorders>
            <w:shd w:val="clear" w:color="auto" w:fill="20B9A3" w:themeFill="accent1"/>
          </w:tcPr>
          <w:p w14:paraId="56C7DF1C" w14:textId="2ABFD00B" w:rsidR="003452D3" w:rsidRPr="003212F5" w:rsidRDefault="003452D3" w:rsidP="00D452C1">
            <w:pPr>
              <w:pStyle w:val="TableHeading"/>
              <w:keepNext/>
              <w:spacing w:after="0"/>
              <w:jc w:val="right"/>
              <w:rPr>
                <w:sz w:val="20"/>
              </w:rPr>
            </w:pPr>
            <w:r>
              <w:rPr>
                <w:sz w:val="20"/>
              </w:rPr>
              <w:t>Frequency</w:t>
            </w:r>
          </w:p>
        </w:tc>
        <w:tc>
          <w:tcPr>
            <w:tcW w:w="1331" w:type="dxa"/>
            <w:tcBorders>
              <w:top w:val="nil"/>
              <w:bottom w:val="single" w:sz="18" w:space="0" w:color="142E3B" w:themeColor="accent6"/>
            </w:tcBorders>
            <w:shd w:val="clear" w:color="auto" w:fill="20B9A3" w:themeFill="accent1"/>
          </w:tcPr>
          <w:p w14:paraId="4CC72052" w14:textId="5F5BC9D8" w:rsidR="003452D3" w:rsidRPr="003212F5" w:rsidRDefault="003452D3" w:rsidP="00D452C1">
            <w:pPr>
              <w:pStyle w:val="TableHeading"/>
              <w:keepNext/>
              <w:spacing w:after="0"/>
              <w:jc w:val="right"/>
              <w:rPr>
                <w:sz w:val="20"/>
              </w:rPr>
            </w:pPr>
            <w:r>
              <w:rPr>
                <w:sz w:val="20"/>
              </w:rPr>
              <w:t>Percentage</w:t>
            </w:r>
          </w:p>
        </w:tc>
      </w:tr>
      <w:tr w:rsidR="003452D3" w:rsidRPr="003212F5" w14:paraId="1F1B3161" w14:textId="77777777" w:rsidTr="00196A75">
        <w:trPr>
          <w:trHeight w:val="207"/>
        </w:trPr>
        <w:tc>
          <w:tcPr>
            <w:tcW w:w="1701" w:type="dxa"/>
            <w:tcBorders>
              <w:bottom w:val="single" w:sz="4" w:space="0" w:color="auto"/>
            </w:tcBorders>
            <w:shd w:val="clear" w:color="auto" w:fill="auto"/>
          </w:tcPr>
          <w:p w14:paraId="0AE41B63" w14:textId="1605D924" w:rsidR="003452D3" w:rsidRPr="003212F5" w:rsidRDefault="00D71B3D" w:rsidP="00D452C1">
            <w:pPr>
              <w:pStyle w:val="TableTextLeftAligned"/>
              <w:keepNext/>
              <w:spacing w:after="0"/>
              <w:rPr>
                <w:sz w:val="18"/>
              </w:rPr>
            </w:pPr>
            <w:r w:rsidRPr="00D71B3D">
              <w:rPr>
                <w:sz w:val="18"/>
              </w:rPr>
              <w:t>Stability Super Balanced – your current fund</w:t>
            </w:r>
          </w:p>
        </w:tc>
        <w:tc>
          <w:tcPr>
            <w:tcW w:w="1560" w:type="dxa"/>
            <w:tcBorders>
              <w:bottom w:val="single" w:sz="4" w:space="0" w:color="auto"/>
            </w:tcBorders>
            <w:vAlign w:val="center"/>
          </w:tcPr>
          <w:p w14:paraId="6BFB6E2B" w14:textId="0A1736D5" w:rsidR="003452D3" w:rsidRPr="003212F5" w:rsidRDefault="00D71B3D" w:rsidP="005E0D4E">
            <w:pPr>
              <w:pStyle w:val="TableTextRightAligned"/>
              <w:keepNext/>
              <w:spacing w:after="0"/>
              <w:rPr>
                <w:sz w:val="18"/>
              </w:rPr>
            </w:pPr>
            <w:r>
              <w:rPr>
                <w:sz w:val="18"/>
              </w:rPr>
              <w:t>Poor</w:t>
            </w:r>
          </w:p>
        </w:tc>
        <w:tc>
          <w:tcPr>
            <w:tcW w:w="992" w:type="dxa"/>
            <w:tcBorders>
              <w:bottom w:val="single" w:sz="4" w:space="0" w:color="auto"/>
            </w:tcBorders>
            <w:shd w:val="clear" w:color="auto" w:fill="FFFFFF" w:themeFill="background1"/>
            <w:vAlign w:val="center"/>
          </w:tcPr>
          <w:p w14:paraId="27BE5338" w14:textId="659BA324" w:rsidR="003452D3" w:rsidRPr="00022BCD" w:rsidRDefault="00D71B3D" w:rsidP="005E0D4E">
            <w:pPr>
              <w:pStyle w:val="TableTextRightAligned"/>
              <w:keepNext/>
              <w:spacing w:after="0"/>
              <w:rPr>
                <w:sz w:val="18"/>
                <w:szCs w:val="18"/>
              </w:rPr>
            </w:pPr>
            <w:r w:rsidRPr="00022BCD">
              <w:rPr>
                <w:sz w:val="18"/>
                <w:szCs w:val="18"/>
              </w:rPr>
              <w:t>$892</w:t>
            </w:r>
          </w:p>
        </w:tc>
        <w:tc>
          <w:tcPr>
            <w:tcW w:w="1276" w:type="dxa"/>
            <w:tcBorders>
              <w:bottom w:val="single" w:sz="4" w:space="0" w:color="auto"/>
            </w:tcBorders>
            <w:vAlign w:val="center"/>
          </w:tcPr>
          <w:p w14:paraId="4B8B5EE3" w14:textId="6A784410" w:rsidR="003452D3" w:rsidRPr="00022BCD" w:rsidRDefault="00D71B3D" w:rsidP="005E0D4E">
            <w:pPr>
              <w:pStyle w:val="TableTextRightAligned"/>
              <w:keepNext/>
              <w:spacing w:after="0"/>
              <w:rPr>
                <w:sz w:val="18"/>
                <w:szCs w:val="18"/>
              </w:rPr>
            </w:pPr>
            <w:r w:rsidRPr="00022BCD">
              <w:rPr>
                <w:sz w:val="18"/>
                <w:szCs w:val="18"/>
              </w:rPr>
              <w:t>6.5%</w:t>
            </w:r>
          </w:p>
        </w:tc>
        <w:tc>
          <w:tcPr>
            <w:tcW w:w="1275" w:type="dxa"/>
            <w:tcBorders>
              <w:bottom w:val="single" w:sz="4" w:space="0" w:color="auto"/>
            </w:tcBorders>
            <w:shd w:val="clear" w:color="auto" w:fill="FFFFFF" w:themeFill="background1"/>
            <w:vAlign w:val="center"/>
          </w:tcPr>
          <w:p w14:paraId="3CC4189C" w14:textId="1DAA395E" w:rsidR="003452D3" w:rsidRPr="00022BCD" w:rsidRDefault="00D71B3D" w:rsidP="005E0D4E">
            <w:pPr>
              <w:pStyle w:val="TableTextRightAligned"/>
              <w:keepNext/>
              <w:spacing w:after="0"/>
              <w:rPr>
                <w:sz w:val="18"/>
                <w:szCs w:val="18"/>
              </w:rPr>
            </w:pPr>
            <w:r w:rsidRPr="00022BCD">
              <w:rPr>
                <w:sz w:val="18"/>
                <w:szCs w:val="18"/>
              </w:rPr>
              <w:t>79</w:t>
            </w:r>
          </w:p>
        </w:tc>
        <w:tc>
          <w:tcPr>
            <w:tcW w:w="1331" w:type="dxa"/>
            <w:tcBorders>
              <w:bottom w:val="single" w:sz="4" w:space="0" w:color="auto"/>
            </w:tcBorders>
            <w:vAlign w:val="center"/>
          </w:tcPr>
          <w:p w14:paraId="49F0F2F6" w14:textId="5E000D7D" w:rsidR="003452D3" w:rsidRPr="00022BCD" w:rsidRDefault="00D71B3D" w:rsidP="005E0D4E">
            <w:pPr>
              <w:pStyle w:val="TableTextRightAligned"/>
              <w:keepNext/>
              <w:spacing w:after="0"/>
              <w:rPr>
                <w:sz w:val="18"/>
                <w:szCs w:val="18"/>
              </w:rPr>
            </w:pPr>
            <w:r w:rsidRPr="00022BCD">
              <w:rPr>
                <w:sz w:val="18"/>
                <w:szCs w:val="18"/>
              </w:rPr>
              <w:t>11%</w:t>
            </w:r>
          </w:p>
        </w:tc>
      </w:tr>
      <w:tr w:rsidR="003452D3" w:rsidRPr="003212F5" w14:paraId="53707E8B" w14:textId="77777777" w:rsidTr="00196A75">
        <w:trPr>
          <w:trHeight w:val="207"/>
        </w:trPr>
        <w:tc>
          <w:tcPr>
            <w:tcW w:w="1701" w:type="dxa"/>
            <w:tcBorders>
              <w:top w:val="single" w:sz="4" w:space="0" w:color="auto"/>
              <w:bottom w:val="single" w:sz="4" w:space="0" w:color="auto"/>
            </w:tcBorders>
            <w:shd w:val="clear" w:color="auto" w:fill="auto"/>
          </w:tcPr>
          <w:p w14:paraId="71420CDC" w14:textId="5ADE3683" w:rsidR="003452D3" w:rsidRPr="003212F5" w:rsidRDefault="00D71B3D" w:rsidP="00D452C1">
            <w:pPr>
              <w:pStyle w:val="TableTextLeftAligned"/>
              <w:keepNext/>
              <w:spacing w:after="0"/>
              <w:rPr>
                <w:sz w:val="18"/>
              </w:rPr>
            </w:pPr>
            <w:r w:rsidRPr="00D71B3D">
              <w:rPr>
                <w:sz w:val="18"/>
              </w:rPr>
              <w:t>Gravitas Super Growth</w:t>
            </w:r>
          </w:p>
        </w:tc>
        <w:tc>
          <w:tcPr>
            <w:tcW w:w="1560" w:type="dxa"/>
            <w:tcBorders>
              <w:top w:val="single" w:sz="4" w:space="0" w:color="auto"/>
              <w:bottom w:val="single" w:sz="4" w:space="0" w:color="auto"/>
            </w:tcBorders>
            <w:vAlign w:val="center"/>
          </w:tcPr>
          <w:p w14:paraId="0DF43DB9" w14:textId="15A4E066" w:rsidR="003452D3" w:rsidRPr="003212F5" w:rsidRDefault="00D71B3D" w:rsidP="005E0D4E">
            <w:pPr>
              <w:pStyle w:val="TableTextRightAligned"/>
              <w:keepNext/>
              <w:spacing w:after="0"/>
              <w:rPr>
                <w:sz w:val="18"/>
              </w:rPr>
            </w:pPr>
            <w:r w:rsidRPr="00D71B3D">
              <w:rPr>
                <w:sz w:val="18"/>
              </w:rPr>
              <w:t>Poor</w:t>
            </w:r>
          </w:p>
        </w:tc>
        <w:tc>
          <w:tcPr>
            <w:tcW w:w="992" w:type="dxa"/>
            <w:tcBorders>
              <w:top w:val="single" w:sz="4" w:space="0" w:color="auto"/>
              <w:bottom w:val="single" w:sz="4" w:space="0" w:color="auto"/>
            </w:tcBorders>
            <w:shd w:val="clear" w:color="auto" w:fill="FFFFFF" w:themeFill="background1"/>
            <w:vAlign w:val="center"/>
          </w:tcPr>
          <w:p w14:paraId="6DF0A7F6" w14:textId="72473C3C" w:rsidR="003452D3" w:rsidRPr="00022BCD" w:rsidRDefault="00D71B3D" w:rsidP="005E0D4E">
            <w:pPr>
              <w:pStyle w:val="TableTextRightAligned"/>
              <w:keepNext/>
              <w:spacing w:after="0"/>
              <w:rPr>
                <w:sz w:val="18"/>
                <w:szCs w:val="18"/>
              </w:rPr>
            </w:pPr>
            <w:r w:rsidRPr="00022BCD">
              <w:rPr>
                <w:sz w:val="18"/>
                <w:szCs w:val="18"/>
              </w:rPr>
              <w:t>$975</w:t>
            </w:r>
          </w:p>
        </w:tc>
        <w:tc>
          <w:tcPr>
            <w:tcW w:w="1276" w:type="dxa"/>
            <w:tcBorders>
              <w:top w:val="single" w:sz="4" w:space="0" w:color="auto"/>
              <w:bottom w:val="single" w:sz="4" w:space="0" w:color="auto"/>
            </w:tcBorders>
            <w:vAlign w:val="center"/>
          </w:tcPr>
          <w:p w14:paraId="44688CB1" w14:textId="3CC2340E" w:rsidR="003452D3" w:rsidRPr="00022BCD" w:rsidRDefault="00D71B3D" w:rsidP="005E0D4E">
            <w:pPr>
              <w:pStyle w:val="TableTextRightAligned"/>
              <w:keepNext/>
              <w:spacing w:after="0"/>
              <w:rPr>
                <w:sz w:val="18"/>
                <w:szCs w:val="18"/>
              </w:rPr>
            </w:pPr>
            <w:r w:rsidRPr="00022BCD">
              <w:rPr>
                <w:sz w:val="18"/>
                <w:szCs w:val="18"/>
              </w:rPr>
              <w:t>7.3%</w:t>
            </w:r>
          </w:p>
        </w:tc>
        <w:tc>
          <w:tcPr>
            <w:tcW w:w="1275" w:type="dxa"/>
            <w:tcBorders>
              <w:top w:val="single" w:sz="4" w:space="0" w:color="auto"/>
              <w:bottom w:val="single" w:sz="4" w:space="0" w:color="auto"/>
            </w:tcBorders>
            <w:shd w:val="clear" w:color="auto" w:fill="FFFFFF" w:themeFill="background1"/>
            <w:vAlign w:val="center"/>
          </w:tcPr>
          <w:p w14:paraId="79EA33BF" w14:textId="6685829C" w:rsidR="003452D3" w:rsidRPr="00022BCD" w:rsidRDefault="00D71B3D" w:rsidP="005E0D4E">
            <w:pPr>
              <w:pStyle w:val="TableTextRightAligned"/>
              <w:keepNext/>
              <w:spacing w:after="0"/>
              <w:rPr>
                <w:sz w:val="18"/>
                <w:szCs w:val="18"/>
              </w:rPr>
            </w:pPr>
            <w:r w:rsidRPr="00022BCD">
              <w:rPr>
                <w:sz w:val="18"/>
                <w:szCs w:val="18"/>
              </w:rPr>
              <w:t>28</w:t>
            </w:r>
          </w:p>
        </w:tc>
        <w:tc>
          <w:tcPr>
            <w:tcW w:w="1331" w:type="dxa"/>
            <w:tcBorders>
              <w:top w:val="single" w:sz="4" w:space="0" w:color="auto"/>
              <w:bottom w:val="single" w:sz="4" w:space="0" w:color="auto"/>
            </w:tcBorders>
            <w:vAlign w:val="center"/>
          </w:tcPr>
          <w:p w14:paraId="28D0113C" w14:textId="0C3B83B5" w:rsidR="003452D3" w:rsidRPr="00022BCD" w:rsidRDefault="00D71B3D" w:rsidP="005E0D4E">
            <w:pPr>
              <w:pStyle w:val="TableTextRightAligned"/>
              <w:keepNext/>
              <w:spacing w:after="0"/>
              <w:rPr>
                <w:sz w:val="18"/>
                <w:szCs w:val="18"/>
              </w:rPr>
            </w:pPr>
            <w:r w:rsidRPr="00022BCD">
              <w:rPr>
                <w:sz w:val="18"/>
                <w:szCs w:val="18"/>
              </w:rPr>
              <w:t>4%</w:t>
            </w:r>
          </w:p>
        </w:tc>
      </w:tr>
      <w:tr w:rsidR="00022BCD" w:rsidRPr="003212F5" w14:paraId="622923AA" w14:textId="77777777" w:rsidTr="00196A75">
        <w:trPr>
          <w:trHeight w:val="207"/>
        </w:trPr>
        <w:tc>
          <w:tcPr>
            <w:tcW w:w="1701" w:type="dxa"/>
            <w:tcBorders>
              <w:top w:val="single" w:sz="4" w:space="0" w:color="auto"/>
              <w:bottom w:val="single" w:sz="4" w:space="0" w:color="auto"/>
            </w:tcBorders>
            <w:shd w:val="clear" w:color="auto" w:fill="auto"/>
          </w:tcPr>
          <w:p w14:paraId="14983465" w14:textId="736FE6B5" w:rsidR="00022BCD" w:rsidRPr="00D71B3D" w:rsidRDefault="00022BCD" w:rsidP="00D452C1">
            <w:pPr>
              <w:pStyle w:val="TableTextLeftAligned"/>
              <w:keepNext/>
              <w:spacing w:after="0"/>
              <w:rPr>
                <w:sz w:val="18"/>
              </w:rPr>
            </w:pPr>
            <w:r w:rsidRPr="00022BCD">
              <w:rPr>
                <w:sz w:val="18"/>
              </w:rPr>
              <w:t>Ultimate Super Balanced</w:t>
            </w:r>
          </w:p>
        </w:tc>
        <w:tc>
          <w:tcPr>
            <w:tcW w:w="1560" w:type="dxa"/>
            <w:tcBorders>
              <w:top w:val="single" w:sz="4" w:space="0" w:color="auto"/>
              <w:bottom w:val="single" w:sz="4" w:space="0" w:color="auto"/>
            </w:tcBorders>
            <w:vAlign w:val="center"/>
          </w:tcPr>
          <w:p w14:paraId="2E1EC303" w14:textId="0C970FE8" w:rsidR="00022BCD" w:rsidRPr="00D71B3D" w:rsidRDefault="00022BCD" w:rsidP="005E0D4E">
            <w:pPr>
              <w:pStyle w:val="TableTextRightAligned"/>
              <w:keepNext/>
              <w:spacing w:after="0"/>
              <w:rPr>
                <w:sz w:val="18"/>
              </w:rPr>
            </w:pPr>
            <w:r w:rsidRPr="00022BCD">
              <w:rPr>
                <w:sz w:val="18"/>
              </w:rPr>
              <w:t>Good</w:t>
            </w:r>
          </w:p>
        </w:tc>
        <w:tc>
          <w:tcPr>
            <w:tcW w:w="992" w:type="dxa"/>
            <w:tcBorders>
              <w:top w:val="single" w:sz="4" w:space="0" w:color="auto"/>
              <w:bottom w:val="single" w:sz="4" w:space="0" w:color="auto"/>
            </w:tcBorders>
            <w:shd w:val="clear" w:color="auto" w:fill="FFFFFF" w:themeFill="background1"/>
            <w:vAlign w:val="center"/>
          </w:tcPr>
          <w:p w14:paraId="6D2C0608" w14:textId="57AF5FD4" w:rsidR="00022BCD" w:rsidRPr="00022BCD" w:rsidRDefault="00022BCD" w:rsidP="005E0D4E">
            <w:pPr>
              <w:pStyle w:val="TableTextRightAligned"/>
              <w:keepNext/>
              <w:spacing w:after="0"/>
              <w:rPr>
                <w:sz w:val="18"/>
                <w:szCs w:val="18"/>
              </w:rPr>
            </w:pPr>
            <w:r w:rsidRPr="00022BCD">
              <w:rPr>
                <w:sz w:val="18"/>
                <w:szCs w:val="18"/>
              </w:rPr>
              <w:t>$625</w:t>
            </w:r>
          </w:p>
        </w:tc>
        <w:tc>
          <w:tcPr>
            <w:tcW w:w="1276" w:type="dxa"/>
            <w:tcBorders>
              <w:top w:val="single" w:sz="4" w:space="0" w:color="auto"/>
              <w:bottom w:val="single" w:sz="4" w:space="0" w:color="auto"/>
            </w:tcBorders>
            <w:vAlign w:val="center"/>
          </w:tcPr>
          <w:p w14:paraId="4CF046BC" w14:textId="25567AA2" w:rsidR="00022BCD" w:rsidRPr="00022BCD" w:rsidRDefault="00022BCD" w:rsidP="005E0D4E">
            <w:pPr>
              <w:pStyle w:val="TableTextRightAligned"/>
              <w:keepNext/>
              <w:spacing w:after="0"/>
              <w:rPr>
                <w:sz w:val="18"/>
                <w:szCs w:val="18"/>
              </w:rPr>
            </w:pPr>
            <w:r w:rsidRPr="00022BCD">
              <w:rPr>
                <w:sz w:val="18"/>
                <w:szCs w:val="18"/>
              </w:rPr>
              <w:t>7.4%</w:t>
            </w:r>
          </w:p>
        </w:tc>
        <w:tc>
          <w:tcPr>
            <w:tcW w:w="1275" w:type="dxa"/>
            <w:tcBorders>
              <w:top w:val="single" w:sz="4" w:space="0" w:color="auto"/>
              <w:bottom w:val="single" w:sz="4" w:space="0" w:color="auto"/>
            </w:tcBorders>
            <w:shd w:val="clear" w:color="auto" w:fill="FFFFFF" w:themeFill="background1"/>
            <w:vAlign w:val="center"/>
          </w:tcPr>
          <w:p w14:paraId="38D66E71" w14:textId="6839E843" w:rsidR="00022BCD" w:rsidRPr="00022BCD" w:rsidRDefault="00022BCD" w:rsidP="005E0D4E">
            <w:pPr>
              <w:pStyle w:val="TableTextRightAligned"/>
              <w:keepNext/>
              <w:spacing w:after="0"/>
              <w:rPr>
                <w:sz w:val="18"/>
                <w:szCs w:val="18"/>
              </w:rPr>
            </w:pPr>
            <w:r w:rsidRPr="00022BCD">
              <w:rPr>
                <w:sz w:val="18"/>
                <w:szCs w:val="18"/>
              </w:rPr>
              <w:t>65</w:t>
            </w:r>
          </w:p>
        </w:tc>
        <w:tc>
          <w:tcPr>
            <w:tcW w:w="1331" w:type="dxa"/>
            <w:tcBorders>
              <w:top w:val="single" w:sz="4" w:space="0" w:color="auto"/>
              <w:bottom w:val="single" w:sz="4" w:space="0" w:color="auto"/>
            </w:tcBorders>
            <w:vAlign w:val="center"/>
          </w:tcPr>
          <w:p w14:paraId="1557BE38" w14:textId="58C67D82" w:rsidR="00022BCD" w:rsidRPr="00022BCD" w:rsidRDefault="00022BCD" w:rsidP="005E0D4E">
            <w:pPr>
              <w:pStyle w:val="TableTextRightAligned"/>
              <w:keepNext/>
              <w:spacing w:after="0"/>
              <w:rPr>
                <w:sz w:val="18"/>
                <w:szCs w:val="18"/>
              </w:rPr>
            </w:pPr>
            <w:r w:rsidRPr="00022BCD">
              <w:rPr>
                <w:sz w:val="18"/>
                <w:szCs w:val="18"/>
              </w:rPr>
              <w:t>9%</w:t>
            </w:r>
          </w:p>
        </w:tc>
      </w:tr>
      <w:tr w:rsidR="00022BCD" w:rsidRPr="003212F5" w14:paraId="12AF4702" w14:textId="77777777" w:rsidTr="00196A75">
        <w:trPr>
          <w:trHeight w:val="207"/>
        </w:trPr>
        <w:tc>
          <w:tcPr>
            <w:tcW w:w="1701" w:type="dxa"/>
            <w:tcBorders>
              <w:top w:val="single" w:sz="4" w:space="0" w:color="auto"/>
              <w:bottom w:val="single" w:sz="4" w:space="0" w:color="auto"/>
            </w:tcBorders>
            <w:shd w:val="clear" w:color="auto" w:fill="auto"/>
          </w:tcPr>
          <w:p w14:paraId="6AB66BA4" w14:textId="7E355BC0" w:rsidR="00022BCD" w:rsidRPr="00022BCD" w:rsidRDefault="00022BCD" w:rsidP="00D452C1">
            <w:pPr>
              <w:pStyle w:val="TableTextLeftAligned"/>
              <w:keepNext/>
              <w:spacing w:after="0"/>
              <w:rPr>
                <w:sz w:val="18"/>
                <w:szCs w:val="18"/>
              </w:rPr>
            </w:pPr>
            <w:r w:rsidRPr="00022BCD">
              <w:rPr>
                <w:sz w:val="18"/>
                <w:szCs w:val="18"/>
              </w:rPr>
              <w:t>Maturity Super Growth</w:t>
            </w:r>
          </w:p>
        </w:tc>
        <w:tc>
          <w:tcPr>
            <w:tcW w:w="1560" w:type="dxa"/>
            <w:tcBorders>
              <w:top w:val="single" w:sz="4" w:space="0" w:color="auto"/>
              <w:bottom w:val="single" w:sz="4" w:space="0" w:color="auto"/>
            </w:tcBorders>
            <w:vAlign w:val="center"/>
          </w:tcPr>
          <w:p w14:paraId="734C6524" w14:textId="292027DE" w:rsidR="00022BCD" w:rsidRPr="00022BCD" w:rsidRDefault="00022BCD" w:rsidP="005E0D4E">
            <w:pPr>
              <w:pStyle w:val="TableTextRightAligned"/>
              <w:keepNext/>
              <w:spacing w:after="0"/>
              <w:rPr>
                <w:sz w:val="18"/>
                <w:szCs w:val="18"/>
              </w:rPr>
            </w:pPr>
            <w:r w:rsidRPr="00022BCD">
              <w:rPr>
                <w:sz w:val="18"/>
                <w:szCs w:val="18"/>
              </w:rPr>
              <w:t>Good</w:t>
            </w:r>
          </w:p>
        </w:tc>
        <w:tc>
          <w:tcPr>
            <w:tcW w:w="992" w:type="dxa"/>
            <w:tcBorders>
              <w:top w:val="single" w:sz="4" w:space="0" w:color="auto"/>
              <w:bottom w:val="single" w:sz="4" w:space="0" w:color="auto"/>
            </w:tcBorders>
            <w:shd w:val="clear" w:color="auto" w:fill="FFFFFF" w:themeFill="background1"/>
            <w:vAlign w:val="center"/>
          </w:tcPr>
          <w:p w14:paraId="54D10BDD" w14:textId="5B9998D7" w:rsidR="00022BCD" w:rsidRPr="00022BCD" w:rsidRDefault="00022BCD" w:rsidP="005E0D4E">
            <w:pPr>
              <w:pStyle w:val="TableTextRightAligned"/>
              <w:keepNext/>
              <w:spacing w:after="0"/>
              <w:rPr>
                <w:sz w:val="18"/>
                <w:szCs w:val="18"/>
              </w:rPr>
            </w:pPr>
            <w:r w:rsidRPr="00022BCD">
              <w:rPr>
                <w:sz w:val="18"/>
                <w:szCs w:val="18"/>
              </w:rPr>
              <w:t>$877</w:t>
            </w:r>
          </w:p>
        </w:tc>
        <w:tc>
          <w:tcPr>
            <w:tcW w:w="1276" w:type="dxa"/>
            <w:tcBorders>
              <w:top w:val="single" w:sz="4" w:space="0" w:color="auto"/>
              <w:bottom w:val="single" w:sz="4" w:space="0" w:color="auto"/>
            </w:tcBorders>
            <w:vAlign w:val="center"/>
          </w:tcPr>
          <w:p w14:paraId="72C10BCD" w14:textId="7C587B62" w:rsidR="00022BCD" w:rsidRPr="00022BCD" w:rsidRDefault="00022BCD" w:rsidP="005E0D4E">
            <w:pPr>
              <w:pStyle w:val="TableTextRightAligned"/>
              <w:keepNext/>
              <w:spacing w:after="0"/>
              <w:rPr>
                <w:sz w:val="18"/>
                <w:szCs w:val="18"/>
              </w:rPr>
            </w:pPr>
            <w:r w:rsidRPr="00022BCD">
              <w:rPr>
                <w:sz w:val="18"/>
                <w:szCs w:val="18"/>
              </w:rPr>
              <w:t>8.2%</w:t>
            </w:r>
          </w:p>
        </w:tc>
        <w:tc>
          <w:tcPr>
            <w:tcW w:w="1275" w:type="dxa"/>
            <w:tcBorders>
              <w:top w:val="single" w:sz="4" w:space="0" w:color="auto"/>
              <w:bottom w:val="single" w:sz="4" w:space="0" w:color="auto"/>
            </w:tcBorders>
            <w:shd w:val="clear" w:color="auto" w:fill="FFFFFF" w:themeFill="background1"/>
            <w:vAlign w:val="center"/>
          </w:tcPr>
          <w:p w14:paraId="72EEB49A" w14:textId="01FF7A07" w:rsidR="00022BCD" w:rsidRPr="00022BCD" w:rsidRDefault="00022BCD" w:rsidP="005E0D4E">
            <w:pPr>
              <w:pStyle w:val="TableTextRightAligned"/>
              <w:keepNext/>
              <w:spacing w:after="0"/>
              <w:rPr>
                <w:sz w:val="18"/>
                <w:szCs w:val="18"/>
              </w:rPr>
            </w:pPr>
            <w:r w:rsidRPr="00022BCD">
              <w:rPr>
                <w:sz w:val="18"/>
                <w:szCs w:val="18"/>
              </w:rPr>
              <w:t>34</w:t>
            </w:r>
          </w:p>
        </w:tc>
        <w:tc>
          <w:tcPr>
            <w:tcW w:w="1331" w:type="dxa"/>
            <w:tcBorders>
              <w:top w:val="single" w:sz="4" w:space="0" w:color="auto"/>
              <w:bottom w:val="single" w:sz="4" w:space="0" w:color="auto"/>
            </w:tcBorders>
            <w:vAlign w:val="center"/>
          </w:tcPr>
          <w:p w14:paraId="4A935EF9" w14:textId="142FC176" w:rsidR="00022BCD" w:rsidRPr="00022BCD" w:rsidRDefault="00022BCD" w:rsidP="005E0D4E">
            <w:pPr>
              <w:pStyle w:val="TableTextRightAligned"/>
              <w:keepNext/>
              <w:spacing w:after="0"/>
              <w:rPr>
                <w:sz w:val="18"/>
                <w:szCs w:val="18"/>
              </w:rPr>
            </w:pPr>
            <w:r w:rsidRPr="00022BCD">
              <w:rPr>
                <w:sz w:val="18"/>
                <w:szCs w:val="18"/>
              </w:rPr>
              <w:t>5%</w:t>
            </w:r>
          </w:p>
        </w:tc>
      </w:tr>
      <w:tr w:rsidR="00022BCD" w:rsidRPr="003212F5" w14:paraId="0D5E7E0E" w14:textId="77777777" w:rsidTr="00196A75">
        <w:trPr>
          <w:trHeight w:val="207"/>
        </w:trPr>
        <w:tc>
          <w:tcPr>
            <w:tcW w:w="1701" w:type="dxa"/>
            <w:tcBorders>
              <w:top w:val="single" w:sz="4" w:space="0" w:color="auto"/>
              <w:bottom w:val="single" w:sz="4" w:space="0" w:color="auto"/>
            </w:tcBorders>
            <w:shd w:val="clear" w:color="auto" w:fill="auto"/>
          </w:tcPr>
          <w:p w14:paraId="3318D9A2" w14:textId="48C01D7E" w:rsidR="00022BCD" w:rsidRPr="000369CB" w:rsidRDefault="00022BCD" w:rsidP="00D452C1">
            <w:pPr>
              <w:pStyle w:val="TableTextLeftAligned"/>
              <w:keepNext/>
              <w:spacing w:after="0"/>
              <w:rPr>
                <w:sz w:val="18"/>
                <w:szCs w:val="18"/>
              </w:rPr>
            </w:pPr>
            <w:r w:rsidRPr="000369CB">
              <w:rPr>
                <w:sz w:val="18"/>
                <w:szCs w:val="18"/>
              </w:rPr>
              <w:t>Horizon Super Balanced</w:t>
            </w:r>
          </w:p>
        </w:tc>
        <w:tc>
          <w:tcPr>
            <w:tcW w:w="1560" w:type="dxa"/>
            <w:tcBorders>
              <w:top w:val="single" w:sz="4" w:space="0" w:color="auto"/>
              <w:bottom w:val="single" w:sz="4" w:space="0" w:color="auto"/>
            </w:tcBorders>
            <w:vAlign w:val="center"/>
          </w:tcPr>
          <w:p w14:paraId="5B61DBEA" w14:textId="29112E2E" w:rsidR="00022BCD" w:rsidRPr="000369CB" w:rsidRDefault="00505AA6" w:rsidP="005E0D4E">
            <w:pPr>
              <w:pStyle w:val="TableTextRightAligned"/>
              <w:keepNext/>
              <w:spacing w:after="0"/>
              <w:rPr>
                <w:sz w:val="18"/>
                <w:szCs w:val="18"/>
              </w:rPr>
            </w:pPr>
            <w:r>
              <w:rPr>
                <w:sz w:val="18"/>
                <w:szCs w:val="18"/>
              </w:rPr>
              <w:tab/>
              <w:t>Poor</w:t>
            </w:r>
          </w:p>
        </w:tc>
        <w:tc>
          <w:tcPr>
            <w:tcW w:w="992" w:type="dxa"/>
            <w:tcBorders>
              <w:top w:val="single" w:sz="4" w:space="0" w:color="auto"/>
              <w:bottom w:val="single" w:sz="4" w:space="0" w:color="auto"/>
            </w:tcBorders>
            <w:shd w:val="clear" w:color="auto" w:fill="FFFFFF" w:themeFill="background1"/>
            <w:vAlign w:val="center"/>
          </w:tcPr>
          <w:p w14:paraId="543E8576" w14:textId="2A6CA6A3" w:rsidR="00022BCD" w:rsidRPr="000369CB" w:rsidRDefault="00505AA6" w:rsidP="005E0D4E">
            <w:pPr>
              <w:pStyle w:val="TableTextRightAligned"/>
              <w:keepNext/>
              <w:spacing w:after="0"/>
              <w:rPr>
                <w:sz w:val="18"/>
                <w:szCs w:val="18"/>
              </w:rPr>
            </w:pPr>
            <w:r>
              <w:rPr>
                <w:sz w:val="18"/>
                <w:szCs w:val="18"/>
              </w:rPr>
              <w:t>$491</w:t>
            </w:r>
          </w:p>
        </w:tc>
        <w:tc>
          <w:tcPr>
            <w:tcW w:w="1276" w:type="dxa"/>
            <w:tcBorders>
              <w:top w:val="single" w:sz="4" w:space="0" w:color="auto"/>
              <w:bottom w:val="single" w:sz="4" w:space="0" w:color="auto"/>
            </w:tcBorders>
            <w:vAlign w:val="center"/>
          </w:tcPr>
          <w:p w14:paraId="7D92D774" w14:textId="4FE70518" w:rsidR="00022BCD" w:rsidRPr="000369CB" w:rsidRDefault="000369CB" w:rsidP="005E0D4E">
            <w:pPr>
              <w:pStyle w:val="TableTextRightAligned"/>
              <w:keepNext/>
              <w:spacing w:after="0"/>
              <w:rPr>
                <w:sz w:val="18"/>
                <w:szCs w:val="18"/>
              </w:rPr>
            </w:pPr>
            <w:r w:rsidRPr="000369CB">
              <w:rPr>
                <w:sz w:val="18"/>
                <w:szCs w:val="18"/>
              </w:rPr>
              <w:t>7.1%</w:t>
            </w:r>
          </w:p>
        </w:tc>
        <w:tc>
          <w:tcPr>
            <w:tcW w:w="1275" w:type="dxa"/>
            <w:tcBorders>
              <w:top w:val="single" w:sz="4" w:space="0" w:color="auto"/>
              <w:bottom w:val="single" w:sz="4" w:space="0" w:color="auto"/>
            </w:tcBorders>
            <w:shd w:val="clear" w:color="auto" w:fill="FFFFFF" w:themeFill="background1"/>
            <w:vAlign w:val="center"/>
          </w:tcPr>
          <w:p w14:paraId="05608A4F" w14:textId="1C732C73" w:rsidR="00022BCD" w:rsidRPr="000369CB" w:rsidRDefault="00505AA6" w:rsidP="005E0D4E">
            <w:pPr>
              <w:pStyle w:val="TableTextRightAligned"/>
              <w:keepNext/>
              <w:spacing w:after="0"/>
              <w:rPr>
                <w:sz w:val="18"/>
                <w:szCs w:val="18"/>
              </w:rPr>
            </w:pPr>
            <w:r>
              <w:rPr>
                <w:sz w:val="18"/>
                <w:szCs w:val="18"/>
              </w:rPr>
              <w:tab/>
              <w:t>44</w:t>
            </w:r>
          </w:p>
        </w:tc>
        <w:tc>
          <w:tcPr>
            <w:tcW w:w="1331" w:type="dxa"/>
            <w:tcBorders>
              <w:top w:val="single" w:sz="4" w:space="0" w:color="auto"/>
              <w:bottom w:val="single" w:sz="4" w:space="0" w:color="auto"/>
            </w:tcBorders>
            <w:vAlign w:val="center"/>
          </w:tcPr>
          <w:p w14:paraId="63A6B444" w14:textId="4BEAA086" w:rsidR="00022BCD" w:rsidRPr="000369CB" w:rsidRDefault="000369CB" w:rsidP="005E0D4E">
            <w:pPr>
              <w:pStyle w:val="TableTextRightAligned"/>
              <w:keepNext/>
              <w:spacing w:after="0"/>
              <w:rPr>
                <w:sz w:val="18"/>
                <w:szCs w:val="18"/>
              </w:rPr>
            </w:pPr>
            <w:r w:rsidRPr="000369CB">
              <w:rPr>
                <w:sz w:val="18"/>
                <w:szCs w:val="18"/>
              </w:rPr>
              <w:t>6%</w:t>
            </w:r>
          </w:p>
        </w:tc>
      </w:tr>
      <w:tr w:rsidR="000369CB" w:rsidRPr="000369CB" w14:paraId="7EC78A3D" w14:textId="77777777" w:rsidTr="00196A75">
        <w:tblPrEx>
          <w:tblCellMar>
            <w:top w:w="0"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1DEA85BF" w14:textId="77777777" w:rsidR="000369CB" w:rsidRPr="000369CB" w:rsidRDefault="000369CB" w:rsidP="00D452C1">
            <w:pPr>
              <w:pStyle w:val="TableTextLeftAligned"/>
              <w:keepNext/>
              <w:spacing w:after="0"/>
              <w:rPr>
                <w:sz w:val="18"/>
                <w:szCs w:val="18"/>
              </w:rPr>
            </w:pPr>
            <w:r w:rsidRPr="000369CB">
              <w:rPr>
                <w:sz w:val="18"/>
                <w:szCs w:val="18"/>
              </w:rPr>
              <w:t>Enlightenment Super Growth</w:t>
            </w:r>
          </w:p>
        </w:tc>
        <w:tc>
          <w:tcPr>
            <w:tcW w:w="1560" w:type="dxa"/>
            <w:tcBorders>
              <w:top w:val="single" w:sz="4" w:space="0" w:color="auto"/>
              <w:bottom w:val="single" w:sz="4" w:space="0" w:color="auto"/>
            </w:tcBorders>
            <w:noWrap/>
            <w:vAlign w:val="center"/>
            <w:hideMark/>
          </w:tcPr>
          <w:p w14:paraId="4919C19C"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Good</w:t>
            </w:r>
          </w:p>
        </w:tc>
        <w:tc>
          <w:tcPr>
            <w:tcW w:w="992" w:type="dxa"/>
            <w:tcBorders>
              <w:top w:val="single" w:sz="4" w:space="0" w:color="auto"/>
              <w:bottom w:val="single" w:sz="4" w:space="0" w:color="auto"/>
            </w:tcBorders>
            <w:shd w:val="clear" w:color="auto" w:fill="auto"/>
            <w:noWrap/>
            <w:vAlign w:val="center"/>
            <w:hideMark/>
          </w:tcPr>
          <w:p w14:paraId="7C25539C" w14:textId="7B0BBC6C"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0369CB">
              <w:rPr>
                <w:sz w:val="18"/>
                <w:szCs w:val="18"/>
              </w:rPr>
              <w:t xml:space="preserve">787 </w:t>
            </w:r>
          </w:p>
        </w:tc>
        <w:tc>
          <w:tcPr>
            <w:tcW w:w="1276" w:type="dxa"/>
            <w:tcBorders>
              <w:top w:val="single" w:sz="4" w:space="0" w:color="auto"/>
              <w:bottom w:val="single" w:sz="4" w:space="0" w:color="auto"/>
            </w:tcBorders>
            <w:noWrap/>
            <w:vAlign w:val="center"/>
            <w:hideMark/>
          </w:tcPr>
          <w:p w14:paraId="3F0594FD"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8.7%</w:t>
            </w:r>
          </w:p>
        </w:tc>
        <w:tc>
          <w:tcPr>
            <w:tcW w:w="1275" w:type="dxa"/>
            <w:tcBorders>
              <w:top w:val="single" w:sz="4" w:space="0" w:color="auto"/>
              <w:bottom w:val="single" w:sz="4" w:space="0" w:color="auto"/>
            </w:tcBorders>
            <w:shd w:val="clear" w:color="auto" w:fill="auto"/>
            <w:vAlign w:val="center"/>
            <w:hideMark/>
          </w:tcPr>
          <w:p w14:paraId="54317790" w14:textId="77777777" w:rsidR="000369CB" w:rsidRPr="000369CB" w:rsidRDefault="000369CB" w:rsidP="005E0D4E">
            <w:pPr>
              <w:pStyle w:val="TableTextLeftAligned"/>
              <w:keepNext/>
              <w:spacing w:after="0"/>
              <w:ind w:left="720" w:hanging="72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41</w:t>
            </w:r>
          </w:p>
        </w:tc>
        <w:tc>
          <w:tcPr>
            <w:tcW w:w="1331" w:type="dxa"/>
            <w:tcBorders>
              <w:top w:val="single" w:sz="4" w:space="0" w:color="auto"/>
              <w:bottom w:val="single" w:sz="4" w:space="0" w:color="auto"/>
            </w:tcBorders>
            <w:noWrap/>
            <w:vAlign w:val="center"/>
            <w:hideMark/>
          </w:tcPr>
          <w:p w14:paraId="08C4BE5C"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5%</w:t>
            </w:r>
          </w:p>
        </w:tc>
      </w:tr>
      <w:tr w:rsidR="000369CB" w:rsidRPr="000369CB" w14:paraId="15FDBBEC" w14:textId="77777777" w:rsidTr="00196A75">
        <w:tblPrEx>
          <w:tblCellMar>
            <w:top w:w="0" w:type="dxa"/>
          </w:tblCellMar>
          <w:tblLook w:val="04A0" w:firstRow="1" w:lastRow="0" w:firstColumn="1" w:lastColumn="0" w:noHBand="0" w:noVBand="1"/>
        </w:tblPrEx>
        <w:trPr>
          <w:trHeight w:val="4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68E2D286" w14:textId="77777777" w:rsidR="000369CB" w:rsidRPr="000369CB" w:rsidRDefault="000369CB" w:rsidP="00D452C1">
            <w:pPr>
              <w:pStyle w:val="TableTextLeftAligned"/>
              <w:keepNext/>
              <w:spacing w:after="0"/>
              <w:rPr>
                <w:sz w:val="18"/>
                <w:szCs w:val="18"/>
              </w:rPr>
            </w:pPr>
            <w:r w:rsidRPr="000369CB">
              <w:rPr>
                <w:sz w:val="18"/>
                <w:szCs w:val="18"/>
              </w:rPr>
              <w:t>Acumen Super Growth</w:t>
            </w:r>
          </w:p>
        </w:tc>
        <w:tc>
          <w:tcPr>
            <w:tcW w:w="1560" w:type="dxa"/>
            <w:tcBorders>
              <w:top w:val="single" w:sz="4" w:space="0" w:color="auto"/>
              <w:bottom w:val="single" w:sz="4" w:space="0" w:color="auto"/>
            </w:tcBorders>
            <w:noWrap/>
            <w:vAlign w:val="center"/>
            <w:hideMark/>
          </w:tcPr>
          <w:p w14:paraId="60B3531E"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Good</w:t>
            </w:r>
          </w:p>
        </w:tc>
        <w:tc>
          <w:tcPr>
            <w:tcW w:w="992" w:type="dxa"/>
            <w:tcBorders>
              <w:top w:val="single" w:sz="4" w:space="0" w:color="auto"/>
              <w:bottom w:val="single" w:sz="4" w:space="0" w:color="auto"/>
            </w:tcBorders>
            <w:shd w:val="clear" w:color="auto" w:fill="auto"/>
            <w:noWrap/>
            <w:vAlign w:val="center"/>
            <w:hideMark/>
          </w:tcPr>
          <w:p w14:paraId="5A888A14" w14:textId="3041479A"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 xml:space="preserve"> $501 </w:t>
            </w:r>
          </w:p>
        </w:tc>
        <w:tc>
          <w:tcPr>
            <w:tcW w:w="1276" w:type="dxa"/>
            <w:tcBorders>
              <w:top w:val="single" w:sz="4" w:space="0" w:color="auto"/>
              <w:bottom w:val="single" w:sz="4" w:space="0" w:color="auto"/>
            </w:tcBorders>
            <w:noWrap/>
            <w:vAlign w:val="center"/>
            <w:hideMark/>
          </w:tcPr>
          <w:p w14:paraId="4325F57C"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8.2%</w:t>
            </w:r>
          </w:p>
        </w:tc>
        <w:tc>
          <w:tcPr>
            <w:tcW w:w="1275" w:type="dxa"/>
            <w:tcBorders>
              <w:top w:val="single" w:sz="4" w:space="0" w:color="auto"/>
              <w:bottom w:val="single" w:sz="4" w:space="0" w:color="auto"/>
            </w:tcBorders>
            <w:shd w:val="clear" w:color="auto" w:fill="auto"/>
            <w:vAlign w:val="center"/>
            <w:hideMark/>
          </w:tcPr>
          <w:p w14:paraId="2247762F"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220</w:t>
            </w:r>
          </w:p>
        </w:tc>
        <w:tc>
          <w:tcPr>
            <w:tcW w:w="1331" w:type="dxa"/>
            <w:tcBorders>
              <w:top w:val="single" w:sz="4" w:space="0" w:color="auto"/>
              <w:bottom w:val="single" w:sz="4" w:space="0" w:color="auto"/>
            </w:tcBorders>
            <w:noWrap/>
            <w:vAlign w:val="center"/>
            <w:hideMark/>
          </w:tcPr>
          <w:p w14:paraId="2A8D9E46"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29%</w:t>
            </w:r>
          </w:p>
        </w:tc>
      </w:tr>
      <w:tr w:rsidR="000369CB" w:rsidRPr="000369CB" w14:paraId="5F498288" w14:textId="77777777" w:rsidTr="00196A75">
        <w:tblPrEx>
          <w:tblCellMar>
            <w:top w:w="0" w:type="dxa"/>
          </w:tblCellMar>
          <w:tblLook w:val="04A0" w:firstRow="1" w:lastRow="0" w:firstColumn="1" w:lastColumn="0" w:noHBand="0" w:noVBand="1"/>
        </w:tblPrEx>
        <w:trPr>
          <w:trHeight w:val="4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421F1411" w14:textId="77777777" w:rsidR="000369CB" w:rsidRPr="000369CB" w:rsidRDefault="000369CB" w:rsidP="00D452C1">
            <w:pPr>
              <w:pStyle w:val="TableTextLeftAligned"/>
              <w:keepNext/>
              <w:spacing w:after="0"/>
              <w:rPr>
                <w:sz w:val="18"/>
                <w:szCs w:val="18"/>
              </w:rPr>
            </w:pPr>
            <w:r w:rsidRPr="000369CB">
              <w:rPr>
                <w:sz w:val="18"/>
                <w:szCs w:val="18"/>
              </w:rPr>
              <w:t>Astute Super Growth</w:t>
            </w:r>
          </w:p>
        </w:tc>
        <w:tc>
          <w:tcPr>
            <w:tcW w:w="1560" w:type="dxa"/>
            <w:tcBorders>
              <w:top w:val="single" w:sz="4" w:space="0" w:color="auto"/>
              <w:bottom w:val="single" w:sz="4" w:space="0" w:color="auto"/>
            </w:tcBorders>
            <w:noWrap/>
            <w:vAlign w:val="center"/>
            <w:hideMark/>
          </w:tcPr>
          <w:p w14:paraId="3D51A705"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Good</w:t>
            </w:r>
          </w:p>
        </w:tc>
        <w:tc>
          <w:tcPr>
            <w:tcW w:w="992" w:type="dxa"/>
            <w:tcBorders>
              <w:top w:val="single" w:sz="4" w:space="0" w:color="auto"/>
              <w:bottom w:val="single" w:sz="4" w:space="0" w:color="auto"/>
            </w:tcBorders>
            <w:shd w:val="clear" w:color="auto" w:fill="auto"/>
            <w:noWrap/>
            <w:vAlign w:val="center"/>
            <w:hideMark/>
          </w:tcPr>
          <w:p w14:paraId="0081324D" w14:textId="7BF8C102"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$8</w:t>
            </w:r>
            <w:r w:rsidRPr="000369CB">
              <w:rPr>
                <w:sz w:val="18"/>
                <w:szCs w:val="18"/>
              </w:rPr>
              <w:t xml:space="preserve">40 </w:t>
            </w:r>
          </w:p>
        </w:tc>
        <w:tc>
          <w:tcPr>
            <w:tcW w:w="1276" w:type="dxa"/>
            <w:tcBorders>
              <w:top w:val="single" w:sz="4" w:space="0" w:color="auto"/>
              <w:bottom w:val="single" w:sz="4" w:space="0" w:color="auto"/>
            </w:tcBorders>
            <w:noWrap/>
            <w:vAlign w:val="center"/>
            <w:hideMark/>
          </w:tcPr>
          <w:p w14:paraId="77737263"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8.9%</w:t>
            </w:r>
          </w:p>
        </w:tc>
        <w:tc>
          <w:tcPr>
            <w:tcW w:w="1275" w:type="dxa"/>
            <w:tcBorders>
              <w:top w:val="single" w:sz="4" w:space="0" w:color="auto"/>
              <w:bottom w:val="single" w:sz="4" w:space="0" w:color="auto"/>
            </w:tcBorders>
            <w:shd w:val="clear" w:color="auto" w:fill="auto"/>
            <w:vAlign w:val="center"/>
            <w:hideMark/>
          </w:tcPr>
          <w:p w14:paraId="22F82592"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123</w:t>
            </w:r>
          </w:p>
        </w:tc>
        <w:tc>
          <w:tcPr>
            <w:tcW w:w="1331" w:type="dxa"/>
            <w:tcBorders>
              <w:top w:val="single" w:sz="4" w:space="0" w:color="auto"/>
              <w:bottom w:val="single" w:sz="4" w:space="0" w:color="auto"/>
            </w:tcBorders>
            <w:noWrap/>
            <w:vAlign w:val="center"/>
            <w:hideMark/>
          </w:tcPr>
          <w:p w14:paraId="24C61CBF"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16%</w:t>
            </w:r>
          </w:p>
        </w:tc>
      </w:tr>
      <w:tr w:rsidR="000369CB" w:rsidRPr="000369CB" w14:paraId="0DEA31F9" w14:textId="77777777" w:rsidTr="00196A75">
        <w:tblPrEx>
          <w:tblCellMar>
            <w:top w:w="0" w:type="dxa"/>
          </w:tblCellMar>
          <w:tblLook w:val="04A0" w:firstRow="1" w:lastRow="0" w:firstColumn="1" w:lastColumn="0" w:noHBand="0" w:noVBand="1"/>
        </w:tblPrEx>
        <w:trPr>
          <w:trHeight w:val="4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22218F9F" w14:textId="77777777" w:rsidR="000369CB" w:rsidRPr="000369CB" w:rsidRDefault="000369CB" w:rsidP="00D452C1">
            <w:pPr>
              <w:pStyle w:val="TableTextLeftAligned"/>
              <w:keepNext/>
              <w:spacing w:after="0"/>
              <w:rPr>
                <w:sz w:val="18"/>
                <w:szCs w:val="18"/>
              </w:rPr>
            </w:pPr>
            <w:r w:rsidRPr="000369CB">
              <w:rPr>
                <w:sz w:val="18"/>
                <w:szCs w:val="18"/>
              </w:rPr>
              <w:t>SafeInvest Super Growth</w:t>
            </w:r>
          </w:p>
        </w:tc>
        <w:tc>
          <w:tcPr>
            <w:tcW w:w="1560" w:type="dxa"/>
            <w:tcBorders>
              <w:top w:val="single" w:sz="4" w:space="0" w:color="auto"/>
              <w:bottom w:val="single" w:sz="4" w:space="0" w:color="auto"/>
            </w:tcBorders>
            <w:noWrap/>
            <w:vAlign w:val="center"/>
            <w:hideMark/>
          </w:tcPr>
          <w:p w14:paraId="7C8F9608"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Good</w:t>
            </w:r>
          </w:p>
        </w:tc>
        <w:tc>
          <w:tcPr>
            <w:tcW w:w="992" w:type="dxa"/>
            <w:tcBorders>
              <w:top w:val="single" w:sz="4" w:space="0" w:color="auto"/>
              <w:bottom w:val="single" w:sz="4" w:space="0" w:color="auto"/>
            </w:tcBorders>
            <w:shd w:val="clear" w:color="auto" w:fill="auto"/>
            <w:noWrap/>
            <w:vAlign w:val="center"/>
            <w:hideMark/>
          </w:tcPr>
          <w:p w14:paraId="2B7BB7DB" w14:textId="7D8C0DDD"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0369CB">
              <w:rPr>
                <w:sz w:val="18"/>
                <w:szCs w:val="18"/>
              </w:rPr>
              <w:t xml:space="preserve">680 </w:t>
            </w:r>
          </w:p>
        </w:tc>
        <w:tc>
          <w:tcPr>
            <w:tcW w:w="1276" w:type="dxa"/>
            <w:tcBorders>
              <w:top w:val="single" w:sz="4" w:space="0" w:color="auto"/>
              <w:bottom w:val="single" w:sz="4" w:space="0" w:color="auto"/>
            </w:tcBorders>
            <w:noWrap/>
            <w:vAlign w:val="center"/>
            <w:hideMark/>
          </w:tcPr>
          <w:p w14:paraId="44490548"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8.5%</w:t>
            </w:r>
          </w:p>
        </w:tc>
        <w:tc>
          <w:tcPr>
            <w:tcW w:w="1275" w:type="dxa"/>
            <w:tcBorders>
              <w:top w:val="single" w:sz="4" w:space="0" w:color="auto"/>
              <w:bottom w:val="single" w:sz="4" w:space="0" w:color="auto"/>
            </w:tcBorders>
            <w:shd w:val="clear" w:color="auto" w:fill="auto"/>
            <w:vAlign w:val="center"/>
            <w:hideMark/>
          </w:tcPr>
          <w:p w14:paraId="405C61E4"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88</w:t>
            </w:r>
          </w:p>
        </w:tc>
        <w:tc>
          <w:tcPr>
            <w:tcW w:w="1331" w:type="dxa"/>
            <w:tcBorders>
              <w:top w:val="single" w:sz="4" w:space="0" w:color="auto"/>
              <w:bottom w:val="single" w:sz="4" w:space="0" w:color="auto"/>
            </w:tcBorders>
            <w:noWrap/>
            <w:vAlign w:val="center"/>
            <w:hideMark/>
          </w:tcPr>
          <w:p w14:paraId="33242D4A" w14:textId="77777777" w:rsidR="000369CB" w:rsidRPr="000369CB" w:rsidRDefault="000369CB"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12%</w:t>
            </w:r>
          </w:p>
        </w:tc>
      </w:tr>
      <w:tr w:rsidR="00F416A7" w:rsidRPr="00F416A7" w14:paraId="5ECFFF2F" w14:textId="77777777" w:rsidTr="00196A75">
        <w:tblPrEx>
          <w:tblCellMar>
            <w:top w:w="0" w:type="dxa"/>
          </w:tblCellMar>
          <w:tblLook w:val="04A0" w:firstRow="1" w:lastRow="0" w:firstColumn="1" w:lastColumn="0" w:noHBand="0" w:noVBand="1"/>
        </w:tblPrEx>
        <w:trPr>
          <w:trHeight w:val="59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3D1E8D37" w14:textId="77777777" w:rsidR="00F416A7" w:rsidRPr="00F416A7" w:rsidRDefault="00F416A7" w:rsidP="00D452C1">
            <w:pPr>
              <w:pStyle w:val="TableTextLeftAligned"/>
              <w:keepNext/>
              <w:spacing w:after="0"/>
              <w:rPr>
                <w:sz w:val="18"/>
                <w:szCs w:val="18"/>
              </w:rPr>
            </w:pPr>
            <w:r w:rsidRPr="00F416A7">
              <w:rPr>
                <w:sz w:val="18"/>
                <w:szCs w:val="18"/>
              </w:rPr>
              <w:t>Prosperity Super Growth</w:t>
            </w:r>
          </w:p>
        </w:tc>
        <w:tc>
          <w:tcPr>
            <w:tcW w:w="1560" w:type="dxa"/>
            <w:tcBorders>
              <w:top w:val="single" w:sz="4" w:space="0" w:color="auto"/>
              <w:bottom w:val="single" w:sz="4" w:space="0" w:color="auto"/>
            </w:tcBorders>
            <w:noWrap/>
            <w:vAlign w:val="center"/>
            <w:hideMark/>
          </w:tcPr>
          <w:p w14:paraId="581C5769" w14:textId="77777777" w:rsidR="00F416A7" w:rsidRPr="00F416A7" w:rsidRDefault="00F416A7"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F416A7">
              <w:rPr>
                <w:sz w:val="18"/>
                <w:szCs w:val="18"/>
              </w:rPr>
              <w:t>Good</w:t>
            </w:r>
          </w:p>
        </w:tc>
        <w:tc>
          <w:tcPr>
            <w:tcW w:w="992" w:type="dxa"/>
            <w:tcBorders>
              <w:top w:val="single" w:sz="4" w:space="0" w:color="auto"/>
              <w:bottom w:val="single" w:sz="4" w:space="0" w:color="auto"/>
            </w:tcBorders>
            <w:shd w:val="clear" w:color="auto" w:fill="auto"/>
            <w:noWrap/>
            <w:vAlign w:val="center"/>
            <w:hideMark/>
          </w:tcPr>
          <w:p w14:paraId="52524E94" w14:textId="167997D0" w:rsidR="00F416A7" w:rsidRPr="00F416A7" w:rsidRDefault="00F416A7"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F416A7">
              <w:rPr>
                <w:sz w:val="18"/>
                <w:szCs w:val="18"/>
              </w:rPr>
              <w:t xml:space="preserve">720 </w:t>
            </w:r>
          </w:p>
        </w:tc>
        <w:tc>
          <w:tcPr>
            <w:tcW w:w="1276" w:type="dxa"/>
            <w:tcBorders>
              <w:top w:val="single" w:sz="4" w:space="0" w:color="auto"/>
              <w:bottom w:val="single" w:sz="4" w:space="0" w:color="auto"/>
            </w:tcBorders>
            <w:noWrap/>
            <w:vAlign w:val="center"/>
            <w:hideMark/>
          </w:tcPr>
          <w:p w14:paraId="3A9D7223" w14:textId="77777777" w:rsidR="00F416A7" w:rsidRPr="00F416A7" w:rsidRDefault="00F416A7"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F416A7">
              <w:rPr>
                <w:sz w:val="18"/>
                <w:szCs w:val="18"/>
              </w:rPr>
              <w:t>7.9%</w:t>
            </w:r>
          </w:p>
        </w:tc>
        <w:tc>
          <w:tcPr>
            <w:tcW w:w="1275" w:type="dxa"/>
            <w:tcBorders>
              <w:top w:val="single" w:sz="4" w:space="0" w:color="auto"/>
              <w:bottom w:val="single" w:sz="4" w:space="0" w:color="auto"/>
            </w:tcBorders>
            <w:shd w:val="clear" w:color="auto" w:fill="auto"/>
            <w:vAlign w:val="center"/>
            <w:hideMark/>
          </w:tcPr>
          <w:p w14:paraId="4530718C" w14:textId="77777777" w:rsidR="00F416A7" w:rsidRPr="00F416A7" w:rsidRDefault="00F416A7"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F416A7">
              <w:rPr>
                <w:sz w:val="18"/>
                <w:szCs w:val="18"/>
              </w:rPr>
              <w:t>30</w:t>
            </w:r>
          </w:p>
        </w:tc>
        <w:tc>
          <w:tcPr>
            <w:tcW w:w="1331" w:type="dxa"/>
            <w:tcBorders>
              <w:top w:val="single" w:sz="4" w:space="0" w:color="auto"/>
              <w:bottom w:val="single" w:sz="4" w:space="0" w:color="auto"/>
            </w:tcBorders>
            <w:noWrap/>
            <w:vAlign w:val="center"/>
            <w:hideMark/>
          </w:tcPr>
          <w:p w14:paraId="6E80D09D" w14:textId="77777777" w:rsidR="00F416A7" w:rsidRPr="00F416A7" w:rsidRDefault="00F416A7" w:rsidP="005E0D4E">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F416A7">
              <w:rPr>
                <w:sz w:val="18"/>
                <w:szCs w:val="18"/>
              </w:rPr>
              <w:t>4%</w:t>
            </w:r>
          </w:p>
        </w:tc>
      </w:tr>
    </w:tbl>
    <w:p w14:paraId="697C5721" w14:textId="56A64280" w:rsidR="003452D3" w:rsidRDefault="003452D3" w:rsidP="00DD7BE2">
      <w:pPr>
        <w:rPr>
          <w:sz w:val="18"/>
        </w:rPr>
      </w:pPr>
      <w:r w:rsidRPr="00BE642E">
        <w:rPr>
          <w:sz w:val="18"/>
        </w:rPr>
        <w:t>Note</w:t>
      </w:r>
      <w:r>
        <w:rPr>
          <w:sz w:val="18"/>
        </w:rPr>
        <w:t xml:space="preserve">: n = </w:t>
      </w:r>
      <w:r w:rsidR="00470442">
        <w:rPr>
          <w:sz w:val="18"/>
        </w:rPr>
        <w:t xml:space="preserve">752. </w:t>
      </w:r>
      <w:r w:rsidR="00470442" w:rsidRPr="00470442">
        <w:rPr>
          <w:sz w:val="18"/>
        </w:rPr>
        <w:t xml:space="preserve">Fund order in </w:t>
      </w:r>
      <w:r w:rsidR="00470442">
        <w:rPr>
          <w:sz w:val="18"/>
        </w:rPr>
        <w:t xml:space="preserve">this </w:t>
      </w:r>
      <w:r w:rsidR="00470442" w:rsidRPr="00470442">
        <w:rPr>
          <w:sz w:val="18"/>
        </w:rPr>
        <w:t xml:space="preserve">table reflects the order they </w:t>
      </w:r>
      <w:r w:rsidR="00470442">
        <w:rPr>
          <w:sz w:val="18"/>
        </w:rPr>
        <w:t xml:space="preserve">were presented to participants </w:t>
      </w:r>
      <w:r w:rsidR="00470442" w:rsidRPr="00470442">
        <w:rPr>
          <w:sz w:val="18"/>
        </w:rPr>
        <w:t xml:space="preserve">in </w:t>
      </w:r>
      <w:r w:rsidR="00470442">
        <w:rPr>
          <w:sz w:val="18"/>
        </w:rPr>
        <w:t>this experimental group</w:t>
      </w:r>
      <w:r w:rsidR="00470442" w:rsidRPr="00470442">
        <w:rPr>
          <w:sz w:val="18"/>
        </w:rPr>
        <w:t xml:space="preserve">. </w:t>
      </w:r>
    </w:p>
    <w:p w14:paraId="1BDD6643" w14:textId="23ABD33F" w:rsidR="003D4893" w:rsidRPr="009F3C0D" w:rsidRDefault="003D4893" w:rsidP="00BD20D5">
      <w:pPr>
        <w:pStyle w:val="HeadingTable"/>
        <w:spacing w:before="240" w:after="120"/>
        <w:ind w:left="357" w:hanging="357"/>
        <w:outlineLvl w:val="3"/>
      </w:pPr>
      <w:r>
        <w:lastRenderedPageBreak/>
        <w:t xml:space="preserve">Choice of </w:t>
      </w:r>
      <w:r w:rsidR="00196A75">
        <w:t xml:space="preserve">super product – </w:t>
      </w:r>
      <w:r>
        <w:t xml:space="preserve">Group B </w:t>
      </w:r>
      <w:r w:rsidR="00980265">
        <w:t xml:space="preserve">(3 </w:t>
      </w:r>
      <w:r w:rsidR="00196A75">
        <w:t xml:space="preserve">performance </w:t>
      </w:r>
      <w:r w:rsidR="00980265">
        <w:t>categories, unsorted)</w:t>
      </w:r>
    </w:p>
    <w:tbl>
      <w:tblPr>
        <w:tblStyle w:val="DefaultTable"/>
        <w:tblW w:w="8135" w:type="dxa"/>
        <w:tblLayout w:type="fixed"/>
        <w:tblCellMar>
          <w:top w:w="85" w:type="dxa"/>
        </w:tblCellMar>
        <w:tblLook w:val="0420" w:firstRow="1" w:lastRow="0" w:firstColumn="0" w:lastColumn="0" w:noHBand="0" w:noVBand="1"/>
        <w:tblCaption w:val="Table 1"/>
        <w:tblDescription w:val="Example table with Alt Text for accessibility"/>
      </w:tblPr>
      <w:tblGrid>
        <w:gridCol w:w="1701"/>
        <w:gridCol w:w="1560"/>
        <w:gridCol w:w="992"/>
        <w:gridCol w:w="1276"/>
        <w:gridCol w:w="1275"/>
        <w:gridCol w:w="1331"/>
      </w:tblGrid>
      <w:tr w:rsidR="003D4893" w:rsidRPr="003212F5" w14:paraId="32562157" w14:textId="77777777" w:rsidTr="007228E8">
        <w:trPr>
          <w:cnfStyle w:val="100000000000" w:firstRow="1" w:lastRow="0" w:firstColumn="0" w:lastColumn="0" w:oddVBand="0" w:evenVBand="0" w:oddHBand="0" w:evenHBand="0" w:firstRowFirstColumn="0" w:firstRowLastColumn="0" w:lastRowFirstColumn="0" w:lastRowLastColumn="0"/>
          <w:trHeight w:val="227"/>
          <w:tblHeader/>
        </w:trPr>
        <w:tc>
          <w:tcPr>
            <w:tcW w:w="1701" w:type="dxa"/>
            <w:tcBorders>
              <w:top w:val="nil"/>
              <w:bottom w:val="single" w:sz="18" w:space="0" w:color="142E3B" w:themeColor="accent6"/>
            </w:tcBorders>
            <w:shd w:val="clear" w:color="auto" w:fill="20B9A3" w:themeFill="accent1"/>
          </w:tcPr>
          <w:p w14:paraId="17A8D290" w14:textId="77777777" w:rsidR="003D4893" w:rsidRPr="003212F5" w:rsidRDefault="003D4893" w:rsidP="00587623">
            <w:pPr>
              <w:pStyle w:val="TableHeading"/>
              <w:keepNext/>
              <w:spacing w:after="0"/>
              <w:rPr>
                <w:sz w:val="20"/>
              </w:rPr>
            </w:pPr>
            <w:r>
              <w:rPr>
                <w:sz w:val="20"/>
              </w:rPr>
              <w:t>Fund</w:t>
            </w:r>
          </w:p>
        </w:tc>
        <w:tc>
          <w:tcPr>
            <w:tcW w:w="1560" w:type="dxa"/>
            <w:tcBorders>
              <w:top w:val="nil"/>
              <w:bottom w:val="single" w:sz="18" w:space="0" w:color="142E3B" w:themeColor="accent6"/>
            </w:tcBorders>
            <w:shd w:val="clear" w:color="auto" w:fill="20B9A3" w:themeFill="accent1"/>
          </w:tcPr>
          <w:p w14:paraId="42A296F5" w14:textId="77777777" w:rsidR="003D4893" w:rsidRPr="003212F5" w:rsidRDefault="003D4893" w:rsidP="00587623">
            <w:pPr>
              <w:pStyle w:val="TableHeading"/>
              <w:keepNext/>
              <w:spacing w:after="0"/>
              <w:rPr>
                <w:sz w:val="20"/>
              </w:rPr>
            </w:pPr>
            <w:r>
              <w:rPr>
                <w:sz w:val="20"/>
              </w:rPr>
              <w:t>Performance</w:t>
            </w:r>
          </w:p>
        </w:tc>
        <w:tc>
          <w:tcPr>
            <w:tcW w:w="992" w:type="dxa"/>
            <w:tcBorders>
              <w:top w:val="nil"/>
              <w:bottom w:val="single" w:sz="18" w:space="0" w:color="142E3B" w:themeColor="accent6"/>
            </w:tcBorders>
            <w:shd w:val="clear" w:color="auto" w:fill="20B9A3" w:themeFill="accent1"/>
          </w:tcPr>
          <w:p w14:paraId="72861B21" w14:textId="77777777" w:rsidR="003D4893" w:rsidRPr="003212F5" w:rsidRDefault="003D4893" w:rsidP="00587623">
            <w:pPr>
              <w:pStyle w:val="TableHeading"/>
              <w:keepNext/>
              <w:spacing w:after="0"/>
              <w:jc w:val="right"/>
              <w:rPr>
                <w:sz w:val="20"/>
              </w:rPr>
            </w:pPr>
            <w:r>
              <w:rPr>
                <w:sz w:val="20"/>
              </w:rPr>
              <w:t>Fees</w:t>
            </w:r>
          </w:p>
        </w:tc>
        <w:tc>
          <w:tcPr>
            <w:tcW w:w="1276" w:type="dxa"/>
            <w:tcBorders>
              <w:top w:val="nil"/>
              <w:bottom w:val="single" w:sz="18" w:space="0" w:color="142E3B" w:themeColor="accent6"/>
            </w:tcBorders>
            <w:shd w:val="clear" w:color="auto" w:fill="20B9A3" w:themeFill="accent1"/>
          </w:tcPr>
          <w:p w14:paraId="1DCBB0EF" w14:textId="77777777" w:rsidR="003D4893" w:rsidRPr="003212F5" w:rsidRDefault="003D4893" w:rsidP="00587623">
            <w:pPr>
              <w:pStyle w:val="TableHeading"/>
              <w:keepNext/>
              <w:spacing w:after="0"/>
              <w:jc w:val="right"/>
              <w:rPr>
                <w:sz w:val="20"/>
              </w:rPr>
            </w:pPr>
            <w:r>
              <w:rPr>
                <w:sz w:val="20"/>
              </w:rPr>
              <w:t>Net return</w:t>
            </w:r>
          </w:p>
        </w:tc>
        <w:tc>
          <w:tcPr>
            <w:tcW w:w="1275" w:type="dxa"/>
            <w:tcBorders>
              <w:top w:val="nil"/>
              <w:bottom w:val="single" w:sz="18" w:space="0" w:color="142E3B" w:themeColor="accent6"/>
            </w:tcBorders>
            <w:shd w:val="clear" w:color="auto" w:fill="20B9A3" w:themeFill="accent1"/>
          </w:tcPr>
          <w:p w14:paraId="2A4F82B0" w14:textId="77777777" w:rsidR="003D4893" w:rsidRPr="003212F5" w:rsidRDefault="003D4893" w:rsidP="00587623">
            <w:pPr>
              <w:pStyle w:val="TableHeading"/>
              <w:keepNext/>
              <w:spacing w:after="0"/>
              <w:jc w:val="right"/>
              <w:rPr>
                <w:sz w:val="20"/>
              </w:rPr>
            </w:pPr>
            <w:r>
              <w:rPr>
                <w:sz w:val="20"/>
              </w:rPr>
              <w:t>Frequency</w:t>
            </w:r>
          </w:p>
        </w:tc>
        <w:tc>
          <w:tcPr>
            <w:tcW w:w="1331" w:type="dxa"/>
            <w:tcBorders>
              <w:top w:val="nil"/>
              <w:bottom w:val="single" w:sz="18" w:space="0" w:color="142E3B" w:themeColor="accent6"/>
            </w:tcBorders>
            <w:shd w:val="clear" w:color="auto" w:fill="20B9A3" w:themeFill="accent1"/>
          </w:tcPr>
          <w:p w14:paraId="475566D0" w14:textId="77777777" w:rsidR="003D4893" w:rsidRPr="003212F5" w:rsidRDefault="003D4893" w:rsidP="00587623">
            <w:pPr>
              <w:pStyle w:val="TableHeading"/>
              <w:keepNext/>
              <w:spacing w:after="0"/>
              <w:jc w:val="right"/>
              <w:rPr>
                <w:sz w:val="20"/>
              </w:rPr>
            </w:pPr>
            <w:r>
              <w:rPr>
                <w:sz w:val="20"/>
              </w:rPr>
              <w:t>Percentage</w:t>
            </w:r>
          </w:p>
        </w:tc>
      </w:tr>
      <w:tr w:rsidR="003D4893" w:rsidRPr="003212F5" w14:paraId="46E0318D" w14:textId="77777777" w:rsidTr="00196A75">
        <w:trPr>
          <w:trHeight w:val="207"/>
        </w:trPr>
        <w:tc>
          <w:tcPr>
            <w:tcW w:w="1701" w:type="dxa"/>
            <w:tcBorders>
              <w:bottom w:val="single" w:sz="4" w:space="0" w:color="auto"/>
            </w:tcBorders>
            <w:shd w:val="clear" w:color="auto" w:fill="auto"/>
          </w:tcPr>
          <w:p w14:paraId="2D49D009" w14:textId="77777777" w:rsidR="003D4893" w:rsidRPr="003212F5" w:rsidRDefault="003D4893" w:rsidP="00587623">
            <w:pPr>
              <w:pStyle w:val="TableTextLeftAligned"/>
              <w:keepNext/>
              <w:spacing w:after="0"/>
              <w:rPr>
                <w:sz w:val="18"/>
              </w:rPr>
            </w:pPr>
            <w:r w:rsidRPr="00D71B3D">
              <w:rPr>
                <w:sz w:val="18"/>
              </w:rPr>
              <w:t>Stability Super Balanced – your current fund</w:t>
            </w:r>
          </w:p>
        </w:tc>
        <w:tc>
          <w:tcPr>
            <w:tcW w:w="1560" w:type="dxa"/>
            <w:tcBorders>
              <w:bottom w:val="single" w:sz="4" w:space="0" w:color="auto"/>
            </w:tcBorders>
            <w:vAlign w:val="center"/>
          </w:tcPr>
          <w:p w14:paraId="03BEC36A" w14:textId="77777777" w:rsidR="003D4893" w:rsidRPr="003212F5" w:rsidRDefault="003D4893" w:rsidP="00DD7BE2">
            <w:pPr>
              <w:pStyle w:val="TableTextRightAligned"/>
              <w:keepNext/>
              <w:spacing w:after="0"/>
              <w:rPr>
                <w:sz w:val="18"/>
              </w:rPr>
            </w:pPr>
            <w:r>
              <w:rPr>
                <w:sz w:val="18"/>
              </w:rPr>
              <w:t>Poor</w:t>
            </w:r>
          </w:p>
        </w:tc>
        <w:tc>
          <w:tcPr>
            <w:tcW w:w="992" w:type="dxa"/>
            <w:tcBorders>
              <w:bottom w:val="single" w:sz="4" w:space="0" w:color="auto"/>
            </w:tcBorders>
            <w:shd w:val="clear" w:color="auto" w:fill="FFFFFF" w:themeFill="background1"/>
            <w:vAlign w:val="center"/>
          </w:tcPr>
          <w:p w14:paraId="485B5A54" w14:textId="77777777" w:rsidR="003D4893" w:rsidRPr="00022BCD" w:rsidRDefault="003D4893" w:rsidP="00DD7BE2">
            <w:pPr>
              <w:pStyle w:val="TableTextRightAligned"/>
              <w:keepNext/>
              <w:spacing w:after="0"/>
              <w:rPr>
                <w:sz w:val="18"/>
                <w:szCs w:val="18"/>
              </w:rPr>
            </w:pPr>
            <w:r w:rsidRPr="00022BCD">
              <w:rPr>
                <w:sz w:val="18"/>
                <w:szCs w:val="18"/>
              </w:rPr>
              <w:t>$892</w:t>
            </w:r>
          </w:p>
        </w:tc>
        <w:tc>
          <w:tcPr>
            <w:tcW w:w="1276" w:type="dxa"/>
            <w:tcBorders>
              <w:bottom w:val="single" w:sz="4" w:space="0" w:color="auto"/>
            </w:tcBorders>
            <w:vAlign w:val="center"/>
          </w:tcPr>
          <w:p w14:paraId="73A5116B" w14:textId="77777777" w:rsidR="003D4893" w:rsidRPr="00022BCD" w:rsidRDefault="003D4893" w:rsidP="00DD7BE2">
            <w:pPr>
              <w:pStyle w:val="TableTextRightAligned"/>
              <w:keepNext/>
              <w:spacing w:after="0"/>
              <w:rPr>
                <w:sz w:val="18"/>
                <w:szCs w:val="18"/>
              </w:rPr>
            </w:pPr>
            <w:r w:rsidRPr="00022BCD">
              <w:rPr>
                <w:sz w:val="18"/>
                <w:szCs w:val="18"/>
              </w:rPr>
              <w:t>6.5%</w:t>
            </w:r>
          </w:p>
        </w:tc>
        <w:tc>
          <w:tcPr>
            <w:tcW w:w="1275" w:type="dxa"/>
            <w:tcBorders>
              <w:top w:val="single" w:sz="18" w:space="0" w:color="142E3B" w:themeColor="accent6"/>
              <w:left w:val="nil"/>
              <w:bottom w:val="single" w:sz="4" w:space="0" w:color="auto"/>
              <w:right w:val="nil"/>
            </w:tcBorders>
            <w:shd w:val="clear" w:color="auto" w:fill="auto"/>
            <w:vAlign w:val="center"/>
          </w:tcPr>
          <w:p w14:paraId="1E9A2BF6" w14:textId="3EDA6FCB" w:rsidR="003D4893" w:rsidRPr="00022BCD" w:rsidRDefault="003D4893" w:rsidP="00587623">
            <w:pPr>
              <w:pStyle w:val="TableTextRightAligned"/>
              <w:keepNext/>
              <w:spacing w:after="0"/>
              <w:rPr>
                <w:sz w:val="18"/>
                <w:szCs w:val="18"/>
              </w:rPr>
            </w:pPr>
            <w:r w:rsidRPr="003D4893">
              <w:rPr>
                <w:sz w:val="18"/>
                <w:szCs w:val="18"/>
              </w:rPr>
              <w:t>71</w:t>
            </w:r>
          </w:p>
        </w:tc>
        <w:tc>
          <w:tcPr>
            <w:tcW w:w="1331" w:type="dxa"/>
            <w:tcBorders>
              <w:top w:val="single" w:sz="18" w:space="0" w:color="142E3B" w:themeColor="accent6"/>
              <w:left w:val="nil"/>
              <w:bottom w:val="single" w:sz="4" w:space="0" w:color="auto"/>
              <w:right w:val="nil"/>
            </w:tcBorders>
            <w:vAlign w:val="center"/>
          </w:tcPr>
          <w:p w14:paraId="1B953A09" w14:textId="511DEBBD" w:rsidR="003D4893" w:rsidRPr="00022BCD" w:rsidRDefault="003D4893" w:rsidP="00587623">
            <w:pPr>
              <w:pStyle w:val="TableTextRightAligned"/>
              <w:keepNext/>
              <w:spacing w:after="0"/>
              <w:rPr>
                <w:sz w:val="18"/>
                <w:szCs w:val="18"/>
              </w:rPr>
            </w:pPr>
            <w:r w:rsidRPr="003D4893">
              <w:rPr>
                <w:sz w:val="18"/>
                <w:szCs w:val="18"/>
              </w:rPr>
              <w:t>10%</w:t>
            </w:r>
          </w:p>
        </w:tc>
      </w:tr>
      <w:tr w:rsidR="003D4893" w:rsidRPr="003212F5" w14:paraId="62AE2FC5" w14:textId="77777777" w:rsidTr="00196A75">
        <w:trPr>
          <w:trHeight w:val="207"/>
        </w:trPr>
        <w:tc>
          <w:tcPr>
            <w:tcW w:w="1701" w:type="dxa"/>
            <w:tcBorders>
              <w:top w:val="single" w:sz="4" w:space="0" w:color="auto"/>
              <w:bottom w:val="single" w:sz="4" w:space="0" w:color="auto"/>
            </w:tcBorders>
            <w:shd w:val="clear" w:color="auto" w:fill="auto"/>
          </w:tcPr>
          <w:p w14:paraId="21D9D69A" w14:textId="77777777" w:rsidR="003D4893" w:rsidRPr="003212F5" w:rsidRDefault="003D4893" w:rsidP="00587623">
            <w:pPr>
              <w:pStyle w:val="TableTextLeftAligned"/>
              <w:keepNext/>
              <w:spacing w:after="0"/>
              <w:rPr>
                <w:sz w:val="18"/>
              </w:rPr>
            </w:pPr>
            <w:r w:rsidRPr="00D71B3D">
              <w:rPr>
                <w:sz w:val="18"/>
              </w:rPr>
              <w:t>Gravitas Super Growth</w:t>
            </w:r>
          </w:p>
        </w:tc>
        <w:tc>
          <w:tcPr>
            <w:tcW w:w="1560" w:type="dxa"/>
            <w:tcBorders>
              <w:top w:val="single" w:sz="4" w:space="0" w:color="auto"/>
              <w:bottom w:val="single" w:sz="4" w:space="0" w:color="auto"/>
            </w:tcBorders>
            <w:vAlign w:val="center"/>
          </w:tcPr>
          <w:p w14:paraId="3D0A8665" w14:textId="77777777" w:rsidR="003D4893" w:rsidRPr="003212F5" w:rsidRDefault="003D4893" w:rsidP="00DD7BE2">
            <w:pPr>
              <w:pStyle w:val="TableTextRightAligned"/>
              <w:keepNext/>
              <w:spacing w:after="0"/>
              <w:rPr>
                <w:sz w:val="18"/>
              </w:rPr>
            </w:pPr>
            <w:r w:rsidRPr="00D71B3D">
              <w:rPr>
                <w:sz w:val="18"/>
              </w:rPr>
              <w:t>Poor</w:t>
            </w:r>
          </w:p>
        </w:tc>
        <w:tc>
          <w:tcPr>
            <w:tcW w:w="992" w:type="dxa"/>
            <w:tcBorders>
              <w:top w:val="single" w:sz="4" w:space="0" w:color="auto"/>
              <w:bottom w:val="single" w:sz="4" w:space="0" w:color="auto"/>
            </w:tcBorders>
            <w:shd w:val="clear" w:color="auto" w:fill="FFFFFF" w:themeFill="background1"/>
            <w:vAlign w:val="center"/>
          </w:tcPr>
          <w:p w14:paraId="57D2B039" w14:textId="77777777" w:rsidR="003D4893" w:rsidRPr="00022BCD" w:rsidRDefault="003D4893" w:rsidP="00DD7BE2">
            <w:pPr>
              <w:pStyle w:val="TableTextRightAligned"/>
              <w:keepNext/>
              <w:spacing w:after="0"/>
              <w:rPr>
                <w:sz w:val="18"/>
                <w:szCs w:val="18"/>
              </w:rPr>
            </w:pPr>
            <w:r w:rsidRPr="00022BCD">
              <w:rPr>
                <w:sz w:val="18"/>
                <w:szCs w:val="18"/>
              </w:rPr>
              <w:t>$975</w:t>
            </w:r>
          </w:p>
        </w:tc>
        <w:tc>
          <w:tcPr>
            <w:tcW w:w="1276" w:type="dxa"/>
            <w:tcBorders>
              <w:top w:val="single" w:sz="4" w:space="0" w:color="auto"/>
              <w:bottom w:val="single" w:sz="4" w:space="0" w:color="auto"/>
            </w:tcBorders>
            <w:vAlign w:val="center"/>
          </w:tcPr>
          <w:p w14:paraId="48BF6B40" w14:textId="77777777" w:rsidR="003D4893" w:rsidRPr="00022BCD" w:rsidRDefault="003D4893" w:rsidP="00DD7BE2">
            <w:pPr>
              <w:pStyle w:val="TableTextRightAligned"/>
              <w:keepNext/>
              <w:spacing w:after="0"/>
              <w:rPr>
                <w:sz w:val="18"/>
                <w:szCs w:val="18"/>
              </w:rPr>
            </w:pPr>
            <w:r w:rsidRPr="00022BCD">
              <w:rPr>
                <w:sz w:val="18"/>
                <w:szCs w:val="18"/>
              </w:rPr>
              <w:t>7.3%</w:t>
            </w:r>
          </w:p>
        </w:tc>
        <w:tc>
          <w:tcPr>
            <w:tcW w:w="1275" w:type="dxa"/>
            <w:tcBorders>
              <w:top w:val="single" w:sz="4" w:space="0" w:color="auto"/>
              <w:left w:val="nil"/>
              <w:bottom w:val="single" w:sz="4" w:space="0" w:color="auto"/>
              <w:right w:val="nil"/>
            </w:tcBorders>
            <w:shd w:val="clear" w:color="auto" w:fill="auto"/>
            <w:vAlign w:val="center"/>
          </w:tcPr>
          <w:p w14:paraId="72824958" w14:textId="30CA887C" w:rsidR="003D4893" w:rsidRPr="00022BCD" w:rsidRDefault="003D4893" w:rsidP="00587623">
            <w:pPr>
              <w:pStyle w:val="TableTextRightAligned"/>
              <w:keepNext/>
              <w:spacing w:after="0"/>
              <w:rPr>
                <w:sz w:val="18"/>
                <w:szCs w:val="18"/>
              </w:rPr>
            </w:pPr>
            <w:r w:rsidRPr="003D4893">
              <w:rPr>
                <w:sz w:val="18"/>
                <w:szCs w:val="18"/>
              </w:rPr>
              <w:t>32</w:t>
            </w:r>
          </w:p>
        </w:tc>
        <w:tc>
          <w:tcPr>
            <w:tcW w:w="1331" w:type="dxa"/>
            <w:tcBorders>
              <w:top w:val="single" w:sz="4" w:space="0" w:color="auto"/>
              <w:left w:val="nil"/>
              <w:bottom w:val="single" w:sz="4" w:space="0" w:color="auto"/>
              <w:right w:val="nil"/>
            </w:tcBorders>
            <w:vAlign w:val="center"/>
          </w:tcPr>
          <w:p w14:paraId="0B449FAC" w14:textId="6BC26680" w:rsidR="003D4893" w:rsidRPr="00022BCD" w:rsidRDefault="003D4893" w:rsidP="00587623">
            <w:pPr>
              <w:pStyle w:val="TableTextRightAligned"/>
              <w:keepNext/>
              <w:spacing w:after="0"/>
              <w:rPr>
                <w:sz w:val="18"/>
                <w:szCs w:val="18"/>
              </w:rPr>
            </w:pPr>
            <w:r w:rsidRPr="003D4893">
              <w:rPr>
                <w:sz w:val="18"/>
                <w:szCs w:val="18"/>
              </w:rPr>
              <w:t>4%</w:t>
            </w:r>
          </w:p>
        </w:tc>
      </w:tr>
      <w:tr w:rsidR="003D4893" w:rsidRPr="003212F5" w14:paraId="7D44351E" w14:textId="77777777" w:rsidTr="00196A75">
        <w:trPr>
          <w:trHeight w:val="170"/>
        </w:trPr>
        <w:tc>
          <w:tcPr>
            <w:tcW w:w="1701" w:type="dxa"/>
            <w:tcBorders>
              <w:top w:val="single" w:sz="4" w:space="0" w:color="auto"/>
              <w:bottom w:val="single" w:sz="4" w:space="0" w:color="auto"/>
            </w:tcBorders>
            <w:shd w:val="clear" w:color="auto" w:fill="auto"/>
          </w:tcPr>
          <w:p w14:paraId="4F6B91CD" w14:textId="77777777" w:rsidR="003D4893" w:rsidRPr="00D71B3D" w:rsidRDefault="003D4893" w:rsidP="00587623">
            <w:pPr>
              <w:pStyle w:val="TableTextLeftAligned"/>
              <w:keepNext/>
              <w:spacing w:after="0"/>
              <w:rPr>
                <w:sz w:val="18"/>
              </w:rPr>
            </w:pPr>
            <w:r w:rsidRPr="00022BCD">
              <w:rPr>
                <w:sz w:val="18"/>
              </w:rPr>
              <w:t>Ultimate Super Balanced</w:t>
            </w:r>
          </w:p>
        </w:tc>
        <w:tc>
          <w:tcPr>
            <w:tcW w:w="1560" w:type="dxa"/>
            <w:tcBorders>
              <w:top w:val="single" w:sz="4" w:space="0" w:color="auto"/>
              <w:bottom w:val="single" w:sz="4" w:space="0" w:color="auto"/>
            </w:tcBorders>
            <w:vAlign w:val="center"/>
          </w:tcPr>
          <w:p w14:paraId="6CC53B43" w14:textId="056430CC" w:rsidR="003D4893" w:rsidRPr="00D71B3D" w:rsidRDefault="004750EE" w:rsidP="00DD7BE2">
            <w:pPr>
              <w:pStyle w:val="TableTextRightAligned"/>
              <w:keepNext/>
              <w:spacing w:after="0"/>
              <w:rPr>
                <w:sz w:val="18"/>
              </w:rPr>
            </w:pPr>
            <w:r>
              <w:rPr>
                <w:sz w:val="18"/>
              </w:rPr>
              <w:t>Fair</w:t>
            </w:r>
          </w:p>
        </w:tc>
        <w:tc>
          <w:tcPr>
            <w:tcW w:w="992" w:type="dxa"/>
            <w:tcBorders>
              <w:top w:val="single" w:sz="4" w:space="0" w:color="auto"/>
              <w:bottom w:val="single" w:sz="4" w:space="0" w:color="auto"/>
            </w:tcBorders>
            <w:shd w:val="clear" w:color="auto" w:fill="FFFFFF" w:themeFill="background1"/>
            <w:vAlign w:val="center"/>
          </w:tcPr>
          <w:p w14:paraId="657F78B7" w14:textId="77777777" w:rsidR="003D4893" w:rsidRPr="00022BCD" w:rsidRDefault="003D4893" w:rsidP="00DD7BE2">
            <w:pPr>
              <w:pStyle w:val="TableTextRightAligned"/>
              <w:keepNext/>
              <w:spacing w:after="0"/>
              <w:rPr>
                <w:sz w:val="18"/>
                <w:szCs w:val="18"/>
              </w:rPr>
            </w:pPr>
            <w:r w:rsidRPr="00022BCD">
              <w:rPr>
                <w:sz w:val="18"/>
                <w:szCs w:val="18"/>
              </w:rPr>
              <w:t>$625</w:t>
            </w:r>
          </w:p>
        </w:tc>
        <w:tc>
          <w:tcPr>
            <w:tcW w:w="1276" w:type="dxa"/>
            <w:tcBorders>
              <w:top w:val="single" w:sz="4" w:space="0" w:color="auto"/>
              <w:bottom w:val="single" w:sz="4" w:space="0" w:color="auto"/>
            </w:tcBorders>
            <w:vAlign w:val="center"/>
          </w:tcPr>
          <w:p w14:paraId="6646FC97" w14:textId="77777777" w:rsidR="003D4893" w:rsidRPr="00022BCD" w:rsidRDefault="003D4893" w:rsidP="00DD7BE2">
            <w:pPr>
              <w:pStyle w:val="TableTextRightAligned"/>
              <w:keepNext/>
              <w:spacing w:after="0"/>
              <w:rPr>
                <w:sz w:val="18"/>
                <w:szCs w:val="18"/>
              </w:rPr>
            </w:pPr>
            <w:r w:rsidRPr="00022BCD">
              <w:rPr>
                <w:sz w:val="18"/>
                <w:szCs w:val="18"/>
              </w:rPr>
              <w:t>7.4%</w:t>
            </w:r>
          </w:p>
        </w:tc>
        <w:tc>
          <w:tcPr>
            <w:tcW w:w="1275" w:type="dxa"/>
            <w:tcBorders>
              <w:top w:val="single" w:sz="4" w:space="0" w:color="auto"/>
              <w:left w:val="nil"/>
              <w:bottom w:val="single" w:sz="4" w:space="0" w:color="auto"/>
              <w:right w:val="nil"/>
            </w:tcBorders>
            <w:shd w:val="clear" w:color="auto" w:fill="auto"/>
            <w:vAlign w:val="center"/>
          </w:tcPr>
          <w:p w14:paraId="4C550D36" w14:textId="73414950" w:rsidR="003D4893" w:rsidRPr="00022BCD" w:rsidRDefault="003D4893" w:rsidP="00587623">
            <w:pPr>
              <w:pStyle w:val="TableTextRightAligned"/>
              <w:keepNext/>
              <w:spacing w:after="0"/>
              <w:rPr>
                <w:sz w:val="18"/>
                <w:szCs w:val="18"/>
              </w:rPr>
            </w:pPr>
            <w:r w:rsidRPr="003D4893">
              <w:rPr>
                <w:sz w:val="18"/>
                <w:szCs w:val="18"/>
              </w:rPr>
              <w:t>52</w:t>
            </w:r>
          </w:p>
        </w:tc>
        <w:tc>
          <w:tcPr>
            <w:tcW w:w="1331" w:type="dxa"/>
            <w:tcBorders>
              <w:top w:val="single" w:sz="4" w:space="0" w:color="auto"/>
              <w:left w:val="nil"/>
              <w:bottom w:val="single" w:sz="4" w:space="0" w:color="auto"/>
              <w:right w:val="nil"/>
            </w:tcBorders>
            <w:vAlign w:val="center"/>
          </w:tcPr>
          <w:p w14:paraId="75E8C115" w14:textId="5002E67B" w:rsidR="003D4893" w:rsidRPr="00022BCD" w:rsidRDefault="003D4893" w:rsidP="00587623">
            <w:pPr>
              <w:pStyle w:val="TableTextRightAligned"/>
              <w:keepNext/>
              <w:spacing w:after="0"/>
              <w:rPr>
                <w:sz w:val="18"/>
                <w:szCs w:val="18"/>
              </w:rPr>
            </w:pPr>
            <w:r w:rsidRPr="003D4893">
              <w:rPr>
                <w:sz w:val="18"/>
                <w:szCs w:val="18"/>
              </w:rPr>
              <w:t>7%</w:t>
            </w:r>
          </w:p>
        </w:tc>
      </w:tr>
      <w:tr w:rsidR="003D4893" w:rsidRPr="003212F5" w14:paraId="58DB09DB" w14:textId="77777777" w:rsidTr="00196A75">
        <w:trPr>
          <w:trHeight w:val="207"/>
        </w:trPr>
        <w:tc>
          <w:tcPr>
            <w:tcW w:w="1701" w:type="dxa"/>
            <w:tcBorders>
              <w:top w:val="single" w:sz="4" w:space="0" w:color="auto"/>
              <w:bottom w:val="single" w:sz="4" w:space="0" w:color="auto"/>
            </w:tcBorders>
            <w:shd w:val="clear" w:color="auto" w:fill="auto"/>
          </w:tcPr>
          <w:p w14:paraId="3CB6AEB8" w14:textId="77777777" w:rsidR="003D4893" w:rsidRPr="00022BCD" w:rsidRDefault="003D4893" w:rsidP="00587623">
            <w:pPr>
              <w:pStyle w:val="TableTextLeftAligned"/>
              <w:keepNext/>
              <w:spacing w:after="0"/>
              <w:rPr>
                <w:sz w:val="18"/>
                <w:szCs w:val="18"/>
              </w:rPr>
            </w:pPr>
            <w:r w:rsidRPr="00022BCD">
              <w:rPr>
                <w:sz w:val="18"/>
                <w:szCs w:val="18"/>
              </w:rPr>
              <w:t>Maturity Super Growth</w:t>
            </w:r>
          </w:p>
        </w:tc>
        <w:tc>
          <w:tcPr>
            <w:tcW w:w="1560" w:type="dxa"/>
            <w:tcBorders>
              <w:top w:val="single" w:sz="4" w:space="0" w:color="auto"/>
              <w:bottom w:val="single" w:sz="4" w:space="0" w:color="auto"/>
            </w:tcBorders>
            <w:vAlign w:val="center"/>
          </w:tcPr>
          <w:p w14:paraId="47599532" w14:textId="150A3AD5" w:rsidR="003D4893" w:rsidRPr="00022BCD" w:rsidRDefault="004750EE" w:rsidP="00DD7BE2">
            <w:pPr>
              <w:pStyle w:val="TableTextRightAligned"/>
              <w:keepNext/>
              <w:spacing w:after="0"/>
              <w:rPr>
                <w:sz w:val="18"/>
                <w:szCs w:val="18"/>
              </w:rPr>
            </w:pPr>
            <w:r>
              <w:rPr>
                <w:sz w:val="18"/>
                <w:szCs w:val="18"/>
              </w:rPr>
              <w:t>Fair</w:t>
            </w:r>
          </w:p>
        </w:tc>
        <w:tc>
          <w:tcPr>
            <w:tcW w:w="992" w:type="dxa"/>
            <w:tcBorders>
              <w:top w:val="single" w:sz="4" w:space="0" w:color="auto"/>
              <w:bottom w:val="single" w:sz="4" w:space="0" w:color="auto"/>
            </w:tcBorders>
            <w:shd w:val="clear" w:color="auto" w:fill="FFFFFF" w:themeFill="background1"/>
            <w:vAlign w:val="center"/>
          </w:tcPr>
          <w:p w14:paraId="52BD7C86" w14:textId="77777777" w:rsidR="003D4893" w:rsidRPr="00022BCD" w:rsidRDefault="003D4893" w:rsidP="00DD7BE2">
            <w:pPr>
              <w:pStyle w:val="TableTextRightAligned"/>
              <w:keepNext/>
              <w:spacing w:after="0"/>
              <w:rPr>
                <w:sz w:val="18"/>
                <w:szCs w:val="18"/>
              </w:rPr>
            </w:pPr>
            <w:r w:rsidRPr="00022BCD">
              <w:rPr>
                <w:sz w:val="18"/>
                <w:szCs w:val="18"/>
              </w:rPr>
              <w:t>$877</w:t>
            </w:r>
          </w:p>
        </w:tc>
        <w:tc>
          <w:tcPr>
            <w:tcW w:w="1276" w:type="dxa"/>
            <w:tcBorders>
              <w:top w:val="single" w:sz="4" w:space="0" w:color="auto"/>
              <w:bottom w:val="single" w:sz="4" w:space="0" w:color="auto"/>
            </w:tcBorders>
            <w:vAlign w:val="center"/>
          </w:tcPr>
          <w:p w14:paraId="4A5F06F5" w14:textId="77777777" w:rsidR="003D4893" w:rsidRPr="00022BCD" w:rsidRDefault="003D4893" w:rsidP="00DD7BE2">
            <w:pPr>
              <w:pStyle w:val="TableTextRightAligned"/>
              <w:keepNext/>
              <w:spacing w:after="0"/>
              <w:rPr>
                <w:sz w:val="18"/>
                <w:szCs w:val="18"/>
              </w:rPr>
            </w:pPr>
            <w:r w:rsidRPr="00022BCD">
              <w:rPr>
                <w:sz w:val="18"/>
                <w:szCs w:val="18"/>
              </w:rPr>
              <w:t>8.2%</w:t>
            </w:r>
          </w:p>
        </w:tc>
        <w:tc>
          <w:tcPr>
            <w:tcW w:w="1275" w:type="dxa"/>
            <w:tcBorders>
              <w:top w:val="single" w:sz="4" w:space="0" w:color="auto"/>
              <w:left w:val="nil"/>
              <w:bottom w:val="single" w:sz="4" w:space="0" w:color="auto"/>
              <w:right w:val="nil"/>
            </w:tcBorders>
            <w:shd w:val="clear" w:color="auto" w:fill="auto"/>
            <w:vAlign w:val="center"/>
          </w:tcPr>
          <w:p w14:paraId="3A9ABC85" w14:textId="2DD79B19" w:rsidR="003D4893" w:rsidRPr="00022BCD" w:rsidRDefault="003D4893" w:rsidP="00587623">
            <w:pPr>
              <w:pStyle w:val="TableTextRightAligned"/>
              <w:keepNext/>
              <w:spacing w:after="0"/>
              <w:rPr>
                <w:sz w:val="18"/>
                <w:szCs w:val="18"/>
              </w:rPr>
            </w:pPr>
            <w:r w:rsidRPr="003D4893">
              <w:rPr>
                <w:sz w:val="18"/>
                <w:szCs w:val="18"/>
              </w:rPr>
              <w:t>44</w:t>
            </w:r>
          </w:p>
        </w:tc>
        <w:tc>
          <w:tcPr>
            <w:tcW w:w="1331" w:type="dxa"/>
            <w:tcBorders>
              <w:top w:val="single" w:sz="4" w:space="0" w:color="auto"/>
              <w:left w:val="nil"/>
              <w:bottom w:val="single" w:sz="4" w:space="0" w:color="auto"/>
              <w:right w:val="nil"/>
            </w:tcBorders>
            <w:vAlign w:val="center"/>
          </w:tcPr>
          <w:p w14:paraId="5D3F1A26" w14:textId="35E40CE7" w:rsidR="003D4893" w:rsidRPr="00022BCD" w:rsidRDefault="003D4893" w:rsidP="00587623">
            <w:pPr>
              <w:pStyle w:val="TableTextRightAligned"/>
              <w:keepNext/>
              <w:spacing w:after="0"/>
              <w:rPr>
                <w:sz w:val="18"/>
                <w:szCs w:val="18"/>
              </w:rPr>
            </w:pPr>
            <w:r w:rsidRPr="003D4893">
              <w:rPr>
                <w:sz w:val="18"/>
                <w:szCs w:val="18"/>
              </w:rPr>
              <w:t>6%</w:t>
            </w:r>
          </w:p>
        </w:tc>
      </w:tr>
      <w:tr w:rsidR="003D4893" w:rsidRPr="003212F5" w14:paraId="45FA115A" w14:textId="77777777" w:rsidTr="00196A75">
        <w:trPr>
          <w:trHeight w:val="207"/>
        </w:trPr>
        <w:tc>
          <w:tcPr>
            <w:tcW w:w="1701" w:type="dxa"/>
            <w:tcBorders>
              <w:top w:val="single" w:sz="4" w:space="0" w:color="auto"/>
              <w:bottom w:val="single" w:sz="4" w:space="0" w:color="auto"/>
            </w:tcBorders>
            <w:shd w:val="clear" w:color="auto" w:fill="auto"/>
          </w:tcPr>
          <w:p w14:paraId="6615FF88" w14:textId="77777777" w:rsidR="003D4893" w:rsidRPr="000369CB" w:rsidRDefault="003D4893" w:rsidP="00587623">
            <w:pPr>
              <w:pStyle w:val="TableTextLeftAligned"/>
              <w:keepNext/>
              <w:spacing w:after="0"/>
              <w:rPr>
                <w:sz w:val="18"/>
                <w:szCs w:val="18"/>
              </w:rPr>
            </w:pPr>
            <w:r w:rsidRPr="000369CB">
              <w:rPr>
                <w:sz w:val="18"/>
                <w:szCs w:val="18"/>
              </w:rPr>
              <w:t>Horizon Super Balanced</w:t>
            </w:r>
          </w:p>
        </w:tc>
        <w:tc>
          <w:tcPr>
            <w:tcW w:w="1560" w:type="dxa"/>
            <w:tcBorders>
              <w:top w:val="single" w:sz="4" w:space="0" w:color="auto"/>
              <w:bottom w:val="single" w:sz="4" w:space="0" w:color="auto"/>
            </w:tcBorders>
            <w:vAlign w:val="center"/>
          </w:tcPr>
          <w:p w14:paraId="74F8F09A" w14:textId="77777777" w:rsidR="003D4893" w:rsidRPr="000369CB" w:rsidRDefault="003D4893" w:rsidP="00DD7BE2">
            <w:pPr>
              <w:pStyle w:val="TableTextRightAligned"/>
              <w:keepNext/>
              <w:spacing w:after="0"/>
              <w:rPr>
                <w:sz w:val="18"/>
                <w:szCs w:val="18"/>
              </w:rPr>
            </w:pPr>
            <w:r>
              <w:rPr>
                <w:sz w:val="18"/>
                <w:szCs w:val="18"/>
              </w:rPr>
              <w:tab/>
              <w:t>Poor</w:t>
            </w:r>
          </w:p>
        </w:tc>
        <w:tc>
          <w:tcPr>
            <w:tcW w:w="992" w:type="dxa"/>
            <w:tcBorders>
              <w:top w:val="single" w:sz="4" w:space="0" w:color="auto"/>
              <w:bottom w:val="single" w:sz="4" w:space="0" w:color="auto"/>
            </w:tcBorders>
            <w:shd w:val="clear" w:color="auto" w:fill="FFFFFF" w:themeFill="background1"/>
            <w:vAlign w:val="center"/>
          </w:tcPr>
          <w:p w14:paraId="0D3328E1" w14:textId="77777777" w:rsidR="003D4893" w:rsidRPr="000369CB" w:rsidRDefault="003D4893" w:rsidP="00DD7BE2">
            <w:pPr>
              <w:pStyle w:val="TableTextRightAligned"/>
              <w:keepNext/>
              <w:spacing w:after="0"/>
              <w:rPr>
                <w:sz w:val="18"/>
                <w:szCs w:val="18"/>
              </w:rPr>
            </w:pPr>
            <w:r>
              <w:rPr>
                <w:sz w:val="18"/>
                <w:szCs w:val="18"/>
              </w:rPr>
              <w:t>$491</w:t>
            </w:r>
          </w:p>
        </w:tc>
        <w:tc>
          <w:tcPr>
            <w:tcW w:w="1276" w:type="dxa"/>
            <w:tcBorders>
              <w:top w:val="single" w:sz="4" w:space="0" w:color="auto"/>
              <w:bottom w:val="single" w:sz="4" w:space="0" w:color="auto"/>
            </w:tcBorders>
            <w:vAlign w:val="center"/>
          </w:tcPr>
          <w:p w14:paraId="7EB3E69F" w14:textId="77777777" w:rsidR="003D4893" w:rsidRPr="000369CB" w:rsidRDefault="003D4893" w:rsidP="00DD7BE2">
            <w:pPr>
              <w:pStyle w:val="TableTextRightAligned"/>
              <w:keepNext/>
              <w:spacing w:after="0"/>
              <w:rPr>
                <w:sz w:val="18"/>
                <w:szCs w:val="18"/>
              </w:rPr>
            </w:pPr>
            <w:r w:rsidRPr="000369CB">
              <w:rPr>
                <w:sz w:val="18"/>
                <w:szCs w:val="18"/>
              </w:rPr>
              <w:t>7.1%</w:t>
            </w:r>
          </w:p>
        </w:tc>
        <w:tc>
          <w:tcPr>
            <w:tcW w:w="1275" w:type="dxa"/>
            <w:tcBorders>
              <w:top w:val="single" w:sz="4" w:space="0" w:color="auto"/>
              <w:left w:val="nil"/>
              <w:bottom w:val="single" w:sz="4" w:space="0" w:color="auto"/>
              <w:right w:val="nil"/>
            </w:tcBorders>
            <w:shd w:val="clear" w:color="auto" w:fill="auto"/>
            <w:vAlign w:val="center"/>
          </w:tcPr>
          <w:p w14:paraId="56A36C61" w14:textId="243E5637" w:rsidR="003D4893" w:rsidRPr="000369CB" w:rsidRDefault="003D4893" w:rsidP="00587623">
            <w:pPr>
              <w:pStyle w:val="TableTextRightAligned"/>
              <w:keepNext/>
              <w:spacing w:after="0"/>
              <w:rPr>
                <w:sz w:val="18"/>
                <w:szCs w:val="18"/>
              </w:rPr>
            </w:pPr>
            <w:r w:rsidRPr="003D4893">
              <w:rPr>
                <w:sz w:val="18"/>
                <w:szCs w:val="18"/>
              </w:rPr>
              <w:t>28</w:t>
            </w:r>
          </w:p>
        </w:tc>
        <w:tc>
          <w:tcPr>
            <w:tcW w:w="1331" w:type="dxa"/>
            <w:tcBorders>
              <w:top w:val="single" w:sz="4" w:space="0" w:color="auto"/>
              <w:left w:val="nil"/>
              <w:bottom w:val="single" w:sz="4" w:space="0" w:color="auto"/>
              <w:right w:val="nil"/>
            </w:tcBorders>
            <w:vAlign w:val="center"/>
          </w:tcPr>
          <w:p w14:paraId="5681A093" w14:textId="364D9ADE" w:rsidR="003D4893" w:rsidRPr="000369CB" w:rsidRDefault="003D4893" w:rsidP="00587623">
            <w:pPr>
              <w:pStyle w:val="TableTextRightAligned"/>
              <w:keepNext/>
              <w:spacing w:after="0"/>
              <w:rPr>
                <w:sz w:val="18"/>
                <w:szCs w:val="18"/>
              </w:rPr>
            </w:pPr>
            <w:r w:rsidRPr="003D4893">
              <w:rPr>
                <w:sz w:val="18"/>
                <w:szCs w:val="18"/>
              </w:rPr>
              <w:t>4%</w:t>
            </w:r>
          </w:p>
        </w:tc>
      </w:tr>
      <w:tr w:rsidR="003D4893" w:rsidRPr="000369CB" w14:paraId="550183D4" w14:textId="77777777" w:rsidTr="00196A75">
        <w:tblPrEx>
          <w:tblCellMar>
            <w:top w:w="0"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25787D64" w14:textId="77777777" w:rsidR="003D4893" w:rsidRPr="000369CB" w:rsidRDefault="003D4893" w:rsidP="00587623">
            <w:pPr>
              <w:pStyle w:val="TableTextLeftAligned"/>
              <w:keepNext/>
              <w:spacing w:after="0"/>
              <w:rPr>
                <w:sz w:val="18"/>
                <w:szCs w:val="18"/>
              </w:rPr>
            </w:pPr>
            <w:r w:rsidRPr="000369CB">
              <w:rPr>
                <w:sz w:val="18"/>
                <w:szCs w:val="18"/>
              </w:rPr>
              <w:t>Enlightenment Super Growth</w:t>
            </w:r>
          </w:p>
        </w:tc>
        <w:tc>
          <w:tcPr>
            <w:tcW w:w="1560" w:type="dxa"/>
            <w:tcBorders>
              <w:top w:val="single" w:sz="4" w:space="0" w:color="auto"/>
              <w:bottom w:val="single" w:sz="4" w:space="0" w:color="auto"/>
            </w:tcBorders>
            <w:noWrap/>
            <w:vAlign w:val="center"/>
            <w:hideMark/>
          </w:tcPr>
          <w:p w14:paraId="1A6F3B0C" w14:textId="39E83D66" w:rsidR="003D4893" w:rsidRPr="000369CB" w:rsidRDefault="004750EE"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Top</w:t>
            </w:r>
          </w:p>
        </w:tc>
        <w:tc>
          <w:tcPr>
            <w:tcW w:w="992" w:type="dxa"/>
            <w:tcBorders>
              <w:top w:val="single" w:sz="4" w:space="0" w:color="auto"/>
              <w:bottom w:val="single" w:sz="4" w:space="0" w:color="auto"/>
            </w:tcBorders>
            <w:shd w:val="clear" w:color="auto" w:fill="auto"/>
            <w:noWrap/>
            <w:vAlign w:val="center"/>
            <w:hideMark/>
          </w:tcPr>
          <w:p w14:paraId="38390D68" w14:textId="77777777" w:rsidR="003D4893" w:rsidRPr="000369CB"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0369CB">
              <w:rPr>
                <w:sz w:val="18"/>
                <w:szCs w:val="18"/>
              </w:rPr>
              <w:t xml:space="preserve">787 </w:t>
            </w:r>
          </w:p>
        </w:tc>
        <w:tc>
          <w:tcPr>
            <w:tcW w:w="1276" w:type="dxa"/>
            <w:tcBorders>
              <w:top w:val="single" w:sz="4" w:space="0" w:color="auto"/>
              <w:bottom w:val="single" w:sz="4" w:space="0" w:color="auto"/>
            </w:tcBorders>
            <w:noWrap/>
            <w:vAlign w:val="center"/>
            <w:hideMark/>
          </w:tcPr>
          <w:p w14:paraId="7FC424A5" w14:textId="77777777" w:rsidR="003D4893" w:rsidRPr="000369CB"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8.7%</w:t>
            </w:r>
          </w:p>
        </w:tc>
        <w:tc>
          <w:tcPr>
            <w:tcW w:w="1275" w:type="dxa"/>
            <w:tcBorders>
              <w:top w:val="single" w:sz="4" w:space="0" w:color="auto"/>
              <w:left w:val="nil"/>
              <w:bottom w:val="single" w:sz="4" w:space="0" w:color="auto"/>
              <w:right w:val="nil"/>
            </w:tcBorders>
            <w:shd w:val="clear" w:color="auto" w:fill="auto"/>
            <w:vAlign w:val="center"/>
            <w:hideMark/>
          </w:tcPr>
          <w:p w14:paraId="22BED44A" w14:textId="281C6FC3" w:rsidR="003D4893" w:rsidRPr="000369CB"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103</w:t>
            </w:r>
          </w:p>
        </w:tc>
        <w:tc>
          <w:tcPr>
            <w:tcW w:w="1331" w:type="dxa"/>
            <w:tcBorders>
              <w:top w:val="single" w:sz="4" w:space="0" w:color="auto"/>
              <w:left w:val="nil"/>
              <w:bottom w:val="single" w:sz="4" w:space="0" w:color="auto"/>
              <w:right w:val="nil"/>
            </w:tcBorders>
            <w:noWrap/>
            <w:vAlign w:val="center"/>
            <w:hideMark/>
          </w:tcPr>
          <w:p w14:paraId="0DE2E896" w14:textId="04F17AEE" w:rsidR="003D4893" w:rsidRPr="000369CB"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14%</w:t>
            </w:r>
          </w:p>
        </w:tc>
      </w:tr>
      <w:tr w:rsidR="003D4893" w:rsidRPr="000369CB" w14:paraId="38CA5986" w14:textId="77777777" w:rsidTr="00196A75">
        <w:tblPrEx>
          <w:tblCellMar>
            <w:top w:w="0" w:type="dxa"/>
          </w:tblCellMar>
          <w:tblLook w:val="04A0" w:firstRow="1" w:lastRow="0" w:firstColumn="1" w:lastColumn="0" w:noHBand="0" w:noVBand="1"/>
        </w:tblPrEx>
        <w:trPr>
          <w:trHeight w:val="4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362B44D7" w14:textId="77777777" w:rsidR="003D4893" w:rsidRPr="000369CB" w:rsidRDefault="003D4893" w:rsidP="00587623">
            <w:pPr>
              <w:pStyle w:val="TableTextLeftAligned"/>
              <w:keepNext/>
              <w:spacing w:after="0"/>
              <w:rPr>
                <w:sz w:val="18"/>
                <w:szCs w:val="18"/>
              </w:rPr>
            </w:pPr>
            <w:r w:rsidRPr="000369CB">
              <w:rPr>
                <w:sz w:val="18"/>
                <w:szCs w:val="18"/>
              </w:rPr>
              <w:t>Acumen Super Growth</w:t>
            </w:r>
          </w:p>
        </w:tc>
        <w:tc>
          <w:tcPr>
            <w:tcW w:w="1560" w:type="dxa"/>
            <w:tcBorders>
              <w:top w:val="single" w:sz="4" w:space="0" w:color="auto"/>
              <w:bottom w:val="single" w:sz="4" w:space="0" w:color="auto"/>
            </w:tcBorders>
            <w:noWrap/>
            <w:vAlign w:val="center"/>
            <w:hideMark/>
          </w:tcPr>
          <w:p w14:paraId="34FCCA5E" w14:textId="4365F2BA" w:rsidR="003D4893" w:rsidRPr="000369CB" w:rsidRDefault="004750EE"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Fair</w:t>
            </w:r>
          </w:p>
        </w:tc>
        <w:tc>
          <w:tcPr>
            <w:tcW w:w="992" w:type="dxa"/>
            <w:tcBorders>
              <w:top w:val="single" w:sz="4" w:space="0" w:color="auto"/>
              <w:bottom w:val="single" w:sz="4" w:space="0" w:color="auto"/>
            </w:tcBorders>
            <w:shd w:val="clear" w:color="auto" w:fill="auto"/>
            <w:noWrap/>
            <w:vAlign w:val="center"/>
            <w:hideMark/>
          </w:tcPr>
          <w:p w14:paraId="60EC3EF4" w14:textId="77777777" w:rsidR="003D4893" w:rsidRPr="000369CB"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 xml:space="preserve"> $501 </w:t>
            </w:r>
          </w:p>
        </w:tc>
        <w:tc>
          <w:tcPr>
            <w:tcW w:w="1276" w:type="dxa"/>
            <w:tcBorders>
              <w:top w:val="single" w:sz="4" w:space="0" w:color="auto"/>
              <w:bottom w:val="single" w:sz="4" w:space="0" w:color="auto"/>
            </w:tcBorders>
            <w:noWrap/>
            <w:vAlign w:val="center"/>
            <w:hideMark/>
          </w:tcPr>
          <w:p w14:paraId="6238096E" w14:textId="77777777" w:rsidR="003D4893" w:rsidRPr="000369CB"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8.2%</w:t>
            </w:r>
          </w:p>
        </w:tc>
        <w:tc>
          <w:tcPr>
            <w:tcW w:w="1275" w:type="dxa"/>
            <w:tcBorders>
              <w:top w:val="single" w:sz="4" w:space="0" w:color="auto"/>
              <w:left w:val="nil"/>
              <w:bottom w:val="single" w:sz="4" w:space="0" w:color="auto"/>
              <w:right w:val="nil"/>
            </w:tcBorders>
            <w:shd w:val="clear" w:color="auto" w:fill="auto"/>
            <w:vAlign w:val="center"/>
            <w:hideMark/>
          </w:tcPr>
          <w:p w14:paraId="1ACEA54B" w14:textId="5940F017" w:rsidR="003D4893" w:rsidRPr="000369CB"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84</w:t>
            </w:r>
          </w:p>
        </w:tc>
        <w:tc>
          <w:tcPr>
            <w:tcW w:w="1331" w:type="dxa"/>
            <w:tcBorders>
              <w:top w:val="single" w:sz="4" w:space="0" w:color="auto"/>
              <w:left w:val="nil"/>
              <w:bottom w:val="single" w:sz="4" w:space="0" w:color="auto"/>
              <w:right w:val="nil"/>
            </w:tcBorders>
            <w:noWrap/>
            <w:vAlign w:val="center"/>
            <w:hideMark/>
          </w:tcPr>
          <w:p w14:paraId="04A7EA0B" w14:textId="71ADADBD" w:rsidR="003D4893" w:rsidRPr="000369CB"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11%</w:t>
            </w:r>
          </w:p>
        </w:tc>
      </w:tr>
      <w:tr w:rsidR="003D4893" w:rsidRPr="000369CB" w14:paraId="72AC7554" w14:textId="77777777" w:rsidTr="00196A75">
        <w:tblPrEx>
          <w:tblCellMar>
            <w:top w:w="0" w:type="dxa"/>
          </w:tblCellMar>
          <w:tblLook w:val="04A0" w:firstRow="1" w:lastRow="0" w:firstColumn="1" w:lastColumn="0" w:noHBand="0" w:noVBand="1"/>
        </w:tblPrEx>
        <w:trPr>
          <w:trHeight w:val="4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45D945FE" w14:textId="77777777" w:rsidR="003D4893" w:rsidRPr="000369CB" w:rsidRDefault="003D4893" w:rsidP="00587623">
            <w:pPr>
              <w:pStyle w:val="TableTextLeftAligned"/>
              <w:keepNext/>
              <w:spacing w:after="0"/>
              <w:rPr>
                <w:sz w:val="18"/>
                <w:szCs w:val="18"/>
              </w:rPr>
            </w:pPr>
            <w:r w:rsidRPr="000369CB">
              <w:rPr>
                <w:sz w:val="18"/>
                <w:szCs w:val="18"/>
              </w:rPr>
              <w:t>Astute Super Growth</w:t>
            </w:r>
          </w:p>
        </w:tc>
        <w:tc>
          <w:tcPr>
            <w:tcW w:w="1560" w:type="dxa"/>
            <w:tcBorders>
              <w:top w:val="single" w:sz="4" w:space="0" w:color="auto"/>
              <w:bottom w:val="single" w:sz="4" w:space="0" w:color="auto"/>
            </w:tcBorders>
            <w:noWrap/>
            <w:vAlign w:val="center"/>
            <w:hideMark/>
          </w:tcPr>
          <w:p w14:paraId="3B5EF2B9" w14:textId="1B62E54B" w:rsidR="003D4893" w:rsidRPr="000369CB" w:rsidRDefault="004750EE"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Top</w:t>
            </w:r>
          </w:p>
        </w:tc>
        <w:tc>
          <w:tcPr>
            <w:tcW w:w="992" w:type="dxa"/>
            <w:tcBorders>
              <w:top w:val="single" w:sz="4" w:space="0" w:color="auto"/>
              <w:bottom w:val="single" w:sz="4" w:space="0" w:color="auto"/>
            </w:tcBorders>
            <w:shd w:val="clear" w:color="auto" w:fill="auto"/>
            <w:noWrap/>
            <w:vAlign w:val="center"/>
            <w:hideMark/>
          </w:tcPr>
          <w:p w14:paraId="449267B1" w14:textId="77777777" w:rsidR="003D4893" w:rsidRPr="000369CB"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$8</w:t>
            </w:r>
            <w:r w:rsidRPr="000369CB">
              <w:rPr>
                <w:sz w:val="18"/>
                <w:szCs w:val="18"/>
              </w:rPr>
              <w:t xml:space="preserve">40 </w:t>
            </w:r>
          </w:p>
        </w:tc>
        <w:tc>
          <w:tcPr>
            <w:tcW w:w="1276" w:type="dxa"/>
            <w:tcBorders>
              <w:top w:val="single" w:sz="4" w:space="0" w:color="auto"/>
              <w:bottom w:val="single" w:sz="4" w:space="0" w:color="auto"/>
            </w:tcBorders>
            <w:noWrap/>
            <w:vAlign w:val="center"/>
            <w:hideMark/>
          </w:tcPr>
          <w:p w14:paraId="3FA0CBE4" w14:textId="77777777" w:rsidR="003D4893" w:rsidRPr="000369CB"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8.9%</w:t>
            </w:r>
          </w:p>
        </w:tc>
        <w:tc>
          <w:tcPr>
            <w:tcW w:w="1275" w:type="dxa"/>
            <w:tcBorders>
              <w:top w:val="single" w:sz="4" w:space="0" w:color="auto"/>
              <w:left w:val="nil"/>
              <w:bottom w:val="single" w:sz="4" w:space="0" w:color="auto"/>
              <w:right w:val="nil"/>
            </w:tcBorders>
            <w:shd w:val="clear" w:color="auto" w:fill="auto"/>
            <w:vAlign w:val="center"/>
            <w:hideMark/>
          </w:tcPr>
          <w:p w14:paraId="16BAB476" w14:textId="244DDED5" w:rsidR="003D4893" w:rsidRPr="000369CB"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132</w:t>
            </w:r>
          </w:p>
        </w:tc>
        <w:tc>
          <w:tcPr>
            <w:tcW w:w="1331" w:type="dxa"/>
            <w:tcBorders>
              <w:top w:val="single" w:sz="4" w:space="0" w:color="auto"/>
              <w:left w:val="nil"/>
              <w:bottom w:val="single" w:sz="4" w:space="0" w:color="auto"/>
              <w:right w:val="nil"/>
            </w:tcBorders>
            <w:noWrap/>
            <w:vAlign w:val="center"/>
            <w:hideMark/>
          </w:tcPr>
          <w:p w14:paraId="13A9C30D" w14:textId="39D1F7E1" w:rsidR="003D4893" w:rsidRPr="000369CB"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18%</w:t>
            </w:r>
          </w:p>
        </w:tc>
      </w:tr>
      <w:tr w:rsidR="003D4893" w:rsidRPr="000369CB" w14:paraId="40318592" w14:textId="77777777" w:rsidTr="00930EB8">
        <w:tblPrEx>
          <w:tblCellMar>
            <w:top w:w="0" w:type="dxa"/>
          </w:tblCellMar>
          <w:tblLook w:val="04A0" w:firstRow="1" w:lastRow="0" w:firstColumn="1" w:lastColumn="0" w:noHBand="0" w:noVBand="1"/>
        </w:tblPrEx>
        <w:trPr>
          <w:trHeight w:val="34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5D1E0CC7" w14:textId="77777777" w:rsidR="003D4893" w:rsidRPr="000369CB" w:rsidRDefault="003D4893" w:rsidP="00587623">
            <w:pPr>
              <w:pStyle w:val="TableTextLeftAligned"/>
              <w:keepNext/>
              <w:spacing w:after="0"/>
              <w:rPr>
                <w:sz w:val="18"/>
                <w:szCs w:val="18"/>
              </w:rPr>
            </w:pPr>
            <w:r w:rsidRPr="000369CB">
              <w:rPr>
                <w:sz w:val="18"/>
                <w:szCs w:val="18"/>
              </w:rPr>
              <w:t>SafeInvest Super Growth</w:t>
            </w:r>
          </w:p>
        </w:tc>
        <w:tc>
          <w:tcPr>
            <w:tcW w:w="1560" w:type="dxa"/>
            <w:tcBorders>
              <w:top w:val="single" w:sz="4" w:space="0" w:color="auto"/>
              <w:bottom w:val="single" w:sz="4" w:space="0" w:color="auto"/>
            </w:tcBorders>
            <w:noWrap/>
            <w:vAlign w:val="center"/>
            <w:hideMark/>
          </w:tcPr>
          <w:p w14:paraId="64DD1278" w14:textId="6CF3142A" w:rsidR="003D4893" w:rsidRPr="000369CB" w:rsidRDefault="004750EE"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Top</w:t>
            </w:r>
          </w:p>
        </w:tc>
        <w:tc>
          <w:tcPr>
            <w:tcW w:w="992" w:type="dxa"/>
            <w:tcBorders>
              <w:top w:val="single" w:sz="4" w:space="0" w:color="auto"/>
              <w:bottom w:val="single" w:sz="4" w:space="0" w:color="auto"/>
            </w:tcBorders>
            <w:shd w:val="clear" w:color="auto" w:fill="auto"/>
            <w:noWrap/>
            <w:vAlign w:val="center"/>
            <w:hideMark/>
          </w:tcPr>
          <w:p w14:paraId="101A802E" w14:textId="77777777" w:rsidR="003D4893" w:rsidRPr="000369CB"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0369CB">
              <w:rPr>
                <w:sz w:val="18"/>
                <w:szCs w:val="18"/>
              </w:rPr>
              <w:t xml:space="preserve">680 </w:t>
            </w:r>
          </w:p>
        </w:tc>
        <w:tc>
          <w:tcPr>
            <w:tcW w:w="1276" w:type="dxa"/>
            <w:tcBorders>
              <w:top w:val="single" w:sz="4" w:space="0" w:color="auto"/>
              <w:bottom w:val="single" w:sz="4" w:space="0" w:color="auto"/>
            </w:tcBorders>
            <w:noWrap/>
            <w:vAlign w:val="center"/>
            <w:hideMark/>
          </w:tcPr>
          <w:p w14:paraId="63B41E7B" w14:textId="77777777" w:rsidR="003D4893" w:rsidRPr="000369CB"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0369CB">
              <w:rPr>
                <w:sz w:val="18"/>
                <w:szCs w:val="18"/>
              </w:rPr>
              <w:t>8.5%</w:t>
            </w:r>
          </w:p>
        </w:tc>
        <w:tc>
          <w:tcPr>
            <w:tcW w:w="1275" w:type="dxa"/>
            <w:tcBorders>
              <w:top w:val="single" w:sz="4" w:space="0" w:color="auto"/>
              <w:left w:val="nil"/>
              <w:bottom w:val="single" w:sz="4" w:space="0" w:color="auto"/>
              <w:right w:val="nil"/>
            </w:tcBorders>
            <w:shd w:val="clear" w:color="auto" w:fill="auto"/>
            <w:vAlign w:val="center"/>
            <w:hideMark/>
          </w:tcPr>
          <w:p w14:paraId="10023040" w14:textId="140F1ADE" w:rsidR="003D4893" w:rsidRPr="000369CB"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179</w:t>
            </w:r>
          </w:p>
        </w:tc>
        <w:tc>
          <w:tcPr>
            <w:tcW w:w="1331" w:type="dxa"/>
            <w:tcBorders>
              <w:top w:val="single" w:sz="4" w:space="0" w:color="auto"/>
              <w:left w:val="nil"/>
              <w:bottom w:val="single" w:sz="4" w:space="0" w:color="auto"/>
              <w:right w:val="nil"/>
            </w:tcBorders>
            <w:noWrap/>
            <w:vAlign w:val="center"/>
            <w:hideMark/>
          </w:tcPr>
          <w:p w14:paraId="3F01B961" w14:textId="1A293939" w:rsidR="003D4893" w:rsidRPr="000369CB"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24%</w:t>
            </w:r>
          </w:p>
        </w:tc>
      </w:tr>
      <w:tr w:rsidR="003D4893" w:rsidRPr="00F416A7" w14:paraId="3DCFFB0A" w14:textId="77777777" w:rsidTr="00930EB8">
        <w:tblPrEx>
          <w:tblCellMar>
            <w:top w:w="0" w:type="dxa"/>
          </w:tblCellMar>
          <w:tblLook w:val="04A0" w:firstRow="1" w:lastRow="0" w:firstColumn="1" w:lastColumn="0" w:noHBand="0" w:noVBand="1"/>
        </w:tblPrEx>
        <w:trPr>
          <w:trHeight w:val="34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46DE08E2" w14:textId="77777777" w:rsidR="003D4893" w:rsidRPr="00F416A7" w:rsidRDefault="003D4893" w:rsidP="00587623">
            <w:pPr>
              <w:pStyle w:val="TableTextLeftAligned"/>
              <w:keepNext/>
              <w:spacing w:after="0"/>
              <w:rPr>
                <w:sz w:val="18"/>
                <w:szCs w:val="18"/>
              </w:rPr>
            </w:pPr>
            <w:r w:rsidRPr="00F416A7">
              <w:rPr>
                <w:sz w:val="18"/>
                <w:szCs w:val="18"/>
              </w:rPr>
              <w:t>Prosperity Super Growth</w:t>
            </w:r>
          </w:p>
        </w:tc>
        <w:tc>
          <w:tcPr>
            <w:tcW w:w="1560" w:type="dxa"/>
            <w:tcBorders>
              <w:top w:val="single" w:sz="4" w:space="0" w:color="auto"/>
              <w:bottom w:val="single" w:sz="4" w:space="0" w:color="auto"/>
            </w:tcBorders>
            <w:noWrap/>
            <w:vAlign w:val="center"/>
            <w:hideMark/>
          </w:tcPr>
          <w:p w14:paraId="4F078D95" w14:textId="77B86C3C" w:rsidR="003D4893" w:rsidRPr="00F416A7" w:rsidRDefault="004750EE"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Fair</w:t>
            </w:r>
          </w:p>
        </w:tc>
        <w:tc>
          <w:tcPr>
            <w:tcW w:w="992" w:type="dxa"/>
            <w:tcBorders>
              <w:top w:val="single" w:sz="4" w:space="0" w:color="auto"/>
              <w:bottom w:val="single" w:sz="4" w:space="0" w:color="auto"/>
            </w:tcBorders>
            <w:shd w:val="clear" w:color="auto" w:fill="auto"/>
            <w:noWrap/>
            <w:vAlign w:val="center"/>
            <w:hideMark/>
          </w:tcPr>
          <w:p w14:paraId="6FCF71E8" w14:textId="77777777" w:rsidR="003D4893" w:rsidRPr="00F416A7"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F416A7">
              <w:rPr>
                <w:sz w:val="18"/>
                <w:szCs w:val="18"/>
              </w:rPr>
              <w:t xml:space="preserve">720 </w:t>
            </w:r>
          </w:p>
        </w:tc>
        <w:tc>
          <w:tcPr>
            <w:tcW w:w="1276" w:type="dxa"/>
            <w:tcBorders>
              <w:top w:val="single" w:sz="4" w:space="0" w:color="auto"/>
              <w:bottom w:val="single" w:sz="4" w:space="0" w:color="auto"/>
            </w:tcBorders>
            <w:noWrap/>
            <w:vAlign w:val="center"/>
            <w:hideMark/>
          </w:tcPr>
          <w:p w14:paraId="0451B6E3" w14:textId="77777777" w:rsidR="003D4893" w:rsidRPr="00F416A7" w:rsidRDefault="003D4893" w:rsidP="00DD7BE2">
            <w:pPr>
              <w:pStyle w:val="TableTextLeftAligned"/>
              <w:keepNext/>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F416A7">
              <w:rPr>
                <w:sz w:val="18"/>
                <w:szCs w:val="18"/>
              </w:rPr>
              <w:t>7.9%</w:t>
            </w:r>
          </w:p>
        </w:tc>
        <w:tc>
          <w:tcPr>
            <w:tcW w:w="1275" w:type="dxa"/>
            <w:tcBorders>
              <w:top w:val="single" w:sz="4" w:space="0" w:color="auto"/>
              <w:left w:val="nil"/>
              <w:bottom w:val="single" w:sz="4" w:space="0" w:color="auto"/>
              <w:right w:val="nil"/>
            </w:tcBorders>
            <w:shd w:val="clear" w:color="auto" w:fill="auto"/>
            <w:vAlign w:val="center"/>
            <w:hideMark/>
          </w:tcPr>
          <w:p w14:paraId="4DE1E1A1" w14:textId="191907C2" w:rsidR="003D4893" w:rsidRPr="00F416A7"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21</w:t>
            </w:r>
          </w:p>
        </w:tc>
        <w:tc>
          <w:tcPr>
            <w:tcW w:w="1331" w:type="dxa"/>
            <w:tcBorders>
              <w:top w:val="single" w:sz="4" w:space="0" w:color="auto"/>
              <w:left w:val="nil"/>
              <w:bottom w:val="single" w:sz="4" w:space="0" w:color="auto"/>
              <w:right w:val="nil"/>
            </w:tcBorders>
            <w:noWrap/>
            <w:vAlign w:val="center"/>
            <w:hideMark/>
          </w:tcPr>
          <w:p w14:paraId="6D99BC0C" w14:textId="1641FD3C" w:rsidR="003D4893" w:rsidRPr="00F416A7" w:rsidRDefault="003D4893" w:rsidP="00587623">
            <w:pPr>
              <w:pStyle w:val="TableTextRightAligned"/>
              <w:keepNext/>
              <w:spacing w:after="0"/>
              <w:cnfStyle w:val="000000000000" w:firstRow="0" w:lastRow="0" w:firstColumn="0" w:lastColumn="0" w:oddVBand="0" w:evenVBand="0" w:oddHBand="0" w:evenHBand="0" w:firstRowFirstColumn="0" w:firstRowLastColumn="0" w:lastRowFirstColumn="0" w:lastRowLastColumn="0"/>
              <w:rPr>
                <w:sz w:val="18"/>
                <w:szCs w:val="18"/>
              </w:rPr>
            </w:pPr>
            <w:r w:rsidRPr="003D4893">
              <w:rPr>
                <w:sz w:val="18"/>
                <w:szCs w:val="18"/>
              </w:rPr>
              <w:t>3%</w:t>
            </w:r>
          </w:p>
        </w:tc>
      </w:tr>
    </w:tbl>
    <w:p w14:paraId="4352051D" w14:textId="47BF1BC3" w:rsidR="003D4893" w:rsidRDefault="003D4893" w:rsidP="00DD7BE2">
      <w:pPr>
        <w:rPr>
          <w:sz w:val="18"/>
        </w:rPr>
      </w:pPr>
      <w:r w:rsidRPr="00BE642E">
        <w:rPr>
          <w:sz w:val="18"/>
        </w:rPr>
        <w:t>Note</w:t>
      </w:r>
      <w:r>
        <w:rPr>
          <w:sz w:val="18"/>
        </w:rPr>
        <w:t xml:space="preserve">: n = 746. </w:t>
      </w:r>
      <w:r w:rsidRPr="00470442">
        <w:rPr>
          <w:sz w:val="18"/>
        </w:rPr>
        <w:t xml:space="preserve">Fund order in </w:t>
      </w:r>
      <w:r>
        <w:rPr>
          <w:sz w:val="18"/>
        </w:rPr>
        <w:t xml:space="preserve">this </w:t>
      </w:r>
      <w:r w:rsidRPr="00470442">
        <w:rPr>
          <w:sz w:val="18"/>
        </w:rPr>
        <w:t xml:space="preserve">table reflects the order they </w:t>
      </w:r>
      <w:r>
        <w:rPr>
          <w:sz w:val="18"/>
        </w:rPr>
        <w:t xml:space="preserve">were presented to participants </w:t>
      </w:r>
      <w:r w:rsidRPr="00470442">
        <w:rPr>
          <w:sz w:val="18"/>
        </w:rPr>
        <w:t xml:space="preserve">in </w:t>
      </w:r>
      <w:r>
        <w:rPr>
          <w:sz w:val="18"/>
        </w:rPr>
        <w:t>this experimental group</w:t>
      </w:r>
      <w:r w:rsidRPr="00470442">
        <w:rPr>
          <w:sz w:val="18"/>
        </w:rPr>
        <w:t xml:space="preserve">. </w:t>
      </w:r>
    </w:p>
    <w:p w14:paraId="35BE7567" w14:textId="7C0DD2B3" w:rsidR="00F92895" w:rsidRPr="009F3C0D" w:rsidRDefault="00F92895" w:rsidP="00BD20D5">
      <w:pPr>
        <w:pStyle w:val="HeadingTable"/>
        <w:spacing w:before="240" w:after="120"/>
        <w:ind w:left="357" w:hanging="357"/>
        <w:outlineLvl w:val="3"/>
      </w:pPr>
      <w:r>
        <w:lastRenderedPageBreak/>
        <w:t xml:space="preserve">Choice of </w:t>
      </w:r>
      <w:r w:rsidR="00196A75">
        <w:t xml:space="preserve">super product– </w:t>
      </w:r>
      <w:r>
        <w:t>Group C</w:t>
      </w:r>
      <w:r w:rsidR="00980265">
        <w:t xml:space="preserve"> (3 </w:t>
      </w:r>
      <w:r w:rsidR="00196A75">
        <w:t xml:space="preserve">performance </w:t>
      </w:r>
      <w:r w:rsidR="00980265">
        <w:t>categories, sorted)</w:t>
      </w:r>
    </w:p>
    <w:tbl>
      <w:tblPr>
        <w:tblStyle w:val="DefaultTable"/>
        <w:tblW w:w="8135" w:type="dxa"/>
        <w:tblLayout w:type="fixed"/>
        <w:tblCellMar>
          <w:top w:w="85" w:type="dxa"/>
        </w:tblCellMar>
        <w:tblLook w:val="0420" w:firstRow="1" w:lastRow="0" w:firstColumn="0" w:lastColumn="0" w:noHBand="0" w:noVBand="1"/>
        <w:tblCaption w:val="Table 1"/>
        <w:tblDescription w:val="Example table with Alt Text for accessibility"/>
      </w:tblPr>
      <w:tblGrid>
        <w:gridCol w:w="1701"/>
        <w:gridCol w:w="1560"/>
        <w:gridCol w:w="992"/>
        <w:gridCol w:w="1276"/>
        <w:gridCol w:w="1275"/>
        <w:gridCol w:w="1331"/>
      </w:tblGrid>
      <w:tr w:rsidR="00FE7B2F" w:rsidRPr="003212F5" w14:paraId="40543B96" w14:textId="77777777" w:rsidTr="007228E8">
        <w:trPr>
          <w:cnfStyle w:val="100000000000" w:firstRow="1" w:lastRow="0" w:firstColumn="0" w:lastColumn="0" w:oddVBand="0" w:evenVBand="0" w:oddHBand="0" w:evenHBand="0" w:firstRowFirstColumn="0" w:firstRowLastColumn="0" w:lastRowFirstColumn="0" w:lastRowLastColumn="0"/>
          <w:trHeight w:val="227"/>
          <w:tblHeader/>
        </w:trPr>
        <w:tc>
          <w:tcPr>
            <w:tcW w:w="1701" w:type="dxa"/>
            <w:tcBorders>
              <w:top w:val="nil"/>
              <w:bottom w:val="single" w:sz="18" w:space="0" w:color="142E3B" w:themeColor="accent6"/>
            </w:tcBorders>
            <w:shd w:val="clear" w:color="auto" w:fill="20B9A3" w:themeFill="accent1"/>
          </w:tcPr>
          <w:p w14:paraId="66AAC3F6" w14:textId="77777777" w:rsidR="00F92895" w:rsidRPr="003212F5" w:rsidRDefault="00F92895" w:rsidP="00196A75">
            <w:pPr>
              <w:pStyle w:val="TableHeading"/>
              <w:keepNext/>
              <w:keepLines/>
              <w:spacing w:after="0"/>
              <w:rPr>
                <w:sz w:val="20"/>
              </w:rPr>
            </w:pPr>
            <w:r>
              <w:rPr>
                <w:sz w:val="20"/>
              </w:rPr>
              <w:t>Fund</w:t>
            </w:r>
          </w:p>
        </w:tc>
        <w:tc>
          <w:tcPr>
            <w:tcW w:w="1560" w:type="dxa"/>
            <w:tcBorders>
              <w:top w:val="nil"/>
              <w:bottom w:val="single" w:sz="18" w:space="0" w:color="142E3B" w:themeColor="accent6"/>
            </w:tcBorders>
            <w:shd w:val="clear" w:color="auto" w:fill="20B9A3" w:themeFill="accent1"/>
          </w:tcPr>
          <w:p w14:paraId="402CA283" w14:textId="77777777" w:rsidR="00F92895" w:rsidRPr="003212F5" w:rsidRDefault="00F92895" w:rsidP="00196A75">
            <w:pPr>
              <w:pStyle w:val="TableHeading"/>
              <w:keepNext/>
              <w:keepLines/>
              <w:spacing w:after="0"/>
              <w:rPr>
                <w:sz w:val="20"/>
              </w:rPr>
            </w:pPr>
            <w:r>
              <w:rPr>
                <w:sz w:val="20"/>
              </w:rPr>
              <w:t>Performance</w:t>
            </w:r>
          </w:p>
        </w:tc>
        <w:tc>
          <w:tcPr>
            <w:tcW w:w="992" w:type="dxa"/>
            <w:tcBorders>
              <w:top w:val="nil"/>
              <w:bottom w:val="single" w:sz="18" w:space="0" w:color="142E3B" w:themeColor="accent6"/>
            </w:tcBorders>
            <w:shd w:val="clear" w:color="auto" w:fill="20B9A3" w:themeFill="accent1"/>
          </w:tcPr>
          <w:p w14:paraId="0B6355E2" w14:textId="77777777" w:rsidR="00F92895" w:rsidRPr="003212F5" w:rsidRDefault="00F92895" w:rsidP="00196A75">
            <w:pPr>
              <w:pStyle w:val="TableHeading"/>
              <w:keepNext/>
              <w:keepLines/>
              <w:spacing w:after="0"/>
              <w:jc w:val="right"/>
              <w:rPr>
                <w:sz w:val="20"/>
              </w:rPr>
            </w:pPr>
            <w:r>
              <w:rPr>
                <w:sz w:val="20"/>
              </w:rPr>
              <w:t>Fees</w:t>
            </w:r>
          </w:p>
        </w:tc>
        <w:tc>
          <w:tcPr>
            <w:tcW w:w="1276" w:type="dxa"/>
            <w:tcBorders>
              <w:top w:val="nil"/>
              <w:bottom w:val="single" w:sz="18" w:space="0" w:color="142E3B" w:themeColor="accent6"/>
            </w:tcBorders>
            <w:shd w:val="clear" w:color="auto" w:fill="20B9A3" w:themeFill="accent1"/>
          </w:tcPr>
          <w:p w14:paraId="7CE26DDA" w14:textId="77777777" w:rsidR="00F92895" w:rsidRPr="003212F5" w:rsidRDefault="00F92895" w:rsidP="00196A75">
            <w:pPr>
              <w:pStyle w:val="TableHeading"/>
              <w:keepNext/>
              <w:keepLines/>
              <w:spacing w:after="0"/>
              <w:jc w:val="right"/>
              <w:rPr>
                <w:sz w:val="20"/>
              </w:rPr>
            </w:pPr>
            <w:r>
              <w:rPr>
                <w:sz w:val="20"/>
              </w:rPr>
              <w:t>Net return</w:t>
            </w:r>
          </w:p>
        </w:tc>
        <w:tc>
          <w:tcPr>
            <w:tcW w:w="1275" w:type="dxa"/>
            <w:tcBorders>
              <w:top w:val="nil"/>
              <w:bottom w:val="single" w:sz="18" w:space="0" w:color="142E3B" w:themeColor="accent6"/>
            </w:tcBorders>
            <w:shd w:val="clear" w:color="auto" w:fill="20B9A3" w:themeFill="accent1"/>
          </w:tcPr>
          <w:p w14:paraId="159D5197" w14:textId="77777777" w:rsidR="00F92895" w:rsidRPr="003212F5" w:rsidRDefault="00F92895" w:rsidP="00196A75">
            <w:pPr>
              <w:pStyle w:val="TableHeading"/>
              <w:keepNext/>
              <w:keepLines/>
              <w:spacing w:after="0"/>
              <w:jc w:val="right"/>
              <w:rPr>
                <w:sz w:val="20"/>
              </w:rPr>
            </w:pPr>
            <w:r>
              <w:rPr>
                <w:sz w:val="20"/>
              </w:rPr>
              <w:t>Frequency</w:t>
            </w:r>
          </w:p>
        </w:tc>
        <w:tc>
          <w:tcPr>
            <w:tcW w:w="1331" w:type="dxa"/>
            <w:tcBorders>
              <w:top w:val="nil"/>
              <w:bottom w:val="single" w:sz="18" w:space="0" w:color="142E3B" w:themeColor="accent6"/>
            </w:tcBorders>
            <w:shd w:val="clear" w:color="auto" w:fill="20B9A3" w:themeFill="accent1"/>
          </w:tcPr>
          <w:p w14:paraId="4F4FB80A" w14:textId="77777777" w:rsidR="00F92895" w:rsidRPr="003212F5" w:rsidRDefault="00F92895" w:rsidP="00196A75">
            <w:pPr>
              <w:pStyle w:val="TableHeading"/>
              <w:keepNext/>
              <w:keepLines/>
              <w:spacing w:after="0"/>
              <w:jc w:val="right"/>
              <w:rPr>
                <w:sz w:val="20"/>
              </w:rPr>
            </w:pPr>
            <w:r>
              <w:rPr>
                <w:sz w:val="20"/>
              </w:rPr>
              <w:t>Percentage</w:t>
            </w:r>
          </w:p>
        </w:tc>
      </w:tr>
      <w:tr w:rsidR="0034146C" w:rsidRPr="003212F5" w14:paraId="522D1427" w14:textId="77777777" w:rsidTr="00196A75">
        <w:trPr>
          <w:trHeight w:val="20"/>
        </w:trPr>
        <w:tc>
          <w:tcPr>
            <w:tcW w:w="1701" w:type="dxa"/>
            <w:tcBorders>
              <w:top w:val="single" w:sz="18" w:space="0" w:color="142E3B" w:themeColor="accent6"/>
              <w:left w:val="nil"/>
              <w:bottom w:val="single" w:sz="4" w:space="0" w:color="auto"/>
              <w:right w:val="nil"/>
            </w:tcBorders>
            <w:shd w:val="clear" w:color="auto" w:fill="auto"/>
            <w:vAlign w:val="center"/>
          </w:tcPr>
          <w:p w14:paraId="7A7ECF2B" w14:textId="0857DDEB" w:rsidR="0034146C" w:rsidRPr="0034146C" w:rsidRDefault="0034146C" w:rsidP="00DD7BE2">
            <w:pPr>
              <w:pStyle w:val="TableTextLeftAligned"/>
              <w:keepNext/>
              <w:keepLines/>
              <w:spacing w:after="0"/>
              <w:rPr>
                <w:rFonts w:cstheme="minorHAnsi"/>
                <w:sz w:val="18"/>
                <w:szCs w:val="18"/>
              </w:rPr>
            </w:pPr>
            <w:r w:rsidRPr="0034146C">
              <w:rPr>
                <w:rFonts w:cstheme="minorHAnsi"/>
                <w:color w:val="000000"/>
                <w:sz w:val="18"/>
                <w:szCs w:val="18"/>
              </w:rPr>
              <w:t>Stability Super Balanced – your current fund</w:t>
            </w:r>
          </w:p>
        </w:tc>
        <w:tc>
          <w:tcPr>
            <w:tcW w:w="1560" w:type="dxa"/>
            <w:tcBorders>
              <w:top w:val="single" w:sz="18" w:space="0" w:color="142E3B" w:themeColor="accent6"/>
              <w:left w:val="nil"/>
              <w:bottom w:val="single" w:sz="4" w:space="0" w:color="auto"/>
              <w:right w:val="nil"/>
            </w:tcBorders>
            <w:vAlign w:val="center"/>
          </w:tcPr>
          <w:p w14:paraId="6DDE911D" w14:textId="665CFEAA" w:rsidR="0034146C" w:rsidRPr="0034146C" w:rsidRDefault="0034146C" w:rsidP="00DD7BE2">
            <w:pPr>
              <w:pStyle w:val="TableTextRightAligned"/>
              <w:keepNext/>
              <w:keepLines/>
              <w:spacing w:after="0"/>
              <w:rPr>
                <w:rFonts w:cstheme="minorHAnsi"/>
                <w:sz w:val="18"/>
                <w:szCs w:val="18"/>
              </w:rPr>
            </w:pPr>
            <w:r w:rsidRPr="0034146C">
              <w:rPr>
                <w:rFonts w:cstheme="minorHAnsi"/>
                <w:color w:val="000000"/>
                <w:sz w:val="18"/>
                <w:szCs w:val="18"/>
              </w:rPr>
              <w:t>Poor</w:t>
            </w:r>
          </w:p>
        </w:tc>
        <w:tc>
          <w:tcPr>
            <w:tcW w:w="992" w:type="dxa"/>
            <w:tcBorders>
              <w:top w:val="single" w:sz="18" w:space="0" w:color="142E3B" w:themeColor="accent6"/>
              <w:left w:val="nil"/>
              <w:bottom w:val="single" w:sz="4" w:space="0" w:color="auto"/>
              <w:right w:val="nil"/>
            </w:tcBorders>
            <w:shd w:val="clear" w:color="auto" w:fill="auto"/>
            <w:vAlign w:val="center"/>
          </w:tcPr>
          <w:p w14:paraId="0E720657" w14:textId="591F0A28" w:rsidR="0034146C" w:rsidRPr="0034146C" w:rsidRDefault="0034146C" w:rsidP="00DD7BE2">
            <w:pPr>
              <w:pStyle w:val="TableTextRightAligned"/>
              <w:keepNext/>
              <w:keepLines/>
              <w:spacing w:after="0"/>
              <w:rPr>
                <w:rFonts w:cstheme="minorHAnsi"/>
                <w:sz w:val="18"/>
                <w:szCs w:val="18"/>
              </w:rPr>
            </w:pPr>
            <w:r>
              <w:rPr>
                <w:rFonts w:cstheme="minorHAnsi"/>
                <w:color w:val="000000"/>
                <w:sz w:val="18"/>
                <w:szCs w:val="18"/>
              </w:rPr>
              <w:t xml:space="preserve"> $</w:t>
            </w:r>
            <w:r w:rsidRPr="0034146C">
              <w:rPr>
                <w:rFonts w:cstheme="minorHAnsi"/>
                <w:color w:val="000000"/>
                <w:sz w:val="18"/>
                <w:szCs w:val="18"/>
              </w:rPr>
              <w:t xml:space="preserve">892 </w:t>
            </w:r>
          </w:p>
        </w:tc>
        <w:tc>
          <w:tcPr>
            <w:tcW w:w="1276" w:type="dxa"/>
            <w:tcBorders>
              <w:top w:val="single" w:sz="18" w:space="0" w:color="142E3B" w:themeColor="accent6"/>
              <w:left w:val="nil"/>
              <w:bottom w:val="single" w:sz="4" w:space="0" w:color="auto"/>
              <w:right w:val="nil"/>
            </w:tcBorders>
            <w:vAlign w:val="center"/>
          </w:tcPr>
          <w:p w14:paraId="4769F45F" w14:textId="6B39F6BD" w:rsidR="0034146C" w:rsidRPr="0034146C" w:rsidRDefault="0034146C" w:rsidP="00DD7BE2">
            <w:pPr>
              <w:pStyle w:val="TableTextRightAligned"/>
              <w:keepNext/>
              <w:keepLines/>
              <w:spacing w:after="0"/>
              <w:rPr>
                <w:rFonts w:cstheme="minorHAnsi"/>
                <w:sz w:val="18"/>
                <w:szCs w:val="18"/>
              </w:rPr>
            </w:pPr>
            <w:r w:rsidRPr="0034146C">
              <w:rPr>
                <w:rFonts w:cstheme="minorHAnsi"/>
                <w:color w:val="000000"/>
                <w:sz w:val="18"/>
                <w:szCs w:val="18"/>
              </w:rPr>
              <w:t>6.5%</w:t>
            </w:r>
          </w:p>
        </w:tc>
        <w:tc>
          <w:tcPr>
            <w:tcW w:w="1275" w:type="dxa"/>
            <w:tcBorders>
              <w:top w:val="single" w:sz="18" w:space="0" w:color="142E3B" w:themeColor="accent6"/>
              <w:left w:val="nil"/>
              <w:bottom w:val="single" w:sz="4" w:space="0" w:color="auto"/>
              <w:right w:val="nil"/>
            </w:tcBorders>
            <w:shd w:val="clear" w:color="auto" w:fill="auto"/>
            <w:vAlign w:val="center"/>
          </w:tcPr>
          <w:p w14:paraId="46D0C644" w14:textId="1F0730D9" w:rsidR="0034146C" w:rsidRPr="0034146C" w:rsidRDefault="0034146C" w:rsidP="00DD7BE2">
            <w:pPr>
              <w:pStyle w:val="TableTextRightAligned"/>
              <w:keepNext/>
              <w:keepLines/>
              <w:spacing w:after="0"/>
              <w:rPr>
                <w:rFonts w:cstheme="minorHAnsi"/>
                <w:sz w:val="18"/>
                <w:szCs w:val="18"/>
              </w:rPr>
            </w:pPr>
            <w:r w:rsidRPr="0034146C">
              <w:rPr>
                <w:rFonts w:cstheme="minorHAnsi"/>
                <w:color w:val="000000"/>
                <w:sz w:val="18"/>
                <w:szCs w:val="18"/>
              </w:rPr>
              <w:t>94</w:t>
            </w:r>
          </w:p>
        </w:tc>
        <w:tc>
          <w:tcPr>
            <w:tcW w:w="1331" w:type="dxa"/>
            <w:tcBorders>
              <w:top w:val="single" w:sz="18" w:space="0" w:color="142E3B" w:themeColor="accent6"/>
              <w:left w:val="nil"/>
              <w:bottom w:val="single" w:sz="4" w:space="0" w:color="auto"/>
              <w:right w:val="nil"/>
            </w:tcBorders>
            <w:vAlign w:val="center"/>
          </w:tcPr>
          <w:p w14:paraId="5252EBCE" w14:textId="2CB10773" w:rsidR="0034146C" w:rsidRPr="0034146C" w:rsidRDefault="0034146C" w:rsidP="00DD7BE2">
            <w:pPr>
              <w:pStyle w:val="TableTextRightAligned"/>
              <w:keepNext/>
              <w:keepLines/>
              <w:spacing w:after="0"/>
              <w:rPr>
                <w:rFonts w:cstheme="minorHAnsi"/>
                <w:sz w:val="18"/>
                <w:szCs w:val="18"/>
              </w:rPr>
            </w:pPr>
            <w:r w:rsidRPr="0034146C">
              <w:rPr>
                <w:rFonts w:cstheme="minorHAnsi"/>
                <w:color w:val="000000"/>
                <w:sz w:val="18"/>
                <w:szCs w:val="18"/>
              </w:rPr>
              <w:t>13%</w:t>
            </w:r>
          </w:p>
        </w:tc>
      </w:tr>
      <w:tr w:rsidR="0034146C" w:rsidRPr="003212F5" w14:paraId="48DD126A" w14:textId="77777777" w:rsidTr="00196A75">
        <w:trPr>
          <w:trHeight w:val="20"/>
        </w:trPr>
        <w:tc>
          <w:tcPr>
            <w:tcW w:w="1701" w:type="dxa"/>
            <w:tcBorders>
              <w:top w:val="single" w:sz="4" w:space="0" w:color="auto"/>
              <w:left w:val="nil"/>
              <w:bottom w:val="single" w:sz="4" w:space="0" w:color="auto"/>
              <w:right w:val="nil"/>
            </w:tcBorders>
            <w:shd w:val="clear" w:color="auto" w:fill="auto"/>
            <w:vAlign w:val="center"/>
          </w:tcPr>
          <w:p w14:paraId="266AFF9A" w14:textId="6BECBB01" w:rsidR="0034146C" w:rsidRPr="0034146C" w:rsidRDefault="0034146C" w:rsidP="00DD7BE2">
            <w:pPr>
              <w:pStyle w:val="TableTextLeftAligned"/>
              <w:keepNext/>
              <w:keepLines/>
              <w:spacing w:after="0"/>
              <w:rPr>
                <w:rFonts w:cstheme="minorHAnsi"/>
                <w:sz w:val="18"/>
                <w:szCs w:val="18"/>
              </w:rPr>
            </w:pPr>
            <w:r w:rsidRPr="0034146C">
              <w:rPr>
                <w:rFonts w:cstheme="minorHAnsi"/>
                <w:bCs/>
                <w:color w:val="000000"/>
                <w:sz w:val="18"/>
                <w:szCs w:val="18"/>
              </w:rPr>
              <w:t>Enlightenment Super Growth</w:t>
            </w:r>
          </w:p>
        </w:tc>
        <w:tc>
          <w:tcPr>
            <w:tcW w:w="1560" w:type="dxa"/>
            <w:tcBorders>
              <w:top w:val="single" w:sz="4" w:space="0" w:color="auto"/>
              <w:left w:val="nil"/>
              <w:bottom w:val="single" w:sz="4" w:space="0" w:color="auto"/>
              <w:right w:val="nil"/>
            </w:tcBorders>
            <w:vAlign w:val="center"/>
          </w:tcPr>
          <w:p w14:paraId="71DC6BD8" w14:textId="65D522F6"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Top</w:t>
            </w:r>
          </w:p>
        </w:tc>
        <w:tc>
          <w:tcPr>
            <w:tcW w:w="992" w:type="dxa"/>
            <w:tcBorders>
              <w:top w:val="single" w:sz="4" w:space="0" w:color="auto"/>
              <w:left w:val="nil"/>
              <w:bottom w:val="single" w:sz="4" w:space="0" w:color="auto"/>
              <w:right w:val="nil"/>
            </w:tcBorders>
            <w:shd w:val="clear" w:color="auto" w:fill="auto"/>
            <w:vAlign w:val="center"/>
          </w:tcPr>
          <w:p w14:paraId="30222073" w14:textId="3FEEA113"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 xml:space="preserve"> $787 </w:t>
            </w:r>
          </w:p>
        </w:tc>
        <w:tc>
          <w:tcPr>
            <w:tcW w:w="1276" w:type="dxa"/>
            <w:tcBorders>
              <w:top w:val="single" w:sz="4" w:space="0" w:color="auto"/>
              <w:left w:val="nil"/>
              <w:bottom w:val="single" w:sz="4" w:space="0" w:color="auto"/>
              <w:right w:val="nil"/>
            </w:tcBorders>
            <w:vAlign w:val="center"/>
          </w:tcPr>
          <w:p w14:paraId="2843B3AC" w14:textId="16045C8D"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8.7%</w:t>
            </w:r>
          </w:p>
        </w:tc>
        <w:tc>
          <w:tcPr>
            <w:tcW w:w="1275" w:type="dxa"/>
            <w:tcBorders>
              <w:top w:val="single" w:sz="4" w:space="0" w:color="auto"/>
              <w:left w:val="nil"/>
              <w:bottom w:val="single" w:sz="4" w:space="0" w:color="auto"/>
              <w:right w:val="nil"/>
            </w:tcBorders>
            <w:shd w:val="clear" w:color="auto" w:fill="auto"/>
            <w:vAlign w:val="center"/>
          </w:tcPr>
          <w:p w14:paraId="4850836F" w14:textId="23360E33"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91</w:t>
            </w:r>
          </w:p>
        </w:tc>
        <w:tc>
          <w:tcPr>
            <w:tcW w:w="1331" w:type="dxa"/>
            <w:tcBorders>
              <w:top w:val="single" w:sz="4" w:space="0" w:color="auto"/>
              <w:left w:val="nil"/>
              <w:bottom w:val="single" w:sz="4" w:space="0" w:color="auto"/>
              <w:right w:val="nil"/>
            </w:tcBorders>
            <w:vAlign w:val="center"/>
          </w:tcPr>
          <w:p w14:paraId="53CF0AC5" w14:textId="77FCDA60"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12%</w:t>
            </w:r>
          </w:p>
        </w:tc>
      </w:tr>
      <w:tr w:rsidR="0034146C" w:rsidRPr="003212F5" w14:paraId="7266B87B" w14:textId="77777777" w:rsidTr="00196A75">
        <w:trPr>
          <w:trHeight w:val="20"/>
        </w:trPr>
        <w:tc>
          <w:tcPr>
            <w:tcW w:w="1701" w:type="dxa"/>
            <w:tcBorders>
              <w:top w:val="single" w:sz="4" w:space="0" w:color="auto"/>
              <w:left w:val="nil"/>
              <w:bottom w:val="single" w:sz="4" w:space="0" w:color="auto"/>
              <w:right w:val="nil"/>
            </w:tcBorders>
            <w:shd w:val="clear" w:color="auto" w:fill="auto"/>
            <w:vAlign w:val="center"/>
          </w:tcPr>
          <w:p w14:paraId="64184718" w14:textId="0B3F8843" w:rsidR="0034146C" w:rsidRPr="0034146C" w:rsidRDefault="0034146C" w:rsidP="00DD7BE2">
            <w:pPr>
              <w:pStyle w:val="TableTextLeftAligned"/>
              <w:keepNext/>
              <w:keepLines/>
              <w:spacing w:after="0"/>
              <w:rPr>
                <w:rFonts w:cstheme="minorHAnsi"/>
                <w:sz w:val="18"/>
                <w:szCs w:val="18"/>
              </w:rPr>
            </w:pPr>
            <w:r w:rsidRPr="0034146C">
              <w:rPr>
                <w:rFonts w:cstheme="minorHAnsi"/>
                <w:bCs/>
                <w:color w:val="000000"/>
                <w:sz w:val="18"/>
                <w:szCs w:val="18"/>
              </w:rPr>
              <w:t>SafeInvest Super Growth</w:t>
            </w:r>
          </w:p>
        </w:tc>
        <w:tc>
          <w:tcPr>
            <w:tcW w:w="1560" w:type="dxa"/>
            <w:tcBorders>
              <w:top w:val="single" w:sz="4" w:space="0" w:color="auto"/>
              <w:left w:val="nil"/>
              <w:bottom w:val="single" w:sz="4" w:space="0" w:color="auto"/>
              <w:right w:val="nil"/>
            </w:tcBorders>
            <w:vAlign w:val="center"/>
          </w:tcPr>
          <w:p w14:paraId="126C54B7" w14:textId="04BE4C02"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Top</w:t>
            </w:r>
          </w:p>
        </w:tc>
        <w:tc>
          <w:tcPr>
            <w:tcW w:w="992" w:type="dxa"/>
            <w:tcBorders>
              <w:top w:val="single" w:sz="4" w:space="0" w:color="auto"/>
              <w:left w:val="nil"/>
              <w:bottom w:val="single" w:sz="4" w:space="0" w:color="auto"/>
              <w:right w:val="nil"/>
            </w:tcBorders>
            <w:shd w:val="clear" w:color="auto" w:fill="auto"/>
            <w:vAlign w:val="center"/>
          </w:tcPr>
          <w:p w14:paraId="60FAA0A8" w14:textId="65A67FD7" w:rsidR="0034146C" w:rsidRPr="0034146C" w:rsidRDefault="0034146C" w:rsidP="00DD7BE2">
            <w:pPr>
              <w:pStyle w:val="TableTextRightAligned"/>
              <w:keepNext/>
              <w:keepLines/>
              <w:spacing w:after="0"/>
              <w:rPr>
                <w:rFonts w:cstheme="minorHAnsi"/>
                <w:sz w:val="18"/>
                <w:szCs w:val="18"/>
              </w:rPr>
            </w:pPr>
            <w:r>
              <w:rPr>
                <w:rFonts w:cstheme="minorHAnsi"/>
                <w:bCs/>
                <w:color w:val="000000"/>
                <w:sz w:val="18"/>
                <w:szCs w:val="18"/>
              </w:rPr>
              <w:t xml:space="preserve"> $</w:t>
            </w:r>
            <w:r w:rsidRPr="0034146C">
              <w:rPr>
                <w:rFonts w:cstheme="minorHAnsi"/>
                <w:bCs/>
                <w:color w:val="000000"/>
                <w:sz w:val="18"/>
                <w:szCs w:val="18"/>
              </w:rPr>
              <w:t xml:space="preserve">680 </w:t>
            </w:r>
          </w:p>
        </w:tc>
        <w:tc>
          <w:tcPr>
            <w:tcW w:w="1276" w:type="dxa"/>
            <w:tcBorders>
              <w:top w:val="single" w:sz="4" w:space="0" w:color="auto"/>
              <w:left w:val="nil"/>
              <w:bottom w:val="single" w:sz="4" w:space="0" w:color="auto"/>
              <w:right w:val="nil"/>
            </w:tcBorders>
            <w:vAlign w:val="center"/>
          </w:tcPr>
          <w:p w14:paraId="09F2455F" w14:textId="6944256D"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8.5%</w:t>
            </w:r>
          </w:p>
        </w:tc>
        <w:tc>
          <w:tcPr>
            <w:tcW w:w="1275" w:type="dxa"/>
            <w:tcBorders>
              <w:top w:val="single" w:sz="4" w:space="0" w:color="auto"/>
              <w:left w:val="nil"/>
              <w:bottom w:val="single" w:sz="4" w:space="0" w:color="auto"/>
              <w:right w:val="nil"/>
            </w:tcBorders>
            <w:shd w:val="clear" w:color="auto" w:fill="auto"/>
            <w:vAlign w:val="center"/>
          </w:tcPr>
          <w:p w14:paraId="2E5BF60D" w14:textId="5C836357"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199</w:t>
            </w:r>
          </w:p>
        </w:tc>
        <w:tc>
          <w:tcPr>
            <w:tcW w:w="1331" w:type="dxa"/>
            <w:tcBorders>
              <w:top w:val="single" w:sz="4" w:space="0" w:color="auto"/>
              <w:left w:val="nil"/>
              <w:bottom w:val="single" w:sz="4" w:space="0" w:color="auto"/>
              <w:right w:val="nil"/>
            </w:tcBorders>
            <w:vAlign w:val="center"/>
          </w:tcPr>
          <w:p w14:paraId="18FB0E77" w14:textId="4AB3A1E1"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27%</w:t>
            </w:r>
          </w:p>
        </w:tc>
      </w:tr>
      <w:tr w:rsidR="0034146C" w:rsidRPr="003212F5" w14:paraId="1AF85A82" w14:textId="77777777" w:rsidTr="00196A75">
        <w:trPr>
          <w:trHeight w:val="20"/>
        </w:trPr>
        <w:tc>
          <w:tcPr>
            <w:tcW w:w="1701" w:type="dxa"/>
            <w:tcBorders>
              <w:top w:val="single" w:sz="4" w:space="0" w:color="auto"/>
              <w:left w:val="nil"/>
              <w:bottom w:val="single" w:sz="4" w:space="0" w:color="auto"/>
              <w:right w:val="nil"/>
            </w:tcBorders>
            <w:shd w:val="clear" w:color="auto" w:fill="auto"/>
            <w:vAlign w:val="center"/>
          </w:tcPr>
          <w:p w14:paraId="69C02AEF" w14:textId="4A29420A" w:rsidR="0034146C" w:rsidRPr="0034146C" w:rsidRDefault="0034146C" w:rsidP="00DD7BE2">
            <w:pPr>
              <w:pStyle w:val="TableTextLeftAligned"/>
              <w:keepNext/>
              <w:keepLines/>
              <w:spacing w:after="0"/>
              <w:rPr>
                <w:rFonts w:cstheme="minorHAnsi"/>
                <w:sz w:val="18"/>
                <w:szCs w:val="18"/>
              </w:rPr>
            </w:pPr>
            <w:r w:rsidRPr="0034146C">
              <w:rPr>
                <w:rFonts w:cstheme="minorHAnsi"/>
                <w:bCs/>
                <w:color w:val="000000"/>
                <w:sz w:val="18"/>
                <w:szCs w:val="18"/>
              </w:rPr>
              <w:t>Astute Super Growth</w:t>
            </w:r>
          </w:p>
        </w:tc>
        <w:tc>
          <w:tcPr>
            <w:tcW w:w="1560" w:type="dxa"/>
            <w:tcBorders>
              <w:top w:val="single" w:sz="4" w:space="0" w:color="auto"/>
              <w:left w:val="nil"/>
              <w:bottom w:val="single" w:sz="4" w:space="0" w:color="auto"/>
              <w:right w:val="nil"/>
            </w:tcBorders>
            <w:vAlign w:val="center"/>
          </w:tcPr>
          <w:p w14:paraId="0C3C1487" w14:textId="7DF222E7"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Top</w:t>
            </w:r>
          </w:p>
        </w:tc>
        <w:tc>
          <w:tcPr>
            <w:tcW w:w="992" w:type="dxa"/>
            <w:tcBorders>
              <w:top w:val="single" w:sz="4" w:space="0" w:color="auto"/>
              <w:left w:val="nil"/>
              <w:bottom w:val="single" w:sz="4" w:space="0" w:color="auto"/>
              <w:right w:val="nil"/>
            </w:tcBorders>
            <w:shd w:val="clear" w:color="auto" w:fill="auto"/>
            <w:vAlign w:val="center"/>
          </w:tcPr>
          <w:p w14:paraId="77EC42A0" w14:textId="7B93B93C"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 xml:space="preserve"> $840 </w:t>
            </w:r>
          </w:p>
        </w:tc>
        <w:tc>
          <w:tcPr>
            <w:tcW w:w="1276" w:type="dxa"/>
            <w:tcBorders>
              <w:top w:val="single" w:sz="4" w:space="0" w:color="auto"/>
              <w:left w:val="nil"/>
              <w:bottom w:val="single" w:sz="4" w:space="0" w:color="auto"/>
              <w:right w:val="nil"/>
            </w:tcBorders>
            <w:vAlign w:val="center"/>
          </w:tcPr>
          <w:p w14:paraId="3DC4EE2F" w14:textId="5EF4C7E7"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8.9%</w:t>
            </w:r>
          </w:p>
        </w:tc>
        <w:tc>
          <w:tcPr>
            <w:tcW w:w="1275" w:type="dxa"/>
            <w:tcBorders>
              <w:top w:val="single" w:sz="4" w:space="0" w:color="auto"/>
              <w:left w:val="nil"/>
              <w:bottom w:val="single" w:sz="4" w:space="0" w:color="auto"/>
              <w:right w:val="nil"/>
            </w:tcBorders>
            <w:shd w:val="clear" w:color="auto" w:fill="auto"/>
            <w:vAlign w:val="center"/>
          </w:tcPr>
          <w:p w14:paraId="46F256DE" w14:textId="4591F99F"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158</w:t>
            </w:r>
          </w:p>
        </w:tc>
        <w:tc>
          <w:tcPr>
            <w:tcW w:w="1331" w:type="dxa"/>
            <w:tcBorders>
              <w:top w:val="single" w:sz="4" w:space="0" w:color="auto"/>
              <w:left w:val="nil"/>
              <w:bottom w:val="single" w:sz="4" w:space="0" w:color="auto"/>
              <w:right w:val="nil"/>
            </w:tcBorders>
            <w:vAlign w:val="center"/>
          </w:tcPr>
          <w:p w14:paraId="59FB5BA9" w14:textId="15E9705C" w:rsidR="0034146C" w:rsidRPr="0034146C" w:rsidRDefault="0034146C" w:rsidP="00DD7BE2">
            <w:pPr>
              <w:pStyle w:val="TableTextRightAligned"/>
              <w:keepNext/>
              <w:keepLines/>
              <w:spacing w:after="0"/>
              <w:rPr>
                <w:rFonts w:cstheme="minorHAnsi"/>
                <w:sz w:val="18"/>
                <w:szCs w:val="18"/>
              </w:rPr>
            </w:pPr>
            <w:r w:rsidRPr="0034146C">
              <w:rPr>
                <w:rFonts w:cstheme="minorHAnsi"/>
                <w:bCs/>
                <w:color w:val="000000"/>
                <w:sz w:val="18"/>
                <w:szCs w:val="18"/>
              </w:rPr>
              <w:t>21%</w:t>
            </w:r>
          </w:p>
        </w:tc>
      </w:tr>
      <w:tr w:rsidR="0034146C" w:rsidRPr="003212F5" w14:paraId="47E6F127" w14:textId="77777777" w:rsidTr="00196A75">
        <w:trPr>
          <w:trHeight w:val="20"/>
        </w:trPr>
        <w:tc>
          <w:tcPr>
            <w:tcW w:w="1701" w:type="dxa"/>
            <w:tcBorders>
              <w:top w:val="single" w:sz="4" w:space="0" w:color="auto"/>
              <w:left w:val="nil"/>
              <w:bottom w:val="single" w:sz="4" w:space="0" w:color="auto"/>
              <w:right w:val="nil"/>
            </w:tcBorders>
            <w:shd w:val="clear" w:color="auto" w:fill="auto"/>
            <w:vAlign w:val="center"/>
          </w:tcPr>
          <w:p w14:paraId="44B4E739" w14:textId="7FFB3088" w:rsidR="0034146C" w:rsidRPr="0034146C" w:rsidRDefault="0034146C" w:rsidP="00DD7BE2">
            <w:pPr>
              <w:pStyle w:val="TableTextLeftAligned"/>
              <w:keepNext/>
              <w:keepLines/>
              <w:spacing w:after="0"/>
              <w:rPr>
                <w:rFonts w:cstheme="minorHAnsi"/>
                <w:sz w:val="18"/>
                <w:szCs w:val="18"/>
              </w:rPr>
            </w:pPr>
            <w:r w:rsidRPr="0034146C">
              <w:rPr>
                <w:rFonts w:cstheme="minorHAnsi"/>
                <w:color w:val="000000"/>
                <w:sz w:val="18"/>
                <w:szCs w:val="18"/>
              </w:rPr>
              <w:t>Acumen Super Growth</w:t>
            </w:r>
          </w:p>
        </w:tc>
        <w:tc>
          <w:tcPr>
            <w:tcW w:w="1560" w:type="dxa"/>
            <w:tcBorders>
              <w:top w:val="single" w:sz="4" w:space="0" w:color="auto"/>
              <w:left w:val="nil"/>
              <w:bottom w:val="single" w:sz="4" w:space="0" w:color="auto"/>
              <w:right w:val="nil"/>
            </w:tcBorders>
            <w:vAlign w:val="center"/>
          </w:tcPr>
          <w:p w14:paraId="6B173FCF" w14:textId="282DEC9D" w:rsidR="0034146C" w:rsidRPr="0034146C" w:rsidRDefault="0034146C" w:rsidP="00DD7BE2">
            <w:pPr>
              <w:pStyle w:val="TableTextRightAligned"/>
              <w:keepNext/>
              <w:keepLines/>
              <w:spacing w:after="0"/>
              <w:rPr>
                <w:rFonts w:cstheme="minorHAnsi"/>
                <w:sz w:val="18"/>
                <w:szCs w:val="18"/>
              </w:rPr>
            </w:pPr>
            <w:r w:rsidRPr="0034146C">
              <w:rPr>
                <w:rFonts w:cstheme="minorHAnsi"/>
                <w:color w:val="000000"/>
                <w:sz w:val="18"/>
                <w:szCs w:val="18"/>
              </w:rPr>
              <w:t>Fair</w:t>
            </w:r>
          </w:p>
        </w:tc>
        <w:tc>
          <w:tcPr>
            <w:tcW w:w="992" w:type="dxa"/>
            <w:tcBorders>
              <w:top w:val="single" w:sz="4" w:space="0" w:color="auto"/>
              <w:left w:val="nil"/>
              <w:bottom w:val="single" w:sz="4" w:space="0" w:color="auto"/>
              <w:right w:val="nil"/>
            </w:tcBorders>
            <w:shd w:val="clear" w:color="auto" w:fill="auto"/>
            <w:vAlign w:val="center"/>
          </w:tcPr>
          <w:p w14:paraId="75F7DAB0" w14:textId="6430219D" w:rsidR="0034146C" w:rsidRPr="0034146C" w:rsidRDefault="0034146C" w:rsidP="00DD7BE2">
            <w:pPr>
              <w:pStyle w:val="TableTextRightAligned"/>
              <w:keepNext/>
              <w:keepLines/>
              <w:spacing w:after="0"/>
              <w:rPr>
                <w:rFonts w:cstheme="minorHAnsi"/>
                <w:sz w:val="18"/>
                <w:szCs w:val="18"/>
              </w:rPr>
            </w:pPr>
            <w:r w:rsidRPr="0034146C">
              <w:rPr>
                <w:rFonts w:cstheme="minorHAnsi"/>
                <w:color w:val="000000"/>
                <w:sz w:val="18"/>
                <w:szCs w:val="18"/>
              </w:rPr>
              <w:t xml:space="preserve"> $501 </w:t>
            </w:r>
          </w:p>
        </w:tc>
        <w:tc>
          <w:tcPr>
            <w:tcW w:w="1276" w:type="dxa"/>
            <w:tcBorders>
              <w:top w:val="single" w:sz="4" w:space="0" w:color="auto"/>
              <w:left w:val="nil"/>
              <w:bottom w:val="single" w:sz="4" w:space="0" w:color="auto"/>
              <w:right w:val="nil"/>
            </w:tcBorders>
            <w:vAlign w:val="center"/>
          </w:tcPr>
          <w:p w14:paraId="408D80C2" w14:textId="2763C157" w:rsidR="0034146C" w:rsidRPr="0034146C" w:rsidRDefault="0034146C" w:rsidP="00DD7BE2">
            <w:pPr>
              <w:pStyle w:val="TableTextRightAligned"/>
              <w:keepNext/>
              <w:keepLines/>
              <w:spacing w:after="0"/>
              <w:rPr>
                <w:rFonts w:cstheme="minorHAnsi"/>
                <w:sz w:val="18"/>
                <w:szCs w:val="18"/>
              </w:rPr>
            </w:pPr>
            <w:r w:rsidRPr="0034146C">
              <w:rPr>
                <w:rFonts w:cstheme="minorHAnsi"/>
                <w:color w:val="000000"/>
                <w:sz w:val="18"/>
                <w:szCs w:val="18"/>
              </w:rPr>
              <w:t>8.2%</w:t>
            </w:r>
          </w:p>
        </w:tc>
        <w:tc>
          <w:tcPr>
            <w:tcW w:w="1275" w:type="dxa"/>
            <w:tcBorders>
              <w:top w:val="single" w:sz="4" w:space="0" w:color="auto"/>
              <w:left w:val="nil"/>
              <w:bottom w:val="single" w:sz="4" w:space="0" w:color="auto"/>
              <w:right w:val="nil"/>
            </w:tcBorders>
            <w:shd w:val="clear" w:color="auto" w:fill="auto"/>
            <w:vAlign w:val="center"/>
          </w:tcPr>
          <w:p w14:paraId="0F915ED5" w14:textId="5B1B5D33" w:rsidR="0034146C" w:rsidRPr="0034146C" w:rsidRDefault="0034146C" w:rsidP="00DD7BE2">
            <w:pPr>
              <w:pStyle w:val="TableTextRightAligned"/>
              <w:keepNext/>
              <w:keepLines/>
              <w:spacing w:after="0"/>
              <w:rPr>
                <w:rFonts w:cstheme="minorHAnsi"/>
                <w:sz w:val="18"/>
                <w:szCs w:val="18"/>
              </w:rPr>
            </w:pPr>
            <w:r w:rsidRPr="0034146C">
              <w:rPr>
                <w:rFonts w:cstheme="minorHAnsi"/>
                <w:color w:val="000000"/>
                <w:sz w:val="18"/>
                <w:szCs w:val="18"/>
              </w:rPr>
              <w:t>96</w:t>
            </w:r>
          </w:p>
        </w:tc>
        <w:tc>
          <w:tcPr>
            <w:tcW w:w="1331" w:type="dxa"/>
            <w:tcBorders>
              <w:top w:val="single" w:sz="4" w:space="0" w:color="auto"/>
              <w:left w:val="nil"/>
              <w:bottom w:val="single" w:sz="4" w:space="0" w:color="auto"/>
              <w:right w:val="nil"/>
            </w:tcBorders>
            <w:vAlign w:val="center"/>
          </w:tcPr>
          <w:p w14:paraId="56EFC860" w14:textId="1D73BB28" w:rsidR="0034146C" w:rsidRPr="0034146C" w:rsidRDefault="0034146C" w:rsidP="00DD7BE2">
            <w:pPr>
              <w:pStyle w:val="TableTextRightAligned"/>
              <w:keepNext/>
              <w:keepLines/>
              <w:spacing w:after="0"/>
              <w:rPr>
                <w:rFonts w:cstheme="minorHAnsi"/>
                <w:sz w:val="18"/>
                <w:szCs w:val="18"/>
              </w:rPr>
            </w:pPr>
            <w:r w:rsidRPr="0034146C">
              <w:rPr>
                <w:rFonts w:cstheme="minorHAnsi"/>
                <w:color w:val="000000"/>
                <w:sz w:val="18"/>
                <w:szCs w:val="18"/>
              </w:rPr>
              <w:t>13%</w:t>
            </w:r>
          </w:p>
        </w:tc>
      </w:tr>
      <w:tr w:rsidR="0034146C" w:rsidRPr="000369CB" w14:paraId="4EF0091B" w14:textId="77777777" w:rsidTr="00196A75">
        <w:tblPrEx>
          <w:tblCellMar>
            <w:top w:w="0" w:type="dxa"/>
          </w:tblCellMar>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vAlign w:val="center"/>
            <w:hideMark/>
          </w:tcPr>
          <w:p w14:paraId="01BE3CB0" w14:textId="4F16658B" w:rsidR="0034146C" w:rsidRPr="000369CB" w:rsidRDefault="0034146C" w:rsidP="00DD7BE2">
            <w:pPr>
              <w:pStyle w:val="TableTextLeftAligned"/>
              <w:keepNext/>
              <w:keepLines/>
              <w:spacing w:after="0"/>
              <w:rPr>
                <w:rFonts w:cstheme="minorHAnsi"/>
                <w:sz w:val="18"/>
                <w:szCs w:val="18"/>
              </w:rPr>
            </w:pPr>
            <w:r w:rsidRPr="0034146C">
              <w:rPr>
                <w:rFonts w:cstheme="minorHAnsi"/>
                <w:color w:val="000000"/>
                <w:sz w:val="18"/>
                <w:szCs w:val="18"/>
              </w:rPr>
              <w:t>Maturity Super Growth</w:t>
            </w:r>
          </w:p>
        </w:tc>
        <w:tc>
          <w:tcPr>
            <w:tcW w:w="1560" w:type="dxa"/>
            <w:tcBorders>
              <w:top w:val="single" w:sz="4" w:space="0" w:color="auto"/>
              <w:left w:val="nil"/>
              <w:bottom w:val="single" w:sz="4" w:space="0" w:color="auto"/>
              <w:right w:val="nil"/>
            </w:tcBorders>
            <w:noWrap/>
            <w:vAlign w:val="center"/>
            <w:hideMark/>
          </w:tcPr>
          <w:p w14:paraId="7A2AE567" w14:textId="715EC2C6"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Fair</w:t>
            </w:r>
          </w:p>
        </w:tc>
        <w:tc>
          <w:tcPr>
            <w:tcW w:w="992" w:type="dxa"/>
            <w:tcBorders>
              <w:top w:val="single" w:sz="4" w:space="0" w:color="auto"/>
              <w:left w:val="nil"/>
              <w:bottom w:val="single" w:sz="4" w:space="0" w:color="auto"/>
              <w:right w:val="nil"/>
            </w:tcBorders>
            <w:shd w:val="clear" w:color="auto" w:fill="auto"/>
            <w:noWrap/>
            <w:vAlign w:val="center"/>
            <w:hideMark/>
          </w:tcPr>
          <w:p w14:paraId="5AAFACD6" w14:textId="2A5D0D03"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 xml:space="preserve"> $877 </w:t>
            </w:r>
          </w:p>
        </w:tc>
        <w:tc>
          <w:tcPr>
            <w:tcW w:w="1276" w:type="dxa"/>
            <w:tcBorders>
              <w:top w:val="single" w:sz="4" w:space="0" w:color="auto"/>
              <w:left w:val="nil"/>
              <w:bottom w:val="single" w:sz="4" w:space="0" w:color="auto"/>
              <w:right w:val="nil"/>
            </w:tcBorders>
            <w:noWrap/>
            <w:vAlign w:val="center"/>
            <w:hideMark/>
          </w:tcPr>
          <w:p w14:paraId="2086676F" w14:textId="1CFDD560"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8.2%</w:t>
            </w:r>
          </w:p>
        </w:tc>
        <w:tc>
          <w:tcPr>
            <w:tcW w:w="1275" w:type="dxa"/>
            <w:tcBorders>
              <w:top w:val="single" w:sz="4" w:space="0" w:color="auto"/>
              <w:left w:val="nil"/>
              <w:bottom w:val="single" w:sz="4" w:space="0" w:color="auto"/>
              <w:right w:val="nil"/>
            </w:tcBorders>
            <w:shd w:val="clear" w:color="auto" w:fill="auto"/>
            <w:vAlign w:val="center"/>
            <w:hideMark/>
          </w:tcPr>
          <w:p w14:paraId="5F3AD10F" w14:textId="0E4C832A" w:rsidR="0034146C" w:rsidRPr="000369CB"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28</w:t>
            </w:r>
          </w:p>
        </w:tc>
        <w:tc>
          <w:tcPr>
            <w:tcW w:w="1331" w:type="dxa"/>
            <w:tcBorders>
              <w:top w:val="single" w:sz="4" w:space="0" w:color="auto"/>
              <w:left w:val="nil"/>
              <w:bottom w:val="single" w:sz="4" w:space="0" w:color="auto"/>
              <w:right w:val="nil"/>
            </w:tcBorders>
            <w:noWrap/>
            <w:vAlign w:val="center"/>
            <w:hideMark/>
          </w:tcPr>
          <w:p w14:paraId="6E730E14" w14:textId="3595EA17" w:rsidR="0034146C" w:rsidRPr="000369CB"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4%</w:t>
            </w:r>
          </w:p>
        </w:tc>
      </w:tr>
      <w:tr w:rsidR="0034146C" w:rsidRPr="000369CB" w14:paraId="7351043E" w14:textId="77777777" w:rsidTr="00196A75">
        <w:tblPrEx>
          <w:tblCellMar>
            <w:top w:w="0" w:type="dxa"/>
          </w:tblCellMar>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vAlign w:val="center"/>
            <w:hideMark/>
          </w:tcPr>
          <w:p w14:paraId="699A23C1" w14:textId="330C16D6" w:rsidR="0034146C" w:rsidRPr="000369CB" w:rsidRDefault="0034146C" w:rsidP="00DD7BE2">
            <w:pPr>
              <w:pStyle w:val="TableTextLeftAligned"/>
              <w:keepNext/>
              <w:keepLines/>
              <w:spacing w:after="0"/>
              <w:rPr>
                <w:rFonts w:cstheme="minorHAnsi"/>
                <w:sz w:val="18"/>
                <w:szCs w:val="18"/>
              </w:rPr>
            </w:pPr>
            <w:r w:rsidRPr="0034146C">
              <w:rPr>
                <w:rFonts w:cstheme="minorHAnsi"/>
                <w:color w:val="000000"/>
                <w:sz w:val="18"/>
                <w:szCs w:val="18"/>
              </w:rPr>
              <w:t>Prosperity Super Growth</w:t>
            </w:r>
          </w:p>
        </w:tc>
        <w:tc>
          <w:tcPr>
            <w:tcW w:w="1560" w:type="dxa"/>
            <w:tcBorders>
              <w:top w:val="single" w:sz="4" w:space="0" w:color="auto"/>
              <w:left w:val="nil"/>
              <w:bottom w:val="single" w:sz="4" w:space="0" w:color="auto"/>
              <w:right w:val="nil"/>
            </w:tcBorders>
            <w:noWrap/>
            <w:vAlign w:val="center"/>
            <w:hideMark/>
          </w:tcPr>
          <w:p w14:paraId="595A7FE0" w14:textId="0D5A2A1A"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Fair</w:t>
            </w:r>
          </w:p>
        </w:tc>
        <w:tc>
          <w:tcPr>
            <w:tcW w:w="992" w:type="dxa"/>
            <w:tcBorders>
              <w:top w:val="single" w:sz="4" w:space="0" w:color="auto"/>
              <w:left w:val="nil"/>
              <w:bottom w:val="single" w:sz="4" w:space="0" w:color="auto"/>
              <w:right w:val="nil"/>
            </w:tcBorders>
            <w:shd w:val="clear" w:color="auto" w:fill="auto"/>
            <w:noWrap/>
            <w:vAlign w:val="center"/>
            <w:hideMark/>
          </w:tcPr>
          <w:p w14:paraId="7FE88944" w14:textId="6B7D1FA2"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 xml:space="preserve"> $720 </w:t>
            </w:r>
          </w:p>
        </w:tc>
        <w:tc>
          <w:tcPr>
            <w:tcW w:w="1276" w:type="dxa"/>
            <w:tcBorders>
              <w:top w:val="single" w:sz="4" w:space="0" w:color="auto"/>
              <w:left w:val="nil"/>
              <w:bottom w:val="single" w:sz="4" w:space="0" w:color="auto"/>
              <w:right w:val="nil"/>
            </w:tcBorders>
            <w:noWrap/>
            <w:vAlign w:val="center"/>
            <w:hideMark/>
          </w:tcPr>
          <w:p w14:paraId="16E6EE31" w14:textId="429C6096"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7.9%</w:t>
            </w:r>
          </w:p>
        </w:tc>
        <w:tc>
          <w:tcPr>
            <w:tcW w:w="1275" w:type="dxa"/>
            <w:tcBorders>
              <w:top w:val="single" w:sz="4" w:space="0" w:color="auto"/>
              <w:left w:val="nil"/>
              <w:bottom w:val="single" w:sz="4" w:space="0" w:color="auto"/>
              <w:right w:val="nil"/>
            </w:tcBorders>
            <w:shd w:val="clear" w:color="auto" w:fill="auto"/>
            <w:vAlign w:val="center"/>
            <w:hideMark/>
          </w:tcPr>
          <w:p w14:paraId="344C8446" w14:textId="172ADA3E" w:rsidR="0034146C" w:rsidRPr="000369CB"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22</w:t>
            </w:r>
          </w:p>
        </w:tc>
        <w:tc>
          <w:tcPr>
            <w:tcW w:w="1331" w:type="dxa"/>
            <w:tcBorders>
              <w:top w:val="single" w:sz="4" w:space="0" w:color="auto"/>
              <w:left w:val="nil"/>
              <w:bottom w:val="single" w:sz="4" w:space="0" w:color="auto"/>
              <w:right w:val="nil"/>
            </w:tcBorders>
            <w:noWrap/>
            <w:vAlign w:val="center"/>
            <w:hideMark/>
          </w:tcPr>
          <w:p w14:paraId="767B4D4A" w14:textId="2E248F62" w:rsidR="0034146C" w:rsidRPr="000369CB"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3%</w:t>
            </w:r>
          </w:p>
        </w:tc>
      </w:tr>
      <w:tr w:rsidR="0034146C" w:rsidRPr="000369CB" w14:paraId="545B926C" w14:textId="77777777" w:rsidTr="00196A75">
        <w:tblPrEx>
          <w:tblCellMar>
            <w:top w:w="0" w:type="dxa"/>
          </w:tblCellMar>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vAlign w:val="center"/>
            <w:hideMark/>
          </w:tcPr>
          <w:p w14:paraId="061CC22D" w14:textId="7023F61B" w:rsidR="0034146C" w:rsidRPr="000369CB" w:rsidRDefault="0034146C" w:rsidP="00DD7BE2">
            <w:pPr>
              <w:pStyle w:val="TableTextLeftAligned"/>
              <w:keepNext/>
              <w:keepLines/>
              <w:spacing w:after="0"/>
              <w:rPr>
                <w:rFonts w:cstheme="minorHAnsi"/>
                <w:sz w:val="18"/>
                <w:szCs w:val="18"/>
              </w:rPr>
            </w:pPr>
            <w:r w:rsidRPr="0034146C">
              <w:rPr>
                <w:rFonts w:cstheme="minorHAnsi"/>
                <w:color w:val="000000"/>
                <w:sz w:val="18"/>
                <w:szCs w:val="18"/>
              </w:rPr>
              <w:t>Ultimate Super Balanced</w:t>
            </w:r>
          </w:p>
        </w:tc>
        <w:tc>
          <w:tcPr>
            <w:tcW w:w="1560" w:type="dxa"/>
            <w:tcBorders>
              <w:top w:val="single" w:sz="4" w:space="0" w:color="auto"/>
              <w:left w:val="nil"/>
              <w:bottom w:val="single" w:sz="4" w:space="0" w:color="auto"/>
              <w:right w:val="nil"/>
            </w:tcBorders>
            <w:noWrap/>
            <w:vAlign w:val="center"/>
            <w:hideMark/>
          </w:tcPr>
          <w:p w14:paraId="1851F15F" w14:textId="1737B100"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Fair</w:t>
            </w:r>
          </w:p>
        </w:tc>
        <w:tc>
          <w:tcPr>
            <w:tcW w:w="992" w:type="dxa"/>
            <w:tcBorders>
              <w:top w:val="single" w:sz="4" w:space="0" w:color="auto"/>
              <w:left w:val="nil"/>
              <w:bottom w:val="single" w:sz="4" w:space="0" w:color="auto"/>
              <w:right w:val="nil"/>
            </w:tcBorders>
            <w:shd w:val="clear" w:color="auto" w:fill="auto"/>
            <w:noWrap/>
            <w:vAlign w:val="center"/>
            <w:hideMark/>
          </w:tcPr>
          <w:p w14:paraId="1AA585C2" w14:textId="6842CB1D"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 xml:space="preserve"> $625 </w:t>
            </w:r>
          </w:p>
        </w:tc>
        <w:tc>
          <w:tcPr>
            <w:tcW w:w="1276" w:type="dxa"/>
            <w:tcBorders>
              <w:top w:val="single" w:sz="4" w:space="0" w:color="auto"/>
              <w:left w:val="nil"/>
              <w:bottom w:val="single" w:sz="4" w:space="0" w:color="auto"/>
              <w:right w:val="nil"/>
            </w:tcBorders>
            <w:noWrap/>
            <w:vAlign w:val="center"/>
            <w:hideMark/>
          </w:tcPr>
          <w:p w14:paraId="5B091873" w14:textId="2BCAF1A7"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7.4%</w:t>
            </w:r>
          </w:p>
        </w:tc>
        <w:tc>
          <w:tcPr>
            <w:tcW w:w="1275" w:type="dxa"/>
            <w:tcBorders>
              <w:top w:val="single" w:sz="4" w:space="0" w:color="auto"/>
              <w:left w:val="nil"/>
              <w:bottom w:val="single" w:sz="4" w:space="0" w:color="auto"/>
              <w:right w:val="nil"/>
            </w:tcBorders>
            <w:shd w:val="clear" w:color="auto" w:fill="auto"/>
            <w:vAlign w:val="center"/>
            <w:hideMark/>
          </w:tcPr>
          <w:p w14:paraId="06FBDDBB" w14:textId="1AD757E1" w:rsidR="0034146C" w:rsidRPr="000369CB"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23</w:t>
            </w:r>
          </w:p>
        </w:tc>
        <w:tc>
          <w:tcPr>
            <w:tcW w:w="1331" w:type="dxa"/>
            <w:tcBorders>
              <w:top w:val="single" w:sz="4" w:space="0" w:color="auto"/>
              <w:left w:val="nil"/>
              <w:bottom w:val="single" w:sz="4" w:space="0" w:color="auto"/>
              <w:right w:val="nil"/>
            </w:tcBorders>
            <w:noWrap/>
            <w:vAlign w:val="center"/>
            <w:hideMark/>
          </w:tcPr>
          <w:p w14:paraId="0775FC45" w14:textId="55AC62F4" w:rsidR="0034146C" w:rsidRPr="000369CB"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3%</w:t>
            </w:r>
          </w:p>
        </w:tc>
      </w:tr>
      <w:tr w:rsidR="0034146C" w:rsidRPr="000369CB" w14:paraId="710A4509" w14:textId="77777777" w:rsidTr="00196A75">
        <w:tblPrEx>
          <w:tblCellMar>
            <w:top w:w="0" w:type="dxa"/>
          </w:tblCellMar>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vAlign w:val="center"/>
            <w:hideMark/>
          </w:tcPr>
          <w:p w14:paraId="580D0B48" w14:textId="7AC37A5C" w:rsidR="0034146C" w:rsidRPr="000369CB" w:rsidRDefault="0034146C" w:rsidP="00DD7BE2">
            <w:pPr>
              <w:pStyle w:val="TableTextLeftAligned"/>
              <w:keepNext/>
              <w:keepLines/>
              <w:spacing w:after="0"/>
              <w:rPr>
                <w:rFonts w:cstheme="minorHAnsi"/>
                <w:sz w:val="18"/>
                <w:szCs w:val="18"/>
              </w:rPr>
            </w:pPr>
            <w:r w:rsidRPr="0034146C">
              <w:rPr>
                <w:rFonts w:cstheme="minorHAnsi"/>
                <w:color w:val="000000"/>
                <w:sz w:val="18"/>
                <w:szCs w:val="18"/>
              </w:rPr>
              <w:t>Horizon Super Balanced</w:t>
            </w:r>
          </w:p>
        </w:tc>
        <w:tc>
          <w:tcPr>
            <w:tcW w:w="1560" w:type="dxa"/>
            <w:tcBorders>
              <w:top w:val="single" w:sz="4" w:space="0" w:color="auto"/>
              <w:left w:val="nil"/>
              <w:bottom w:val="single" w:sz="4" w:space="0" w:color="auto"/>
              <w:right w:val="nil"/>
            </w:tcBorders>
            <w:noWrap/>
            <w:vAlign w:val="center"/>
            <w:hideMark/>
          </w:tcPr>
          <w:p w14:paraId="07769F07" w14:textId="24CA62E9"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Poor</w:t>
            </w:r>
          </w:p>
        </w:tc>
        <w:tc>
          <w:tcPr>
            <w:tcW w:w="992" w:type="dxa"/>
            <w:tcBorders>
              <w:top w:val="single" w:sz="4" w:space="0" w:color="auto"/>
              <w:left w:val="nil"/>
              <w:bottom w:val="single" w:sz="4" w:space="0" w:color="auto"/>
              <w:right w:val="nil"/>
            </w:tcBorders>
            <w:shd w:val="clear" w:color="auto" w:fill="auto"/>
            <w:noWrap/>
            <w:vAlign w:val="center"/>
            <w:hideMark/>
          </w:tcPr>
          <w:p w14:paraId="6CBF8929" w14:textId="33D83F2F"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 xml:space="preserve"> $491 </w:t>
            </w:r>
          </w:p>
        </w:tc>
        <w:tc>
          <w:tcPr>
            <w:tcW w:w="1276" w:type="dxa"/>
            <w:tcBorders>
              <w:top w:val="single" w:sz="4" w:space="0" w:color="auto"/>
              <w:left w:val="nil"/>
              <w:bottom w:val="single" w:sz="4" w:space="0" w:color="auto"/>
              <w:right w:val="nil"/>
            </w:tcBorders>
            <w:noWrap/>
            <w:vAlign w:val="center"/>
            <w:hideMark/>
          </w:tcPr>
          <w:p w14:paraId="0AFDDDE3" w14:textId="28040BDB" w:rsidR="0034146C" w:rsidRPr="000369CB"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7.1%</w:t>
            </w:r>
          </w:p>
        </w:tc>
        <w:tc>
          <w:tcPr>
            <w:tcW w:w="1275" w:type="dxa"/>
            <w:tcBorders>
              <w:top w:val="single" w:sz="4" w:space="0" w:color="auto"/>
              <w:left w:val="nil"/>
              <w:bottom w:val="single" w:sz="4" w:space="0" w:color="auto"/>
              <w:right w:val="nil"/>
            </w:tcBorders>
            <w:shd w:val="clear" w:color="auto" w:fill="auto"/>
            <w:vAlign w:val="center"/>
            <w:hideMark/>
          </w:tcPr>
          <w:p w14:paraId="483607D5" w14:textId="5E2FFEEC" w:rsidR="0034146C" w:rsidRPr="000369CB"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20</w:t>
            </w:r>
          </w:p>
        </w:tc>
        <w:tc>
          <w:tcPr>
            <w:tcW w:w="1331" w:type="dxa"/>
            <w:tcBorders>
              <w:top w:val="single" w:sz="4" w:space="0" w:color="auto"/>
              <w:left w:val="nil"/>
              <w:bottom w:val="single" w:sz="4" w:space="0" w:color="auto"/>
              <w:right w:val="nil"/>
            </w:tcBorders>
            <w:noWrap/>
            <w:vAlign w:val="center"/>
            <w:hideMark/>
          </w:tcPr>
          <w:p w14:paraId="5BD76353" w14:textId="0CB3EC26" w:rsidR="0034146C" w:rsidRPr="000369CB"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3%</w:t>
            </w:r>
          </w:p>
        </w:tc>
      </w:tr>
      <w:tr w:rsidR="0034146C" w:rsidRPr="00F416A7" w14:paraId="4C245E2A" w14:textId="77777777" w:rsidTr="00196A75">
        <w:tblPrEx>
          <w:tblCellMar>
            <w:top w:w="0" w:type="dxa"/>
          </w:tblCellMar>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vAlign w:val="center"/>
            <w:hideMark/>
          </w:tcPr>
          <w:p w14:paraId="32075AF6" w14:textId="0F640BE6" w:rsidR="0034146C" w:rsidRPr="00F416A7" w:rsidRDefault="0034146C" w:rsidP="00DD7BE2">
            <w:pPr>
              <w:pStyle w:val="TableTextLeftAligned"/>
              <w:keepNext/>
              <w:keepLines/>
              <w:spacing w:after="0"/>
              <w:rPr>
                <w:rFonts w:cstheme="minorHAnsi"/>
                <w:sz w:val="18"/>
                <w:szCs w:val="18"/>
              </w:rPr>
            </w:pPr>
            <w:r w:rsidRPr="0034146C">
              <w:rPr>
                <w:rFonts w:cstheme="minorHAnsi"/>
                <w:color w:val="000000"/>
                <w:sz w:val="18"/>
                <w:szCs w:val="18"/>
              </w:rPr>
              <w:t>Gravitas Super Growth</w:t>
            </w:r>
          </w:p>
        </w:tc>
        <w:tc>
          <w:tcPr>
            <w:tcW w:w="1560" w:type="dxa"/>
            <w:tcBorders>
              <w:top w:val="single" w:sz="4" w:space="0" w:color="auto"/>
              <w:left w:val="nil"/>
              <w:bottom w:val="single" w:sz="4" w:space="0" w:color="auto"/>
              <w:right w:val="nil"/>
            </w:tcBorders>
            <w:noWrap/>
            <w:vAlign w:val="center"/>
            <w:hideMark/>
          </w:tcPr>
          <w:p w14:paraId="5F397066" w14:textId="23AE3607" w:rsidR="0034146C" w:rsidRPr="00F416A7"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Poor</w:t>
            </w:r>
          </w:p>
        </w:tc>
        <w:tc>
          <w:tcPr>
            <w:tcW w:w="992" w:type="dxa"/>
            <w:tcBorders>
              <w:top w:val="single" w:sz="4" w:space="0" w:color="auto"/>
              <w:left w:val="nil"/>
              <w:bottom w:val="single" w:sz="4" w:space="0" w:color="auto"/>
              <w:right w:val="nil"/>
            </w:tcBorders>
            <w:shd w:val="clear" w:color="auto" w:fill="auto"/>
            <w:noWrap/>
            <w:vAlign w:val="center"/>
            <w:hideMark/>
          </w:tcPr>
          <w:p w14:paraId="3999DB83" w14:textId="3950C055" w:rsidR="0034146C" w:rsidRPr="00F416A7"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 xml:space="preserve"> $975 </w:t>
            </w:r>
          </w:p>
        </w:tc>
        <w:tc>
          <w:tcPr>
            <w:tcW w:w="1276" w:type="dxa"/>
            <w:tcBorders>
              <w:top w:val="single" w:sz="4" w:space="0" w:color="auto"/>
              <w:left w:val="nil"/>
              <w:bottom w:val="single" w:sz="4" w:space="0" w:color="auto"/>
              <w:right w:val="nil"/>
            </w:tcBorders>
            <w:noWrap/>
            <w:vAlign w:val="center"/>
            <w:hideMark/>
          </w:tcPr>
          <w:p w14:paraId="5E86FDFD" w14:textId="26E73270" w:rsidR="0034146C" w:rsidRPr="00F416A7" w:rsidRDefault="0034146C" w:rsidP="00DD7BE2">
            <w:pPr>
              <w:pStyle w:val="TableTextLeftAligned"/>
              <w:keepNext/>
              <w:keepLines/>
              <w:spacing w:after="0"/>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7.3%</w:t>
            </w:r>
          </w:p>
        </w:tc>
        <w:tc>
          <w:tcPr>
            <w:tcW w:w="1275" w:type="dxa"/>
            <w:tcBorders>
              <w:top w:val="single" w:sz="4" w:space="0" w:color="auto"/>
              <w:left w:val="nil"/>
              <w:bottom w:val="single" w:sz="4" w:space="0" w:color="auto"/>
              <w:right w:val="nil"/>
            </w:tcBorders>
            <w:shd w:val="clear" w:color="auto" w:fill="auto"/>
            <w:vAlign w:val="center"/>
            <w:hideMark/>
          </w:tcPr>
          <w:p w14:paraId="7BCAC519" w14:textId="61254DF5" w:rsidR="0034146C" w:rsidRPr="00F416A7"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7</w:t>
            </w:r>
          </w:p>
        </w:tc>
        <w:tc>
          <w:tcPr>
            <w:tcW w:w="1331" w:type="dxa"/>
            <w:tcBorders>
              <w:top w:val="single" w:sz="4" w:space="0" w:color="auto"/>
              <w:left w:val="nil"/>
              <w:bottom w:val="single" w:sz="4" w:space="0" w:color="auto"/>
              <w:right w:val="nil"/>
            </w:tcBorders>
            <w:noWrap/>
            <w:vAlign w:val="center"/>
            <w:hideMark/>
          </w:tcPr>
          <w:p w14:paraId="2CF84964" w14:textId="200377D8" w:rsidR="0034146C" w:rsidRPr="00F416A7" w:rsidRDefault="0034146C" w:rsidP="00DD7BE2">
            <w:pPr>
              <w:pStyle w:val="TableTextRightAligned"/>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4146C">
              <w:rPr>
                <w:rFonts w:cstheme="minorHAnsi"/>
                <w:color w:val="000000"/>
                <w:sz w:val="18"/>
                <w:szCs w:val="18"/>
              </w:rPr>
              <w:t>1%</w:t>
            </w:r>
          </w:p>
        </w:tc>
      </w:tr>
    </w:tbl>
    <w:p w14:paraId="2A3D4D1F" w14:textId="5E8B288D" w:rsidR="00F92895" w:rsidRDefault="00F92895" w:rsidP="00DD7BE2">
      <w:pPr>
        <w:rPr>
          <w:sz w:val="18"/>
        </w:rPr>
      </w:pPr>
      <w:r w:rsidRPr="00BE642E">
        <w:rPr>
          <w:sz w:val="18"/>
        </w:rPr>
        <w:t>Note</w:t>
      </w:r>
      <w:r>
        <w:rPr>
          <w:sz w:val="18"/>
        </w:rPr>
        <w:t>: n = 7</w:t>
      </w:r>
      <w:r w:rsidR="0034146C">
        <w:rPr>
          <w:sz w:val="18"/>
        </w:rPr>
        <w:t>38</w:t>
      </w:r>
      <w:r>
        <w:rPr>
          <w:sz w:val="18"/>
        </w:rPr>
        <w:t xml:space="preserve">. </w:t>
      </w:r>
      <w:r w:rsidRPr="00470442">
        <w:rPr>
          <w:sz w:val="18"/>
        </w:rPr>
        <w:t xml:space="preserve">Fund order in </w:t>
      </w:r>
      <w:r>
        <w:rPr>
          <w:sz w:val="18"/>
        </w:rPr>
        <w:t xml:space="preserve">this </w:t>
      </w:r>
      <w:r w:rsidRPr="00470442">
        <w:rPr>
          <w:sz w:val="18"/>
        </w:rPr>
        <w:t xml:space="preserve">table reflects the order they </w:t>
      </w:r>
      <w:r>
        <w:rPr>
          <w:sz w:val="18"/>
        </w:rPr>
        <w:t xml:space="preserve">were presented to participants </w:t>
      </w:r>
      <w:r w:rsidRPr="00470442">
        <w:rPr>
          <w:sz w:val="18"/>
        </w:rPr>
        <w:t xml:space="preserve">in </w:t>
      </w:r>
      <w:r>
        <w:rPr>
          <w:sz w:val="18"/>
        </w:rPr>
        <w:t>this experimental group</w:t>
      </w:r>
      <w:r w:rsidRPr="00470442">
        <w:rPr>
          <w:sz w:val="18"/>
        </w:rPr>
        <w:t xml:space="preserve">. </w:t>
      </w:r>
    </w:p>
    <w:p w14:paraId="0CFF5245" w14:textId="1276694D" w:rsidR="00E86597" w:rsidRDefault="00F3090C" w:rsidP="005E62D4">
      <w:pPr>
        <w:pStyle w:val="Heading3"/>
      </w:pPr>
      <w:r>
        <w:t>Experiment two</w:t>
      </w:r>
      <w:r w:rsidR="00943C96">
        <w:t xml:space="preserve"> – statistical tables</w:t>
      </w:r>
    </w:p>
    <w:p w14:paraId="3A03E1BB" w14:textId="63B27507" w:rsidR="00E86597" w:rsidRDefault="00F51E21" w:rsidP="00E86597">
      <w:r>
        <w:t>We pre</w:t>
      </w:r>
      <w:r>
        <w:noBreakHyphen/>
        <w:t xml:space="preserve">specified 3 hypotheses to test differences between the 3 pairs of arms in </w:t>
      </w:r>
      <w:r w:rsidR="00F3090C">
        <w:t>Experiment two</w:t>
      </w:r>
      <w:r>
        <w:t xml:space="preserve"> (H2.1-H2.3). Group Y used common industry terms (for example, ‘conservative’, ‘balanced’ or ‘growth’ to describe the risk</w:t>
      </w:r>
      <w:r>
        <w:noBreakHyphen/>
        <w:t>return trade</w:t>
      </w:r>
      <w:r>
        <w:noBreakHyphen/>
        <w:t xml:space="preserve">off. As reported, we found that more people selected the optimal investment strategy in this group than in the others (where accurate but </w:t>
      </w:r>
      <w:r w:rsidRPr="00EA1DCF">
        <w:t xml:space="preserve">technical language </w:t>
      </w:r>
      <w:r>
        <w:t xml:space="preserve">was used). This meant that we </w:t>
      </w:r>
      <w:r w:rsidR="00EF05C9">
        <w:t xml:space="preserve">rejected the null </w:t>
      </w:r>
      <w:r>
        <w:t xml:space="preserve">hypothesis </w:t>
      </w:r>
      <w:r w:rsidR="00EF05C9">
        <w:t>for H2.1 and H2.2</w:t>
      </w:r>
      <w:r>
        <w:t xml:space="preserve"> but we were unable to do so when comparing Groups X</w:t>
      </w:r>
      <w:r w:rsidR="002B261E">
        <w:t xml:space="preserve"> (Technical definition, highlighting negative returns)</w:t>
      </w:r>
      <w:r>
        <w:t xml:space="preserve"> and Z</w:t>
      </w:r>
      <w:r w:rsidR="002B261E">
        <w:t xml:space="preserve"> (Technical definition, highlighting expected returns</w:t>
      </w:r>
      <w:r>
        <w:t xml:space="preserve"> </w:t>
      </w:r>
      <w:r w:rsidR="00C25F35">
        <w:t xml:space="preserve">(tables </w:t>
      </w:r>
      <w:r w:rsidR="00ED769F">
        <w:t>22</w:t>
      </w:r>
      <w:r>
        <w:t>-</w:t>
      </w:r>
      <w:r w:rsidR="00ED769F">
        <w:t>24</w:t>
      </w:r>
      <w:r w:rsidR="00C25F35">
        <w:t xml:space="preserve">). </w:t>
      </w:r>
      <w:r w:rsidR="00EA1DCF">
        <w:t xml:space="preserve">The average treatment effects were large </w:t>
      </w:r>
      <w:r>
        <w:t xml:space="preserve">(19-22%) </w:t>
      </w:r>
      <w:r w:rsidR="00EA1DCF">
        <w:t xml:space="preserve">and </w:t>
      </w:r>
      <w:r w:rsidR="00815847">
        <w:t>would be of material</w:t>
      </w:r>
      <w:r w:rsidR="00AB25E9">
        <w:t xml:space="preserve"> </w:t>
      </w:r>
      <w:r w:rsidR="00EA1DCF">
        <w:t>significance</w:t>
      </w:r>
      <w:r w:rsidR="00AB25E9">
        <w:t xml:space="preserve"> if they held in the real world</w:t>
      </w:r>
      <w:r w:rsidR="00E86597">
        <w:t xml:space="preserve">. </w:t>
      </w:r>
    </w:p>
    <w:p w14:paraId="6D91B872" w14:textId="0759C301" w:rsidR="00F14B81" w:rsidRPr="009F3C0D" w:rsidRDefault="00F14B81" w:rsidP="00BD20D5">
      <w:pPr>
        <w:pStyle w:val="HeadingTable"/>
        <w:spacing w:before="240" w:after="120"/>
        <w:ind w:left="357" w:hanging="357"/>
        <w:outlineLvl w:val="3"/>
      </w:pPr>
      <w:r>
        <w:t xml:space="preserve">Primary outcome – </w:t>
      </w:r>
      <w:r w:rsidRPr="00F14B81">
        <w:t>select</w:t>
      </w:r>
      <w:r>
        <w:t>ion</w:t>
      </w:r>
      <w:r w:rsidRPr="00F14B81">
        <w:t xml:space="preserve"> </w:t>
      </w:r>
      <w:r>
        <w:t xml:space="preserve">of </w:t>
      </w:r>
      <w:r w:rsidRPr="00F14B81">
        <w:t xml:space="preserve">the most appropriate response </w:t>
      </w:r>
      <w:r w:rsidRPr="00236038">
        <w:t>(H</w:t>
      </w:r>
      <w:r>
        <w:t>2</w:t>
      </w:r>
      <w:r w:rsidRPr="00236038">
        <w:t>.1)</w:t>
      </w:r>
    </w:p>
    <w:tbl>
      <w:tblPr>
        <w:tblStyle w:val="DefaultTable"/>
        <w:tblW w:w="7981" w:type="dxa"/>
        <w:tblLayout w:type="fixed"/>
        <w:tblCellMar>
          <w:top w:w="85" w:type="dxa"/>
        </w:tblCellMar>
        <w:tblLook w:val="0420" w:firstRow="1" w:lastRow="0" w:firstColumn="0" w:lastColumn="0" w:noHBand="0" w:noVBand="1"/>
        <w:tblCaption w:val="Table 1"/>
        <w:tblDescription w:val="Example table with Alt Text for accessibility"/>
      </w:tblPr>
      <w:tblGrid>
        <w:gridCol w:w="2274"/>
        <w:gridCol w:w="951"/>
        <w:gridCol w:w="951"/>
        <w:gridCol w:w="951"/>
        <w:gridCol w:w="951"/>
        <w:gridCol w:w="951"/>
        <w:gridCol w:w="952"/>
      </w:tblGrid>
      <w:tr w:rsidR="006040C0" w:rsidRPr="003212F5" w14:paraId="469BF6FC" w14:textId="77777777" w:rsidTr="00063809">
        <w:trPr>
          <w:cnfStyle w:val="100000000000" w:firstRow="1" w:lastRow="0" w:firstColumn="0" w:lastColumn="0" w:oddVBand="0" w:evenVBand="0" w:oddHBand="0" w:evenHBand="0" w:firstRowFirstColumn="0" w:firstRowLastColumn="0" w:lastRowFirstColumn="0" w:lastRowLastColumn="0"/>
          <w:trHeight w:val="547"/>
          <w:tblHeader/>
        </w:trPr>
        <w:tc>
          <w:tcPr>
            <w:tcW w:w="2274" w:type="dxa"/>
            <w:tcBorders>
              <w:top w:val="nil"/>
              <w:bottom w:val="single" w:sz="18" w:space="0" w:color="142E3B" w:themeColor="accent6"/>
            </w:tcBorders>
            <w:shd w:val="clear" w:color="auto" w:fill="20B9A3" w:themeFill="accent1"/>
          </w:tcPr>
          <w:p w14:paraId="0A5DCE60" w14:textId="77777777" w:rsidR="006040C0" w:rsidRPr="003212F5" w:rsidRDefault="006040C0" w:rsidP="000025DD">
            <w:pPr>
              <w:pStyle w:val="TableHeading"/>
              <w:keepNext/>
              <w:spacing w:after="0"/>
              <w:rPr>
                <w:sz w:val="20"/>
              </w:rPr>
            </w:pPr>
            <w:r w:rsidRPr="003212F5">
              <w:rPr>
                <w:sz w:val="20"/>
              </w:rPr>
              <w:t>Treatment arm</w:t>
            </w:r>
          </w:p>
        </w:tc>
        <w:tc>
          <w:tcPr>
            <w:tcW w:w="951" w:type="dxa"/>
            <w:tcBorders>
              <w:top w:val="nil"/>
              <w:bottom w:val="single" w:sz="18" w:space="0" w:color="142E3B" w:themeColor="accent6"/>
            </w:tcBorders>
            <w:shd w:val="clear" w:color="auto" w:fill="20B9A3" w:themeFill="accent1"/>
          </w:tcPr>
          <w:p w14:paraId="4BC2EE26" w14:textId="282360B9" w:rsidR="006040C0" w:rsidRPr="003212F5" w:rsidRDefault="001472E5" w:rsidP="000025DD">
            <w:pPr>
              <w:pStyle w:val="TableHeading"/>
              <w:keepNext/>
              <w:spacing w:after="0"/>
              <w:rPr>
                <w:sz w:val="20"/>
              </w:rPr>
            </w:pPr>
            <w:r>
              <w:rPr>
                <w:sz w:val="20"/>
              </w:rPr>
              <w:t>M</w:t>
            </w:r>
            <w:r w:rsidR="006040C0" w:rsidRPr="003212F5">
              <w:rPr>
                <w:sz w:val="20"/>
              </w:rPr>
              <w:t>ean</w:t>
            </w:r>
            <w:r>
              <w:rPr>
                <w:sz w:val="20"/>
              </w:rPr>
              <w:t xml:space="preserve"> (%)</w:t>
            </w:r>
          </w:p>
        </w:tc>
        <w:tc>
          <w:tcPr>
            <w:tcW w:w="951" w:type="dxa"/>
            <w:tcBorders>
              <w:top w:val="nil"/>
              <w:bottom w:val="single" w:sz="18" w:space="0" w:color="142E3B" w:themeColor="accent6"/>
            </w:tcBorders>
            <w:shd w:val="clear" w:color="auto" w:fill="20B9A3" w:themeFill="accent1"/>
          </w:tcPr>
          <w:p w14:paraId="10370744" w14:textId="269EAEE3" w:rsidR="006040C0" w:rsidRPr="003212F5" w:rsidRDefault="001472E5" w:rsidP="000025DD">
            <w:pPr>
              <w:pStyle w:val="TableHeading"/>
              <w:keepNext/>
              <w:spacing w:after="0"/>
              <w:jc w:val="right"/>
              <w:rPr>
                <w:sz w:val="20"/>
              </w:rPr>
            </w:pPr>
            <w:r>
              <w:rPr>
                <w:sz w:val="20"/>
              </w:rPr>
              <w:t>Effect (%)</w:t>
            </w:r>
          </w:p>
        </w:tc>
        <w:tc>
          <w:tcPr>
            <w:tcW w:w="951" w:type="dxa"/>
            <w:tcBorders>
              <w:top w:val="nil"/>
              <w:bottom w:val="single" w:sz="18" w:space="0" w:color="142E3B" w:themeColor="accent6"/>
            </w:tcBorders>
            <w:shd w:val="clear" w:color="auto" w:fill="20B9A3" w:themeFill="accent1"/>
          </w:tcPr>
          <w:p w14:paraId="2A1E7EEA" w14:textId="77777777" w:rsidR="006040C0" w:rsidRPr="003212F5" w:rsidRDefault="006040C0" w:rsidP="000025DD">
            <w:pPr>
              <w:pStyle w:val="TableHeading"/>
              <w:keepNext/>
              <w:spacing w:after="0"/>
              <w:jc w:val="right"/>
              <w:rPr>
                <w:sz w:val="20"/>
              </w:rPr>
            </w:pPr>
            <w:r w:rsidRPr="003212F5">
              <w:rPr>
                <w:sz w:val="20"/>
              </w:rPr>
              <w:t>Std. error</w:t>
            </w:r>
          </w:p>
        </w:tc>
        <w:tc>
          <w:tcPr>
            <w:tcW w:w="951" w:type="dxa"/>
            <w:tcBorders>
              <w:top w:val="nil"/>
              <w:bottom w:val="single" w:sz="18" w:space="0" w:color="142E3B" w:themeColor="accent6"/>
            </w:tcBorders>
            <w:shd w:val="clear" w:color="auto" w:fill="20B9A3" w:themeFill="accent1"/>
          </w:tcPr>
          <w:p w14:paraId="2EE3AB08" w14:textId="77777777" w:rsidR="006040C0" w:rsidRPr="003212F5" w:rsidRDefault="006040C0" w:rsidP="000025DD">
            <w:pPr>
              <w:pStyle w:val="TableHeading"/>
              <w:keepNext/>
              <w:spacing w:after="0"/>
              <w:jc w:val="right"/>
              <w:rPr>
                <w:sz w:val="20"/>
              </w:rPr>
            </w:pPr>
            <w:r w:rsidRPr="003212F5">
              <w:rPr>
                <w:sz w:val="20"/>
              </w:rPr>
              <w:t>p-value</w:t>
            </w:r>
          </w:p>
        </w:tc>
        <w:tc>
          <w:tcPr>
            <w:tcW w:w="951" w:type="dxa"/>
            <w:tcBorders>
              <w:top w:val="nil"/>
              <w:bottom w:val="single" w:sz="18" w:space="0" w:color="142E3B" w:themeColor="accent6"/>
            </w:tcBorders>
            <w:shd w:val="clear" w:color="auto" w:fill="20B9A3" w:themeFill="accent1"/>
          </w:tcPr>
          <w:p w14:paraId="6F252227" w14:textId="77777777" w:rsidR="006040C0" w:rsidRPr="003212F5" w:rsidRDefault="006040C0"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952" w:type="dxa"/>
            <w:tcBorders>
              <w:top w:val="nil"/>
              <w:bottom w:val="single" w:sz="18" w:space="0" w:color="142E3B" w:themeColor="accent6"/>
            </w:tcBorders>
            <w:shd w:val="clear" w:color="auto" w:fill="20B9A3" w:themeFill="accent1"/>
          </w:tcPr>
          <w:p w14:paraId="7E9C209C" w14:textId="77777777" w:rsidR="006040C0" w:rsidRPr="003212F5" w:rsidRDefault="006040C0"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6040C0" w:rsidRPr="003212F5" w14:paraId="52040CE0" w14:textId="77777777" w:rsidTr="00063809">
        <w:trPr>
          <w:trHeight w:val="236"/>
        </w:trPr>
        <w:tc>
          <w:tcPr>
            <w:tcW w:w="2274" w:type="dxa"/>
            <w:shd w:val="clear" w:color="auto" w:fill="auto"/>
          </w:tcPr>
          <w:p w14:paraId="685EF431" w14:textId="1B4155A8" w:rsidR="006040C0" w:rsidRPr="00F91AC1" w:rsidRDefault="006040C0" w:rsidP="000025DD">
            <w:pPr>
              <w:pStyle w:val="TableTextLeftAligned"/>
              <w:keepNext/>
              <w:spacing w:after="0"/>
              <w:rPr>
                <w:sz w:val="18"/>
              </w:rPr>
            </w:pPr>
            <w:r w:rsidRPr="006040C0">
              <w:rPr>
                <w:sz w:val="18"/>
              </w:rPr>
              <w:t>X: Technical, highlighting negative returns</w:t>
            </w:r>
          </w:p>
        </w:tc>
        <w:tc>
          <w:tcPr>
            <w:tcW w:w="951" w:type="dxa"/>
          </w:tcPr>
          <w:p w14:paraId="1DCAE30E" w14:textId="3278C22F" w:rsidR="006040C0" w:rsidRPr="00F91AC1" w:rsidRDefault="006040C0" w:rsidP="000025DD">
            <w:pPr>
              <w:pStyle w:val="TableTextRightAligned"/>
              <w:keepNext/>
              <w:spacing w:after="0"/>
              <w:rPr>
                <w:sz w:val="18"/>
              </w:rPr>
            </w:pPr>
            <w:r w:rsidRPr="00F91AC1">
              <w:rPr>
                <w:sz w:val="18"/>
              </w:rPr>
              <w:t>27</w:t>
            </w:r>
            <w:r w:rsidR="001472E5">
              <w:rPr>
                <w:sz w:val="18"/>
              </w:rPr>
              <w:t>.</w:t>
            </w:r>
            <w:r w:rsidRPr="00F91AC1">
              <w:rPr>
                <w:sz w:val="18"/>
              </w:rPr>
              <w:t>26</w:t>
            </w:r>
          </w:p>
        </w:tc>
        <w:tc>
          <w:tcPr>
            <w:tcW w:w="951" w:type="dxa"/>
            <w:shd w:val="clear" w:color="auto" w:fill="FFFFFF" w:themeFill="background1"/>
          </w:tcPr>
          <w:p w14:paraId="0B754F1B" w14:textId="77777777" w:rsidR="006040C0" w:rsidRPr="003212F5" w:rsidRDefault="006040C0" w:rsidP="000025DD">
            <w:pPr>
              <w:pStyle w:val="TableTextRightAligned"/>
              <w:keepNext/>
              <w:spacing w:after="0"/>
              <w:rPr>
                <w:sz w:val="18"/>
              </w:rPr>
            </w:pPr>
          </w:p>
        </w:tc>
        <w:tc>
          <w:tcPr>
            <w:tcW w:w="951" w:type="dxa"/>
          </w:tcPr>
          <w:p w14:paraId="2E686912" w14:textId="77777777" w:rsidR="006040C0" w:rsidRPr="003212F5" w:rsidRDefault="006040C0" w:rsidP="000025DD">
            <w:pPr>
              <w:pStyle w:val="TableTextRightAligned"/>
              <w:keepNext/>
              <w:spacing w:after="0"/>
              <w:rPr>
                <w:sz w:val="18"/>
              </w:rPr>
            </w:pPr>
          </w:p>
        </w:tc>
        <w:tc>
          <w:tcPr>
            <w:tcW w:w="951" w:type="dxa"/>
            <w:shd w:val="clear" w:color="auto" w:fill="FFFFFF" w:themeFill="background1"/>
          </w:tcPr>
          <w:p w14:paraId="17D84CA4" w14:textId="77777777" w:rsidR="006040C0" w:rsidRPr="003212F5" w:rsidRDefault="006040C0" w:rsidP="000025DD">
            <w:pPr>
              <w:pStyle w:val="TableTextRightAligned"/>
              <w:keepNext/>
              <w:spacing w:after="0"/>
              <w:rPr>
                <w:sz w:val="18"/>
              </w:rPr>
            </w:pPr>
          </w:p>
        </w:tc>
        <w:tc>
          <w:tcPr>
            <w:tcW w:w="951" w:type="dxa"/>
          </w:tcPr>
          <w:p w14:paraId="6000F63C" w14:textId="77777777" w:rsidR="006040C0" w:rsidRPr="003212F5" w:rsidRDefault="006040C0" w:rsidP="000025DD">
            <w:pPr>
              <w:pStyle w:val="TableTextRightAligned"/>
              <w:keepNext/>
              <w:spacing w:after="0"/>
              <w:rPr>
                <w:sz w:val="18"/>
              </w:rPr>
            </w:pPr>
          </w:p>
        </w:tc>
        <w:tc>
          <w:tcPr>
            <w:tcW w:w="952" w:type="dxa"/>
            <w:shd w:val="clear" w:color="auto" w:fill="FFFFFF" w:themeFill="background1"/>
          </w:tcPr>
          <w:p w14:paraId="1FF340A7" w14:textId="77777777" w:rsidR="006040C0" w:rsidRPr="003212F5" w:rsidRDefault="006040C0" w:rsidP="000025DD">
            <w:pPr>
              <w:pStyle w:val="TableTextRightAligned"/>
              <w:keepNext/>
              <w:spacing w:after="0"/>
              <w:ind w:left="-75" w:hanging="34"/>
              <w:rPr>
                <w:sz w:val="18"/>
              </w:rPr>
            </w:pPr>
          </w:p>
        </w:tc>
      </w:tr>
      <w:tr w:rsidR="006040C0" w:rsidRPr="003212F5" w14:paraId="7BFC6C7B" w14:textId="77777777" w:rsidTr="00063809">
        <w:trPr>
          <w:trHeight w:val="236"/>
        </w:trPr>
        <w:tc>
          <w:tcPr>
            <w:tcW w:w="2274" w:type="dxa"/>
            <w:shd w:val="clear" w:color="auto" w:fill="auto"/>
          </w:tcPr>
          <w:p w14:paraId="006ECEC9" w14:textId="4EA70093" w:rsidR="006040C0" w:rsidRPr="003212F5" w:rsidRDefault="006040C0" w:rsidP="000025DD">
            <w:pPr>
              <w:pStyle w:val="TableTextLeftAligned"/>
              <w:spacing w:after="0"/>
              <w:rPr>
                <w:sz w:val="18"/>
              </w:rPr>
            </w:pPr>
            <w:r w:rsidRPr="006040C0">
              <w:rPr>
                <w:sz w:val="18"/>
              </w:rPr>
              <w:t>Y: Common industry terms</w:t>
            </w:r>
          </w:p>
        </w:tc>
        <w:tc>
          <w:tcPr>
            <w:tcW w:w="951" w:type="dxa"/>
          </w:tcPr>
          <w:p w14:paraId="35FFAD97" w14:textId="6253DBC1" w:rsidR="006040C0" w:rsidRPr="003212F5" w:rsidRDefault="006040C0" w:rsidP="000025DD">
            <w:pPr>
              <w:pStyle w:val="TableTextRightAligned"/>
              <w:spacing w:after="0"/>
              <w:rPr>
                <w:sz w:val="18"/>
              </w:rPr>
            </w:pPr>
            <w:r>
              <w:rPr>
                <w:sz w:val="18"/>
              </w:rPr>
              <w:t>49</w:t>
            </w:r>
            <w:r w:rsidR="001472E5">
              <w:rPr>
                <w:sz w:val="18"/>
              </w:rPr>
              <w:t>.</w:t>
            </w:r>
            <w:r>
              <w:rPr>
                <w:sz w:val="18"/>
              </w:rPr>
              <w:t>04</w:t>
            </w:r>
          </w:p>
        </w:tc>
        <w:tc>
          <w:tcPr>
            <w:tcW w:w="951" w:type="dxa"/>
            <w:shd w:val="clear" w:color="auto" w:fill="FFFFFF" w:themeFill="background1"/>
          </w:tcPr>
          <w:p w14:paraId="2CB35904" w14:textId="6B87D178" w:rsidR="006040C0" w:rsidRPr="003212F5" w:rsidRDefault="006040C0" w:rsidP="00A4483D">
            <w:pPr>
              <w:pStyle w:val="TableTextRightAligned"/>
              <w:spacing w:after="0"/>
              <w:rPr>
                <w:sz w:val="18"/>
              </w:rPr>
            </w:pPr>
            <w:r>
              <w:rPr>
                <w:sz w:val="18"/>
              </w:rPr>
              <w:t>21</w:t>
            </w:r>
            <w:r w:rsidR="001472E5">
              <w:rPr>
                <w:sz w:val="18"/>
              </w:rPr>
              <w:t>.</w:t>
            </w:r>
            <w:r>
              <w:rPr>
                <w:sz w:val="18"/>
              </w:rPr>
              <w:t>78</w:t>
            </w:r>
          </w:p>
        </w:tc>
        <w:tc>
          <w:tcPr>
            <w:tcW w:w="951" w:type="dxa"/>
          </w:tcPr>
          <w:p w14:paraId="776AC79D" w14:textId="568A42EE" w:rsidR="006040C0" w:rsidRPr="003212F5" w:rsidRDefault="006040C0" w:rsidP="000025DD">
            <w:pPr>
              <w:pStyle w:val="TableTextRightAligned"/>
              <w:spacing w:after="0"/>
              <w:rPr>
                <w:sz w:val="18"/>
              </w:rPr>
            </w:pPr>
            <w:r>
              <w:rPr>
                <w:sz w:val="18"/>
              </w:rPr>
              <w:t>2</w:t>
            </w:r>
            <w:r w:rsidR="001472E5">
              <w:rPr>
                <w:sz w:val="18"/>
              </w:rPr>
              <w:t>.</w:t>
            </w:r>
            <w:r>
              <w:rPr>
                <w:sz w:val="18"/>
              </w:rPr>
              <w:t>45</w:t>
            </w:r>
          </w:p>
        </w:tc>
        <w:tc>
          <w:tcPr>
            <w:tcW w:w="951" w:type="dxa"/>
            <w:shd w:val="clear" w:color="auto" w:fill="FFFFFF" w:themeFill="background1"/>
          </w:tcPr>
          <w:p w14:paraId="750675D1" w14:textId="77777777" w:rsidR="006040C0" w:rsidRPr="003212F5" w:rsidRDefault="006040C0" w:rsidP="000025DD">
            <w:pPr>
              <w:pStyle w:val="TableTextRightAligned"/>
              <w:spacing w:after="0"/>
              <w:rPr>
                <w:sz w:val="18"/>
              </w:rPr>
            </w:pPr>
            <w:r w:rsidRPr="003212F5">
              <w:rPr>
                <w:sz w:val="18"/>
              </w:rPr>
              <w:t>0.</w:t>
            </w:r>
            <w:r>
              <w:rPr>
                <w:sz w:val="18"/>
              </w:rPr>
              <w:t>000</w:t>
            </w:r>
          </w:p>
        </w:tc>
        <w:tc>
          <w:tcPr>
            <w:tcW w:w="951" w:type="dxa"/>
          </w:tcPr>
          <w:p w14:paraId="13E2CB1D" w14:textId="3116F741" w:rsidR="006040C0" w:rsidRPr="003212F5" w:rsidRDefault="006040C0" w:rsidP="000025DD">
            <w:pPr>
              <w:pStyle w:val="TableTextRightAligned"/>
              <w:spacing w:after="0"/>
              <w:rPr>
                <w:sz w:val="18"/>
              </w:rPr>
            </w:pPr>
            <w:r>
              <w:rPr>
                <w:sz w:val="18"/>
              </w:rPr>
              <w:t>16</w:t>
            </w:r>
            <w:r w:rsidR="001472E5">
              <w:rPr>
                <w:sz w:val="18"/>
              </w:rPr>
              <w:t>.</w:t>
            </w:r>
            <w:r>
              <w:rPr>
                <w:sz w:val="18"/>
              </w:rPr>
              <w:t>97</w:t>
            </w:r>
          </w:p>
        </w:tc>
        <w:tc>
          <w:tcPr>
            <w:tcW w:w="952" w:type="dxa"/>
            <w:shd w:val="clear" w:color="auto" w:fill="FFFFFF" w:themeFill="background1"/>
          </w:tcPr>
          <w:p w14:paraId="7E96D87F" w14:textId="3DF55586" w:rsidR="006040C0" w:rsidRPr="003212F5" w:rsidRDefault="006040C0" w:rsidP="00A4483D">
            <w:pPr>
              <w:pStyle w:val="TableTextRightAligned"/>
              <w:spacing w:after="0"/>
              <w:ind w:left="-75" w:hanging="34"/>
              <w:rPr>
                <w:sz w:val="18"/>
              </w:rPr>
            </w:pPr>
            <w:r>
              <w:rPr>
                <w:sz w:val="18"/>
              </w:rPr>
              <w:t>26</w:t>
            </w:r>
            <w:r w:rsidR="001472E5">
              <w:rPr>
                <w:sz w:val="18"/>
              </w:rPr>
              <w:t>.</w:t>
            </w:r>
            <w:r>
              <w:rPr>
                <w:sz w:val="18"/>
              </w:rPr>
              <w:t>58</w:t>
            </w:r>
          </w:p>
        </w:tc>
      </w:tr>
    </w:tbl>
    <w:p w14:paraId="1DDA9DB3" w14:textId="4973862D" w:rsidR="00F14B81" w:rsidRDefault="00F14B81" w:rsidP="00F14B81">
      <w:pPr>
        <w:spacing w:line="240" w:lineRule="auto"/>
        <w:rPr>
          <w:sz w:val="18"/>
        </w:rPr>
      </w:pPr>
      <w:r w:rsidRPr="00BE642E">
        <w:rPr>
          <w:sz w:val="18"/>
        </w:rPr>
        <w:t>Note</w:t>
      </w:r>
      <w:r>
        <w:rPr>
          <w:sz w:val="18"/>
        </w:rPr>
        <w:t>: n = 1</w:t>
      </w:r>
      <w:r w:rsidR="003D4211">
        <w:rPr>
          <w:sz w:val="18"/>
        </w:rPr>
        <w:t>,</w:t>
      </w:r>
      <w:r>
        <w:rPr>
          <w:sz w:val="18"/>
        </w:rPr>
        <w:t>49</w:t>
      </w:r>
      <w:r w:rsidR="005F5E1B">
        <w:rPr>
          <w:sz w:val="18"/>
        </w:rPr>
        <w:t>4</w:t>
      </w:r>
      <w:r>
        <w:rPr>
          <w:sz w:val="18"/>
        </w:rPr>
        <w:t xml:space="preserve"> OLS regression, </w:t>
      </w:r>
      <w:r w:rsidRPr="00BE642E">
        <w:rPr>
          <w:sz w:val="18"/>
        </w:rPr>
        <w:t xml:space="preserve">p-values are from </w:t>
      </w:r>
      <w:r w:rsidR="00A4483D">
        <w:rPr>
          <w:sz w:val="18"/>
        </w:rPr>
        <w:t>two</w:t>
      </w:r>
      <w:r w:rsidRPr="00236038">
        <w:rPr>
          <w:sz w:val="18"/>
        </w:rPr>
        <w:t xml:space="preserve">-tailed tests. </w:t>
      </w:r>
      <w:r w:rsidR="00B41DC6" w:rsidRPr="00B41DC6">
        <w:rPr>
          <w:sz w:val="18"/>
        </w:rPr>
        <w:t>We did not correct for multiple comparisons.</w:t>
      </w:r>
    </w:p>
    <w:p w14:paraId="2F093A95" w14:textId="768F4705" w:rsidR="00F14B81" w:rsidRPr="009F3C0D" w:rsidRDefault="00F14B81" w:rsidP="00BD20D5">
      <w:pPr>
        <w:pStyle w:val="HeadingTable"/>
        <w:spacing w:before="240" w:after="120"/>
        <w:ind w:left="357" w:hanging="357"/>
        <w:outlineLvl w:val="3"/>
      </w:pPr>
      <w:r>
        <w:lastRenderedPageBreak/>
        <w:t xml:space="preserve">Primary outcome – </w:t>
      </w:r>
      <w:r w:rsidRPr="00F14B81">
        <w:t>select</w:t>
      </w:r>
      <w:r>
        <w:t>ion</w:t>
      </w:r>
      <w:r w:rsidRPr="00F14B81">
        <w:t xml:space="preserve"> </w:t>
      </w:r>
      <w:r>
        <w:t xml:space="preserve">of </w:t>
      </w:r>
      <w:r w:rsidRPr="00F14B81">
        <w:t xml:space="preserve">the most appropriate response </w:t>
      </w:r>
      <w:r>
        <w:t>(H2</w:t>
      </w:r>
      <w:r w:rsidRPr="00236038">
        <w:t>.</w:t>
      </w:r>
      <w:r>
        <w:t>2</w:t>
      </w:r>
      <w:r w:rsidRPr="00236038">
        <w:t>)</w:t>
      </w:r>
    </w:p>
    <w:tbl>
      <w:tblPr>
        <w:tblStyle w:val="DefaultTable"/>
        <w:tblW w:w="7964" w:type="dxa"/>
        <w:tblLayout w:type="fixed"/>
        <w:tblCellMar>
          <w:top w:w="85" w:type="dxa"/>
        </w:tblCellMar>
        <w:tblLook w:val="0420" w:firstRow="1" w:lastRow="0" w:firstColumn="0" w:lastColumn="0" w:noHBand="0" w:noVBand="1"/>
        <w:tblCaption w:val="Table 1"/>
        <w:tblDescription w:val="Example table with Alt Text for accessibility"/>
      </w:tblPr>
      <w:tblGrid>
        <w:gridCol w:w="2268"/>
        <w:gridCol w:w="949"/>
        <w:gridCol w:w="949"/>
        <w:gridCol w:w="950"/>
        <w:gridCol w:w="949"/>
        <w:gridCol w:w="949"/>
        <w:gridCol w:w="950"/>
      </w:tblGrid>
      <w:tr w:rsidR="006040C0" w:rsidRPr="003212F5" w14:paraId="156366C9" w14:textId="77777777" w:rsidTr="005331E2">
        <w:trPr>
          <w:cnfStyle w:val="100000000000" w:firstRow="1" w:lastRow="0" w:firstColumn="0" w:lastColumn="0" w:oddVBand="0" w:evenVBand="0" w:oddHBand="0" w:evenHBand="0" w:firstRowFirstColumn="0" w:firstRowLastColumn="0" w:lastRowFirstColumn="0" w:lastRowLastColumn="0"/>
          <w:trHeight w:val="563"/>
          <w:tblHeader/>
        </w:trPr>
        <w:tc>
          <w:tcPr>
            <w:tcW w:w="2268" w:type="dxa"/>
            <w:tcBorders>
              <w:top w:val="nil"/>
              <w:bottom w:val="single" w:sz="18" w:space="0" w:color="142E3B" w:themeColor="accent6"/>
            </w:tcBorders>
            <w:shd w:val="clear" w:color="auto" w:fill="20B9A3" w:themeFill="accent1"/>
          </w:tcPr>
          <w:p w14:paraId="101924C6" w14:textId="77777777" w:rsidR="006040C0" w:rsidRPr="003212F5" w:rsidRDefault="006040C0" w:rsidP="000025DD">
            <w:pPr>
              <w:pStyle w:val="TableHeading"/>
              <w:keepNext/>
              <w:spacing w:after="0"/>
              <w:rPr>
                <w:sz w:val="20"/>
              </w:rPr>
            </w:pPr>
            <w:r w:rsidRPr="003212F5">
              <w:rPr>
                <w:sz w:val="20"/>
              </w:rPr>
              <w:t>Treatment arm</w:t>
            </w:r>
          </w:p>
        </w:tc>
        <w:tc>
          <w:tcPr>
            <w:tcW w:w="949" w:type="dxa"/>
            <w:tcBorders>
              <w:top w:val="nil"/>
              <w:bottom w:val="single" w:sz="18" w:space="0" w:color="142E3B" w:themeColor="accent6"/>
            </w:tcBorders>
            <w:shd w:val="clear" w:color="auto" w:fill="20B9A3" w:themeFill="accent1"/>
          </w:tcPr>
          <w:p w14:paraId="2FA46DB6" w14:textId="14CF6539" w:rsidR="006040C0" w:rsidRPr="003212F5" w:rsidRDefault="006040C0" w:rsidP="000025DD">
            <w:pPr>
              <w:pStyle w:val="TableHeading"/>
              <w:keepNext/>
              <w:spacing w:after="0"/>
              <w:rPr>
                <w:sz w:val="20"/>
              </w:rPr>
            </w:pPr>
            <w:r w:rsidRPr="003212F5">
              <w:rPr>
                <w:sz w:val="20"/>
              </w:rPr>
              <w:t>Mean</w:t>
            </w:r>
            <w:r w:rsidR="001472E5">
              <w:rPr>
                <w:sz w:val="20"/>
              </w:rPr>
              <w:t xml:space="preserve"> (%)</w:t>
            </w:r>
          </w:p>
        </w:tc>
        <w:tc>
          <w:tcPr>
            <w:tcW w:w="949" w:type="dxa"/>
            <w:tcBorders>
              <w:top w:val="nil"/>
              <w:bottom w:val="single" w:sz="18" w:space="0" w:color="142E3B" w:themeColor="accent6"/>
            </w:tcBorders>
            <w:shd w:val="clear" w:color="auto" w:fill="20B9A3" w:themeFill="accent1"/>
          </w:tcPr>
          <w:p w14:paraId="5211B848" w14:textId="6928E3BC" w:rsidR="006040C0" w:rsidRPr="003212F5" w:rsidRDefault="006040C0" w:rsidP="000025DD">
            <w:pPr>
              <w:pStyle w:val="TableHeading"/>
              <w:keepNext/>
              <w:spacing w:after="0"/>
              <w:jc w:val="right"/>
              <w:rPr>
                <w:sz w:val="20"/>
              </w:rPr>
            </w:pPr>
            <w:r>
              <w:rPr>
                <w:sz w:val="20"/>
              </w:rPr>
              <w:t>E</w:t>
            </w:r>
            <w:r w:rsidR="001472E5">
              <w:rPr>
                <w:sz w:val="20"/>
              </w:rPr>
              <w:t>ffect (%)</w:t>
            </w:r>
          </w:p>
        </w:tc>
        <w:tc>
          <w:tcPr>
            <w:tcW w:w="950" w:type="dxa"/>
            <w:tcBorders>
              <w:top w:val="nil"/>
              <w:bottom w:val="single" w:sz="18" w:space="0" w:color="142E3B" w:themeColor="accent6"/>
            </w:tcBorders>
            <w:shd w:val="clear" w:color="auto" w:fill="20B9A3" w:themeFill="accent1"/>
          </w:tcPr>
          <w:p w14:paraId="0CD781D8" w14:textId="77777777" w:rsidR="006040C0" w:rsidRPr="003212F5" w:rsidRDefault="006040C0" w:rsidP="000025DD">
            <w:pPr>
              <w:pStyle w:val="TableHeading"/>
              <w:keepNext/>
              <w:spacing w:after="0"/>
              <w:jc w:val="right"/>
              <w:rPr>
                <w:sz w:val="20"/>
              </w:rPr>
            </w:pPr>
            <w:r w:rsidRPr="003212F5">
              <w:rPr>
                <w:sz w:val="20"/>
              </w:rPr>
              <w:t>Std. error</w:t>
            </w:r>
          </w:p>
        </w:tc>
        <w:tc>
          <w:tcPr>
            <w:tcW w:w="949" w:type="dxa"/>
            <w:tcBorders>
              <w:top w:val="nil"/>
              <w:bottom w:val="single" w:sz="18" w:space="0" w:color="142E3B" w:themeColor="accent6"/>
            </w:tcBorders>
            <w:shd w:val="clear" w:color="auto" w:fill="20B9A3" w:themeFill="accent1"/>
          </w:tcPr>
          <w:p w14:paraId="19456E90" w14:textId="77777777" w:rsidR="006040C0" w:rsidRPr="003212F5" w:rsidRDefault="006040C0" w:rsidP="000025DD">
            <w:pPr>
              <w:pStyle w:val="TableHeading"/>
              <w:keepNext/>
              <w:spacing w:after="0"/>
              <w:jc w:val="right"/>
              <w:rPr>
                <w:sz w:val="20"/>
              </w:rPr>
            </w:pPr>
            <w:r w:rsidRPr="003212F5">
              <w:rPr>
                <w:sz w:val="20"/>
              </w:rPr>
              <w:t>p-value</w:t>
            </w:r>
          </w:p>
        </w:tc>
        <w:tc>
          <w:tcPr>
            <w:tcW w:w="949" w:type="dxa"/>
            <w:tcBorders>
              <w:top w:val="nil"/>
              <w:bottom w:val="single" w:sz="18" w:space="0" w:color="142E3B" w:themeColor="accent6"/>
            </w:tcBorders>
            <w:shd w:val="clear" w:color="auto" w:fill="20B9A3" w:themeFill="accent1"/>
          </w:tcPr>
          <w:p w14:paraId="17AF4F66" w14:textId="77777777" w:rsidR="006040C0" w:rsidRPr="003212F5" w:rsidRDefault="006040C0"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950" w:type="dxa"/>
            <w:tcBorders>
              <w:top w:val="nil"/>
              <w:bottom w:val="single" w:sz="18" w:space="0" w:color="142E3B" w:themeColor="accent6"/>
            </w:tcBorders>
            <w:shd w:val="clear" w:color="auto" w:fill="20B9A3" w:themeFill="accent1"/>
          </w:tcPr>
          <w:p w14:paraId="3B85C1AA" w14:textId="77777777" w:rsidR="006040C0" w:rsidRPr="003212F5" w:rsidRDefault="006040C0"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6040C0" w:rsidRPr="003212F5" w14:paraId="2EB2950D" w14:textId="77777777" w:rsidTr="005331E2">
        <w:trPr>
          <w:trHeight w:val="243"/>
        </w:trPr>
        <w:tc>
          <w:tcPr>
            <w:tcW w:w="2268" w:type="dxa"/>
            <w:shd w:val="clear" w:color="auto" w:fill="auto"/>
          </w:tcPr>
          <w:p w14:paraId="216AE033" w14:textId="31FE9BE7" w:rsidR="006040C0" w:rsidRPr="003212F5" w:rsidRDefault="006040C0" w:rsidP="000025DD">
            <w:pPr>
              <w:pStyle w:val="TableTextLeftAligned"/>
              <w:keepNext/>
              <w:spacing w:after="0"/>
              <w:rPr>
                <w:sz w:val="18"/>
              </w:rPr>
            </w:pPr>
            <w:r w:rsidRPr="006040C0">
              <w:rPr>
                <w:sz w:val="18"/>
              </w:rPr>
              <w:t>Y: Common industry terms</w:t>
            </w:r>
          </w:p>
        </w:tc>
        <w:tc>
          <w:tcPr>
            <w:tcW w:w="949" w:type="dxa"/>
          </w:tcPr>
          <w:p w14:paraId="1C27BA54" w14:textId="63AFD240" w:rsidR="006040C0" w:rsidRPr="003212F5" w:rsidRDefault="006040C0" w:rsidP="000025DD">
            <w:pPr>
              <w:pStyle w:val="TableTextRightAligned"/>
              <w:keepNext/>
              <w:spacing w:after="0"/>
              <w:rPr>
                <w:sz w:val="18"/>
              </w:rPr>
            </w:pPr>
            <w:r>
              <w:rPr>
                <w:sz w:val="18"/>
              </w:rPr>
              <w:t>49</w:t>
            </w:r>
            <w:r w:rsidR="001472E5">
              <w:rPr>
                <w:sz w:val="18"/>
              </w:rPr>
              <w:t>.</w:t>
            </w:r>
            <w:r>
              <w:rPr>
                <w:sz w:val="18"/>
              </w:rPr>
              <w:t>04</w:t>
            </w:r>
          </w:p>
        </w:tc>
        <w:tc>
          <w:tcPr>
            <w:tcW w:w="949" w:type="dxa"/>
            <w:shd w:val="clear" w:color="auto" w:fill="FFFFFF" w:themeFill="background1"/>
          </w:tcPr>
          <w:p w14:paraId="3B23EC07" w14:textId="77777777" w:rsidR="006040C0" w:rsidRPr="003212F5" w:rsidRDefault="006040C0" w:rsidP="000025DD">
            <w:pPr>
              <w:pStyle w:val="TableTextRightAligned"/>
              <w:keepNext/>
              <w:spacing w:after="0"/>
              <w:rPr>
                <w:sz w:val="18"/>
              </w:rPr>
            </w:pPr>
          </w:p>
        </w:tc>
        <w:tc>
          <w:tcPr>
            <w:tcW w:w="950" w:type="dxa"/>
          </w:tcPr>
          <w:p w14:paraId="6C229544" w14:textId="77777777" w:rsidR="006040C0" w:rsidRPr="003212F5" w:rsidRDefault="006040C0" w:rsidP="000025DD">
            <w:pPr>
              <w:pStyle w:val="TableTextRightAligned"/>
              <w:keepNext/>
              <w:spacing w:after="0"/>
              <w:rPr>
                <w:sz w:val="18"/>
              </w:rPr>
            </w:pPr>
          </w:p>
        </w:tc>
        <w:tc>
          <w:tcPr>
            <w:tcW w:w="949" w:type="dxa"/>
            <w:shd w:val="clear" w:color="auto" w:fill="FFFFFF" w:themeFill="background1"/>
          </w:tcPr>
          <w:p w14:paraId="7DE40306" w14:textId="77777777" w:rsidR="006040C0" w:rsidRPr="003212F5" w:rsidRDefault="006040C0" w:rsidP="000025DD">
            <w:pPr>
              <w:pStyle w:val="TableTextRightAligned"/>
              <w:keepNext/>
              <w:spacing w:after="0"/>
              <w:rPr>
                <w:sz w:val="18"/>
              </w:rPr>
            </w:pPr>
          </w:p>
        </w:tc>
        <w:tc>
          <w:tcPr>
            <w:tcW w:w="949" w:type="dxa"/>
          </w:tcPr>
          <w:p w14:paraId="2F5503E7" w14:textId="77777777" w:rsidR="006040C0" w:rsidRPr="003212F5" w:rsidRDefault="006040C0" w:rsidP="000025DD">
            <w:pPr>
              <w:pStyle w:val="TableTextRightAligned"/>
              <w:keepNext/>
              <w:spacing w:after="0"/>
              <w:rPr>
                <w:sz w:val="18"/>
              </w:rPr>
            </w:pPr>
          </w:p>
        </w:tc>
        <w:tc>
          <w:tcPr>
            <w:tcW w:w="950" w:type="dxa"/>
            <w:shd w:val="clear" w:color="auto" w:fill="FFFFFF" w:themeFill="background1"/>
          </w:tcPr>
          <w:p w14:paraId="6B837F2B" w14:textId="77777777" w:rsidR="006040C0" w:rsidRPr="003212F5" w:rsidRDefault="006040C0" w:rsidP="000025DD">
            <w:pPr>
              <w:pStyle w:val="TableTextRightAligned"/>
              <w:keepNext/>
              <w:spacing w:after="0"/>
              <w:ind w:left="-75" w:hanging="34"/>
              <w:rPr>
                <w:sz w:val="18"/>
              </w:rPr>
            </w:pPr>
          </w:p>
        </w:tc>
      </w:tr>
      <w:tr w:rsidR="006040C0" w:rsidRPr="003212F5" w14:paraId="531BE3BB" w14:textId="77777777" w:rsidTr="005331E2">
        <w:trPr>
          <w:trHeight w:val="243"/>
        </w:trPr>
        <w:tc>
          <w:tcPr>
            <w:tcW w:w="2268" w:type="dxa"/>
            <w:shd w:val="clear" w:color="auto" w:fill="auto"/>
          </w:tcPr>
          <w:p w14:paraId="140CD417" w14:textId="301C535C" w:rsidR="006040C0" w:rsidRPr="003212F5" w:rsidRDefault="006040C0" w:rsidP="000025DD">
            <w:pPr>
              <w:pStyle w:val="TableTextLeftAligned"/>
              <w:spacing w:after="0"/>
              <w:rPr>
                <w:sz w:val="18"/>
              </w:rPr>
            </w:pPr>
            <w:r w:rsidRPr="006040C0">
              <w:rPr>
                <w:sz w:val="18"/>
              </w:rPr>
              <w:t>Z: Technical, highlighting expected returns</w:t>
            </w:r>
          </w:p>
        </w:tc>
        <w:tc>
          <w:tcPr>
            <w:tcW w:w="949" w:type="dxa"/>
          </w:tcPr>
          <w:p w14:paraId="4B312AF4" w14:textId="071BDFC9" w:rsidR="006040C0" w:rsidRPr="003212F5" w:rsidRDefault="006040C0" w:rsidP="000025DD">
            <w:pPr>
              <w:pStyle w:val="TableTextRightAligned"/>
              <w:spacing w:after="0"/>
              <w:rPr>
                <w:sz w:val="18"/>
              </w:rPr>
            </w:pPr>
            <w:r w:rsidRPr="00F91AC1">
              <w:rPr>
                <w:sz w:val="18"/>
              </w:rPr>
              <w:t>30</w:t>
            </w:r>
            <w:r w:rsidR="001472E5">
              <w:rPr>
                <w:sz w:val="18"/>
              </w:rPr>
              <w:t>.</w:t>
            </w:r>
            <w:r w:rsidRPr="00F91AC1">
              <w:rPr>
                <w:sz w:val="18"/>
              </w:rPr>
              <w:t>24</w:t>
            </w:r>
          </w:p>
        </w:tc>
        <w:tc>
          <w:tcPr>
            <w:tcW w:w="949" w:type="dxa"/>
            <w:shd w:val="clear" w:color="auto" w:fill="FFFFFF" w:themeFill="background1"/>
          </w:tcPr>
          <w:p w14:paraId="3849C01D" w14:textId="640EF994" w:rsidR="006040C0" w:rsidRPr="003212F5" w:rsidRDefault="001472E5" w:rsidP="000025DD">
            <w:pPr>
              <w:pStyle w:val="TableTextRightAligned"/>
              <w:spacing w:after="0"/>
              <w:rPr>
                <w:sz w:val="18"/>
              </w:rPr>
            </w:pPr>
            <w:r>
              <w:rPr>
                <w:sz w:val="18"/>
              </w:rPr>
              <w:t>-</w:t>
            </w:r>
            <w:r w:rsidR="006040C0">
              <w:rPr>
                <w:sz w:val="18"/>
              </w:rPr>
              <w:t>18</w:t>
            </w:r>
            <w:r>
              <w:rPr>
                <w:sz w:val="18"/>
              </w:rPr>
              <w:t>.</w:t>
            </w:r>
            <w:r w:rsidR="006040C0">
              <w:rPr>
                <w:sz w:val="18"/>
              </w:rPr>
              <w:t>81</w:t>
            </w:r>
          </w:p>
        </w:tc>
        <w:tc>
          <w:tcPr>
            <w:tcW w:w="950" w:type="dxa"/>
          </w:tcPr>
          <w:p w14:paraId="005BDA7A" w14:textId="3EFF61ED" w:rsidR="006040C0" w:rsidRPr="003212F5" w:rsidRDefault="006040C0" w:rsidP="001472E5">
            <w:pPr>
              <w:pStyle w:val="TableTextRightAligned"/>
              <w:spacing w:after="0"/>
              <w:rPr>
                <w:sz w:val="18"/>
              </w:rPr>
            </w:pPr>
            <w:r>
              <w:rPr>
                <w:sz w:val="18"/>
              </w:rPr>
              <w:t>2</w:t>
            </w:r>
            <w:r w:rsidR="001472E5">
              <w:rPr>
                <w:sz w:val="18"/>
              </w:rPr>
              <w:t>.</w:t>
            </w:r>
            <w:r>
              <w:rPr>
                <w:sz w:val="18"/>
              </w:rPr>
              <w:t>49</w:t>
            </w:r>
          </w:p>
        </w:tc>
        <w:tc>
          <w:tcPr>
            <w:tcW w:w="949" w:type="dxa"/>
            <w:shd w:val="clear" w:color="auto" w:fill="FFFFFF" w:themeFill="background1"/>
          </w:tcPr>
          <w:p w14:paraId="4BD8C721" w14:textId="77777777" w:rsidR="006040C0" w:rsidRPr="003212F5" w:rsidRDefault="006040C0" w:rsidP="000025DD">
            <w:pPr>
              <w:pStyle w:val="TableTextRightAligned"/>
              <w:spacing w:after="0"/>
              <w:rPr>
                <w:sz w:val="18"/>
              </w:rPr>
            </w:pPr>
            <w:r w:rsidRPr="003212F5">
              <w:rPr>
                <w:sz w:val="18"/>
              </w:rPr>
              <w:t>0.</w:t>
            </w:r>
            <w:r>
              <w:rPr>
                <w:sz w:val="18"/>
              </w:rPr>
              <w:t>000</w:t>
            </w:r>
          </w:p>
        </w:tc>
        <w:tc>
          <w:tcPr>
            <w:tcW w:w="949" w:type="dxa"/>
          </w:tcPr>
          <w:p w14:paraId="565C152E" w14:textId="28F7542B" w:rsidR="006040C0" w:rsidRPr="003212F5" w:rsidRDefault="006040C0" w:rsidP="000025DD">
            <w:pPr>
              <w:pStyle w:val="TableTextRightAligned"/>
              <w:spacing w:after="0"/>
              <w:rPr>
                <w:sz w:val="18"/>
              </w:rPr>
            </w:pPr>
            <w:r>
              <w:rPr>
                <w:sz w:val="18"/>
              </w:rPr>
              <w:t>-23</w:t>
            </w:r>
            <w:r w:rsidR="001472E5">
              <w:rPr>
                <w:sz w:val="18"/>
              </w:rPr>
              <w:t>.</w:t>
            </w:r>
            <w:r>
              <w:rPr>
                <w:sz w:val="18"/>
              </w:rPr>
              <w:t>69</w:t>
            </w:r>
          </w:p>
        </w:tc>
        <w:tc>
          <w:tcPr>
            <w:tcW w:w="950" w:type="dxa"/>
            <w:shd w:val="clear" w:color="auto" w:fill="FFFFFF" w:themeFill="background1"/>
          </w:tcPr>
          <w:p w14:paraId="25A55789" w14:textId="457956E6" w:rsidR="006040C0" w:rsidRPr="003212F5" w:rsidRDefault="001472E5" w:rsidP="000025DD">
            <w:pPr>
              <w:pStyle w:val="TableTextRightAligned"/>
              <w:spacing w:after="0"/>
              <w:ind w:left="-75" w:hanging="34"/>
              <w:rPr>
                <w:sz w:val="18"/>
              </w:rPr>
            </w:pPr>
            <w:r>
              <w:rPr>
                <w:sz w:val="18"/>
              </w:rPr>
              <w:t>-</w:t>
            </w:r>
            <w:r w:rsidR="006040C0">
              <w:rPr>
                <w:sz w:val="18"/>
              </w:rPr>
              <w:t>13</w:t>
            </w:r>
            <w:r>
              <w:rPr>
                <w:sz w:val="18"/>
              </w:rPr>
              <w:t>.</w:t>
            </w:r>
            <w:r w:rsidR="006040C0">
              <w:rPr>
                <w:sz w:val="18"/>
              </w:rPr>
              <w:t>92</w:t>
            </w:r>
          </w:p>
        </w:tc>
      </w:tr>
    </w:tbl>
    <w:p w14:paraId="6FFC6947" w14:textId="546FD72A" w:rsidR="00F14B81" w:rsidRDefault="00F14B81" w:rsidP="00F14B81">
      <w:pPr>
        <w:spacing w:line="240" w:lineRule="auto"/>
        <w:rPr>
          <w:sz w:val="18"/>
        </w:rPr>
      </w:pPr>
      <w:r w:rsidRPr="00BE642E">
        <w:rPr>
          <w:sz w:val="18"/>
        </w:rPr>
        <w:t>Note</w:t>
      </w:r>
      <w:r>
        <w:rPr>
          <w:sz w:val="18"/>
        </w:rPr>
        <w:t>: n = 1</w:t>
      </w:r>
      <w:r w:rsidR="003D4211">
        <w:rPr>
          <w:sz w:val="18"/>
        </w:rPr>
        <w:t>,</w:t>
      </w:r>
      <w:r>
        <w:rPr>
          <w:sz w:val="18"/>
        </w:rPr>
        <w:t xml:space="preserve">484, OLS regression, </w:t>
      </w:r>
      <w:r w:rsidRPr="00BE642E">
        <w:rPr>
          <w:sz w:val="18"/>
        </w:rPr>
        <w:t xml:space="preserve">p-values are from </w:t>
      </w:r>
      <w:r w:rsidR="00A4483D">
        <w:rPr>
          <w:sz w:val="18"/>
        </w:rPr>
        <w:t>two</w:t>
      </w:r>
      <w:r w:rsidRPr="00236038">
        <w:rPr>
          <w:sz w:val="18"/>
        </w:rPr>
        <w:t>-tailed tests.</w:t>
      </w:r>
      <w:r w:rsidR="00B41DC6">
        <w:rPr>
          <w:sz w:val="18"/>
        </w:rPr>
        <w:t xml:space="preserve"> </w:t>
      </w:r>
      <w:r w:rsidR="00B41DC6" w:rsidRPr="00B41DC6">
        <w:rPr>
          <w:sz w:val="18"/>
        </w:rPr>
        <w:t>We did not correct for multiple comparisons.</w:t>
      </w:r>
    </w:p>
    <w:p w14:paraId="77C71E46" w14:textId="2A70EBB8" w:rsidR="00F14B81" w:rsidRPr="009F3C0D" w:rsidRDefault="00F14B81" w:rsidP="00BD20D5">
      <w:pPr>
        <w:pStyle w:val="HeadingTable"/>
        <w:spacing w:before="240" w:after="120"/>
        <w:ind w:left="357" w:hanging="357"/>
        <w:outlineLvl w:val="3"/>
      </w:pPr>
      <w:r>
        <w:t xml:space="preserve">Primary outcome – </w:t>
      </w:r>
      <w:r w:rsidRPr="00F14B81">
        <w:t>select</w:t>
      </w:r>
      <w:r>
        <w:t>ion</w:t>
      </w:r>
      <w:r w:rsidRPr="00F14B81">
        <w:t xml:space="preserve"> </w:t>
      </w:r>
      <w:r>
        <w:t xml:space="preserve">of </w:t>
      </w:r>
      <w:r w:rsidRPr="00F14B81">
        <w:t xml:space="preserve">the most appropriate response </w:t>
      </w:r>
      <w:r>
        <w:t>(H2</w:t>
      </w:r>
      <w:r w:rsidRPr="00236038">
        <w:t>.</w:t>
      </w:r>
      <w:r>
        <w:t>3</w:t>
      </w:r>
      <w:r w:rsidRPr="00236038">
        <w:t>)</w:t>
      </w:r>
    </w:p>
    <w:tbl>
      <w:tblPr>
        <w:tblStyle w:val="DefaultTable"/>
        <w:tblW w:w="7995" w:type="dxa"/>
        <w:tblLayout w:type="fixed"/>
        <w:tblCellMar>
          <w:top w:w="85" w:type="dxa"/>
        </w:tblCellMar>
        <w:tblLook w:val="0420" w:firstRow="1" w:lastRow="0" w:firstColumn="0" w:lastColumn="0" w:noHBand="0" w:noVBand="1"/>
        <w:tblCaption w:val="Table 1"/>
        <w:tblDescription w:val="Example table with Alt Text for accessibility"/>
      </w:tblPr>
      <w:tblGrid>
        <w:gridCol w:w="2268"/>
        <w:gridCol w:w="954"/>
        <w:gridCol w:w="955"/>
        <w:gridCol w:w="954"/>
        <w:gridCol w:w="955"/>
        <w:gridCol w:w="954"/>
        <w:gridCol w:w="955"/>
      </w:tblGrid>
      <w:tr w:rsidR="006040C0" w:rsidRPr="003212F5" w14:paraId="460A5351" w14:textId="77777777" w:rsidTr="005331E2">
        <w:trPr>
          <w:cnfStyle w:val="100000000000" w:firstRow="1" w:lastRow="0" w:firstColumn="0" w:lastColumn="0" w:oddVBand="0" w:evenVBand="0" w:oddHBand="0" w:evenHBand="0" w:firstRowFirstColumn="0" w:firstRowLastColumn="0" w:lastRowFirstColumn="0" w:lastRowLastColumn="0"/>
          <w:trHeight w:val="576"/>
          <w:tblHeader/>
        </w:trPr>
        <w:tc>
          <w:tcPr>
            <w:tcW w:w="2268" w:type="dxa"/>
            <w:tcBorders>
              <w:top w:val="nil"/>
              <w:bottom w:val="single" w:sz="18" w:space="0" w:color="142E3B" w:themeColor="accent6"/>
            </w:tcBorders>
            <w:shd w:val="clear" w:color="auto" w:fill="20B9A3" w:themeFill="accent1"/>
          </w:tcPr>
          <w:p w14:paraId="2CE16D60" w14:textId="77777777" w:rsidR="006040C0" w:rsidRPr="003212F5" w:rsidRDefault="006040C0" w:rsidP="000025DD">
            <w:pPr>
              <w:pStyle w:val="TableHeading"/>
              <w:keepNext/>
              <w:spacing w:after="0"/>
              <w:rPr>
                <w:sz w:val="20"/>
              </w:rPr>
            </w:pPr>
            <w:r w:rsidRPr="003212F5">
              <w:rPr>
                <w:sz w:val="20"/>
              </w:rPr>
              <w:t>Treatment arm</w:t>
            </w:r>
          </w:p>
        </w:tc>
        <w:tc>
          <w:tcPr>
            <w:tcW w:w="954" w:type="dxa"/>
            <w:tcBorders>
              <w:top w:val="nil"/>
              <w:bottom w:val="single" w:sz="18" w:space="0" w:color="142E3B" w:themeColor="accent6"/>
            </w:tcBorders>
            <w:shd w:val="clear" w:color="auto" w:fill="20B9A3" w:themeFill="accent1"/>
          </w:tcPr>
          <w:p w14:paraId="5F2DBEC9" w14:textId="3F965C73" w:rsidR="006040C0" w:rsidRPr="003212F5" w:rsidRDefault="006040C0" w:rsidP="000025DD">
            <w:pPr>
              <w:pStyle w:val="TableHeading"/>
              <w:keepNext/>
              <w:spacing w:after="0"/>
              <w:rPr>
                <w:sz w:val="20"/>
              </w:rPr>
            </w:pPr>
            <w:r w:rsidRPr="003212F5">
              <w:rPr>
                <w:sz w:val="20"/>
              </w:rPr>
              <w:t>Mean</w:t>
            </w:r>
            <w:r w:rsidR="001472E5">
              <w:rPr>
                <w:sz w:val="20"/>
              </w:rPr>
              <w:t xml:space="preserve"> (%)</w:t>
            </w:r>
          </w:p>
        </w:tc>
        <w:tc>
          <w:tcPr>
            <w:tcW w:w="955" w:type="dxa"/>
            <w:tcBorders>
              <w:top w:val="nil"/>
              <w:bottom w:val="single" w:sz="18" w:space="0" w:color="142E3B" w:themeColor="accent6"/>
            </w:tcBorders>
            <w:shd w:val="clear" w:color="auto" w:fill="20B9A3" w:themeFill="accent1"/>
          </w:tcPr>
          <w:p w14:paraId="78FD06B9" w14:textId="34BC2E60" w:rsidR="006040C0" w:rsidRPr="003212F5" w:rsidRDefault="006040C0" w:rsidP="000025DD">
            <w:pPr>
              <w:pStyle w:val="TableHeading"/>
              <w:keepNext/>
              <w:spacing w:after="0"/>
              <w:jc w:val="right"/>
              <w:rPr>
                <w:sz w:val="20"/>
              </w:rPr>
            </w:pPr>
            <w:r>
              <w:rPr>
                <w:sz w:val="20"/>
              </w:rPr>
              <w:t>E</w:t>
            </w:r>
            <w:r w:rsidR="001472E5">
              <w:rPr>
                <w:sz w:val="20"/>
              </w:rPr>
              <w:t>ffect (%)</w:t>
            </w:r>
          </w:p>
        </w:tc>
        <w:tc>
          <w:tcPr>
            <w:tcW w:w="954" w:type="dxa"/>
            <w:tcBorders>
              <w:top w:val="nil"/>
              <w:bottom w:val="single" w:sz="18" w:space="0" w:color="142E3B" w:themeColor="accent6"/>
            </w:tcBorders>
            <w:shd w:val="clear" w:color="auto" w:fill="20B9A3" w:themeFill="accent1"/>
          </w:tcPr>
          <w:p w14:paraId="1DF7E204" w14:textId="77777777" w:rsidR="006040C0" w:rsidRPr="003212F5" w:rsidRDefault="006040C0" w:rsidP="000025DD">
            <w:pPr>
              <w:pStyle w:val="TableHeading"/>
              <w:keepNext/>
              <w:spacing w:after="0"/>
              <w:jc w:val="right"/>
              <w:rPr>
                <w:sz w:val="20"/>
              </w:rPr>
            </w:pPr>
            <w:r w:rsidRPr="003212F5">
              <w:rPr>
                <w:sz w:val="20"/>
              </w:rPr>
              <w:t>Std. error</w:t>
            </w:r>
          </w:p>
        </w:tc>
        <w:tc>
          <w:tcPr>
            <w:tcW w:w="955" w:type="dxa"/>
            <w:tcBorders>
              <w:top w:val="nil"/>
              <w:bottom w:val="single" w:sz="18" w:space="0" w:color="142E3B" w:themeColor="accent6"/>
            </w:tcBorders>
            <w:shd w:val="clear" w:color="auto" w:fill="20B9A3" w:themeFill="accent1"/>
          </w:tcPr>
          <w:p w14:paraId="13DDDB10" w14:textId="77777777" w:rsidR="006040C0" w:rsidRPr="003212F5" w:rsidRDefault="006040C0" w:rsidP="000025DD">
            <w:pPr>
              <w:pStyle w:val="TableHeading"/>
              <w:keepNext/>
              <w:spacing w:after="0"/>
              <w:jc w:val="right"/>
              <w:rPr>
                <w:sz w:val="20"/>
              </w:rPr>
            </w:pPr>
            <w:r w:rsidRPr="003212F5">
              <w:rPr>
                <w:sz w:val="20"/>
              </w:rPr>
              <w:t>p-value</w:t>
            </w:r>
          </w:p>
        </w:tc>
        <w:tc>
          <w:tcPr>
            <w:tcW w:w="954" w:type="dxa"/>
            <w:tcBorders>
              <w:top w:val="nil"/>
              <w:bottom w:val="single" w:sz="18" w:space="0" w:color="142E3B" w:themeColor="accent6"/>
            </w:tcBorders>
            <w:shd w:val="clear" w:color="auto" w:fill="20B9A3" w:themeFill="accent1"/>
          </w:tcPr>
          <w:p w14:paraId="4129A3F1" w14:textId="77777777" w:rsidR="006040C0" w:rsidRPr="003212F5" w:rsidRDefault="006040C0" w:rsidP="000025DD">
            <w:pPr>
              <w:pStyle w:val="TableHeading"/>
              <w:keepNext/>
              <w:spacing w:after="0"/>
              <w:jc w:val="right"/>
              <w:rPr>
                <w:sz w:val="20"/>
              </w:rPr>
            </w:pPr>
            <w:r>
              <w:rPr>
                <w:sz w:val="20"/>
              </w:rPr>
              <w:t>95%</w:t>
            </w:r>
            <w:r w:rsidRPr="003212F5">
              <w:rPr>
                <w:sz w:val="20"/>
              </w:rPr>
              <w:t>CI</w:t>
            </w:r>
            <w:r>
              <w:rPr>
                <w:sz w:val="20"/>
              </w:rPr>
              <w:t>:</w:t>
            </w:r>
            <w:r w:rsidRPr="003212F5">
              <w:rPr>
                <w:sz w:val="20"/>
              </w:rPr>
              <w:t xml:space="preserve"> low</w:t>
            </w:r>
          </w:p>
        </w:tc>
        <w:tc>
          <w:tcPr>
            <w:tcW w:w="955" w:type="dxa"/>
            <w:tcBorders>
              <w:top w:val="nil"/>
              <w:bottom w:val="single" w:sz="18" w:space="0" w:color="142E3B" w:themeColor="accent6"/>
            </w:tcBorders>
            <w:shd w:val="clear" w:color="auto" w:fill="20B9A3" w:themeFill="accent1"/>
          </w:tcPr>
          <w:p w14:paraId="7583380D" w14:textId="77777777" w:rsidR="006040C0" w:rsidRPr="003212F5" w:rsidRDefault="006040C0" w:rsidP="000025DD">
            <w:pPr>
              <w:pStyle w:val="TableHeading"/>
              <w:keepNext/>
              <w:spacing w:after="0"/>
              <w:ind w:left="-75" w:hanging="34"/>
              <w:jc w:val="right"/>
              <w:rPr>
                <w:sz w:val="20"/>
              </w:rPr>
            </w:pPr>
            <w:r>
              <w:rPr>
                <w:sz w:val="20"/>
              </w:rPr>
              <w:t>95%</w:t>
            </w:r>
            <w:r w:rsidRPr="003212F5">
              <w:rPr>
                <w:sz w:val="20"/>
              </w:rPr>
              <w:t>CI</w:t>
            </w:r>
            <w:r>
              <w:rPr>
                <w:sz w:val="20"/>
              </w:rPr>
              <w:t xml:space="preserve">: </w:t>
            </w:r>
            <w:r w:rsidRPr="003212F5">
              <w:rPr>
                <w:sz w:val="20"/>
              </w:rPr>
              <w:t>high</w:t>
            </w:r>
          </w:p>
        </w:tc>
      </w:tr>
      <w:tr w:rsidR="006040C0" w:rsidRPr="003212F5" w14:paraId="7516FD70" w14:textId="77777777" w:rsidTr="005331E2">
        <w:trPr>
          <w:trHeight w:val="249"/>
        </w:trPr>
        <w:tc>
          <w:tcPr>
            <w:tcW w:w="2268" w:type="dxa"/>
            <w:shd w:val="clear" w:color="auto" w:fill="auto"/>
          </w:tcPr>
          <w:p w14:paraId="152B295D" w14:textId="7C494076" w:rsidR="006040C0" w:rsidRPr="00F91AC1" w:rsidRDefault="006040C0" w:rsidP="000025DD">
            <w:pPr>
              <w:pStyle w:val="TableTextLeftAligned"/>
              <w:keepNext/>
              <w:spacing w:after="0"/>
              <w:rPr>
                <w:sz w:val="18"/>
              </w:rPr>
            </w:pPr>
            <w:r w:rsidRPr="006040C0">
              <w:rPr>
                <w:sz w:val="18"/>
              </w:rPr>
              <w:t>X: Technical, highlighting negative returns</w:t>
            </w:r>
          </w:p>
        </w:tc>
        <w:tc>
          <w:tcPr>
            <w:tcW w:w="954" w:type="dxa"/>
          </w:tcPr>
          <w:p w14:paraId="33DE8D95" w14:textId="6EC58516" w:rsidR="006040C0" w:rsidRPr="00F91AC1" w:rsidRDefault="006040C0" w:rsidP="000025DD">
            <w:pPr>
              <w:pStyle w:val="TableTextRightAligned"/>
              <w:keepNext/>
              <w:spacing w:after="0"/>
              <w:rPr>
                <w:sz w:val="18"/>
              </w:rPr>
            </w:pPr>
            <w:r w:rsidRPr="00F91AC1">
              <w:rPr>
                <w:sz w:val="18"/>
              </w:rPr>
              <w:t>27</w:t>
            </w:r>
            <w:r w:rsidR="001472E5">
              <w:rPr>
                <w:sz w:val="18"/>
              </w:rPr>
              <w:t>.</w:t>
            </w:r>
            <w:r w:rsidRPr="00F91AC1">
              <w:rPr>
                <w:sz w:val="18"/>
              </w:rPr>
              <w:t>35</w:t>
            </w:r>
          </w:p>
        </w:tc>
        <w:tc>
          <w:tcPr>
            <w:tcW w:w="955" w:type="dxa"/>
            <w:shd w:val="clear" w:color="auto" w:fill="FFFFFF" w:themeFill="background1"/>
          </w:tcPr>
          <w:p w14:paraId="7BEA5AD4" w14:textId="77777777" w:rsidR="006040C0" w:rsidRPr="003212F5" w:rsidRDefault="006040C0" w:rsidP="000025DD">
            <w:pPr>
              <w:pStyle w:val="TableTextRightAligned"/>
              <w:keepNext/>
              <w:spacing w:after="0"/>
              <w:rPr>
                <w:sz w:val="18"/>
              </w:rPr>
            </w:pPr>
          </w:p>
        </w:tc>
        <w:tc>
          <w:tcPr>
            <w:tcW w:w="954" w:type="dxa"/>
          </w:tcPr>
          <w:p w14:paraId="68AB5EB7" w14:textId="77777777" w:rsidR="006040C0" w:rsidRPr="003212F5" w:rsidRDefault="006040C0" w:rsidP="000025DD">
            <w:pPr>
              <w:pStyle w:val="TableTextRightAligned"/>
              <w:keepNext/>
              <w:spacing w:after="0"/>
              <w:rPr>
                <w:sz w:val="18"/>
              </w:rPr>
            </w:pPr>
          </w:p>
        </w:tc>
        <w:tc>
          <w:tcPr>
            <w:tcW w:w="955" w:type="dxa"/>
            <w:shd w:val="clear" w:color="auto" w:fill="FFFFFF" w:themeFill="background1"/>
          </w:tcPr>
          <w:p w14:paraId="4A503D98" w14:textId="77777777" w:rsidR="006040C0" w:rsidRPr="003212F5" w:rsidRDefault="006040C0" w:rsidP="000025DD">
            <w:pPr>
              <w:pStyle w:val="TableTextRightAligned"/>
              <w:keepNext/>
              <w:spacing w:after="0"/>
              <w:rPr>
                <w:sz w:val="18"/>
              </w:rPr>
            </w:pPr>
          </w:p>
        </w:tc>
        <w:tc>
          <w:tcPr>
            <w:tcW w:w="954" w:type="dxa"/>
          </w:tcPr>
          <w:p w14:paraId="0357DD65" w14:textId="77777777" w:rsidR="006040C0" w:rsidRPr="003212F5" w:rsidRDefault="006040C0" w:rsidP="000025DD">
            <w:pPr>
              <w:pStyle w:val="TableTextRightAligned"/>
              <w:keepNext/>
              <w:spacing w:after="0"/>
              <w:rPr>
                <w:sz w:val="18"/>
              </w:rPr>
            </w:pPr>
          </w:p>
        </w:tc>
        <w:tc>
          <w:tcPr>
            <w:tcW w:w="955" w:type="dxa"/>
            <w:shd w:val="clear" w:color="auto" w:fill="FFFFFF" w:themeFill="background1"/>
          </w:tcPr>
          <w:p w14:paraId="5CD511C1" w14:textId="77777777" w:rsidR="006040C0" w:rsidRPr="003212F5" w:rsidRDefault="006040C0" w:rsidP="000025DD">
            <w:pPr>
              <w:pStyle w:val="TableTextRightAligned"/>
              <w:keepNext/>
              <w:spacing w:after="0"/>
              <w:ind w:left="-75" w:hanging="34"/>
              <w:rPr>
                <w:sz w:val="18"/>
              </w:rPr>
            </w:pPr>
          </w:p>
        </w:tc>
      </w:tr>
      <w:tr w:rsidR="006040C0" w:rsidRPr="003212F5" w14:paraId="28630239" w14:textId="77777777" w:rsidTr="005331E2">
        <w:trPr>
          <w:trHeight w:val="249"/>
        </w:trPr>
        <w:tc>
          <w:tcPr>
            <w:tcW w:w="2268" w:type="dxa"/>
            <w:shd w:val="clear" w:color="auto" w:fill="auto"/>
          </w:tcPr>
          <w:p w14:paraId="0E05BA36" w14:textId="084E4CE8" w:rsidR="006040C0" w:rsidRPr="003212F5" w:rsidRDefault="006040C0" w:rsidP="000025DD">
            <w:pPr>
              <w:pStyle w:val="TableTextLeftAligned"/>
              <w:spacing w:after="0"/>
              <w:rPr>
                <w:sz w:val="18"/>
              </w:rPr>
            </w:pPr>
            <w:r w:rsidRPr="006040C0">
              <w:rPr>
                <w:sz w:val="18"/>
              </w:rPr>
              <w:t>Z: Technical, highlighting expected returns</w:t>
            </w:r>
          </w:p>
        </w:tc>
        <w:tc>
          <w:tcPr>
            <w:tcW w:w="954" w:type="dxa"/>
          </w:tcPr>
          <w:p w14:paraId="0CC55B4C" w14:textId="7DFF9F29" w:rsidR="006040C0" w:rsidRPr="003212F5" w:rsidRDefault="006040C0" w:rsidP="001472E5">
            <w:pPr>
              <w:pStyle w:val="TableTextRightAligned"/>
              <w:spacing w:after="0"/>
              <w:rPr>
                <w:sz w:val="18"/>
              </w:rPr>
            </w:pPr>
            <w:r w:rsidRPr="00F91AC1">
              <w:rPr>
                <w:sz w:val="18"/>
              </w:rPr>
              <w:t>30</w:t>
            </w:r>
            <w:r w:rsidR="001472E5">
              <w:rPr>
                <w:sz w:val="18"/>
              </w:rPr>
              <w:t>.</w:t>
            </w:r>
            <w:r w:rsidRPr="00F91AC1">
              <w:rPr>
                <w:sz w:val="18"/>
              </w:rPr>
              <w:t>37</w:t>
            </w:r>
          </w:p>
        </w:tc>
        <w:tc>
          <w:tcPr>
            <w:tcW w:w="955" w:type="dxa"/>
            <w:shd w:val="clear" w:color="auto" w:fill="FFFFFF" w:themeFill="background1"/>
          </w:tcPr>
          <w:p w14:paraId="0A4C367F" w14:textId="17A999EA" w:rsidR="006040C0" w:rsidRPr="003212F5" w:rsidRDefault="006040C0" w:rsidP="00361E5E">
            <w:pPr>
              <w:pStyle w:val="TableTextRightAligned"/>
              <w:spacing w:after="0"/>
              <w:rPr>
                <w:sz w:val="18"/>
              </w:rPr>
            </w:pPr>
            <w:r>
              <w:rPr>
                <w:sz w:val="18"/>
              </w:rPr>
              <w:t>3</w:t>
            </w:r>
            <w:r w:rsidR="001472E5">
              <w:rPr>
                <w:sz w:val="18"/>
              </w:rPr>
              <w:t>.</w:t>
            </w:r>
            <w:r>
              <w:rPr>
                <w:sz w:val="18"/>
              </w:rPr>
              <w:t>02</w:t>
            </w:r>
          </w:p>
        </w:tc>
        <w:tc>
          <w:tcPr>
            <w:tcW w:w="954" w:type="dxa"/>
          </w:tcPr>
          <w:p w14:paraId="28D36F58" w14:textId="79944D32" w:rsidR="006040C0" w:rsidRPr="003212F5" w:rsidRDefault="006040C0" w:rsidP="00361E5E">
            <w:pPr>
              <w:pStyle w:val="TableTextRightAligned"/>
              <w:spacing w:after="0"/>
              <w:rPr>
                <w:sz w:val="18"/>
              </w:rPr>
            </w:pPr>
            <w:r>
              <w:rPr>
                <w:sz w:val="18"/>
              </w:rPr>
              <w:t>2</w:t>
            </w:r>
            <w:r w:rsidR="001472E5">
              <w:rPr>
                <w:sz w:val="18"/>
              </w:rPr>
              <w:t>.</w:t>
            </w:r>
            <w:r>
              <w:rPr>
                <w:sz w:val="18"/>
              </w:rPr>
              <w:t>34</w:t>
            </w:r>
          </w:p>
        </w:tc>
        <w:tc>
          <w:tcPr>
            <w:tcW w:w="955" w:type="dxa"/>
            <w:shd w:val="clear" w:color="auto" w:fill="FFFFFF" w:themeFill="background1"/>
          </w:tcPr>
          <w:p w14:paraId="45D5C670" w14:textId="09C009D9" w:rsidR="006040C0" w:rsidRPr="003212F5" w:rsidRDefault="006040C0" w:rsidP="000025DD">
            <w:pPr>
              <w:pStyle w:val="TableTextRightAligned"/>
              <w:spacing w:after="0"/>
              <w:rPr>
                <w:sz w:val="18"/>
              </w:rPr>
            </w:pPr>
            <w:r>
              <w:rPr>
                <w:sz w:val="18"/>
              </w:rPr>
              <w:t>19</w:t>
            </w:r>
            <w:r w:rsidR="001472E5">
              <w:rPr>
                <w:sz w:val="18"/>
              </w:rPr>
              <w:t>.</w:t>
            </w:r>
            <w:r>
              <w:rPr>
                <w:sz w:val="18"/>
              </w:rPr>
              <w:t>77</w:t>
            </w:r>
          </w:p>
        </w:tc>
        <w:tc>
          <w:tcPr>
            <w:tcW w:w="954" w:type="dxa"/>
          </w:tcPr>
          <w:p w14:paraId="352A7E78" w14:textId="1521BD3C" w:rsidR="006040C0" w:rsidRPr="003212F5" w:rsidRDefault="001472E5" w:rsidP="000025DD">
            <w:pPr>
              <w:pStyle w:val="TableTextRightAligned"/>
              <w:spacing w:after="0"/>
              <w:rPr>
                <w:sz w:val="18"/>
              </w:rPr>
            </w:pPr>
            <w:r>
              <w:rPr>
                <w:sz w:val="18"/>
              </w:rPr>
              <w:t>-</w:t>
            </w:r>
            <w:r w:rsidR="006040C0">
              <w:rPr>
                <w:sz w:val="18"/>
              </w:rPr>
              <w:t>1</w:t>
            </w:r>
            <w:r>
              <w:rPr>
                <w:sz w:val="18"/>
              </w:rPr>
              <w:t>.</w:t>
            </w:r>
            <w:r w:rsidR="006040C0">
              <w:rPr>
                <w:sz w:val="18"/>
              </w:rPr>
              <w:t>57</w:t>
            </w:r>
          </w:p>
        </w:tc>
        <w:tc>
          <w:tcPr>
            <w:tcW w:w="955" w:type="dxa"/>
            <w:shd w:val="clear" w:color="auto" w:fill="FFFFFF" w:themeFill="background1"/>
          </w:tcPr>
          <w:p w14:paraId="3A429BE2" w14:textId="70B1FEF1" w:rsidR="006040C0" w:rsidRPr="003212F5" w:rsidRDefault="006040C0" w:rsidP="00361E5E">
            <w:pPr>
              <w:pStyle w:val="TableTextRightAligned"/>
              <w:spacing w:after="0"/>
              <w:ind w:left="-75" w:hanging="34"/>
              <w:rPr>
                <w:sz w:val="18"/>
              </w:rPr>
            </w:pPr>
            <w:r>
              <w:rPr>
                <w:sz w:val="18"/>
              </w:rPr>
              <w:t>7</w:t>
            </w:r>
            <w:r w:rsidR="001472E5">
              <w:rPr>
                <w:sz w:val="18"/>
              </w:rPr>
              <w:t>.</w:t>
            </w:r>
            <w:r>
              <w:rPr>
                <w:sz w:val="18"/>
              </w:rPr>
              <w:t>61</w:t>
            </w:r>
          </w:p>
        </w:tc>
      </w:tr>
    </w:tbl>
    <w:p w14:paraId="2BC98A4E" w14:textId="22F1809B" w:rsidR="00E86597" w:rsidRPr="0080114F" w:rsidRDefault="00F14B81" w:rsidP="0080114F">
      <w:pPr>
        <w:spacing w:line="240" w:lineRule="auto"/>
        <w:rPr>
          <w:sz w:val="18"/>
        </w:rPr>
      </w:pPr>
      <w:r w:rsidRPr="00BE642E">
        <w:rPr>
          <w:sz w:val="18"/>
        </w:rPr>
        <w:t>Note</w:t>
      </w:r>
      <w:r>
        <w:rPr>
          <w:sz w:val="18"/>
        </w:rPr>
        <w:t>: n = 1</w:t>
      </w:r>
      <w:r w:rsidR="003D4211">
        <w:rPr>
          <w:sz w:val="18"/>
        </w:rPr>
        <w:t>,</w:t>
      </w:r>
      <w:r>
        <w:rPr>
          <w:sz w:val="18"/>
        </w:rPr>
        <w:t>49</w:t>
      </w:r>
      <w:r w:rsidR="005F5E1B">
        <w:rPr>
          <w:sz w:val="18"/>
        </w:rPr>
        <w:t>4</w:t>
      </w:r>
      <w:r>
        <w:rPr>
          <w:sz w:val="18"/>
        </w:rPr>
        <w:t xml:space="preserve">, OLS regression, </w:t>
      </w:r>
      <w:r w:rsidRPr="00BE642E">
        <w:rPr>
          <w:sz w:val="18"/>
        </w:rPr>
        <w:t xml:space="preserve">p-values are from </w:t>
      </w:r>
      <w:r w:rsidR="00A4483D">
        <w:rPr>
          <w:sz w:val="18"/>
        </w:rPr>
        <w:t>two</w:t>
      </w:r>
      <w:r w:rsidRPr="00236038">
        <w:rPr>
          <w:sz w:val="18"/>
        </w:rPr>
        <w:t>-tailed tests.</w:t>
      </w:r>
      <w:r w:rsidR="00B41DC6" w:rsidRPr="00B41DC6">
        <w:rPr>
          <w:sz w:val="18"/>
        </w:rPr>
        <w:t xml:space="preserve"> We did not correct for multiple comparisons.</w:t>
      </w:r>
    </w:p>
    <w:p w14:paraId="1C4BAE00" w14:textId="6EC08276" w:rsidR="00392A01" w:rsidRDefault="00F802A8" w:rsidP="005E62D4">
      <w:pPr>
        <w:pStyle w:val="Heading3"/>
      </w:pPr>
      <w:r>
        <w:t>Respondent d</w:t>
      </w:r>
      <w:r w:rsidR="00392A01">
        <w:t xml:space="preserve">emographic characteristics </w:t>
      </w:r>
    </w:p>
    <w:p w14:paraId="644227D2" w14:textId="51BB068A" w:rsidR="00815847" w:rsidRDefault="00392A01" w:rsidP="00392A01">
      <w:r w:rsidRPr="006E501B">
        <w:t>This section</w:t>
      </w:r>
      <w:r w:rsidR="00A70FEA">
        <w:t xml:space="preserve"> outlines</w:t>
      </w:r>
      <w:r w:rsidRPr="006E501B">
        <w:t xml:space="preserve"> the</w:t>
      </w:r>
      <w:r>
        <w:t xml:space="preserve"> demographic characteristics of the overall sample. </w:t>
      </w:r>
      <w:r w:rsidR="00815847">
        <w:t xml:space="preserve">For more details on sample demographics see the </w:t>
      </w:r>
      <w:r w:rsidR="00430094" w:rsidRPr="00430094">
        <w:t>spreadsheet appendix</w:t>
      </w:r>
      <w:r w:rsidR="00815847" w:rsidRPr="00430094">
        <w:t>.</w:t>
      </w:r>
      <w:r w:rsidR="00815847">
        <w:t xml:space="preserve"> </w:t>
      </w:r>
    </w:p>
    <w:p w14:paraId="6AD38B08" w14:textId="03EBF691" w:rsidR="00F802A8" w:rsidRDefault="00F802A8" w:rsidP="00392A01">
      <w:r>
        <w:t xml:space="preserve">The survey sought to capture a sample reflective of the Australian population based on </w:t>
      </w:r>
      <w:r w:rsidRPr="000E3BE4">
        <w:t xml:space="preserve">age, </w:t>
      </w:r>
      <w:r>
        <w:t xml:space="preserve">gender and metropolitan-regional split. </w:t>
      </w:r>
      <w:r w:rsidRPr="0059077E">
        <w:t xml:space="preserve">Table </w:t>
      </w:r>
      <w:r w:rsidR="00ED769F">
        <w:t>25</w:t>
      </w:r>
      <w:r>
        <w:t xml:space="preserve"> shows this was broadly achieved, though the share of respondents aged 18-24 is lower than that targeted. This meant that our sample was slightly overweight in older age groups. The lower proportion of younger respondents is likely a product of the survey being administered online in a form incompatible with mobile devices, which made younger demographics more difficult to reach. Additionally, respondents were required to have a superannuation account (or expect to have one within a year) and not yet be retired</w:t>
      </w:r>
      <w:r w:rsidR="00C25F35">
        <w:t>, which is also less likely at younger ages</w:t>
      </w:r>
      <w:r>
        <w:t>.</w:t>
      </w:r>
      <w:r>
        <w:rPr>
          <w:rStyle w:val="FootnoteReference"/>
        </w:rPr>
        <w:footnoteReference w:id="6"/>
      </w:r>
      <w:r w:rsidR="002631F9">
        <w:t xml:space="preserve"> </w:t>
      </w:r>
    </w:p>
    <w:p w14:paraId="010B53B1" w14:textId="476B7422" w:rsidR="00FD0E7A" w:rsidRDefault="00FD0E7A" w:rsidP="00FD0E7A">
      <w:r>
        <w:t xml:space="preserve">With respect to education, 55% of </w:t>
      </w:r>
      <w:r w:rsidR="00A74502">
        <w:t>the sample had achieved a b</w:t>
      </w:r>
      <w:r>
        <w:t>achelor degree or higher qualification. The majority (63%) of respondents reported being in full</w:t>
      </w:r>
      <w:r>
        <w:noBreakHyphen/>
        <w:t>time employment, with another 27% in part</w:t>
      </w:r>
      <w:r>
        <w:noBreakHyphen/>
        <w:t xml:space="preserve">time or casual employment. </w:t>
      </w:r>
    </w:p>
    <w:p w14:paraId="20F16CFA" w14:textId="35AEAB18" w:rsidR="00FD0E7A" w:rsidRDefault="00FD0E7A" w:rsidP="00392A01">
      <w:r>
        <w:t xml:space="preserve">Only 15% of respondents reported having two or more superannuation products. This is significantly lower than the </w:t>
      </w:r>
      <w:r w:rsidR="00FE09F4">
        <w:t>2</w:t>
      </w:r>
      <w:r>
        <w:t xml:space="preserve">6% reported by the </w:t>
      </w:r>
      <w:r w:rsidR="00FE09F4">
        <w:t>ATO (2021)</w:t>
      </w:r>
      <w:r>
        <w:t xml:space="preserve"> using administrative data. </w:t>
      </w:r>
    </w:p>
    <w:p w14:paraId="7A070868" w14:textId="77777777" w:rsidR="00392A01" w:rsidRDefault="00392A01" w:rsidP="009E3657">
      <w:pPr>
        <w:keepNext/>
        <w:rPr>
          <w:b/>
        </w:rPr>
      </w:pPr>
    </w:p>
    <w:p w14:paraId="2A33E5D3" w14:textId="053446FC" w:rsidR="009E3657" w:rsidRPr="0059077E" w:rsidRDefault="009E3657" w:rsidP="00BD20D5">
      <w:pPr>
        <w:pStyle w:val="HeadingTable"/>
        <w:spacing w:before="240" w:after="120"/>
        <w:ind w:left="357" w:hanging="357"/>
        <w:outlineLvl w:val="3"/>
        <w:rPr>
          <w:b w:val="0"/>
        </w:rPr>
      </w:pPr>
      <w:r w:rsidRPr="0059077E">
        <w:rPr>
          <w:b w:val="0"/>
        </w:rPr>
        <w:t xml:space="preserve">Table </w:t>
      </w:r>
      <w:r w:rsidR="00ED769F">
        <w:rPr>
          <w:b w:val="0"/>
        </w:rPr>
        <w:t>25</w:t>
      </w:r>
      <w:r w:rsidRPr="0059077E">
        <w:rPr>
          <w:b w:val="0"/>
        </w:rPr>
        <w:t xml:space="preserve">: </w:t>
      </w:r>
      <w:r w:rsidRPr="00ED769F">
        <w:rPr>
          <w:rStyle w:val="HeadingTableChar"/>
        </w:rPr>
        <w:t>Representativeness of sample relative to targets based on the 2016 census</w:t>
      </w:r>
      <w:r w:rsidR="007E7521">
        <w:rPr>
          <w:b w:val="0"/>
        </w:rPr>
        <w:t xml:space="preserve"> </w:t>
      </w:r>
    </w:p>
    <w:tbl>
      <w:tblPr>
        <w:tblStyle w:val="DefaultTable"/>
        <w:tblW w:w="4302" w:type="dxa"/>
        <w:tblLook w:val="04A0" w:firstRow="1" w:lastRow="0" w:firstColumn="1" w:lastColumn="0" w:noHBand="0" w:noVBand="1"/>
      </w:tblPr>
      <w:tblGrid>
        <w:gridCol w:w="1447"/>
        <w:gridCol w:w="1261"/>
        <w:gridCol w:w="1594"/>
      </w:tblGrid>
      <w:tr w:rsidR="009E3657" w14:paraId="47335418" w14:textId="77777777" w:rsidTr="00A139DE">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048F45" w14:textId="77777777" w:rsidR="009E3657" w:rsidRDefault="009E3657" w:rsidP="00582014">
            <w:pPr>
              <w:keepNext/>
              <w:spacing w:after="0" w:line="240" w:lineRule="auto"/>
              <w:rPr>
                <w:rFonts w:ascii="Times New Roman" w:hAnsi="Times New Roman"/>
                <w:color w:val="auto"/>
                <w:sz w:val="20"/>
              </w:rPr>
            </w:pPr>
          </w:p>
        </w:tc>
        <w:tc>
          <w:tcPr>
            <w:tcW w:w="0" w:type="auto"/>
            <w:noWrap/>
            <w:hideMark/>
          </w:tcPr>
          <w:p w14:paraId="5DF905B5" w14:textId="77777777" w:rsidR="009E3657" w:rsidRPr="00C5234F" w:rsidRDefault="009E3657" w:rsidP="00582014">
            <w:pPr>
              <w:keepNext/>
              <w:cnfStyle w:val="100000000000" w:firstRow="1" w:lastRow="0" w:firstColumn="0" w:lastColumn="0" w:oddVBand="0" w:evenVBand="0" w:oddHBand="0" w:evenHBand="0" w:firstRowFirstColumn="0" w:firstRowLastColumn="0" w:lastRowFirstColumn="0" w:lastRowLastColumn="0"/>
            </w:pPr>
            <w:r w:rsidRPr="00C5234F">
              <w:t>Target %</w:t>
            </w:r>
          </w:p>
        </w:tc>
        <w:tc>
          <w:tcPr>
            <w:tcW w:w="0" w:type="auto"/>
            <w:noWrap/>
            <w:hideMark/>
          </w:tcPr>
          <w:p w14:paraId="355CE113" w14:textId="77777777" w:rsidR="009E3657" w:rsidRPr="00C5234F" w:rsidRDefault="009E3657" w:rsidP="00582014">
            <w:pPr>
              <w:keepNext/>
              <w:cnfStyle w:val="100000000000" w:firstRow="1" w:lastRow="0" w:firstColumn="0" w:lastColumn="0" w:oddVBand="0" w:evenVBand="0" w:oddHBand="0" w:evenHBand="0" w:firstRowFirstColumn="0" w:firstRowLastColumn="0" w:lastRowFirstColumn="0" w:lastRowLastColumn="0"/>
            </w:pPr>
            <w:r w:rsidRPr="00C5234F">
              <w:t>Achieved %</w:t>
            </w:r>
          </w:p>
        </w:tc>
      </w:tr>
      <w:tr w:rsidR="00A74502" w14:paraId="102F1664"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4F91C56" w14:textId="4B42B2E1" w:rsidR="00A74502" w:rsidRPr="00A74502" w:rsidRDefault="00A74502" w:rsidP="00A74502">
            <w:pPr>
              <w:keepNext/>
              <w:spacing w:before="60" w:after="60" w:line="240" w:lineRule="auto"/>
              <w:rPr>
                <w:b/>
                <w:bCs/>
                <w:color w:val="000000"/>
              </w:rPr>
            </w:pPr>
            <w:r w:rsidRPr="00A74502">
              <w:rPr>
                <w:b/>
                <w:bCs/>
                <w:color w:val="000000"/>
              </w:rPr>
              <w:t>Gender</w:t>
            </w:r>
          </w:p>
        </w:tc>
        <w:tc>
          <w:tcPr>
            <w:tcW w:w="0" w:type="auto"/>
            <w:noWrap/>
            <w:vAlign w:val="center"/>
          </w:tcPr>
          <w:p w14:paraId="03C0DC0C" w14:textId="77777777" w:rsidR="00A74502" w:rsidRDefault="00A74502"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noWrap/>
            <w:vAlign w:val="center"/>
          </w:tcPr>
          <w:p w14:paraId="18C672CE" w14:textId="77777777" w:rsidR="00A74502" w:rsidRDefault="00A74502"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p>
        </w:tc>
      </w:tr>
      <w:tr w:rsidR="009E3657" w14:paraId="0C318BA9"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2DED6B" w14:textId="77777777" w:rsidR="009E3657" w:rsidRPr="00C5234F" w:rsidRDefault="009E3657" w:rsidP="00A74502">
            <w:pPr>
              <w:keepNext/>
              <w:spacing w:before="60" w:after="60" w:line="240" w:lineRule="auto"/>
              <w:rPr>
                <w:bCs/>
                <w:color w:val="000000"/>
              </w:rPr>
            </w:pPr>
            <w:r w:rsidRPr="00C5234F">
              <w:rPr>
                <w:bCs/>
                <w:color w:val="000000"/>
              </w:rPr>
              <w:t>Male</w:t>
            </w:r>
          </w:p>
        </w:tc>
        <w:tc>
          <w:tcPr>
            <w:tcW w:w="0" w:type="auto"/>
            <w:noWrap/>
            <w:vAlign w:val="center"/>
            <w:hideMark/>
          </w:tcPr>
          <w:p w14:paraId="57F9ED66"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0" w:type="auto"/>
            <w:noWrap/>
            <w:vAlign w:val="center"/>
          </w:tcPr>
          <w:p w14:paraId="2A153F7E"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r>
      <w:tr w:rsidR="009E3657" w14:paraId="58D31F97"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C77F6D" w14:textId="77777777" w:rsidR="009E3657" w:rsidRDefault="009E3657" w:rsidP="00A74502">
            <w:pPr>
              <w:keepNext/>
              <w:spacing w:before="60" w:after="60" w:line="240" w:lineRule="auto"/>
              <w:rPr>
                <w:color w:val="000000"/>
              </w:rPr>
            </w:pPr>
            <w:r>
              <w:rPr>
                <w:color w:val="000000"/>
              </w:rPr>
              <w:t>Female</w:t>
            </w:r>
          </w:p>
        </w:tc>
        <w:tc>
          <w:tcPr>
            <w:tcW w:w="0" w:type="auto"/>
            <w:noWrap/>
            <w:vAlign w:val="center"/>
            <w:hideMark/>
          </w:tcPr>
          <w:p w14:paraId="777058CD"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0" w:type="auto"/>
            <w:noWrap/>
            <w:vAlign w:val="center"/>
          </w:tcPr>
          <w:p w14:paraId="2C0BB95E"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r>
      <w:tr w:rsidR="009E3657" w14:paraId="117AB9AF"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6FD8E5" w14:textId="293FC2C0" w:rsidR="009E3657" w:rsidRPr="00A74502" w:rsidRDefault="00A74502" w:rsidP="00A74502">
            <w:pPr>
              <w:keepNext/>
              <w:spacing w:before="60" w:after="60" w:line="240" w:lineRule="auto"/>
              <w:rPr>
                <w:b/>
                <w:color w:val="000000"/>
                <w:sz w:val="16"/>
              </w:rPr>
            </w:pPr>
            <w:r w:rsidRPr="00A74502">
              <w:rPr>
                <w:b/>
                <w:color w:val="000000"/>
              </w:rPr>
              <w:t>Age</w:t>
            </w:r>
          </w:p>
        </w:tc>
        <w:tc>
          <w:tcPr>
            <w:tcW w:w="0" w:type="auto"/>
            <w:noWrap/>
            <w:vAlign w:val="center"/>
            <w:hideMark/>
          </w:tcPr>
          <w:p w14:paraId="7BE09863" w14:textId="77777777" w:rsidR="009E3657" w:rsidRPr="003E03E6"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20"/>
              </w:rPr>
            </w:pPr>
          </w:p>
        </w:tc>
        <w:tc>
          <w:tcPr>
            <w:tcW w:w="0" w:type="auto"/>
            <w:noWrap/>
            <w:vAlign w:val="center"/>
          </w:tcPr>
          <w:p w14:paraId="72430DF1" w14:textId="77777777" w:rsidR="009E3657" w:rsidRPr="003E03E6"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20"/>
              </w:rPr>
            </w:pPr>
          </w:p>
        </w:tc>
      </w:tr>
      <w:tr w:rsidR="009E3657" w14:paraId="1A2B2E4D"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322E0A" w14:textId="77777777" w:rsidR="009E3657" w:rsidRDefault="009E3657" w:rsidP="00A74502">
            <w:pPr>
              <w:keepNext/>
              <w:spacing w:before="60" w:after="60" w:line="240" w:lineRule="auto"/>
              <w:rPr>
                <w:rFonts w:ascii="Calibri" w:eastAsiaTheme="minorHAnsi" w:hAnsi="Calibri" w:cs="Calibri"/>
                <w:color w:val="000000"/>
                <w:szCs w:val="22"/>
              </w:rPr>
            </w:pPr>
            <w:r>
              <w:rPr>
                <w:color w:val="000000"/>
              </w:rPr>
              <w:t>18-24</w:t>
            </w:r>
          </w:p>
        </w:tc>
        <w:tc>
          <w:tcPr>
            <w:tcW w:w="0" w:type="auto"/>
            <w:noWrap/>
            <w:vAlign w:val="center"/>
            <w:hideMark/>
          </w:tcPr>
          <w:p w14:paraId="1C1D09B4"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0" w:type="auto"/>
            <w:noWrap/>
            <w:vAlign w:val="center"/>
          </w:tcPr>
          <w:p w14:paraId="210A1097"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r>
      <w:tr w:rsidR="009E3657" w14:paraId="77DB0F2A"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9BF15B" w14:textId="77777777" w:rsidR="009E3657" w:rsidRDefault="009E3657" w:rsidP="00A74502">
            <w:pPr>
              <w:keepNext/>
              <w:spacing w:before="60" w:after="60" w:line="240" w:lineRule="auto"/>
              <w:rPr>
                <w:color w:val="000000"/>
              </w:rPr>
            </w:pPr>
            <w:r>
              <w:rPr>
                <w:color w:val="000000"/>
              </w:rPr>
              <w:t>25-34</w:t>
            </w:r>
          </w:p>
        </w:tc>
        <w:tc>
          <w:tcPr>
            <w:tcW w:w="0" w:type="auto"/>
            <w:noWrap/>
            <w:vAlign w:val="center"/>
            <w:hideMark/>
          </w:tcPr>
          <w:p w14:paraId="4A86D812"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0" w:type="auto"/>
            <w:noWrap/>
            <w:vAlign w:val="center"/>
          </w:tcPr>
          <w:p w14:paraId="321C043B"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r>
      <w:tr w:rsidR="009E3657" w14:paraId="4CEB22E2"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E1C641" w14:textId="77777777" w:rsidR="009E3657" w:rsidRDefault="009E3657" w:rsidP="00A74502">
            <w:pPr>
              <w:keepNext/>
              <w:spacing w:before="60" w:after="60" w:line="240" w:lineRule="auto"/>
              <w:rPr>
                <w:color w:val="000000"/>
              </w:rPr>
            </w:pPr>
            <w:r>
              <w:rPr>
                <w:color w:val="000000"/>
              </w:rPr>
              <w:t>35-44</w:t>
            </w:r>
          </w:p>
        </w:tc>
        <w:tc>
          <w:tcPr>
            <w:tcW w:w="0" w:type="auto"/>
            <w:noWrap/>
            <w:vAlign w:val="center"/>
            <w:hideMark/>
          </w:tcPr>
          <w:p w14:paraId="557F792A"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0" w:type="auto"/>
            <w:noWrap/>
            <w:vAlign w:val="center"/>
          </w:tcPr>
          <w:p w14:paraId="16581A06"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r>
      <w:tr w:rsidR="009E3657" w14:paraId="0DB1171E"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A6159C" w14:textId="77777777" w:rsidR="009E3657" w:rsidRDefault="009E3657" w:rsidP="00A74502">
            <w:pPr>
              <w:keepNext/>
              <w:spacing w:before="60" w:after="60" w:line="240" w:lineRule="auto"/>
              <w:rPr>
                <w:color w:val="000000"/>
              </w:rPr>
            </w:pPr>
            <w:r>
              <w:rPr>
                <w:color w:val="000000"/>
              </w:rPr>
              <w:t>45-54</w:t>
            </w:r>
          </w:p>
        </w:tc>
        <w:tc>
          <w:tcPr>
            <w:tcW w:w="0" w:type="auto"/>
            <w:noWrap/>
            <w:vAlign w:val="center"/>
            <w:hideMark/>
          </w:tcPr>
          <w:p w14:paraId="4597F5E3"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0" w:type="auto"/>
            <w:noWrap/>
            <w:vAlign w:val="center"/>
          </w:tcPr>
          <w:p w14:paraId="71C0D4D0"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r>
      <w:tr w:rsidR="009E3657" w14:paraId="549801B8"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D08E92" w14:textId="77777777" w:rsidR="009E3657" w:rsidRDefault="009E3657" w:rsidP="00A74502">
            <w:pPr>
              <w:keepNext/>
              <w:spacing w:before="60" w:after="60" w:line="240" w:lineRule="auto"/>
              <w:rPr>
                <w:color w:val="000000"/>
              </w:rPr>
            </w:pPr>
            <w:r>
              <w:rPr>
                <w:color w:val="000000"/>
              </w:rPr>
              <w:t>55-64</w:t>
            </w:r>
          </w:p>
        </w:tc>
        <w:tc>
          <w:tcPr>
            <w:tcW w:w="0" w:type="auto"/>
            <w:noWrap/>
            <w:vAlign w:val="center"/>
            <w:hideMark/>
          </w:tcPr>
          <w:p w14:paraId="24FA6B7B"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0" w:type="auto"/>
            <w:noWrap/>
            <w:vAlign w:val="center"/>
          </w:tcPr>
          <w:p w14:paraId="35FA0B80"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r>
      <w:tr w:rsidR="009E3657" w14:paraId="28A7350D"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86CFFA" w14:textId="703D4BF2" w:rsidR="009E3657" w:rsidRPr="00A74502" w:rsidRDefault="00A74502" w:rsidP="00A74502">
            <w:pPr>
              <w:keepNext/>
              <w:spacing w:before="60" w:after="60" w:line="240" w:lineRule="auto"/>
              <w:rPr>
                <w:rFonts w:ascii="Times New Roman" w:hAnsi="Times New Roman"/>
                <w:b/>
                <w:szCs w:val="20"/>
              </w:rPr>
            </w:pPr>
            <w:r w:rsidRPr="00A74502">
              <w:rPr>
                <w:b/>
                <w:color w:val="000000"/>
              </w:rPr>
              <w:t>Location</w:t>
            </w:r>
          </w:p>
        </w:tc>
        <w:tc>
          <w:tcPr>
            <w:tcW w:w="0" w:type="auto"/>
            <w:noWrap/>
            <w:vAlign w:val="center"/>
            <w:hideMark/>
          </w:tcPr>
          <w:p w14:paraId="5CE58562"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tc>
        <w:tc>
          <w:tcPr>
            <w:tcW w:w="0" w:type="auto"/>
            <w:noWrap/>
            <w:vAlign w:val="center"/>
          </w:tcPr>
          <w:p w14:paraId="6C3AD917"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tc>
      </w:tr>
      <w:tr w:rsidR="009E3657" w14:paraId="5AE0774D"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AB0A91" w14:textId="77777777" w:rsidR="009E3657" w:rsidRDefault="009E3657" w:rsidP="00A74502">
            <w:pPr>
              <w:keepNext/>
              <w:spacing w:before="60" w:after="60" w:line="240" w:lineRule="auto"/>
              <w:rPr>
                <w:rFonts w:ascii="Calibri" w:eastAsiaTheme="minorHAnsi" w:hAnsi="Calibri" w:cs="Calibri"/>
                <w:color w:val="000000"/>
                <w:szCs w:val="22"/>
              </w:rPr>
            </w:pPr>
            <w:r>
              <w:rPr>
                <w:color w:val="000000"/>
              </w:rPr>
              <w:t>Metropolitan</w:t>
            </w:r>
          </w:p>
        </w:tc>
        <w:tc>
          <w:tcPr>
            <w:tcW w:w="0" w:type="auto"/>
            <w:noWrap/>
            <w:vAlign w:val="center"/>
            <w:hideMark/>
          </w:tcPr>
          <w:p w14:paraId="09C12429"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3B7261">
              <w:t>69%</w:t>
            </w:r>
          </w:p>
        </w:tc>
        <w:tc>
          <w:tcPr>
            <w:tcW w:w="0" w:type="auto"/>
            <w:noWrap/>
            <w:vAlign w:val="center"/>
          </w:tcPr>
          <w:p w14:paraId="5194F74F" w14:textId="77777777" w:rsidR="009E3657" w:rsidRPr="003E03E6"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highlight w:val="yellow"/>
              </w:rPr>
            </w:pPr>
            <w:r w:rsidRPr="00AD6311">
              <w:t>68%</w:t>
            </w:r>
          </w:p>
        </w:tc>
      </w:tr>
      <w:tr w:rsidR="009E3657" w14:paraId="53BA751C" w14:textId="77777777" w:rsidTr="00A74502">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4DAA7F" w14:textId="77777777" w:rsidR="009E3657" w:rsidRDefault="009E3657" w:rsidP="00A74502">
            <w:pPr>
              <w:keepNext/>
              <w:spacing w:before="60" w:after="60" w:line="240" w:lineRule="auto"/>
              <w:rPr>
                <w:color w:val="000000"/>
              </w:rPr>
            </w:pPr>
            <w:r>
              <w:rPr>
                <w:color w:val="000000"/>
              </w:rPr>
              <w:t>Regional</w:t>
            </w:r>
          </w:p>
        </w:tc>
        <w:tc>
          <w:tcPr>
            <w:tcW w:w="0" w:type="auto"/>
            <w:noWrap/>
            <w:vAlign w:val="center"/>
            <w:hideMark/>
          </w:tcPr>
          <w:p w14:paraId="6E92CF0F" w14:textId="77777777" w:rsidR="009E3657"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3B7261">
              <w:t>31%</w:t>
            </w:r>
          </w:p>
        </w:tc>
        <w:tc>
          <w:tcPr>
            <w:tcW w:w="0" w:type="auto"/>
            <w:noWrap/>
            <w:vAlign w:val="center"/>
          </w:tcPr>
          <w:p w14:paraId="111E5548" w14:textId="77777777" w:rsidR="009E3657" w:rsidRPr="003E03E6" w:rsidRDefault="009E3657" w:rsidP="00A7450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highlight w:val="yellow"/>
              </w:rPr>
            </w:pPr>
            <w:r w:rsidRPr="00AD6311">
              <w:t>32%</w:t>
            </w:r>
          </w:p>
        </w:tc>
      </w:tr>
    </w:tbl>
    <w:p w14:paraId="332B97BA" w14:textId="77777777" w:rsidR="009E3657" w:rsidRPr="0059077E" w:rsidRDefault="009E3657" w:rsidP="009E3657">
      <w:pPr>
        <w:spacing w:after="0"/>
        <w:rPr>
          <w:sz w:val="18"/>
        </w:rPr>
      </w:pPr>
      <w:r>
        <w:t xml:space="preserve"> </w:t>
      </w:r>
    </w:p>
    <w:p w14:paraId="114B21A8" w14:textId="77777777" w:rsidR="009E3657" w:rsidRDefault="009E3657" w:rsidP="009E3657">
      <w:r>
        <w:t xml:space="preserve">In terms of engagement with superannuation: </w:t>
      </w:r>
    </w:p>
    <w:p w14:paraId="0A56F0EB" w14:textId="77777777" w:rsidR="009E3657" w:rsidRDefault="009E3657" w:rsidP="003E5E22">
      <w:pPr>
        <w:pStyle w:val="ListParagraph"/>
        <w:numPr>
          <w:ilvl w:val="0"/>
          <w:numId w:val="9"/>
        </w:numPr>
        <w:spacing w:line="320" w:lineRule="atLeast"/>
        <w:ind w:left="360"/>
        <w:contextualSpacing/>
      </w:pPr>
      <w:r>
        <w:t>48% reported having previously switched fund</w:t>
      </w:r>
    </w:p>
    <w:p w14:paraId="44651467" w14:textId="77777777" w:rsidR="009E3657" w:rsidRDefault="009E3657" w:rsidP="003E5E22">
      <w:pPr>
        <w:pStyle w:val="ListParagraph"/>
        <w:numPr>
          <w:ilvl w:val="0"/>
          <w:numId w:val="9"/>
        </w:numPr>
        <w:spacing w:line="320" w:lineRule="atLeast"/>
        <w:ind w:left="360"/>
        <w:contextualSpacing/>
      </w:pPr>
      <w:r>
        <w:t>Nine per cent reported having switched fund in the past twelve months, with another 29% stating they had considered doing so</w:t>
      </w:r>
    </w:p>
    <w:p w14:paraId="74CC939F" w14:textId="77777777" w:rsidR="009E3657" w:rsidRPr="0059077E" w:rsidRDefault="009E3657" w:rsidP="003E5E22">
      <w:pPr>
        <w:pStyle w:val="ListParagraph"/>
        <w:numPr>
          <w:ilvl w:val="0"/>
          <w:numId w:val="9"/>
        </w:numPr>
        <w:spacing w:line="320" w:lineRule="atLeast"/>
        <w:ind w:left="360"/>
        <w:contextualSpacing/>
      </w:pPr>
      <w:r>
        <w:t xml:space="preserve">74% stated they had previously researched superannuation funds, spoken to friends or family about which superannuation funds are the best, visited a superannuation comparison site or asked for superannuation advice from an accountant or financial planner. </w:t>
      </w:r>
    </w:p>
    <w:p w14:paraId="77188204" w14:textId="37A8BC8D" w:rsidR="00C67F21" w:rsidRDefault="009E3657" w:rsidP="001762AB">
      <w:r>
        <w:t>On a set of three questions commonly used to measure financial literacy, 38% of respondents selected one or zero correct answers. This is higher than the 3</w:t>
      </w:r>
      <w:r w:rsidR="00C165A3">
        <w:t>0</w:t>
      </w:r>
      <w:r>
        <w:t>% seen in the PC’s survey of superannuation fund members completed as part of their inquiry</w:t>
      </w:r>
      <w:r w:rsidR="00C165A3">
        <w:t xml:space="preserve"> (</w:t>
      </w:r>
      <w:r w:rsidR="00C165A3" w:rsidRPr="00920962">
        <w:t>PC 2018</w:t>
      </w:r>
      <w:r w:rsidR="00C165A3">
        <w:t>a:56)</w:t>
      </w:r>
      <w:r>
        <w:t xml:space="preserve">. </w:t>
      </w:r>
      <w:r>
        <w:br w:type="page"/>
      </w:r>
    </w:p>
    <w:p w14:paraId="0008D0B3" w14:textId="50D194C3" w:rsidR="00DD7BE2" w:rsidRDefault="00DD7BE2" w:rsidP="00DD7BE2">
      <w:pPr>
        <w:pStyle w:val="Heading2"/>
      </w:pPr>
      <w:bookmarkStart w:id="42" w:name="_Toc107826703"/>
      <w:bookmarkStart w:id="43" w:name="_Toc109225241"/>
      <w:bookmarkStart w:id="44" w:name="_Toc115096500"/>
      <w:bookmarkStart w:id="45" w:name="_Toc115184222"/>
      <w:bookmarkStart w:id="46" w:name="_Toc115187666"/>
      <w:bookmarkStart w:id="47" w:name="_Toc107826705"/>
      <w:bookmarkStart w:id="48" w:name="_Toc109225244"/>
      <w:r>
        <w:lastRenderedPageBreak/>
        <w:t xml:space="preserve">Appendix 4: </w:t>
      </w:r>
      <w:r w:rsidRPr="005D05E2">
        <w:t>Survey</w:t>
      </w:r>
      <w:r>
        <w:t xml:space="preserve"> wording</w:t>
      </w:r>
      <w:bookmarkEnd w:id="42"/>
      <w:bookmarkEnd w:id="43"/>
      <w:bookmarkEnd w:id="44"/>
      <w:bookmarkEnd w:id="45"/>
      <w:bookmarkEnd w:id="46"/>
    </w:p>
    <w:p w14:paraId="6D3B2663" w14:textId="77777777" w:rsidR="00DD7BE2" w:rsidRDefault="00DD7BE2" w:rsidP="00DD7BE2">
      <w:pPr>
        <w:pStyle w:val="Heading3"/>
      </w:pPr>
      <w:r>
        <w:t>Overview</w:t>
      </w:r>
    </w:p>
    <w:p w14:paraId="113C891F" w14:textId="77777777" w:rsidR="00DD7BE2" w:rsidRDefault="00DD7BE2" w:rsidP="00DD7BE2">
      <w:r>
        <w:t>The complete list of survey questions, including the 2 survey experiments are below. They are presented in the order that respondents saw them.</w:t>
      </w:r>
    </w:p>
    <w:p w14:paraId="5A6533C4" w14:textId="77777777" w:rsidR="00DD7BE2" w:rsidRDefault="00DD7BE2" w:rsidP="00DD7BE2">
      <w:pPr>
        <w:pStyle w:val="Heading3"/>
      </w:pPr>
      <w:r>
        <w:t>Survey questions</w:t>
      </w:r>
    </w:p>
    <w:p w14:paraId="777FC74F" w14:textId="77777777" w:rsidR="00DD7BE2" w:rsidRDefault="00DD7BE2" w:rsidP="00DD7BE2">
      <w:pPr>
        <w:pStyle w:val="Heading4"/>
      </w:pPr>
      <w:r>
        <w:t>Demographics – part 1</w:t>
      </w:r>
    </w:p>
    <w:p w14:paraId="7C0E0B1F" w14:textId="77777777" w:rsidR="00DD7BE2" w:rsidRPr="00A002A8" w:rsidRDefault="00DD7BE2" w:rsidP="00BD20D5">
      <w:pPr>
        <w:pStyle w:val="ListParagraph"/>
        <w:numPr>
          <w:ilvl w:val="0"/>
          <w:numId w:val="25"/>
        </w:numPr>
        <w:ind w:left="360"/>
        <w:rPr>
          <w:b/>
        </w:rPr>
      </w:pPr>
      <w:r w:rsidRPr="00A002A8">
        <w:rPr>
          <w:b/>
        </w:rPr>
        <w:t>Please select your age bracket</w:t>
      </w:r>
    </w:p>
    <w:p w14:paraId="41CD93FB" w14:textId="77777777" w:rsidR="00DD7BE2" w:rsidRDefault="00DD7BE2" w:rsidP="00BD20D5">
      <w:pPr>
        <w:pStyle w:val="ListParagraph"/>
        <w:numPr>
          <w:ilvl w:val="0"/>
          <w:numId w:val="16"/>
        </w:numPr>
        <w:spacing w:after="0" w:line="240" w:lineRule="auto"/>
        <w:ind w:left="1080"/>
      </w:pPr>
      <w:r>
        <w:t xml:space="preserve">18 - 24  </w:t>
      </w:r>
    </w:p>
    <w:p w14:paraId="06B2D76F" w14:textId="77777777" w:rsidR="00DD7BE2" w:rsidRDefault="00DD7BE2" w:rsidP="00BD20D5">
      <w:pPr>
        <w:pStyle w:val="ListParagraph"/>
        <w:numPr>
          <w:ilvl w:val="0"/>
          <w:numId w:val="16"/>
        </w:numPr>
        <w:spacing w:after="0" w:line="240" w:lineRule="auto"/>
        <w:ind w:left="1080"/>
      </w:pPr>
      <w:r>
        <w:t xml:space="preserve">25 - 34  </w:t>
      </w:r>
    </w:p>
    <w:p w14:paraId="15FF693C" w14:textId="77777777" w:rsidR="00DD7BE2" w:rsidRDefault="00DD7BE2" w:rsidP="00BD20D5">
      <w:pPr>
        <w:pStyle w:val="ListParagraph"/>
        <w:numPr>
          <w:ilvl w:val="0"/>
          <w:numId w:val="16"/>
        </w:numPr>
        <w:spacing w:after="0" w:line="240" w:lineRule="auto"/>
        <w:ind w:left="1080"/>
      </w:pPr>
      <w:r>
        <w:t xml:space="preserve">35 - 44  </w:t>
      </w:r>
    </w:p>
    <w:p w14:paraId="0274E736" w14:textId="77777777" w:rsidR="00DD7BE2" w:rsidRDefault="00DD7BE2" w:rsidP="00BD20D5">
      <w:pPr>
        <w:pStyle w:val="ListParagraph"/>
        <w:numPr>
          <w:ilvl w:val="0"/>
          <w:numId w:val="16"/>
        </w:numPr>
        <w:spacing w:after="0" w:line="240" w:lineRule="auto"/>
        <w:ind w:left="1080"/>
      </w:pPr>
      <w:r>
        <w:t xml:space="preserve">45 - 54  </w:t>
      </w:r>
    </w:p>
    <w:p w14:paraId="59D6AFDF" w14:textId="77777777" w:rsidR="00DD7BE2" w:rsidRDefault="00DD7BE2" w:rsidP="00BD20D5">
      <w:pPr>
        <w:pStyle w:val="ListParagraph"/>
        <w:numPr>
          <w:ilvl w:val="0"/>
          <w:numId w:val="16"/>
        </w:numPr>
        <w:spacing w:after="0" w:line="240" w:lineRule="auto"/>
        <w:ind w:left="1080"/>
      </w:pPr>
      <w:r>
        <w:t xml:space="preserve">55 - 64  </w:t>
      </w:r>
    </w:p>
    <w:p w14:paraId="1C25F321" w14:textId="77777777" w:rsidR="00DD7BE2" w:rsidRDefault="00DD7BE2" w:rsidP="00BD20D5">
      <w:pPr>
        <w:pStyle w:val="ListParagraph"/>
        <w:numPr>
          <w:ilvl w:val="0"/>
          <w:numId w:val="16"/>
        </w:numPr>
        <w:spacing w:after="0" w:line="240" w:lineRule="auto"/>
        <w:ind w:left="1080"/>
      </w:pPr>
      <w:r>
        <w:t xml:space="preserve">65+  </w:t>
      </w:r>
    </w:p>
    <w:p w14:paraId="76ECFFCB" w14:textId="77777777" w:rsidR="00DD7BE2" w:rsidRPr="00A002A8" w:rsidRDefault="00DD7BE2" w:rsidP="00BD20D5">
      <w:pPr>
        <w:pStyle w:val="ListParagraph"/>
        <w:numPr>
          <w:ilvl w:val="0"/>
          <w:numId w:val="25"/>
        </w:numPr>
        <w:ind w:left="360"/>
        <w:rPr>
          <w:b/>
        </w:rPr>
      </w:pPr>
      <w:r w:rsidRPr="00A002A8">
        <w:rPr>
          <w:b/>
        </w:rPr>
        <w:t>What is your gender?</w:t>
      </w:r>
    </w:p>
    <w:p w14:paraId="7D1E0188" w14:textId="77777777" w:rsidR="00DD7BE2" w:rsidRDefault="00DD7BE2" w:rsidP="00BD20D5">
      <w:pPr>
        <w:pStyle w:val="ListParagraph"/>
        <w:numPr>
          <w:ilvl w:val="0"/>
          <w:numId w:val="16"/>
        </w:numPr>
        <w:spacing w:after="0" w:line="240" w:lineRule="auto"/>
        <w:ind w:left="1080"/>
      </w:pPr>
      <w:r>
        <w:t xml:space="preserve">Female  </w:t>
      </w:r>
    </w:p>
    <w:p w14:paraId="032DC91A" w14:textId="77777777" w:rsidR="00DD7BE2" w:rsidRDefault="00DD7BE2" w:rsidP="00BD20D5">
      <w:pPr>
        <w:pStyle w:val="ListParagraph"/>
        <w:numPr>
          <w:ilvl w:val="0"/>
          <w:numId w:val="16"/>
        </w:numPr>
        <w:spacing w:after="0" w:line="240" w:lineRule="auto"/>
        <w:ind w:left="1080"/>
      </w:pPr>
      <w:r>
        <w:t xml:space="preserve">Male  </w:t>
      </w:r>
    </w:p>
    <w:p w14:paraId="0E88A651" w14:textId="77777777" w:rsidR="00DD7BE2" w:rsidRDefault="00DD7BE2" w:rsidP="00BD20D5">
      <w:pPr>
        <w:pStyle w:val="ListParagraph"/>
        <w:numPr>
          <w:ilvl w:val="0"/>
          <w:numId w:val="16"/>
        </w:numPr>
        <w:spacing w:after="0" w:line="240" w:lineRule="auto"/>
        <w:ind w:left="1080"/>
      </w:pPr>
      <w:r>
        <w:t xml:space="preserve">Non-binary  </w:t>
      </w:r>
    </w:p>
    <w:p w14:paraId="2B6129ED" w14:textId="77777777" w:rsidR="00DD7BE2" w:rsidRDefault="00DD7BE2" w:rsidP="00BD20D5">
      <w:pPr>
        <w:pStyle w:val="ListParagraph"/>
        <w:numPr>
          <w:ilvl w:val="0"/>
          <w:numId w:val="16"/>
        </w:numPr>
        <w:spacing w:after="0" w:line="240" w:lineRule="auto"/>
        <w:ind w:left="1080"/>
      </w:pPr>
      <w:r>
        <w:t xml:space="preserve">Prefer not to say  </w:t>
      </w:r>
    </w:p>
    <w:p w14:paraId="499231ED" w14:textId="77777777" w:rsidR="00DD7BE2" w:rsidRPr="00A002A8" w:rsidRDefault="00DD7BE2" w:rsidP="00BD20D5">
      <w:pPr>
        <w:pStyle w:val="ListParagraph"/>
        <w:numPr>
          <w:ilvl w:val="0"/>
          <w:numId w:val="25"/>
        </w:numPr>
        <w:ind w:left="360"/>
        <w:rPr>
          <w:b/>
        </w:rPr>
      </w:pPr>
      <w:r w:rsidRPr="00A002A8">
        <w:rPr>
          <w:b/>
        </w:rPr>
        <w:t>What is the postcode where you usually live?</w:t>
      </w:r>
    </w:p>
    <w:p w14:paraId="08924038" w14:textId="77777777" w:rsidR="00DD7BE2" w:rsidRPr="00A002A8" w:rsidRDefault="00DD7BE2" w:rsidP="00BD20D5">
      <w:pPr>
        <w:pStyle w:val="ListParagraph"/>
        <w:keepNext/>
        <w:numPr>
          <w:ilvl w:val="0"/>
          <w:numId w:val="25"/>
        </w:numPr>
        <w:ind w:left="360"/>
        <w:rPr>
          <w:b/>
        </w:rPr>
      </w:pPr>
      <w:r w:rsidRPr="00A002A8">
        <w:rPr>
          <w:b/>
        </w:rPr>
        <w:t>What is the highest level of education that you have completed?</w:t>
      </w:r>
    </w:p>
    <w:p w14:paraId="6DB66621" w14:textId="77777777" w:rsidR="00DD7BE2" w:rsidRDefault="00DD7BE2" w:rsidP="00BD20D5">
      <w:pPr>
        <w:pStyle w:val="ListParagraph"/>
        <w:numPr>
          <w:ilvl w:val="0"/>
          <w:numId w:val="16"/>
        </w:numPr>
        <w:spacing w:after="0" w:line="240" w:lineRule="auto"/>
        <w:ind w:left="1080"/>
      </w:pPr>
      <w:r>
        <w:t xml:space="preserve">Year 10 or below  </w:t>
      </w:r>
    </w:p>
    <w:p w14:paraId="0978EC43" w14:textId="77777777" w:rsidR="00DD7BE2" w:rsidRDefault="00DD7BE2" w:rsidP="00BD20D5">
      <w:pPr>
        <w:pStyle w:val="ListParagraph"/>
        <w:numPr>
          <w:ilvl w:val="0"/>
          <w:numId w:val="16"/>
        </w:numPr>
        <w:spacing w:after="0" w:line="240" w:lineRule="auto"/>
        <w:ind w:left="1080"/>
      </w:pPr>
      <w:r>
        <w:t xml:space="preserve">Year 11 or equivalent  </w:t>
      </w:r>
    </w:p>
    <w:p w14:paraId="7F0C8BF2" w14:textId="77777777" w:rsidR="00DD7BE2" w:rsidRDefault="00DD7BE2" w:rsidP="00BD20D5">
      <w:pPr>
        <w:pStyle w:val="ListParagraph"/>
        <w:numPr>
          <w:ilvl w:val="0"/>
          <w:numId w:val="16"/>
        </w:numPr>
        <w:spacing w:after="0" w:line="240" w:lineRule="auto"/>
        <w:ind w:left="1080"/>
      </w:pPr>
      <w:r>
        <w:t xml:space="preserve">Year 12 or equivalent </w:t>
      </w:r>
    </w:p>
    <w:p w14:paraId="1F61B94E" w14:textId="77777777" w:rsidR="00DD7BE2" w:rsidRDefault="00DD7BE2" w:rsidP="00BD20D5">
      <w:pPr>
        <w:pStyle w:val="ListParagraph"/>
        <w:numPr>
          <w:ilvl w:val="0"/>
          <w:numId w:val="16"/>
        </w:numPr>
        <w:spacing w:after="0" w:line="240" w:lineRule="auto"/>
        <w:ind w:left="1080"/>
      </w:pPr>
      <w:r>
        <w:t xml:space="preserve">A trade, technical certificate or diploma </w:t>
      </w:r>
    </w:p>
    <w:p w14:paraId="030E9884" w14:textId="77777777" w:rsidR="00DD7BE2" w:rsidRDefault="00DD7BE2" w:rsidP="00BD20D5">
      <w:pPr>
        <w:pStyle w:val="ListParagraph"/>
        <w:numPr>
          <w:ilvl w:val="0"/>
          <w:numId w:val="16"/>
        </w:numPr>
        <w:spacing w:after="0" w:line="240" w:lineRule="auto"/>
        <w:ind w:left="1080"/>
      </w:pPr>
      <w:r>
        <w:t xml:space="preserve">A university degree  </w:t>
      </w:r>
    </w:p>
    <w:p w14:paraId="61FDB5C0" w14:textId="77777777" w:rsidR="00DD7BE2" w:rsidRDefault="00DD7BE2" w:rsidP="00BD20D5">
      <w:pPr>
        <w:pStyle w:val="ListParagraph"/>
        <w:numPr>
          <w:ilvl w:val="0"/>
          <w:numId w:val="16"/>
        </w:numPr>
        <w:spacing w:after="0" w:line="240" w:lineRule="auto"/>
        <w:ind w:left="1080"/>
      </w:pPr>
      <w:r>
        <w:t xml:space="preserve">Postgraduate qualifications  </w:t>
      </w:r>
    </w:p>
    <w:p w14:paraId="5D3270A0" w14:textId="77777777" w:rsidR="00DD7BE2" w:rsidRPr="00A002A8" w:rsidRDefault="00DD7BE2" w:rsidP="00BD20D5">
      <w:pPr>
        <w:pStyle w:val="ListParagraph"/>
        <w:numPr>
          <w:ilvl w:val="0"/>
          <w:numId w:val="25"/>
        </w:numPr>
        <w:ind w:left="360"/>
        <w:rPr>
          <w:b/>
        </w:rPr>
      </w:pPr>
      <w:r w:rsidRPr="00A002A8">
        <w:rPr>
          <w:b/>
        </w:rPr>
        <w:t xml:space="preserve">Which of the following best describes your current employment status?  </w:t>
      </w:r>
    </w:p>
    <w:p w14:paraId="73178DDA" w14:textId="77777777" w:rsidR="00DD7BE2" w:rsidRDefault="00DD7BE2" w:rsidP="00BD20D5">
      <w:pPr>
        <w:pStyle w:val="ListParagraph"/>
        <w:numPr>
          <w:ilvl w:val="0"/>
          <w:numId w:val="16"/>
        </w:numPr>
        <w:spacing w:after="0" w:line="240" w:lineRule="auto"/>
        <w:ind w:left="1080"/>
      </w:pPr>
      <w:r>
        <w:t xml:space="preserve">Working full time  </w:t>
      </w:r>
    </w:p>
    <w:p w14:paraId="69A9DB54" w14:textId="77777777" w:rsidR="00DD7BE2" w:rsidRDefault="00DD7BE2" w:rsidP="00BD20D5">
      <w:pPr>
        <w:pStyle w:val="ListParagraph"/>
        <w:numPr>
          <w:ilvl w:val="0"/>
          <w:numId w:val="16"/>
        </w:numPr>
        <w:spacing w:after="0" w:line="240" w:lineRule="auto"/>
        <w:ind w:left="1080"/>
      </w:pPr>
      <w:r>
        <w:t xml:space="preserve">Working part time  </w:t>
      </w:r>
    </w:p>
    <w:p w14:paraId="34501E87" w14:textId="77777777" w:rsidR="00DD7BE2" w:rsidRDefault="00DD7BE2" w:rsidP="00BD20D5">
      <w:pPr>
        <w:pStyle w:val="ListParagraph"/>
        <w:numPr>
          <w:ilvl w:val="0"/>
          <w:numId w:val="16"/>
        </w:numPr>
        <w:spacing w:after="0" w:line="240" w:lineRule="auto"/>
        <w:ind w:left="1080"/>
      </w:pPr>
      <w:r>
        <w:t xml:space="preserve">Working casually </w:t>
      </w:r>
    </w:p>
    <w:p w14:paraId="00AFE1EF" w14:textId="77777777" w:rsidR="00DD7BE2" w:rsidRDefault="00DD7BE2" w:rsidP="00BD20D5">
      <w:pPr>
        <w:pStyle w:val="ListParagraph"/>
        <w:numPr>
          <w:ilvl w:val="0"/>
          <w:numId w:val="16"/>
        </w:numPr>
        <w:spacing w:after="0" w:line="240" w:lineRule="auto"/>
        <w:ind w:left="1080"/>
      </w:pPr>
      <w:r>
        <w:t xml:space="preserve">Self-employed / Business owner  </w:t>
      </w:r>
    </w:p>
    <w:p w14:paraId="767B4CD6" w14:textId="77777777" w:rsidR="00DD7BE2" w:rsidRDefault="00DD7BE2" w:rsidP="00BD20D5">
      <w:pPr>
        <w:pStyle w:val="ListParagraph"/>
        <w:numPr>
          <w:ilvl w:val="0"/>
          <w:numId w:val="16"/>
        </w:numPr>
        <w:spacing w:after="0" w:line="240" w:lineRule="auto"/>
        <w:ind w:left="1080"/>
      </w:pPr>
      <w:r>
        <w:t xml:space="preserve">Not currently working / unemployed  </w:t>
      </w:r>
    </w:p>
    <w:p w14:paraId="733FA4BA" w14:textId="77777777" w:rsidR="00DD7BE2" w:rsidRDefault="00DD7BE2" w:rsidP="00BD20D5">
      <w:pPr>
        <w:pStyle w:val="ListParagraph"/>
        <w:numPr>
          <w:ilvl w:val="0"/>
          <w:numId w:val="16"/>
        </w:numPr>
        <w:spacing w:after="0" w:line="240" w:lineRule="auto"/>
        <w:ind w:left="1080"/>
      </w:pPr>
      <w:r>
        <w:t xml:space="preserve">Student  </w:t>
      </w:r>
    </w:p>
    <w:p w14:paraId="6B9F6A08" w14:textId="77777777" w:rsidR="00DD7BE2" w:rsidRDefault="00DD7BE2" w:rsidP="00BD20D5">
      <w:pPr>
        <w:pStyle w:val="ListParagraph"/>
        <w:numPr>
          <w:ilvl w:val="0"/>
          <w:numId w:val="16"/>
        </w:numPr>
        <w:spacing w:after="0" w:line="240" w:lineRule="auto"/>
        <w:ind w:left="1080"/>
      </w:pPr>
      <w:r>
        <w:t xml:space="preserve">Retired  </w:t>
      </w:r>
    </w:p>
    <w:p w14:paraId="5DB3957D" w14:textId="77777777" w:rsidR="00DD7BE2" w:rsidRDefault="00DD7BE2" w:rsidP="00BD20D5">
      <w:pPr>
        <w:pStyle w:val="ListParagraph"/>
        <w:numPr>
          <w:ilvl w:val="0"/>
          <w:numId w:val="16"/>
        </w:numPr>
        <w:spacing w:after="0" w:line="240" w:lineRule="auto"/>
        <w:ind w:left="1080"/>
      </w:pPr>
      <w:r>
        <w:t xml:space="preserve">Home duties including caring for others  </w:t>
      </w:r>
    </w:p>
    <w:p w14:paraId="4D7ABB7E" w14:textId="77777777" w:rsidR="00DD7BE2" w:rsidRDefault="00DD7BE2" w:rsidP="00BD20D5">
      <w:pPr>
        <w:pStyle w:val="ListParagraph"/>
        <w:numPr>
          <w:ilvl w:val="0"/>
          <w:numId w:val="16"/>
        </w:numPr>
        <w:spacing w:after="0" w:line="240" w:lineRule="auto"/>
        <w:ind w:left="1080"/>
      </w:pPr>
      <w:r>
        <w:t xml:space="preserve">Unable to work due to illness, disability or impairment  </w:t>
      </w:r>
    </w:p>
    <w:p w14:paraId="7877BDDE" w14:textId="77777777" w:rsidR="00DD7BE2" w:rsidRDefault="00DD7BE2" w:rsidP="00BD20D5">
      <w:pPr>
        <w:pStyle w:val="ListParagraph"/>
        <w:numPr>
          <w:ilvl w:val="0"/>
          <w:numId w:val="16"/>
        </w:numPr>
        <w:spacing w:after="0" w:line="240" w:lineRule="auto"/>
        <w:ind w:left="1080"/>
      </w:pPr>
      <w:r>
        <w:t xml:space="preserve">Other (please specify)  </w:t>
      </w:r>
    </w:p>
    <w:p w14:paraId="24BBD979" w14:textId="50408760" w:rsidR="00DD7BE2" w:rsidRDefault="00DD7BE2" w:rsidP="00DD7BE2">
      <w:pPr>
        <w:pStyle w:val="Heading4"/>
      </w:pPr>
      <w:r>
        <w:lastRenderedPageBreak/>
        <w:t xml:space="preserve">Survey </w:t>
      </w:r>
      <w:r w:rsidR="00F3090C">
        <w:t>Experiment one</w:t>
      </w:r>
    </w:p>
    <w:p w14:paraId="5592B91E" w14:textId="77777777" w:rsidR="00DD7BE2" w:rsidRDefault="00DD7BE2" w:rsidP="00DD7BE2">
      <w:r>
        <w:t xml:space="preserve">This study is about comparing superannuation options. We’re going to ask you to respond to an imaginary situation in which you’re comparing super funds. Try to answer the questions as you would in a real experience like this.   </w:t>
      </w:r>
    </w:p>
    <w:p w14:paraId="78D49CA5" w14:textId="77777777" w:rsidR="00DD7BE2" w:rsidRDefault="00DD7BE2" w:rsidP="00DD7BE2">
      <w:r>
        <w:t xml:space="preserve">Imagine you’ve been working for about a decade- you’re 32 years old. You’re reading a news article on your laptop that mentions a new Government website - a superannuation comparison tool. The article also says that you can change your super fund if you want to. You follow a link, and go to the site.  </w:t>
      </w:r>
    </w:p>
    <w:p w14:paraId="0F8A6399" w14:textId="77777777" w:rsidR="00DD7BE2" w:rsidRDefault="00DD7BE2" w:rsidP="00DD7BE2">
      <w:r>
        <w:t xml:space="preserve">It prompts you to enter a few details, which you do. You put in your age (32), your current super fund (Stability Super), and your best estimate of how much super you currently have ($75,000).   </w:t>
      </w:r>
    </w:p>
    <w:p w14:paraId="4B1BAF96" w14:textId="77777777" w:rsidR="00DD7BE2" w:rsidRDefault="00DD7BE2" w:rsidP="00DD7BE2">
      <w:r>
        <w:t xml:space="preserve">Click through to the next page to see your personalised results.  </w:t>
      </w:r>
    </w:p>
    <w:p w14:paraId="002BE084" w14:textId="77777777" w:rsidR="00DD7BE2" w:rsidRPr="00632C76" w:rsidRDefault="00DD7BE2" w:rsidP="00DD7BE2">
      <w:pPr>
        <w:rPr>
          <w:i/>
        </w:rPr>
      </w:pPr>
      <w:r w:rsidRPr="00632C76">
        <w:rPr>
          <w:i/>
        </w:rPr>
        <w:t xml:space="preserve">[Respondents saw one of the </w:t>
      </w:r>
      <w:r>
        <w:rPr>
          <w:i/>
        </w:rPr>
        <w:t>three results tables, as shown in the ‘What we did’ section</w:t>
      </w:r>
      <w:r w:rsidRPr="00632C76">
        <w:rPr>
          <w:i/>
        </w:rPr>
        <w:t>]</w:t>
      </w:r>
    </w:p>
    <w:p w14:paraId="2E50E552" w14:textId="77777777" w:rsidR="00DD7BE2" w:rsidRPr="00A002A8" w:rsidRDefault="00DD7BE2" w:rsidP="00BD20D5">
      <w:pPr>
        <w:pStyle w:val="ListParagraph"/>
        <w:numPr>
          <w:ilvl w:val="0"/>
          <w:numId w:val="25"/>
        </w:numPr>
        <w:ind w:left="360"/>
        <w:rPr>
          <w:b/>
        </w:rPr>
      </w:pPr>
      <w:r w:rsidRPr="00A002A8">
        <w:rPr>
          <w:b/>
        </w:rPr>
        <w:t>Which one do you think looks like the best option?</w:t>
      </w:r>
    </w:p>
    <w:p w14:paraId="707A4B90" w14:textId="77777777" w:rsidR="00DD7BE2" w:rsidRDefault="00DD7BE2" w:rsidP="00BD20D5">
      <w:pPr>
        <w:pStyle w:val="ListParagraph"/>
        <w:numPr>
          <w:ilvl w:val="0"/>
          <w:numId w:val="16"/>
        </w:numPr>
        <w:spacing w:after="0" w:line="240" w:lineRule="auto"/>
        <w:ind w:left="1080"/>
      </w:pPr>
      <w:r>
        <w:t xml:space="preserve">Stability Super Balanced - your current fund  </w:t>
      </w:r>
    </w:p>
    <w:p w14:paraId="1EB1B432" w14:textId="77777777" w:rsidR="00DD7BE2" w:rsidRDefault="00DD7BE2" w:rsidP="00BD20D5">
      <w:pPr>
        <w:pStyle w:val="ListParagraph"/>
        <w:numPr>
          <w:ilvl w:val="0"/>
          <w:numId w:val="16"/>
        </w:numPr>
        <w:spacing w:after="0" w:line="240" w:lineRule="auto"/>
        <w:ind w:left="1080"/>
      </w:pPr>
      <w:r>
        <w:t xml:space="preserve">Gravitas Super Growth  </w:t>
      </w:r>
    </w:p>
    <w:p w14:paraId="225AB6C3" w14:textId="77777777" w:rsidR="00DD7BE2" w:rsidRDefault="00DD7BE2" w:rsidP="00BD20D5">
      <w:pPr>
        <w:pStyle w:val="ListParagraph"/>
        <w:numPr>
          <w:ilvl w:val="0"/>
          <w:numId w:val="16"/>
        </w:numPr>
        <w:spacing w:after="0" w:line="240" w:lineRule="auto"/>
        <w:ind w:left="1080"/>
      </w:pPr>
      <w:r>
        <w:t xml:space="preserve">Ultimate Super Balanced  </w:t>
      </w:r>
    </w:p>
    <w:p w14:paraId="0D220D17" w14:textId="77777777" w:rsidR="00DD7BE2" w:rsidRDefault="00DD7BE2" w:rsidP="00BD20D5">
      <w:pPr>
        <w:pStyle w:val="ListParagraph"/>
        <w:numPr>
          <w:ilvl w:val="0"/>
          <w:numId w:val="16"/>
        </w:numPr>
        <w:spacing w:after="0" w:line="240" w:lineRule="auto"/>
        <w:ind w:left="1080"/>
      </w:pPr>
      <w:r>
        <w:t xml:space="preserve">Maturity Super Growth  </w:t>
      </w:r>
    </w:p>
    <w:p w14:paraId="6E5CF24F" w14:textId="77777777" w:rsidR="00DD7BE2" w:rsidRDefault="00DD7BE2" w:rsidP="00BD20D5">
      <w:pPr>
        <w:pStyle w:val="ListParagraph"/>
        <w:numPr>
          <w:ilvl w:val="0"/>
          <w:numId w:val="16"/>
        </w:numPr>
        <w:spacing w:after="0" w:line="240" w:lineRule="auto"/>
        <w:ind w:left="1080"/>
      </w:pPr>
      <w:r>
        <w:t xml:space="preserve">Horizon Super Balanced  </w:t>
      </w:r>
    </w:p>
    <w:p w14:paraId="7EC8C16C" w14:textId="77777777" w:rsidR="00DD7BE2" w:rsidRDefault="00DD7BE2" w:rsidP="00BD20D5">
      <w:pPr>
        <w:pStyle w:val="ListParagraph"/>
        <w:numPr>
          <w:ilvl w:val="0"/>
          <w:numId w:val="16"/>
        </w:numPr>
        <w:spacing w:after="0" w:line="240" w:lineRule="auto"/>
        <w:ind w:left="1080"/>
      </w:pPr>
      <w:r>
        <w:t xml:space="preserve">Enlightenment Super Growth  </w:t>
      </w:r>
    </w:p>
    <w:p w14:paraId="76B14ED5" w14:textId="77777777" w:rsidR="00DD7BE2" w:rsidRDefault="00DD7BE2" w:rsidP="00BD20D5">
      <w:pPr>
        <w:pStyle w:val="ListParagraph"/>
        <w:numPr>
          <w:ilvl w:val="0"/>
          <w:numId w:val="16"/>
        </w:numPr>
        <w:spacing w:after="0" w:line="240" w:lineRule="auto"/>
        <w:ind w:left="1080"/>
      </w:pPr>
      <w:r>
        <w:t xml:space="preserve">Acumen Super Growth  </w:t>
      </w:r>
    </w:p>
    <w:p w14:paraId="0B2A324D" w14:textId="77777777" w:rsidR="00DD7BE2" w:rsidRDefault="00DD7BE2" w:rsidP="00BD20D5">
      <w:pPr>
        <w:pStyle w:val="ListParagraph"/>
        <w:numPr>
          <w:ilvl w:val="0"/>
          <w:numId w:val="16"/>
        </w:numPr>
        <w:spacing w:after="0" w:line="240" w:lineRule="auto"/>
        <w:ind w:left="1080"/>
      </w:pPr>
      <w:r>
        <w:t xml:space="preserve">Astute Super Growth  </w:t>
      </w:r>
    </w:p>
    <w:p w14:paraId="6CD85D41" w14:textId="77777777" w:rsidR="00DD7BE2" w:rsidRDefault="00DD7BE2" w:rsidP="00BD20D5">
      <w:pPr>
        <w:pStyle w:val="ListParagraph"/>
        <w:numPr>
          <w:ilvl w:val="0"/>
          <w:numId w:val="16"/>
        </w:numPr>
        <w:spacing w:after="0" w:line="240" w:lineRule="auto"/>
        <w:ind w:left="1080"/>
      </w:pPr>
      <w:r>
        <w:t xml:space="preserve">SafeInvest Super Balanced  </w:t>
      </w:r>
    </w:p>
    <w:p w14:paraId="437E8A0A" w14:textId="77777777" w:rsidR="00DD7BE2" w:rsidRDefault="00DD7BE2" w:rsidP="00BD20D5">
      <w:pPr>
        <w:pStyle w:val="ListParagraph"/>
        <w:numPr>
          <w:ilvl w:val="0"/>
          <w:numId w:val="16"/>
        </w:numPr>
        <w:spacing w:after="0" w:line="240" w:lineRule="auto"/>
        <w:ind w:left="1080"/>
      </w:pPr>
      <w:r>
        <w:t xml:space="preserve">Prosperity Super Growth   </w:t>
      </w:r>
    </w:p>
    <w:p w14:paraId="68826C2F" w14:textId="77777777" w:rsidR="00DD7BE2" w:rsidRPr="00A002A8" w:rsidRDefault="00DD7BE2" w:rsidP="00BD20D5">
      <w:pPr>
        <w:pStyle w:val="ListParagraph"/>
        <w:numPr>
          <w:ilvl w:val="0"/>
          <w:numId w:val="25"/>
        </w:numPr>
        <w:ind w:left="360"/>
        <w:rPr>
          <w:b/>
        </w:rPr>
      </w:pPr>
      <w:r w:rsidRPr="00A002A8">
        <w:rPr>
          <w:b/>
        </w:rPr>
        <w:t>When deciding which fund looked best, which feature did you focus on the most?</w:t>
      </w:r>
    </w:p>
    <w:p w14:paraId="6E7D3D02" w14:textId="77777777" w:rsidR="00DD7BE2" w:rsidRDefault="00DD7BE2" w:rsidP="00BD20D5">
      <w:pPr>
        <w:pStyle w:val="ListParagraph"/>
        <w:numPr>
          <w:ilvl w:val="0"/>
          <w:numId w:val="16"/>
        </w:numPr>
        <w:spacing w:after="0" w:line="240" w:lineRule="auto"/>
        <w:ind w:left="1080"/>
      </w:pPr>
      <w:r>
        <w:t xml:space="preserve">Easiest option  </w:t>
      </w:r>
    </w:p>
    <w:p w14:paraId="559A722E" w14:textId="77777777" w:rsidR="00DD7BE2" w:rsidRDefault="00DD7BE2" w:rsidP="00BD20D5">
      <w:pPr>
        <w:pStyle w:val="ListParagraph"/>
        <w:numPr>
          <w:ilvl w:val="0"/>
          <w:numId w:val="16"/>
        </w:numPr>
        <w:spacing w:after="0" w:line="240" w:lineRule="auto"/>
        <w:ind w:left="1080"/>
      </w:pPr>
      <w:r>
        <w:t xml:space="preserve">Lowest fees  </w:t>
      </w:r>
    </w:p>
    <w:p w14:paraId="211B43AD" w14:textId="77777777" w:rsidR="00DD7BE2" w:rsidRDefault="00DD7BE2" w:rsidP="00BD20D5">
      <w:pPr>
        <w:pStyle w:val="ListParagraph"/>
        <w:numPr>
          <w:ilvl w:val="0"/>
          <w:numId w:val="16"/>
        </w:numPr>
        <w:spacing w:after="0" w:line="240" w:lineRule="auto"/>
        <w:ind w:left="1080"/>
      </w:pPr>
      <w:r>
        <w:t xml:space="preserve">Best performance  </w:t>
      </w:r>
    </w:p>
    <w:p w14:paraId="2E000C14" w14:textId="77777777" w:rsidR="00DD7BE2" w:rsidRDefault="00DD7BE2" w:rsidP="00BD20D5">
      <w:pPr>
        <w:pStyle w:val="ListParagraph"/>
        <w:numPr>
          <w:ilvl w:val="0"/>
          <w:numId w:val="16"/>
        </w:numPr>
        <w:spacing w:after="0" w:line="240" w:lineRule="auto"/>
        <w:ind w:left="1080"/>
      </w:pPr>
      <w:r>
        <w:t xml:space="preserve">Lowest risk  </w:t>
      </w:r>
    </w:p>
    <w:p w14:paraId="52DC3900" w14:textId="77777777" w:rsidR="00DD7BE2" w:rsidRDefault="00DD7BE2" w:rsidP="00BD20D5">
      <w:pPr>
        <w:pStyle w:val="ListParagraph"/>
        <w:numPr>
          <w:ilvl w:val="0"/>
          <w:numId w:val="16"/>
        </w:numPr>
        <w:spacing w:after="0" w:line="240" w:lineRule="auto"/>
        <w:ind w:left="1080"/>
      </w:pPr>
      <w:r>
        <w:t xml:space="preserve">Highest returns  </w:t>
      </w:r>
    </w:p>
    <w:p w14:paraId="658397C1" w14:textId="77777777" w:rsidR="00DD7BE2" w:rsidRDefault="00DD7BE2" w:rsidP="00BD20D5">
      <w:pPr>
        <w:pStyle w:val="ListParagraph"/>
        <w:numPr>
          <w:ilvl w:val="0"/>
          <w:numId w:val="16"/>
        </w:numPr>
        <w:spacing w:after="0" w:line="240" w:lineRule="auto"/>
        <w:ind w:left="1080"/>
      </w:pPr>
      <w:r>
        <w:t xml:space="preserve">Liked the name  </w:t>
      </w:r>
    </w:p>
    <w:p w14:paraId="0461B064" w14:textId="77777777" w:rsidR="00DD7BE2" w:rsidRDefault="00DD7BE2" w:rsidP="00BD20D5">
      <w:pPr>
        <w:pStyle w:val="ListParagraph"/>
        <w:numPr>
          <w:ilvl w:val="0"/>
          <w:numId w:val="16"/>
        </w:numPr>
        <w:spacing w:after="0" w:line="240" w:lineRule="auto"/>
        <w:ind w:left="1080"/>
      </w:pPr>
      <w:r>
        <w:t xml:space="preserve">Unsure  </w:t>
      </w:r>
    </w:p>
    <w:p w14:paraId="32B8A7AC" w14:textId="77777777" w:rsidR="00DD7BE2" w:rsidRDefault="00DD7BE2" w:rsidP="00BD20D5">
      <w:pPr>
        <w:pStyle w:val="ListParagraph"/>
        <w:numPr>
          <w:ilvl w:val="0"/>
          <w:numId w:val="16"/>
        </w:numPr>
        <w:spacing w:after="0" w:line="240" w:lineRule="auto"/>
        <w:ind w:left="1080"/>
      </w:pPr>
      <w:r>
        <w:t xml:space="preserve">Other (please tell us)  </w:t>
      </w:r>
    </w:p>
    <w:p w14:paraId="710545ED" w14:textId="77777777" w:rsidR="00DD7BE2" w:rsidRPr="00A002A8" w:rsidRDefault="00DD7BE2" w:rsidP="00BD20D5">
      <w:pPr>
        <w:pStyle w:val="ListParagraph"/>
        <w:numPr>
          <w:ilvl w:val="0"/>
          <w:numId w:val="25"/>
        </w:numPr>
        <w:ind w:left="360"/>
        <w:rPr>
          <w:b/>
        </w:rPr>
      </w:pPr>
      <w:r w:rsidRPr="00A002A8">
        <w:rPr>
          <w:b/>
        </w:rPr>
        <w:t>Remembering that you're answering for your 32 year old self, how likely is it that you would switch funds?</w:t>
      </w:r>
    </w:p>
    <w:p w14:paraId="72588A22" w14:textId="77777777" w:rsidR="00DD7BE2" w:rsidRDefault="00DD7BE2" w:rsidP="00BD20D5">
      <w:pPr>
        <w:pStyle w:val="ListParagraph"/>
        <w:numPr>
          <w:ilvl w:val="0"/>
          <w:numId w:val="16"/>
        </w:numPr>
        <w:spacing w:after="0" w:line="240" w:lineRule="auto"/>
        <w:ind w:left="1080"/>
      </w:pPr>
      <w:r>
        <w:t xml:space="preserve">Very likely  </w:t>
      </w:r>
    </w:p>
    <w:p w14:paraId="49B83010" w14:textId="77777777" w:rsidR="00DD7BE2" w:rsidRDefault="00DD7BE2" w:rsidP="00BD20D5">
      <w:pPr>
        <w:pStyle w:val="ListParagraph"/>
        <w:numPr>
          <w:ilvl w:val="0"/>
          <w:numId w:val="16"/>
        </w:numPr>
        <w:spacing w:after="0" w:line="240" w:lineRule="auto"/>
        <w:ind w:left="1080"/>
      </w:pPr>
      <w:r>
        <w:t xml:space="preserve">Likely  </w:t>
      </w:r>
    </w:p>
    <w:p w14:paraId="3A18BD70" w14:textId="77777777" w:rsidR="00DD7BE2" w:rsidRDefault="00DD7BE2" w:rsidP="00BD20D5">
      <w:pPr>
        <w:pStyle w:val="ListParagraph"/>
        <w:numPr>
          <w:ilvl w:val="0"/>
          <w:numId w:val="16"/>
        </w:numPr>
        <w:spacing w:after="0" w:line="240" w:lineRule="auto"/>
        <w:ind w:left="1080"/>
      </w:pPr>
      <w:r>
        <w:t xml:space="preserve">Neither likely nor unlikely  </w:t>
      </w:r>
    </w:p>
    <w:p w14:paraId="6228538B" w14:textId="77777777" w:rsidR="00DD7BE2" w:rsidRDefault="00DD7BE2" w:rsidP="00BD20D5">
      <w:pPr>
        <w:pStyle w:val="ListParagraph"/>
        <w:numPr>
          <w:ilvl w:val="0"/>
          <w:numId w:val="16"/>
        </w:numPr>
        <w:spacing w:after="0" w:line="240" w:lineRule="auto"/>
        <w:ind w:left="1080"/>
      </w:pPr>
      <w:r>
        <w:t xml:space="preserve">Unlikely  </w:t>
      </w:r>
    </w:p>
    <w:p w14:paraId="4019DDE1" w14:textId="77777777" w:rsidR="00DD7BE2" w:rsidRDefault="00DD7BE2" w:rsidP="00BD20D5">
      <w:pPr>
        <w:pStyle w:val="ListParagraph"/>
        <w:numPr>
          <w:ilvl w:val="0"/>
          <w:numId w:val="16"/>
        </w:numPr>
        <w:spacing w:after="0" w:line="240" w:lineRule="auto"/>
        <w:ind w:left="1080"/>
      </w:pPr>
      <w:r>
        <w:t xml:space="preserve">Very unlikely  </w:t>
      </w:r>
    </w:p>
    <w:p w14:paraId="3B61C72C" w14:textId="77777777" w:rsidR="00DD7BE2" w:rsidRPr="00A002A8" w:rsidRDefault="00DD7BE2" w:rsidP="00BD20D5">
      <w:pPr>
        <w:pStyle w:val="ListParagraph"/>
        <w:numPr>
          <w:ilvl w:val="0"/>
          <w:numId w:val="25"/>
        </w:numPr>
        <w:ind w:left="360"/>
        <w:rPr>
          <w:b/>
        </w:rPr>
      </w:pPr>
      <w:r w:rsidRPr="00A002A8">
        <w:rPr>
          <w:b/>
        </w:rPr>
        <w:t>How easy was it to compare super funds using the superannuation comparison tool?</w:t>
      </w:r>
    </w:p>
    <w:p w14:paraId="3122B2EF" w14:textId="77777777" w:rsidR="00DD7BE2" w:rsidRDefault="00DD7BE2" w:rsidP="00BD20D5">
      <w:pPr>
        <w:pStyle w:val="ListParagraph"/>
        <w:numPr>
          <w:ilvl w:val="0"/>
          <w:numId w:val="16"/>
        </w:numPr>
        <w:spacing w:after="0" w:line="240" w:lineRule="auto"/>
        <w:ind w:left="1080"/>
      </w:pPr>
      <w:r>
        <w:t xml:space="preserve">Very easy </w:t>
      </w:r>
    </w:p>
    <w:p w14:paraId="1B374D66" w14:textId="77777777" w:rsidR="00DD7BE2" w:rsidRDefault="00DD7BE2" w:rsidP="00BD20D5">
      <w:pPr>
        <w:pStyle w:val="ListParagraph"/>
        <w:numPr>
          <w:ilvl w:val="0"/>
          <w:numId w:val="16"/>
        </w:numPr>
        <w:spacing w:after="0" w:line="240" w:lineRule="auto"/>
        <w:ind w:left="1080"/>
      </w:pPr>
      <w:r>
        <w:t xml:space="preserve">Easy  </w:t>
      </w:r>
    </w:p>
    <w:p w14:paraId="33A0FBFA" w14:textId="77777777" w:rsidR="00DD7BE2" w:rsidRDefault="00DD7BE2" w:rsidP="00BD20D5">
      <w:pPr>
        <w:pStyle w:val="ListParagraph"/>
        <w:numPr>
          <w:ilvl w:val="0"/>
          <w:numId w:val="16"/>
        </w:numPr>
        <w:spacing w:after="0" w:line="240" w:lineRule="auto"/>
        <w:ind w:left="1080"/>
      </w:pPr>
      <w:r>
        <w:t xml:space="preserve">Neither easy nor difficult  </w:t>
      </w:r>
    </w:p>
    <w:p w14:paraId="41EF68F5" w14:textId="77777777" w:rsidR="00DD7BE2" w:rsidRDefault="00DD7BE2" w:rsidP="00BD20D5">
      <w:pPr>
        <w:pStyle w:val="ListParagraph"/>
        <w:numPr>
          <w:ilvl w:val="0"/>
          <w:numId w:val="16"/>
        </w:numPr>
        <w:spacing w:after="0" w:line="240" w:lineRule="auto"/>
        <w:ind w:left="1080"/>
      </w:pPr>
      <w:r>
        <w:t xml:space="preserve">Difficult </w:t>
      </w:r>
    </w:p>
    <w:p w14:paraId="189A4F41" w14:textId="77777777" w:rsidR="00DD7BE2" w:rsidRDefault="00DD7BE2" w:rsidP="00BD20D5">
      <w:pPr>
        <w:pStyle w:val="ListParagraph"/>
        <w:numPr>
          <w:ilvl w:val="0"/>
          <w:numId w:val="16"/>
        </w:numPr>
        <w:spacing w:after="0" w:line="240" w:lineRule="auto"/>
        <w:ind w:left="1080"/>
      </w:pPr>
      <w:r>
        <w:t xml:space="preserve">Very difficult </w:t>
      </w:r>
    </w:p>
    <w:p w14:paraId="72DF38B1" w14:textId="5696550D" w:rsidR="00DD7BE2" w:rsidRDefault="00DD7BE2" w:rsidP="00DD7BE2">
      <w:pPr>
        <w:pStyle w:val="Heading4"/>
      </w:pPr>
      <w:r>
        <w:lastRenderedPageBreak/>
        <w:t xml:space="preserve">Survey </w:t>
      </w:r>
      <w:r w:rsidR="00F3090C">
        <w:t>Experiment two</w:t>
      </w:r>
    </w:p>
    <w:p w14:paraId="788ED476" w14:textId="77777777" w:rsidR="00DD7BE2" w:rsidRPr="00A002A8" w:rsidRDefault="00DD7BE2" w:rsidP="00BD20D5">
      <w:pPr>
        <w:pStyle w:val="ListParagraph"/>
        <w:numPr>
          <w:ilvl w:val="0"/>
          <w:numId w:val="25"/>
        </w:numPr>
        <w:ind w:left="360"/>
        <w:rPr>
          <w:b/>
        </w:rPr>
      </w:pPr>
      <w:r w:rsidRPr="00A002A8">
        <w:rPr>
          <w:b/>
        </w:rPr>
        <w:t>Please consider the following descriptions of super fund performance. Which label would be most helpful in highlighting the best performing funds?</w:t>
      </w:r>
    </w:p>
    <w:p w14:paraId="1A799DF1" w14:textId="77777777" w:rsidR="00DD7BE2" w:rsidRDefault="00DD7BE2" w:rsidP="00BD20D5">
      <w:pPr>
        <w:pStyle w:val="ListParagraph"/>
        <w:numPr>
          <w:ilvl w:val="0"/>
          <w:numId w:val="16"/>
        </w:numPr>
        <w:spacing w:after="0" w:line="240" w:lineRule="auto"/>
        <w:ind w:left="1080"/>
      </w:pPr>
      <w:r>
        <w:t xml:space="preserve">Top </w:t>
      </w:r>
    </w:p>
    <w:p w14:paraId="46ACEFC1" w14:textId="77777777" w:rsidR="00DD7BE2" w:rsidRDefault="00DD7BE2" w:rsidP="00BD20D5">
      <w:pPr>
        <w:pStyle w:val="ListParagraph"/>
        <w:numPr>
          <w:ilvl w:val="0"/>
          <w:numId w:val="16"/>
        </w:numPr>
        <w:spacing w:after="0" w:line="240" w:lineRule="auto"/>
        <w:ind w:left="1080"/>
      </w:pPr>
      <w:r>
        <w:t xml:space="preserve">Strong </w:t>
      </w:r>
    </w:p>
    <w:p w14:paraId="7376AAB5" w14:textId="77777777" w:rsidR="00DD7BE2" w:rsidRDefault="00DD7BE2" w:rsidP="00BD20D5">
      <w:pPr>
        <w:pStyle w:val="ListParagraph"/>
        <w:numPr>
          <w:ilvl w:val="0"/>
          <w:numId w:val="16"/>
        </w:numPr>
        <w:spacing w:after="0" w:line="240" w:lineRule="auto"/>
        <w:ind w:left="1080"/>
      </w:pPr>
      <w:r>
        <w:t xml:space="preserve">High </w:t>
      </w:r>
    </w:p>
    <w:p w14:paraId="2A7FDBAA" w14:textId="77777777" w:rsidR="00DD7BE2" w:rsidRPr="00A002A8" w:rsidRDefault="00DD7BE2" w:rsidP="00BD20D5">
      <w:pPr>
        <w:pStyle w:val="ListParagraph"/>
        <w:keepNext/>
        <w:numPr>
          <w:ilvl w:val="0"/>
          <w:numId w:val="25"/>
        </w:numPr>
        <w:ind w:left="360"/>
        <w:rPr>
          <w:b/>
        </w:rPr>
      </w:pPr>
      <w:r w:rsidRPr="00A002A8">
        <w:rPr>
          <w:b/>
        </w:rPr>
        <w:t xml:space="preserve">And which label would be most helpful in highlighting the </w:t>
      </w:r>
      <w:r w:rsidRPr="00A002A8">
        <w:rPr>
          <w:b/>
          <w:u w:val="single"/>
        </w:rPr>
        <w:t>worst</w:t>
      </w:r>
      <w:r w:rsidRPr="00A002A8">
        <w:rPr>
          <w:b/>
        </w:rPr>
        <w:t xml:space="preserve"> performing super funds?</w:t>
      </w:r>
    </w:p>
    <w:p w14:paraId="061AD09E" w14:textId="77777777" w:rsidR="00DD7BE2" w:rsidRDefault="00DD7BE2" w:rsidP="00BD20D5">
      <w:pPr>
        <w:pStyle w:val="ListParagraph"/>
        <w:numPr>
          <w:ilvl w:val="0"/>
          <w:numId w:val="16"/>
        </w:numPr>
        <w:spacing w:after="0" w:line="240" w:lineRule="auto"/>
        <w:ind w:left="1080"/>
      </w:pPr>
      <w:r>
        <w:t xml:space="preserve">Under </w:t>
      </w:r>
    </w:p>
    <w:p w14:paraId="4DC1F84B" w14:textId="77777777" w:rsidR="00DD7BE2" w:rsidRDefault="00DD7BE2" w:rsidP="00BD20D5">
      <w:pPr>
        <w:pStyle w:val="ListParagraph"/>
        <w:numPr>
          <w:ilvl w:val="0"/>
          <w:numId w:val="16"/>
        </w:numPr>
        <w:spacing w:after="0" w:line="240" w:lineRule="auto"/>
        <w:ind w:left="1080"/>
      </w:pPr>
      <w:r>
        <w:t xml:space="preserve">Poor </w:t>
      </w:r>
    </w:p>
    <w:p w14:paraId="255F263F" w14:textId="77777777" w:rsidR="00DD7BE2" w:rsidRDefault="00DD7BE2" w:rsidP="00BD20D5">
      <w:pPr>
        <w:pStyle w:val="ListParagraph"/>
        <w:numPr>
          <w:ilvl w:val="0"/>
          <w:numId w:val="16"/>
        </w:numPr>
        <w:spacing w:after="0" w:line="240" w:lineRule="auto"/>
        <w:ind w:left="1080"/>
      </w:pPr>
      <w:r>
        <w:t xml:space="preserve">Weak </w:t>
      </w:r>
    </w:p>
    <w:p w14:paraId="4E4AFFED" w14:textId="77777777" w:rsidR="00DD7BE2" w:rsidRPr="00A002A8" w:rsidRDefault="00DD7BE2" w:rsidP="00BD20D5">
      <w:pPr>
        <w:pStyle w:val="ListParagraph"/>
        <w:numPr>
          <w:ilvl w:val="0"/>
          <w:numId w:val="25"/>
        </w:numPr>
        <w:ind w:left="360"/>
        <w:rPr>
          <w:b/>
        </w:rPr>
      </w:pPr>
      <w:r w:rsidRPr="00A002A8">
        <w:rPr>
          <w:b/>
        </w:rPr>
        <w:t>There are 88 different default superannuation funds available in Australia. What percentage of superannuation funds do you think would be worst performing? Please give us your best guess.</w:t>
      </w:r>
    </w:p>
    <w:p w14:paraId="2E48F40D" w14:textId="77777777" w:rsidR="00DD7BE2" w:rsidRPr="00A002A8" w:rsidRDefault="00DD7BE2" w:rsidP="00BD20D5">
      <w:pPr>
        <w:pStyle w:val="ListParagraph"/>
        <w:numPr>
          <w:ilvl w:val="0"/>
          <w:numId w:val="25"/>
        </w:numPr>
        <w:ind w:left="360"/>
        <w:rPr>
          <w:b/>
        </w:rPr>
      </w:pPr>
      <w:r w:rsidRPr="00A002A8">
        <w:rPr>
          <w:b/>
        </w:rPr>
        <w:t>In the process of signing up with a new super fund, you are offered a choice of investment options. Which investment option are you most likely to choose?</w:t>
      </w:r>
    </w:p>
    <w:p w14:paraId="3FC75F1B" w14:textId="77777777" w:rsidR="00DD7BE2" w:rsidRPr="00184352" w:rsidRDefault="00DD7BE2" w:rsidP="00DD7BE2">
      <w:pPr>
        <w:ind w:firstLine="720"/>
      </w:pPr>
      <w:r w:rsidRPr="00184352">
        <w:t>[</w:t>
      </w:r>
      <w:r w:rsidRPr="00632C76">
        <w:rPr>
          <w:i/>
        </w:rPr>
        <w:t>Respondents saw one of the following three sets of response options.]</w:t>
      </w:r>
    </w:p>
    <w:p w14:paraId="5E98541E" w14:textId="77777777" w:rsidR="00DD7BE2" w:rsidRDefault="00DD7BE2" w:rsidP="00BD20D5">
      <w:pPr>
        <w:pStyle w:val="ListParagraph"/>
        <w:numPr>
          <w:ilvl w:val="0"/>
          <w:numId w:val="16"/>
        </w:numPr>
        <w:spacing w:after="0" w:line="240" w:lineRule="auto"/>
        <w:ind w:left="1080"/>
      </w:pPr>
      <w:r w:rsidRPr="000471A8">
        <w:t>Low risk – expect a negative</w:t>
      </w:r>
      <w:r>
        <w:t xml:space="preserve"> return 1 out of every 20 years</w:t>
      </w:r>
    </w:p>
    <w:p w14:paraId="14DFDD6A" w14:textId="77777777" w:rsidR="00DD7BE2" w:rsidRDefault="00DD7BE2" w:rsidP="00BD20D5">
      <w:pPr>
        <w:pStyle w:val="ListParagraph"/>
        <w:numPr>
          <w:ilvl w:val="0"/>
          <w:numId w:val="16"/>
        </w:numPr>
        <w:spacing w:after="0" w:line="240" w:lineRule="auto"/>
        <w:ind w:left="1080"/>
      </w:pPr>
      <w:r>
        <w:t>Medium</w:t>
      </w:r>
      <w:r w:rsidRPr="000471A8">
        <w:t xml:space="preserve"> risk – expect a negative</w:t>
      </w:r>
      <w:r>
        <w:t xml:space="preserve"> return 2 out of every 20 years </w:t>
      </w:r>
    </w:p>
    <w:p w14:paraId="6B3DEF2A" w14:textId="77777777" w:rsidR="00DD7BE2" w:rsidRDefault="00DD7BE2" w:rsidP="00BD20D5">
      <w:pPr>
        <w:pStyle w:val="ListParagraph"/>
        <w:numPr>
          <w:ilvl w:val="0"/>
          <w:numId w:val="16"/>
        </w:numPr>
        <w:spacing w:after="0" w:line="240" w:lineRule="auto"/>
        <w:ind w:left="1080"/>
      </w:pPr>
      <w:r>
        <w:t>High</w:t>
      </w:r>
      <w:r w:rsidRPr="000471A8">
        <w:t xml:space="preserve"> risk – expect a negative</w:t>
      </w:r>
      <w:r>
        <w:t xml:space="preserve"> return 4 out of every 20 years </w:t>
      </w:r>
    </w:p>
    <w:p w14:paraId="420D1F49" w14:textId="77777777" w:rsidR="00DD7BE2" w:rsidRPr="00632C76" w:rsidRDefault="00DD7BE2" w:rsidP="00DD7BE2">
      <w:pPr>
        <w:pStyle w:val="ListParagraph"/>
        <w:ind w:left="360"/>
        <w:rPr>
          <w:i/>
        </w:rPr>
      </w:pPr>
      <w:r w:rsidRPr="00632C76">
        <w:rPr>
          <w:i/>
        </w:rPr>
        <w:t>or</w:t>
      </w:r>
    </w:p>
    <w:p w14:paraId="0C760545" w14:textId="77777777" w:rsidR="00DD7BE2" w:rsidRDefault="00DD7BE2" w:rsidP="00BD20D5">
      <w:pPr>
        <w:pStyle w:val="ListParagraph"/>
        <w:numPr>
          <w:ilvl w:val="0"/>
          <w:numId w:val="16"/>
        </w:numPr>
        <w:spacing w:after="0" w:line="240" w:lineRule="auto"/>
        <w:ind w:left="1080"/>
      </w:pPr>
      <w:r>
        <w:t>Conservative</w:t>
      </w:r>
    </w:p>
    <w:p w14:paraId="26B4E210" w14:textId="77777777" w:rsidR="00DD7BE2" w:rsidRDefault="00DD7BE2" w:rsidP="00BD20D5">
      <w:pPr>
        <w:pStyle w:val="ListParagraph"/>
        <w:numPr>
          <w:ilvl w:val="0"/>
          <w:numId w:val="16"/>
        </w:numPr>
        <w:spacing w:after="0" w:line="240" w:lineRule="auto"/>
        <w:ind w:left="1080"/>
      </w:pPr>
      <w:r>
        <w:t>Balanced</w:t>
      </w:r>
    </w:p>
    <w:p w14:paraId="045149EC" w14:textId="77777777" w:rsidR="00DD7BE2" w:rsidRDefault="00DD7BE2" w:rsidP="00BD20D5">
      <w:pPr>
        <w:pStyle w:val="ListParagraph"/>
        <w:numPr>
          <w:ilvl w:val="0"/>
          <w:numId w:val="16"/>
        </w:numPr>
        <w:spacing w:after="0" w:line="240" w:lineRule="auto"/>
        <w:ind w:left="1080"/>
      </w:pPr>
      <w:r>
        <w:t xml:space="preserve">Growth </w:t>
      </w:r>
    </w:p>
    <w:p w14:paraId="3D8D8880" w14:textId="77777777" w:rsidR="00DD7BE2" w:rsidRPr="00632C76" w:rsidRDefault="00DD7BE2" w:rsidP="00DD7BE2">
      <w:pPr>
        <w:ind w:left="360"/>
        <w:rPr>
          <w:i/>
        </w:rPr>
      </w:pPr>
      <w:r w:rsidRPr="00632C76">
        <w:rPr>
          <w:i/>
        </w:rPr>
        <w:t>or</w:t>
      </w:r>
    </w:p>
    <w:p w14:paraId="79BA5EF4" w14:textId="77777777" w:rsidR="00DD7BE2" w:rsidRDefault="00DD7BE2" w:rsidP="00BD20D5">
      <w:pPr>
        <w:pStyle w:val="ListParagraph"/>
        <w:numPr>
          <w:ilvl w:val="0"/>
          <w:numId w:val="16"/>
        </w:numPr>
        <w:spacing w:after="0" w:line="240" w:lineRule="auto"/>
        <w:ind w:left="1080"/>
      </w:pPr>
      <w:r>
        <w:t>Low risk &amp; low expected return</w:t>
      </w:r>
    </w:p>
    <w:p w14:paraId="7DD9A947" w14:textId="77777777" w:rsidR="00DD7BE2" w:rsidRDefault="00DD7BE2" w:rsidP="00BD20D5">
      <w:pPr>
        <w:pStyle w:val="ListParagraph"/>
        <w:numPr>
          <w:ilvl w:val="0"/>
          <w:numId w:val="16"/>
        </w:numPr>
        <w:spacing w:after="0" w:line="240" w:lineRule="auto"/>
        <w:ind w:left="1080"/>
      </w:pPr>
      <w:r>
        <w:t>Medium risk &amp; medium expected return</w:t>
      </w:r>
    </w:p>
    <w:p w14:paraId="224005B3" w14:textId="77777777" w:rsidR="00DD7BE2" w:rsidRDefault="00DD7BE2" w:rsidP="00BD20D5">
      <w:pPr>
        <w:pStyle w:val="ListParagraph"/>
        <w:numPr>
          <w:ilvl w:val="0"/>
          <w:numId w:val="16"/>
        </w:numPr>
        <w:spacing w:after="0" w:line="240" w:lineRule="auto"/>
        <w:ind w:left="1080"/>
      </w:pPr>
      <w:r>
        <w:t>High risk &amp; high expected return</w:t>
      </w:r>
    </w:p>
    <w:p w14:paraId="0D277614" w14:textId="77777777" w:rsidR="00DD7BE2" w:rsidRPr="00A002A8" w:rsidRDefault="00DD7BE2" w:rsidP="00BD20D5">
      <w:pPr>
        <w:pStyle w:val="ListParagraph"/>
        <w:numPr>
          <w:ilvl w:val="0"/>
          <w:numId w:val="25"/>
        </w:numPr>
        <w:ind w:left="360"/>
        <w:rPr>
          <w:b/>
        </w:rPr>
      </w:pPr>
      <w:r w:rsidRPr="00A002A8">
        <w:rPr>
          <w:b/>
        </w:rPr>
        <w:t>Which is the best option for a young person starting out in their career?</w:t>
      </w:r>
    </w:p>
    <w:p w14:paraId="3DE98CC5" w14:textId="77777777" w:rsidR="00DD7BE2" w:rsidRPr="00632C76" w:rsidRDefault="00DD7BE2" w:rsidP="00DD7BE2">
      <w:pPr>
        <w:ind w:firstLine="720"/>
        <w:rPr>
          <w:i/>
        </w:rPr>
      </w:pPr>
      <w:r w:rsidRPr="00632C76">
        <w:rPr>
          <w:i/>
        </w:rPr>
        <w:t>[Respondents saw one of the following three sets of response options.]</w:t>
      </w:r>
    </w:p>
    <w:p w14:paraId="43CA418D" w14:textId="77777777" w:rsidR="00DD7BE2" w:rsidRDefault="00DD7BE2" w:rsidP="00BD20D5">
      <w:pPr>
        <w:pStyle w:val="ListParagraph"/>
        <w:numPr>
          <w:ilvl w:val="0"/>
          <w:numId w:val="16"/>
        </w:numPr>
        <w:spacing w:after="0" w:line="240" w:lineRule="auto"/>
        <w:ind w:left="1080"/>
      </w:pPr>
      <w:r w:rsidRPr="000471A8">
        <w:t>Low risk – expect a negative</w:t>
      </w:r>
      <w:r>
        <w:t xml:space="preserve"> return 1 out of every 20 years</w:t>
      </w:r>
    </w:p>
    <w:p w14:paraId="41418BD9" w14:textId="77777777" w:rsidR="00DD7BE2" w:rsidRDefault="00DD7BE2" w:rsidP="00BD20D5">
      <w:pPr>
        <w:pStyle w:val="ListParagraph"/>
        <w:numPr>
          <w:ilvl w:val="0"/>
          <w:numId w:val="16"/>
        </w:numPr>
        <w:spacing w:after="0" w:line="240" w:lineRule="auto"/>
        <w:ind w:left="1080"/>
      </w:pPr>
      <w:r>
        <w:t>Medium</w:t>
      </w:r>
      <w:r w:rsidRPr="000471A8">
        <w:t xml:space="preserve"> risk – expect a negative</w:t>
      </w:r>
      <w:r>
        <w:t xml:space="preserve"> return 2 out of every 20 years </w:t>
      </w:r>
    </w:p>
    <w:p w14:paraId="0A9EE491" w14:textId="77777777" w:rsidR="00DD7BE2" w:rsidRDefault="00DD7BE2" w:rsidP="00BD20D5">
      <w:pPr>
        <w:pStyle w:val="ListParagraph"/>
        <w:numPr>
          <w:ilvl w:val="0"/>
          <w:numId w:val="16"/>
        </w:numPr>
        <w:spacing w:after="0" w:line="240" w:lineRule="auto"/>
        <w:ind w:left="1080"/>
      </w:pPr>
      <w:r>
        <w:t>High</w:t>
      </w:r>
      <w:r w:rsidRPr="000471A8">
        <w:t xml:space="preserve"> risk – expect a negative</w:t>
      </w:r>
      <w:r>
        <w:t xml:space="preserve"> return 4 out of every 20 years </w:t>
      </w:r>
    </w:p>
    <w:p w14:paraId="0CB35543" w14:textId="77777777" w:rsidR="00DD7BE2" w:rsidRPr="00632C76" w:rsidRDefault="00DD7BE2" w:rsidP="00DD7BE2">
      <w:pPr>
        <w:pStyle w:val="ListParagraph"/>
        <w:ind w:left="360"/>
        <w:rPr>
          <w:i/>
        </w:rPr>
      </w:pPr>
      <w:r w:rsidRPr="00632C76">
        <w:rPr>
          <w:i/>
        </w:rPr>
        <w:t>or</w:t>
      </w:r>
    </w:p>
    <w:p w14:paraId="56DAA2DC" w14:textId="77777777" w:rsidR="00DD7BE2" w:rsidRDefault="00DD7BE2" w:rsidP="00BD20D5">
      <w:pPr>
        <w:pStyle w:val="ListParagraph"/>
        <w:numPr>
          <w:ilvl w:val="0"/>
          <w:numId w:val="16"/>
        </w:numPr>
        <w:spacing w:after="0" w:line="240" w:lineRule="auto"/>
        <w:ind w:left="1080"/>
      </w:pPr>
      <w:r>
        <w:t>Conservative</w:t>
      </w:r>
    </w:p>
    <w:p w14:paraId="1CA6C29E" w14:textId="77777777" w:rsidR="00DD7BE2" w:rsidRDefault="00DD7BE2" w:rsidP="00BD20D5">
      <w:pPr>
        <w:pStyle w:val="ListParagraph"/>
        <w:numPr>
          <w:ilvl w:val="0"/>
          <w:numId w:val="16"/>
        </w:numPr>
        <w:spacing w:after="0" w:line="240" w:lineRule="auto"/>
        <w:ind w:left="1080"/>
      </w:pPr>
      <w:r>
        <w:t>Balanced</w:t>
      </w:r>
    </w:p>
    <w:p w14:paraId="4484E211" w14:textId="77777777" w:rsidR="00DD7BE2" w:rsidRDefault="00DD7BE2" w:rsidP="00BD20D5">
      <w:pPr>
        <w:pStyle w:val="ListParagraph"/>
        <w:numPr>
          <w:ilvl w:val="0"/>
          <w:numId w:val="16"/>
        </w:numPr>
        <w:spacing w:after="0" w:line="240" w:lineRule="auto"/>
        <w:ind w:left="1080"/>
      </w:pPr>
      <w:r>
        <w:t xml:space="preserve">Growth </w:t>
      </w:r>
    </w:p>
    <w:p w14:paraId="38E188A2" w14:textId="77777777" w:rsidR="00DD7BE2" w:rsidRPr="00632C76" w:rsidRDefault="00DD7BE2" w:rsidP="00DD7BE2">
      <w:pPr>
        <w:ind w:left="360"/>
        <w:rPr>
          <w:i/>
        </w:rPr>
      </w:pPr>
      <w:r w:rsidRPr="00632C76">
        <w:rPr>
          <w:i/>
        </w:rPr>
        <w:t>or</w:t>
      </w:r>
    </w:p>
    <w:p w14:paraId="3F437C41" w14:textId="77777777" w:rsidR="00DD7BE2" w:rsidRDefault="00DD7BE2" w:rsidP="00BD20D5">
      <w:pPr>
        <w:pStyle w:val="ListParagraph"/>
        <w:numPr>
          <w:ilvl w:val="0"/>
          <w:numId w:val="16"/>
        </w:numPr>
        <w:spacing w:after="0" w:line="240" w:lineRule="auto"/>
        <w:ind w:left="1080"/>
      </w:pPr>
      <w:r>
        <w:t>Low risk &amp; low expected return</w:t>
      </w:r>
    </w:p>
    <w:p w14:paraId="1B029571" w14:textId="77777777" w:rsidR="00DD7BE2" w:rsidRDefault="00DD7BE2" w:rsidP="00BD20D5">
      <w:pPr>
        <w:pStyle w:val="ListParagraph"/>
        <w:numPr>
          <w:ilvl w:val="0"/>
          <w:numId w:val="16"/>
        </w:numPr>
        <w:spacing w:after="0" w:line="240" w:lineRule="auto"/>
        <w:ind w:left="1080"/>
      </w:pPr>
      <w:r>
        <w:t>Medium risk &amp; medium expected return</w:t>
      </w:r>
    </w:p>
    <w:p w14:paraId="4D2BE2FF" w14:textId="77777777" w:rsidR="00DD7BE2" w:rsidRDefault="00DD7BE2" w:rsidP="00BD20D5">
      <w:pPr>
        <w:pStyle w:val="ListParagraph"/>
        <w:numPr>
          <w:ilvl w:val="0"/>
          <w:numId w:val="16"/>
        </w:numPr>
        <w:spacing w:after="0" w:line="240" w:lineRule="auto"/>
        <w:ind w:left="1080"/>
      </w:pPr>
      <w:r>
        <w:t>High risk &amp; high expected return</w:t>
      </w:r>
    </w:p>
    <w:p w14:paraId="27B02D66" w14:textId="77777777" w:rsidR="00DD7BE2" w:rsidRDefault="00DD7BE2" w:rsidP="00DD7BE2">
      <w:pPr>
        <w:pStyle w:val="Heading4"/>
      </w:pPr>
      <w:r>
        <w:lastRenderedPageBreak/>
        <w:t>Survey questions</w:t>
      </w:r>
    </w:p>
    <w:p w14:paraId="2CCA76F3" w14:textId="77777777" w:rsidR="00DD7BE2" w:rsidRPr="00A002A8" w:rsidRDefault="00DD7BE2" w:rsidP="00BD20D5">
      <w:pPr>
        <w:pStyle w:val="ListParagraph"/>
        <w:numPr>
          <w:ilvl w:val="0"/>
          <w:numId w:val="25"/>
        </w:numPr>
        <w:ind w:left="360"/>
        <w:rPr>
          <w:b/>
        </w:rPr>
      </w:pPr>
      <w:r w:rsidRPr="00A002A8">
        <w:rPr>
          <w:b/>
        </w:rPr>
        <w:t xml:space="preserve">You are provided with a notice telling you that your superannuation product is performing poorly and directing you to the superannuation comparison tool. Which delivery method would be most likely to get your attention? </w:t>
      </w:r>
    </w:p>
    <w:p w14:paraId="6E421A65" w14:textId="77777777" w:rsidR="00DD7BE2" w:rsidRDefault="00DD7BE2" w:rsidP="00BD20D5">
      <w:pPr>
        <w:pStyle w:val="ListParagraph"/>
        <w:numPr>
          <w:ilvl w:val="0"/>
          <w:numId w:val="16"/>
        </w:numPr>
        <w:spacing w:after="0" w:line="240" w:lineRule="auto"/>
        <w:ind w:left="1080"/>
      </w:pPr>
      <w:r>
        <w:t xml:space="preserve">By mail  </w:t>
      </w:r>
    </w:p>
    <w:p w14:paraId="78FB97E3" w14:textId="77777777" w:rsidR="00DD7BE2" w:rsidRDefault="00DD7BE2" w:rsidP="00BD20D5">
      <w:pPr>
        <w:pStyle w:val="ListParagraph"/>
        <w:numPr>
          <w:ilvl w:val="0"/>
          <w:numId w:val="16"/>
        </w:numPr>
        <w:spacing w:after="0" w:line="240" w:lineRule="auto"/>
        <w:ind w:left="1080"/>
      </w:pPr>
      <w:r>
        <w:t xml:space="preserve">By email  </w:t>
      </w:r>
    </w:p>
    <w:p w14:paraId="66FEE1C3" w14:textId="77777777" w:rsidR="00DD7BE2" w:rsidRDefault="00DD7BE2" w:rsidP="00BD20D5">
      <w:pPr>
        <w:pStyle w:val="ListParagraph"/>
        <w:numPr>
          <w:ilvl w:val="0"/>
          <w:numId w:val="16"/>
        </w:numPr>
        <w:spacing w:after="0" w:line="240" w:lineRule="auto"/>
        <w:ind w:left="1080"/>
      </w:pPr>
      <w:r>
        <w:t xml:space="preserve">By both mail and email  </w:t>
      </w:r>
    </w:p>
    <w:p w14:paraId="5B27F13F" w14:textId="77777777" w:rsidR="00DD7BE2" w:rsidRPr="00A002A8" w:rsidRDefault="00DD7BE2" w:rsidP="00BD20D5">
      <w:pPr>
        <w:pStyle w:val="ListParagraph"/>
        <w:numPr>
          <w:ilvl w:val="0"/>
          <w:numId w:val="25"/>
        </w:numPr>
        <w:ind w:left="360"/>
        <w:rPr>
          <w:b/>
        </w:rPr>
      </w:pPr>
      <w:r w:rsidRPr="00A002A8">
        <w:rPr>
          <w:b/>
        </w:rPr>
        <w:t>Which of the following statements do you think would motivate you the most to compare your super?</w:t>
      </w:r>
    </w:p>
    <w:p w14:paraId="265EDDF2" w14:textId="77777777" w:rsidR="00DD7BE2" w:rsidRDefault="00DD7BE2" w:rsidP="00BD20D5">
      <w:pPr>
        <w:pStyle w:val="ListParagraph"/>
        <w:numPr>
          <w:ilvl w:val="0"/>
          <w:numId w:val="16"/>
        </w:numPr>
        <w:spacing w:after="0" w:line="240" w:lineRule="auto"/>
        <w:ind w:left="1080"/>
      </w:pPr>
      <w:r>
        <w:t xml:space="preserve">Make your super work harder for you  </w:t>
      </w:r>
    </w:p>
    <w:p w14:paraId="20756183" w14:textId="77777777" w:rsidR="00DD7BE2" w:rsidRDefault="00DD7BE2" w:rsidP="00BD20D5">
      <w:pPr>
        <w:pStyle w:val="ListParagraph"/>
        <w:numPr>
          <w:ilvl w:val="0"/>
          <w:numId w:val="16"/>
        </w:numPr>
        <w:spacing w:after="0" w:line="240" w:lineRule="auto"/>
        <w:ind w:left="1080"/>
      </w:pPr>
      <w:r>
        <w:t xml:space="preserve">Make the most of your super  </w:t>
      </w:r>
    </w:p>
    <w:p w14:paraId="522A94D6" w14:textId="77777777" w:rsidR="00DD7BE2" w:rsidRDefault="00DD7BE2" w:rsidP="00BD20D5">
      <w:pPr>
        <w:pStyle w:val="ListParagraph"/>
        <w:numPr>
          <w:ilvl w:val="0"/>
          <w:numId w:val="16"/>
        </w:numPr>
        <w:spacing w:after="0" w:line="240" w:lineRule="auto"/>
        <w:ind w:left="1080"/>
      </w:pPr>
      <w:r>
        <w:t xml:space="preserve">Take control of your super   </w:t>
      </w:r>
    </w:p>
    <w:p w14:paraId="469CC310" w14:textId="77777777" w:rsidR="00DD7BE2" w:rsidRDefault="00DD7BE2" w:rsidP="00BD20D5">
      <w:pPr>
        <w:pStyle w:val="ListParagraph"/>
        <w:numPr>
          <w:ilvl w:val="0"/>
          <w:numId w:val="16"/>
        </w:numPr>
        <w:spacing w:after="0" w:line="240" w:lineRule="auto"/>
        <w:ind w:left="1080"/>
      </w:pPr>
      <w:r>
        <w:t xml:space="preserve">A small change now can mean a big difference in retirement  </w:t>
      </w:r>
    </w:p>
    <w:p w14:paraId="06F4172E" w14:textId="77777777" w:rsidR="00DD7BE2" w:rsidRDefault="00DD7BE2" w:rsidP="00BD20D5">
      <w:pPr>
        <w:pStyle w:val="ListParagraph"/>
        <w:numPr>
          <w:ilvl w:val="0"/>
          <w:numId w:val="16"/>
        </w:numPr>
        <w:spacing w:after="0" w:line="240" w:lineRule="auto"/>
        <w:ind w:left="1080"/>
      </w:pPr>
      <w:r>
        <w:t xml:space="preserve">None of the above  </w:t>
      </w:r>
    </w:p>
    <w:p w14:paraId="5D29F56F" w14:textId="77777777" w:rsidR="00DD7BE2" w:rsidRDefault="00DD7BE2" w:rsidP="00BD20D5">
      <w:pPr>
        <w:pStyle w:val="ListParagraph"/>
        <w:numPr>
          <w:ilvl w:val="0"/>
          <w:numId w:val="16"/>
        </w:numPr>
        <w:spacing w:after="0" w:line="240" w:lineRule="auto"/>
        <w:ind w:left="1080"/>
      </w:pPr>
      <w:r>
        <w:t xml:space="preserve">Other  </w:t>
      </w:r>
    </w:p>
    <w:p w14:paraId="2DB9863B" w14:textId="77777777" w:rsidR="00DD7BE2" w:rsidRPr="00632C76" w:rsidRDefault="00DD7BE2" w:rsidP="00DD7BE2">
      <w:pPr>
        <w:ind w:firstLine="720"/>
        <w:rPr>
          <w:b/>
        </w:rPr>
      </w:pPr>
      <w:r w:rsidRPr="00632C76">
        <w:rPr>
          <w:b/>
        </w:rPr>
        <w:t>Why?</w:t>
      </w:r>
    </w:p>
    <w:p w14:paraId="415F5648" w14:textId="77777777" w:rsidR="00DD7BE2" w:rsidRPr="00A002A8" w:rsidRDefault="00DD7BE2" w:rsidP="00BD20D5">
      <w:pPr>
        <w:pStyle w:val="ListParagraph"/>
        <w:numPr>
          <w:ilvl w:val="0"/>
          <w:numId w:val="25"/>
        </w:numPr>
        <w:ind w:left="360"/>
        <w:rPr>
          <w:b/>
        </w:rPr>
      </w:pPr>
      <w:r w:rsidRPr="00A002A8">
        <w:rPr>
          <w:b/>
        </w:rPr>
        <w:t>When do you think you would be most likely to use a superannuation comparison tool? Select all that apply.</w:t>
      </w:r>
    </w:p>
    <w:p w14:paraId="017DE1A0" w14:textId="77777777" w:rsidR="00DD7BE2" w:rsidRDefault="00DD7BE2" w:rsidP="00BD20D5">
      <w:pPr>
        <w:pStyle w:val="ListParagraph"/>
        <w:numPr>
          <w:ilvl w:val="0"/>
          <w:numId w:val="16"/>
        </w:numPr>
        <w:spacing w:after="0" w:line="240" w:lineRule="auto"/>
        <w:ind w:left="1080"/>
      </w:pPr>
      <w:r>
        <w:t xml:space="preserve">When I start a new job or change jobs  </w:t>
      </w:r>
    </w:p>
    <w:p w14:paraId="554565F4" w14:textId="77777777" w:rsidR="00DD7BE2" w:rsidRDefault="00DD7BE2" w:rsidP="00BD20D5">
      <w:pPr>
        <w:pStyle w:val="ListParagraph"/>
        <w:numPr>
          <w:ilvl w:val="0"/>
          <w:numId w:val="16"/>
        </w:numPr>
        <w:spacing w:after="0" w:line="240" w:lineRule="auto"/>
        <w:ind w:left="1080"/>
      </w:pPr>
      <w:r>
        <w:t xml:space="preserve">When I get my annual statement from my super fund  </w:t>
      </w:r>
    </w:p>
    <w:p w14:paraId="62652FA2" w14:textId="77777777" w:rsidR="00DD7BE2" w:rsidRDefault="00DD7BE2" w:rsidP="00BD20D5">
      <w:pPr>
        <w:pStyle w:val="ListParagraph"/>
        <w:numPr>
          <w:ilvl w:val="0"/>
          <w:numId w:val="16"/>
        </w:numPr>
        <w:spacing w:after="0" w:line="240" w:lineRule="auto"/>
        <w:ind w:left="1080"/>
      </w:pPr>
      <w:r>
        <w:t xml:space="preserve">If I got a letter or email from my super fund  </w:t>
      </w:r>
    </w:p>
    <w:p w14:paraId="5EE15807" w14:textId="77777777" w:rsidR="00DD7BE2" w:rsidRDefault="00DD7BE2" w:rsidP="00BD20D5">
      <w:pPr>
        <w:pStyle w:val="ListParagraph"/>
        <w:numPr>
          <w:ilvl w:val="0"/>
          <w:numId w:val="16"/>
        </w:numPr>
        <w:spacing w:after="0" w:line="240" w:lineRule="auto"/>
        <w:ind w:left="1080"/>
      </w:pPr>
      <w:r>
        <w:t xml:space="preserve">If my accountant or financial adviser suggested it  </w:t>
      </w:r>
    </w:p>
    <w:p w14:paraId="05FB0041" w14:textId="77777777" w:rsidR="00DD7BE2" w:rsidRDefault="00DD7BE2" w:rsidP="00BD20D5">
      <w:pPr>
        <w:pStyle w:val="ListParagraph"/>
        <w:numPr>
          <w:ilvl w:val="0"/>
          <w:numId w:val="16"/>
        </w:numPr>
        <w:spacing w:after="0" w:line="240" w:lineRule="auto"/>
        <w:ind w:left="1080"/>
      </w:pPr>
      <w:r>
        <w:t xml:space="preserve">If I heard about it from friends/family  </w:t>
      </w:r>
    </w:p>
    <w:p w14:paraId="09456CD2" w14:textId="77777777" w:rsidR="00DD7BE2" w:rsidRDefault="00DD7BE2" w:rsidP="00BD20D5">
      <w:pPr>
        <w:pStyle w:val="ListParagraph"/>
        <w:numPr>
          <w:ilvl w:val="0"/>
          <w:numId w:val="16"/>
        </w:numPr>
        <w:spacing w:after="0" w:line="240" w:lineRule="auto"/>
        <w:ind w:left="1080"/>
      </w:pPr>
      <w:r>
        <w:t xml:space="preserve">If I heard about it on social media  </w:t>
      </w:r>
    </w:p>
    <w:p w14:paraId="476C7866" w14:textId="77777777" w:rsidR="00DD7BE2" w:rsidRDefault="00DD7BE2" w:rsidP="00BD20D5">
      <w:pPr>
        <w:pStyle w:val="ListParagraph"/>
        <w:numPr>
          <w:ilvl w:val="0"/>
          <w:numId w:val="16"/>
        </w:numPr>
        <w:spacing w:after="0" w:line="240" w:lineRule="auto"/>
        <w:ind w:left="1080"/>
      </w:pPr>
      <w:r>
        <w:t xml:space="preserve">If I heard about it on TV, radio, newspaper or a news website </w:t>
      </w:r>
    </w:p>
    <w:p w14:paraId="2753BF2B" w14:textId="77777777" w:rsidR="00DD7BE2" w:rsidRDefault="00DD7BE2" w:rsidP="00BD20D5">
      <w:pPr>
        <w:pStyle w:val="ListParagraph"/>
        <w:numPr>
          <w:ilvl w:val="0"/>
          <w:numId w:val="16"/>
        </w:numPr>
        <w:spacing w:after="0" w:line="240" w:lineRule="auto"/>
        <w:ind w:left="1080"/>
      </w:pPr>
      <w:r>
        <w:t xml:space="preserve">When I do my tax return  </w:t>
      </w:r>
    </w:p>
    <w:p w14:paraId="52D98D7E" w14:textId="77777777" w:rsidR="00DD7BE2" w:rsidRDefault="00DD7BE2" w:rsidP="00BD20D5">
      <w:pPr>
        <w:pStyle w:val="ListParagraph"/>
        <w:numPr>
          <w:ilvl w:val="0"/>
          <w:numId w:val="16"/>
        </w:numPr>
        <w:spacing w:after="0" w:line="240" w:lineRule="auto"/>
        <w:ind w:left="1080"/>
      </w:pPr>
      <w:r>
        <w:t xml:space="preserve">When I get a pay increase  </w:t>
      </w:r>
    </w:p>
    <w:p w14:paraId="7F15EF70" w14:textId="77777777" w:rsidR="00DD7BE2" w:rsidRDefault="00DD7BE2" w:rsidP="00BD20D5">
      <w:pPr>
        <w:pStyle w:val="ListParagraph"/>
        <w:numPr>
          <w:ilvl w:val="0"/>
          <w:numId w:val="16"/>
        </w:numPr>
        <w:spacing w:after="0" w:line="240" w:lineRule="auto"/>
        <w:ind w:left="1080"/>
      </w:pPr>
      <w:r>
        <w:t xml:space="preserve">When I'm close to retiring  </w:t>
      </w:r>
    </w:p>
    <w:p w14:paraId="078FA5A2" w14:textId="77777777" w:rsidR="00DD7BE2" w:rsidRDefault="00DD7BE2" w:rsidP="00BD20D5">
      <w:pPr>
        <w:pStyle w:val="ListParagraph"/>
        <w:numPr>
          <w:ilvl w:val="0"/>
          <w:numId w:val="16"/>
        </w:numPr>
        <w:spacing w:after="0" w:line="240" w:lineRule="auto"/>
        <w:ind w:left="1080"/>
      </w:pPr>
      <w:r>
        <w:t xml:space="preserve">Other (please explain)  </w:t>
      </w:r>
    </w:p>
    <w:p w14:paraId="2CD1FAC4" w14:textId="77777777" w:rsidR="00DD7BE2" w:rsidRPr="005A4F38" w:rsidRDefault="00DD7BE2" w:rsidP="00BD20D5">
      <w:pPr>
        <w:pStyle w:val="ListParagraph"/>
        <w:numPr>
          <w:ilvl w:val="0"/>
          <w:numId w:val="25"/>
        </w:numPr>
        <w:ind w:left="360"/>
        <w:rPr>
          <w:b/>
          <w:lang w:val="en-US"/>
        </w:rPr>
      </w:pPr>
      <w:r w:rsidRPr="00A002A8">
        <w:rPr>
          <w:b/>
          <w:lang w:val="en-US"/>
        </w:rPr>
        <w:t>How important to you are the following features of a comparison site, when you're comparing super funds?</w:t>
      </w:r>
      <w:r>
        <w:rPr>
          <w:b/>
          <w:lang w:val="en-US"/>
        </w:rPr>
        <w:t xml:space="preserve"> </w:t>
      </w:r>
      <w:r w:rsidRPr="005A4F38">
        <w:rPr>
          <w:lang w:val="en-US"/>
        </w:rPr>
        <w:t>(</w:t>
      </w:r>
      <w:r w:rsidRPr="005A4F38">
        <w:rPr>
          <w:i/>
          <w:lang w:val="en-US"/>
        </w:rPr>
        <w:t>Response options:</w:t>
      </w:r>
      <w:r w:rsidRPr="005A4F38">
        <w:rPr>
          <w:b/>
          <w:i/>
          <w:lang w:val="en-US"/>
        </w:rPr>
        <w:t xml:space="preserve"> </w:t>
      </w:r>
      <w:r w:rsidRPr="005A4F38">
        <w:rPr>
          <w:i/>
          <w:lang w:val="en-US"/>
        </w:rPr>
        <w:t>Not important at all, Not very important, Somewhat important, Quite important, Very important</w:t>
      </w:r>
      <w:r>
        <w:rPr>
          <w:lang w:val="en-US"/>
        </w:rPr>
        <w:t>)</w:t>
      </w:r>
    </w:p>
    <w:p w14:paraId="0E8DEC8D" w14:textId="77777777" w:rsidR="00DD7BE2" w:rsidRPr="005A4F38" w:rsidRDefault="00DD7BE2" w:rsidP="00BD20D5">
      <w:pPr>
        <w:pStyle w:val="ListParagraph"/>
        <w:numPr>
          <w:ilvl w:val="0"/>
          <w:numId w:val="16"/>
        </w:numPr>
        <w:spacing w:after="0" w:line="240" w:lineRule="auto"/>
        <w:ind w:left="1080"/>
      </w:pPr>
      <w:r w:rsidRPr="005A4F38">
        <w:t xml:space="preserve">Easy to use </w:t>
      </w:r>
    </w:p>
    <w:p w14:paraId="75B88B4D" w14:textId="77777777" w:rsidR="00DD7BE2" w:rsidRPr="005A4F38" w:rsidRDefault="00DD7BE2" w:rsidP="00BD20D5">
      <w:pPr>
        <w:pStyle w:val="ListParagraph"/>
        <w:numPr>
          <w:ilvl w:val="0"/>
          <w:numId w:val="16"/>
        </w:numPr>
        <w:spacing w:after="0" w:line="240" w:lineRule="auto"/>
        <w:ind w:left="1080"/>
      </w:pPr>
      <w:r w:rsidRPr="005A4F38">
        <w:t xml:space="preserve">Free - no cost to use </w:t>
      </w:r>
    </w:p>
    <w:p w14:paraId="43C4FE03" w14:textId="77777777" w:rsidR="00DD7BE2" w:rsidRPr="005A4F38" w:rsidRDefault="00DD7BE2" w:rsidP="00BD20D5">
      <w:pPr>
        <w:pStyle w:val="ListParagraph"/>
        <w:numPr>
          <w:ilvl w:val="0"/>
          <w:numId w:val="16"/>
        </w:numPr>
        <w:spacing w:after="0" w:line="240" w:lineRule="auto"/>
        <w:ind w:left="1080"/>
      </w:pPr>
      <w:r w:rsidRPr="005A4F38">
        <w:t xml:space="preserve">The information is from an independent source (i.e., Government) </w:t>
      </w:r>
    </w:p>
    <w:p w14:paraId="77518870" w14:textId="77777777" w:rsidR="00DD7BE2" w:rsidRPr="005A4F38" w:rsidRDefault="00DD7BE2" w:rsidP="00BD20D5">
      <w:pPr>
        <w:pStyle w:val="ListParagraph"/>
        <w:numPr>
          <w:ilvl w:val="0"/>
          <w:numId w:val="16"/>
        </w:numPr>
        <w:spacing w:after="0" w:line="240" w:lineRule="auto"/>
        <w:ind w:left="1080"/>
      </w:pPr>
      <w:r w:rsidRPr="005A4F38">
        <w:t>It can be personalised with my current super information if I login</w:t>
      </w:r>
    </w:p>
    <w:p w14:paraId="0DEC183E" w14:textId="77777777" w:rsidR="00DD7BE2" w:rsidRPr="00A002A8" w:rsidRDefault="00DD7BE2" w:rsidP="00BD20D5">
      <w:pPr>
        <w:pStyle w:val="ListParagraph"/>
        <w:numPr>
          <w:ilvl w:val="0"/>
          <w:numId w:val="25"/>
        </w:numPr>
        <w:ind w:left="360"/>
        <w:rPr>
          <w:b/>
        </w:rPr>
      </w:pPr>
      <w:r w:rsidRPr="00A002A8">
        <w:rPr>
          <w:b/>
        </w:rPr>
        <w:t>What would be the best ways to remind you to check the performance of your superannuation? Select up to 3 options.</w:t>
      </w:r>
    </w:p>
    <w:p w14:paraId="356AB733" w14:textId="77777777" w:rsidR="00DD7BE2" w:rsidRDefault="00DD7BE2" w:rsidP="00BD20D5">
      <w:pPr>
        <w:pStyle w:val="ListParagraph"/>
        <w:numPr>
          <w:ilvl w:val="0"/>
          <w:numId w:val="16"/>
        </w:numPr>
        <w:spacing w:after="0" w:line="240" w:lineRule="auto"/>
        <w:ind w:left="1080"/>
      </w:pPr>
      <w:r>
        <w:t xml:space="preserve">An SMS message from the Australian Taxation Office  </w:t>
      </w:r>
    </w:p>
    <w:p w14:paraId="5A02ED9A" w14:textId="77777777" w:rsidR="00DD7BE2" w:rsidRDefault="00DD7BE2" w:rsidP="00BD20D5">
      <w:pPr>
        <w:pStyle w:val="ListParagraph"/>
        <w:numPr>
          <w:ilvl w:val="0"/>
          <w:numId w:val="16"/>
        </w:numPr>
        <w:spacing w:after="0" w:line="240" w:lineRule="auto"/>
        <w:ind w:left="1080"/>
      </w:pPr>
      <w:r>
        <w:t xml:space="preserve">An SMS message from my super fund  </w:t>
      </w:r>
    </w:p>
    <w:p w14:paraId="3D621120" w14:textId="77777777" w:rsidR="00DD7BE2" w:rsidRDefault="00DD7BE2" w:rsidP="00BD20D5">
      <w:pPr>
        <w:pStyle w:val="ListParagraph"/>
        <w:numPr>
          <w:ilvl w:val="0"/>
          <w:numId w:val="16"/>
        </w:numPr>
        <w:spacing w:after="0" w:line="240" w:lineRule="auto"/>
        <w:ind w:left="1080"/>
      </w:pPr>
      <w:r>
        <w:t xml:space="preserve">A message in myGov  </w:t>
      </w:r>
    </w:p>
    <w:p w14:paraId="7637CCD7" w14:textId="77777777" w:rsidR="00DD7BE2" w:rsidRDefault="00DD7BE2" w:rsidP="00BD20D5">
      <w:pPr>
        <w:pStyle w:val="ListParagraph"/>
        <w:numPr>
          <w:ilvl w:val="0"/>
          <w:numId w:val="16"/>
        </w:numPr>
        <w:spacing w:after="0" w:line="240" w:lineRule="auto"/>
        <w:ind w:left="1080"/>
      </w:pPr>
      <w:r>
        <w:t xml:space="preserve">A letter from the Australian Government  </w:t>
      </w:r>
    </w:p>
    <w:p w14:paraId="55BA5A9A" w14:textId="77777777" w:rsidR="00DD7BE2" w:rsidRDefault="00DD7BE2" w:rsidP="00BD20D5">
      <w:pPr>
        <w:pStyle w:val="ListParagraph"/>
        <w:numPr>
          <w:ilvl w:val="0"/>
          <w:numId w:val="16"/>
        </w:numPr>
        <w:spacing w:after="0" w:line="240" w:lineRule="auto"/>
        <w:ind w:left="1080"/>
      </w:pPr>
      <w:r>
        <w:t xml:space="preserve">A letter from my super fund  </w:t>
      </w:r>
    </w:p>
    <w:p w14:paraId="6932A195" w14:textId="77777777" w:rsidR="00DD7BE2" w:rsidRDefault="00DD7BE2" w:rsidP="00BD20D5">
      <w:pPr>
        <w:pStyle w:val="ListParagraph"/>
        <w:numPr>
          <w:ilvl w:val="0"/>
          <w:numId w:val="16"/>
        </w:numPr>
        <w:spacing w:after="0" w:line="240" w:lineRule="auto"/>
        <w:ind w:left="1080"/>
      </w:pPr>
      <w:r>
        <w:t xml:space="preserve">An email from the Australian Government  </w:t>
      </w:r>
    </w:p>
    <w:p w14:paraId="566DB096" w14:textId="77777777" w:rsidR="00DD7BE2" w:rsidRDefault="00DD7BE2" w:rsidP="00BD20D5">
      <w:pPr>
        <w:pStyle w:val="ListParagraph"/>
        <w:numPr>
          <w:ilvl w:val="0"/>
          <w:numId w:val="16"/>
        </w:numPr>
        <w:spacing w:after="0" w:line="240" w:lineRule="auto"/>
        <w:ind w:left="1080"/>
      </w:pPr>
      <w:r>
        <w:t xml:space="preserve">TV, radio, newspapers, or news sites  </w:t>
      </w:r>
    </w:p>
    <w:p w14:paraId="491C5411" w14:textId="77777777" w:rsidR="00DD7BE2" w:rsidRDefault="00DD7BE2" w:rsidP="00BD20D5">
      <w:pPr>
        <w:pStyle w:val="ListParagraph"/>
        <w:numPr>
          <w:ilvl w:val="0"/>
          <w:numId w:val="16"/>
        </w:numPr>
        <w:spacing w:after="0" w:line="240" w:lineRule="auto"/>
        <w:ind w:left="1080"/>
      </w:pPr>
      <w:r>
        <w:t xml:space="preserve">A reminder when I'm doing my tax return  </w:t>
      </w:r>
    </w:p>
    <w:p w14:paraId="5ED1E764" w14:textId="77777777" w:rsidR="00DD7BE2" w:rsidRDefault="00DD7BE2" w:rsidP="00BD20D5">
      <w:pPr>
        <w:pStyle w:val="ListParagraph"/>
        <w:numPr>
          <w:ilvl w:val="0"/>
          <w:numId w:val="16"/>
        </w:numPr>
        <w:spacing w:after="0" w:line="240" w:lineRule="auto"/>
        <w:ind w:left="1080"/>
      </w:pPr>
      <w:r>
        <w:t xml:space="preserve">I don't want to be reminded  </w:t>
      </w:r>
    </w:p>
    <w:p w14:paraId="35A6D1A7" w14:textId="77777777" w:rsidR="00DD7BE2" w:rsidRDefault="00DD7BE2" w:rsidP="00BD20D5">
      <w:pPr>
        <w:pStyle w:val="ListParagraph"/>
        <w:numPr>
          <w:ilvl w:val="0"/>
          <w:numId w:val="16"/>
        </w:numPr>
        <w:spacing w:after="0" w:line="240" w:lineRule="auto"/>
        <w:ind w:left="1080"/>
      </w:pPr>
      <w:r>
        <w:t xml:space="preserve">Other (please explain)  </w:t>
      </w:r>
    </w:p>
    <w:p w14:paraId="5BC5C3D7" w14:textId="77777777" w:rsidR="00DD7BE2" w:rsidRDefault="00DD7BE2" w:rsidP="00DD7BE2">
      <w:pPr>
        <w:pStyle w:val="Heading4"/>
      </w:pPr>
      <w:r>
        <w:lastRenderedPageBreak/>
        <w:t>Demographics – part 2</w:t>
      </w:r>
    </w:p>
    <w:p w14:paraId="4CF6F695" w14:textId="77777777" w:rsidR="00DD7BE2" w:rsidRPr="00A002A8" w:rsidRDefault="00DD7BE2" w:rsidP="00BD20D5">
      <w:pPr>
        <w:pStyle w:val="ListParagraph"/>
        <w:numPr>
          <w:ilvl w:val="0"/>
          <w:numId w:val="25"/>
        </w:numPr>
        <w:ind w:left="360"/>
        <w:rPr>
          <w:b/>
        </w:rPr>
      </w:pPr>
      <w:r w:rsidRPr="00A002A8">
        <w:rPr>
          <w:b/>
        </w:rPr>
        <w:t xml:space="preserve">What is your personal annual income from all sources before tax? Please include all wages, salaries, pensions and other income. If you are unsure, your best guess will be fine. </w:t>
      </w:r>
    </w:p>
    <w:p w14:paraId="395E860D" w14:textId="77777777" w:rsidR="00DD7BE2" w:rsidRPr="005A4F38" w:rsidRDefault="00DD7BE2" w:rsidP="00BD20D5">
      <w:pPr>
        <w:pStyle w:val="ListParagraph"/>
        <w:numPr>
          <w:ilvl w:val="0"/>
          <w:numId w:val="25"/>
        </w:numPr>
        <w:ind w:left="360"/>
        <w:rPr>
          <w:b/>
        </w:rPr>
      </w:pPr>
      <w:r w:rsidRPr="005A4F38">
        <w:rPr>
          <w:b/>
        </w:rPr>
        <w:t>Which of the following statements comes closest to describing the amount of financial risk that you are willing to take with your spare cash? That is, cash used for savings or investment.</w:t>
      </w:r>
    </w:p>
    <w:p w14:paraId="7A4964FB" w14:textId="77777777" w:rsidR="00DD7BE2" w:rsidRPr="00064D7C" w:rsidRDefault="00DD7BE2" w:rsidP="00BD20D5">
      <w:pPr>
        <w:pStyle w:val="ListParagraph"/>
        <w:numPr>
          <w:ilvl w:val="0"/>
          <w:numId w:val="15"/>
        </w:numPr>
        <w:spacing w:after="0" w:line="240" w:lineRule="auto"/>
        <w:ind w:left="1080"/>
        <w:rPr>
          <w:lang w:val="en-US"/>
        </w:rPr>
      </w:pPr>
      <w:r w:rsidRPr="00064D7C">
        <w:rPr>
          <w:lang w:val="en-US"/>
        </w:rPr>
        <w:t>I take substantial financial risks expecting t</w:t>
      </w:r>
      <w:r>
        <w:rPr>
          <w:lang w:val="en-US"/>
        </w:rPr>
        <w:t xml:space="preserve">o earn substantial returns  </w:t>
      </w:r>
    </w:p>
    <w:p w14:paraId="6CB3DD3A" w14:textId="77777777" w:rsidR="00DD7BE2" w:rsidRPr="00064D7C" w:rsidRDefault="00DD7BE2" w:rsidP="00BD20D5">
      <w:pPr>
        <w:pStyle w:val="ListParagraph"/>
        <w:numPr>
          <w:ilvl w:val="0"/>
          <w:numId w:val="15"/>
        </w:numPr>
        <w:spacing w:after="0" w:line="240" w:lineRule="auto"/>
        <w:ind w:left="1080"/>
        <w:rPr>
          <w:lang w:val="en-US"/>
        </w:rPr>
      </w:pPr>
      <w:r w:rsidRPr="00064D7C">
        <w:rPr>
          <w:lang w:val="en-US"/>
        </w:rPr>
        <w:t>I take above-average financial risks expecting to earn above-avera</w:t>
      </w:r>
      <w:r>
        <w:rPr>
          <w:lang w:val="en-US"/>
        </w:rPr>
        <w:t xml:space="preserve">ge returns  </w:t>
      </w:r>
      <w:r w:rsidRPr="00064D7C">
        <w:rPr>
          <w:lang w:val="en-US"/>
        </w:rPr>
        <w:t xml:space="preserve"> </w:t>
      </w:r>
    </w:p>
    <w:p w14:paraId="4B3AF793" w14:textId="77777777" w:rsidR="00DD7BE2" w:rsidRPr="00064D7C" w:rsidRDefault="00DD7BE2" w:rsidP="00BD20D5">
      <w:pPr>
        <w:pStyle w:val="ListParagraph"/>
        <w:numPr>
          <w:ilvl w:val="0"/>
          <w:numId w:val="15"/>
        </w:numPr>
        <w:spacing w:after="0" w:line="240" w:lineRule="auto"/>
        <w:ind w:left="1080"/>
        <w:rPr>
          <w:lang w:val="en-US"/>
        </w:rPr>
      </w:pPr>
      <w:r w:rsidRPr="00064D7C">
        <w:rPr>
          <w:lang w:val="en-US"/>
        </w:rPr>
        <w:t>I take average financial risks expecti</w:t>
      </w:r>
      <w:r>
        <w:rPr>
          <w:lang w:val="en-US"/>
        </w:rPr>
        <w:t xml:space="preserve">ng to earn average returns  </w:t>
      </w:r>
    </w:p>
    <w:p w14:paraId="3038A5D5" w14:textId="77777777" w:rsidR="00DD7BE2" w:rsidRPr="00064D7C" w:rsidRDefault="00DD7BE2" w:rsidP="00BD20D5">
      <w:pPr>
        <w:pStyle w:val="ListParagraph"/>
        <w:numPr>
          <w:ilvl w:val="0"/>
          <w:numId w:val="15"/>
        </w:numPr>
        <w:spacing w:after="0" w:line="240" w:lineRule="auto"/>
        <w:ind w:left="1080"/>
        <w:rPr>
          <w:lang w:val="en-US"/>
        </w:rPr>
      </w:pPr>
      <w:r w:rsidRPr="00064D7C">
        <w:rPr>
          <w:lang w:val="en-US"/>
        </w:rPr>
        <w:t>I take below-average financial risks expecting to e</w:t>
      </w:r>
      <w:r>
        <w:rPr>
          <w:lang w:val="en-US"/>
        </w:rPr>
        <w:t xml:space="preserve">arn below- average returns  </w:t>
      </w:r>
    </w:p>
    <w:p w14:paraId="083EB7A5" w14:textId="77777777" w:rsidR="00DD7BE2" w:rsidRPr="00064D7C" w:rsidRDefault="00DD7BE2" w:rsidP="00BD20D5">
      <w:pPr>
        <w:pStyle w:val="ListParagraph"/>
        <w:numPr>
          <w:ilvl w:val="0"/>
          <w:numId w:val="15"/>
        </w:numPr>
        <w:spacing w:after="0" w:line="240" w:lineRule="auto"/>
        <w:ind w:left="1080"/>
        <w:rPr>
          <w:lang w:val="en-US"/>
        </w:rPr>
      </w:pPr>
      <w:r w:rsidRPr="00064D7C">
        <w:rPr>
          <w:lang w:val="en-US"/>
        </w:rPr>
        <w:t>I am not willing t</w:t>
      </w:r>
      <w:r>
        <w:rPr>
          <w:lang w:val="en-US"/>
        </w:rPr>
        <w:t xml:space="preserve">o take any financial risks </w:t>
      </w:r>
    </w:p>
    <w:p w14:paraId="6917F18E" w14:textId="77777777" w:rsidR="00DD7BE2" w:rsidRPr="00064D7C" w:rsidRDefault="00DD7BE2" w:rsidP="00BD20D5">
      <w:pPr>
        <w:pStyle w:val="ListParagraph"/>
        <w:numPr>
          <w:ilvl w:val="0"/>
          <w:numId w:val="15"/>
        </w:numPr>
        <w:spacing w:after="0" w:line="240" w:lineRule="auto"/>
        <w:ind w:left="1080"/>
        <w:rPr>
          <w:lang w:val="en-US"/>
        </w:rPr>
      </w:pPr>
      <w:r w:rsidRPr="00064D7C">
        <w:rPr>
          <w:lang w:val="en-US"/>
        </w:rPr>
        <w:t>I</w:t>
      </w:r>
      <w:r>
        <w:rPr>
          <w:lang w:val="en-US"/>
        </w:rPr>
        <w:t xml:space="preserve"> rarely have any spare cash  </w:t>
      </w:r>
    </w:p>
    <w:p w14:paraId="569AD2C4" w14:textId="77777777" w:rsidR="00DD7BE2" w:rsidRPr="00A002A8" w:rsidRDefault="00DD7BE2" w:rsidP="00BD20D5">
      <w:pPr>
        <w:pStyle w:val="ListParagraph"/>
        <w:numPr>
          <w:ilvl w:val="0"/>
          <w:numId w:val="25"/>
        </w:numPr>
        <w:ind w:left="360"/>
        <w:rPr>
          <w:b/>
        </w:rPr>
      </w:pPr>
      <w:r w:rsidRPr="00A002A8">
        <w:rPr>
          <w:b/>
        </w:rPr>
        <w:t>What is your current superannuation balance (approximately)? If you have multiple funds please combine the balances and report the total amount.</w:t>
      </w:r>
    </w:p>
    <w:p w14:paraId="0C947E8D" w14:textId="77777777" w:rsidR="00DD7BE2" w:rsidRDefault="00DD7BE2" w:rsidP="00BD20D5">
      <w:pPr>
        <w:pStyle w:val="ListParagraph"/>
        <w:numPr>
          <w:ilvl w:val="0"/>
          <w:numId w:val="16"/>
        </w:numPr>
        <w:spacing w:after="0" w:line="240" w:lineRule="auto"/>
        <w:ind w:left="1080"/>
      </w:pPr>
      <w:r>
        <w:t xml:space="preserve">Less than $10,000  </w:t>
      </w:r>
    </w:p>
    <w:p w14:paraId="37C7966E" w14:textId="77777777" w:rsidR="00DD7BE2" w:rsidRDefault="00DD7BE2" w:rsidP="00BD20D5">
      <w:pPr>
        <w:pStyle w:val="ListParagraph"/>
        <w:numPr>
          <w:ilvl w:val="0"/>
          <w:numId w:val="16"/>
        </w:numPr>
        <w:spacing w:after="0" w:line="240" w:lineRule="auto"/>
        <w:ind w:left="1080"/>
      </w:pPr>
      <w:r>
        <w:t xml:space="preserve">$10,000 - $49,999   </w:t>
      </w:r>
    </w:p>
    <w:p w14:paraId="7EE2BE11" w14:textId="77777777" w:rsidR="00DD7BE2" w:rsidRDefault="00DD7BE2" w:rsidP="00BD20D5">
      <w:pPr>
        <w:pStyle w:val="ListParagraph"/>
        <w:numPr>
          <w:ilvl w:val="0"/>
          <w:numId w:val="16"/>
        </w:numPr>
        <w:spacing w:after="0" w:line="240" w:lineRule="auto"/>
        <w:ind w:left="1080"/>
      </w:pPr>
      <w:r>
        <w:t xml:space="preserve">$50,000 - $99,999  </w:t>
      </w:r>
    </w:p>
    <w:p w14:paraId="5BA296A6" w14:textId="77777777" w:rsidR="00DD7BE2" w:rsidRDefault="00DD7BE2" w:rsidP="00BD20D5">
      <w:pPr>
        <w:pStyle w:val="ListParagraph"/>
        <w:numPr>
          <w:ilvl w:val="0"/>
          <w:numId w:val="16"/>
        </w:numPr>
        <w:spacing w:after="0" w:line="240" w:lineRule="auto"/>
        <w:ind w:left="1080"/>
      </w:pPr>
      <w:r>
        <w:t xml:space="preserve">$100,000 - $199,999   </w:t>
      </w:r>
    </w:p>
    <w:p w14:paraId="077A3D8B" w14:textId="77777777" w:rsidR="00DD7BE2" w:rsidRDefault="00DD7BE2" w:rsidP="00BD20D5">
      <w:pPr>
        <w:pStyle w:val="ListParagraph"/>
        <w:numPr>
          <w:ilvl w:val="0"/>
          <w:numId w:val="16"/>
        </w:numPr>
        <w:spacing w:after="0" w:line="240" w:lineRule="auto"/>
        <w:ind w:left="1080"/>
      </w:pPr>
      <w:r>
        <w:t xml:space="preserve">$200,000 - $499,999   </w:t>
      </w:r>
    </w:p>
    <w:p w14:paraId="7797ABCC" w14:textId="77777777" w:rsidR="00DD7BE2" w:rsidRDefault="00DD7BE2" w:rsidP="00BD20D5">
      <w:pPr>
        <w:pStyle w:val="ListParagraph"/>
        <w:numPr>
          <w:ilvl w:val="0"/>
          <w:numId w:val="16"/>
        </w:numPr>
        <w:spacing w:after="0" w:line="240" w:lineRule="auto"/>
        <w:ind w:left="1080"/>
      </w:pPr>
      <w:r>
        <w:t xml:space="preserve">$500,000 +  </w:t>
      </w:r>
    </w:p>
    <w:p w14:paraId="10A6BB0E" w14:textId="77777777" w:rsidR="00DD7BE2" w:rsidRDefault="00DD7BE2" w:rsidP="00BD20D5">
      <w:pPr>
        <w:pStyle w:val="ListParagraph"/>
        <w:numPr>
          <w:ilvl w:val="0"/>
          <w:numId w:val="16"/>
        </w:numPr>
        <w:spacing w:after="0" w:line="240" w:lineRule="auto"/>
        <w:ind w:left="1080"/>
      </w:pPr>
      <w:r>
        <w:t xml:space="preserve">Don't know  </w:t>
      </w:r>
    </w:p>
    <w:p w14:paraId="6762CAFF" w14:textId="77777777" w:rsidR="00DD7BE2" w:rsidRPr="00A002A8" w:rsidRDefault="00DD7BE2" w:rsidP="00BD20D5">
      <w:pPr>
        <w:pStyle w:val="ListParagraph"/>
        <w:numPr>
          <w:ilvl w:val="0"/>
          <w:numId w:val="25"/>
        </w:numPr>
        <w:spacing w:after="0" w:line="240" w:lineRule="auto"/>
        <w:ind w:left="360"/>
        <w:rPr>
          <w:b/>
        </w:rPr>
      </w:pPr>
      <w:r w:rsidRPr="00A002A8">
        <w:rPr>
          <w:b/>
        </w:rPr>
        <w:t>How many super funds do you have?</w:t>
      </w:r>
    </w:p>
    <w:p w14:paraId="54127A58" w14:textId="77777777" w:rsidR="00DD7BE2" w:rsidRDefault="00DD7BE2" w:rsidP="00BD20D5">
      <w:pPr>
        <w:pStyle w:val="ListParagraph"/>
        <w:numPr>
          <w:ilvl w:val="0"/>
          <w:numId w:val="17"/>
        </w:numPr>
        <w:spacing w:after="0" w:line="240" w:lineRule="auto"/>
        <w:ind w:left="1080"/>
      </w:pPr>
      <w:r>
        <w:t xml:space="preserve">0   </w:t>
      </w:r>
    </w:p>
    <w:p w14:paraId="63EC5669" w14:textId="77777777" w:rsidR="00DD7BE2" w:rsidRDefault="00DD7BE2" w:rsidP="00BD20D5">
      <w:pPr>
        <w:pStyle w:val="ListParagraph"/>
        <w:numPr>
          <w:ilvl w:val="0"/>
          <w:numId w:val="17"/>
        </w:numPr>
        <w:spacing w:after="0" w:line="240" w:lineRule="auto"/>
        <w:ind w:left="1080"/>
      </w:pPr>
      <w:r>
        <w:t xml:space="preserve">1  </w:t>
      </w:r>
    </w:p>
    <w:p w14:paraId="7CBBEF2E" w14:textId="77777777" w:rsidR="00DD7BE2" w:rsidRDefault="00DD7BE2" w:rsidP="00BD20D5">
      <w:pPr>
        <w:pStyle w:val="ListParagraph"/>
        <w:numPr>
          <w:ilvl w:val="0"/>
          <w:numId w:val="17"/>
        </w:numPr>
        <w:spacing w:after="0" w:line="240" w:lineRule="auto"/>
        <w:ind w:left="1080"/>
      </w:pPr>
      <w:r>
        <w:t xml:space="preserve">2 or more  </w:t>
      </w:r>
    </w:p>
    <w:p w14:paraId="50D3AD46" w14:textId="77777777" w:rsidR="00DD7BE2" w:rsidRDefault="00DD7BE2" w:rsidP="00BD20D5">
      <w:pPr>
        <w:pStyle w:val="ListParagraph"/>
        <w:numPr>
          <w:ilvl w:val="0"/>
          <w:numId w:val="17"/>
        </w:numPr>
        <w:spacing w:after="0" w:line="240" w:lineRule="auto"/>
        <w:ind w:left="1080"/>
      </w:pPr>
      <w:r>
        <w:t xml:space="preserve">Don't know  </w:t>
      </w:r>
    </w:p>
    <w:p w14:paraId="63AB301E" w14:textId="77777777" w:rsidR="00DD7BE2" w:rsidRPr="00E874AE" w:rsidRDefault="00DD7BE2" w:rsidP="00BD20D5">
      <w:pPr>
        <w:pStyle w:val="ListParagraph"/>
        <w:keepNext/>
        <w:numPr>
          <w:ilvl w:val="0"/>
          <w:numId w:val="25"/>
        </w:numPr>
        <w:ind w:left="360"/>
        <w:rPr>
          <w:b/>
        </w:rPr>
      </w:pPr>
      <w:r w:rsidRPr="00E874AE">
        <w:rPr>
          <w:b/>
        </w:rPr>
        <w:t>Which of the following best describes your attitude towards superannuation?</w:t>
      </w:r>
    </w:p>
    <w:p w14:paraId="3961D8FF" w14:textId="77777777" w:rsidR="00DD7BE2" w:rsidRDefault="00DD7BE2" w:rsidP="00BD20D5">
      <w:pPr>
        <w:pStyle w:val="ListParagraph"/>
        <w:keepNext/>
        <w:numPr>
          <w:ilvl w:val="0"/>
          <w:numId w:val="18"/>
        </w:numPr>
        <w:spacing w:after="0" w:line="240" w:lineRule="auto"/>
        <w:ind w:left="1080"/>
      </w:pPr>
      <w:r>
        <w:t xml:space="preserve">I don't know a great deal about financial products other than transaction accounts and credit cards  </w:t>
      </w:r>
    </w:p>
    <w:p w14:paraId="79CE9044" w14:textId="77777777" w:rsidR="00DD7BE2" w:rsidRDefault="00DD7BE2" w:rsidP="00BD20D5">
      <w:pPr>
        <w:pStyle w:val="ListParagraph"/>
        <w:keepNext/>
        <w:numPr>
          <w:ilvl w:val="0"/>
          <w:numId w:val="18"/>
        </w:numPr>
        <w:spacing w:after="0" w:line="240" w:lineRule="auto"/>
        <w:ind w:left="1080"/>
      </w:pPr>
      <w:r>
        <w:t xml:space="preserve">I don't take much interest in my superannuation, I am not even sure how much I have invested/what sort of investment mix I have  </w:t>
      </w:r>
    </w:p>
    <w:p w14:paraId="0481748C" w14:textId="77777777" w:rsidR="00DD7BE2" w:rsidRDefault="00DD7BE2" w:rsidP="00BD20D5">
      <w:pPr>
        <w:pStyle w:val="ListParagraph"/>
        <w:keepNext/>
        <w:numPr>
          <w:ilvl w:val="0"/>
          <w:numId w:val="18"/>
        </w:numPr>
        <w:spacing w:after="0" w:line="240" w:lineRule="auto"/>
        <w:ind w:left="1080"/>
      </w:pPr>
      <w:r>
        <w:t xml:space="preserve">I know a bit about my superannuation fund but don't think about superannuation much in between getting my annual statements  </w:t>
      </w:r>
    </w:p>
    <w:p w14:paraId="7560CB70" w14:textId="77777777" w:rsidR="00DD7BE2" w:rsidRDefault="00DD7BE2" w:rsidP="00BD20D5">
      <w:pPr>
        <w:pStyle w:val="ListParagraph"/>
        <w:keepNext/>
        <w:numPr>
          <w:ilvl w:val="0"/>
          <w:numId w:val="18"/>
        </w:numPr>
        <w:spacing w:after="0" w:line="240" w:lineRule="auto"/>
        <w:ind w:left="1080"/>
      </w:pPr>
      <w:r>
        <w:t xml:space="preserve">I try to keep up with how my superannuation is going and check from time to time whether I have the right sort of investment options  </w:t>
      </w:r>
    </w:p>
    <w:p w14:paraId="1D698AD1" w14:textId="77777777" w:rsidR="00DD7BE2" w:rsidRDefault="00DD7BE2" w:rsidP="00BD20D5">
      <w:pPr>
        <w:pStyle w:val="ListParagraph"/>
        <w:numPr>
          <w:ilvl w:val="0"/>
          <w:numId w:val="18"/>
        </w:numPr>
        <w:spacing w:after="0" w:line="240" w:lineRule="auto"/>
        <w:ind w:left="1074" w:hanging="357"/>
      </w:pPr>
      <w:r>
        <w:t xml:space="preserve">Superannuation is an important part of planning for my future, I regularly review it to get the best performance I can  </w:t>
      </w:r>
    </w:p>
    <w:p w14:paraId="74FF229A" w14:textId="77777777" w:rsidR="00DD7BE2" w:rsidRPr="00E874AE" w:rsidRDefault="00DD7BE2" w:rsidP="00BD20D5">
      <w:pPr>
        <w:pStyle w:val="ListParagraph"/>
        <w:numPr>
          <w:ilvl w:val="0"/>
          <w:numId w:val="25"/>
        </w:numPr>
        <w:ind w:left="360"/>
        <w:rPr>
          <w:b/>
        </w:rPr>
      </w:pPr>
      <w:r w:rsidRPr="00E874AE">
        <w:rPr>
          <w:b/>
        </w:rPr>
        <w:t>Have you ever switched your superannuation from one fund to another?</w:t>
      </w:r>
    </w:p>
    <w:p w14:paraId="7ADF745D" w14:textId="77777777" w:rsidR="00DD7BE2" w:rsidRDefault="00DD7BE2" w:rsidP="00BD20D5">
      <w:pPr>
        <w:pStyle w:val="ListParagraph"/>
        <w:keepNext/>
        <w:numPr>
          <w:ilvl w:val="0"/>
          <w:numId w:val="19"/>
        </w:numPr>
        <w:spacing w:after="0" w:line="240" w:lineRule="auto"/>
        <w:ind w:left="1080"/>
      </w:pPr>
      <w:r>
        <w:t xml:space="preserve">Yes  </w:t>
      </w:r>
    </w:p>
    <w:p w14:paraId="69800EE4" w14:textId="77777777" w:rsidR="00DD7BE2" w:rsidRDefault="00DD7BE2" w:rsidP="00BD20D5">
      <w:pPr>
        <w:pStyle w:val="ListParagraph"/>
        <w:keepNext/>
        <w:numPr>
          <w:ilvl w:val="0"/>
          <w:numId w:val="19"/>
        </w:numPr>
        <w:spacing w:after="0" w:line="240" w:lineRule="auto"/>
        <w:ind w:left="1080"/>
      </w:pPr>
      <w:r>
        <w:t xml:space="preserve">No  </w:t>
      </w:r>
    </w:p>
    <w:p w14:paraId="70C82B73" w14:textId="77777777" w:rsidR="00DD7BE2" w:rsidRDefault="00DD7BE2" w:rsidP="00BD20D5">
      <w:pPr>
        <w:pStyle w:val="ListParagraph"/>
        <w:numPr>
          <w:ilvl w:val="0"/>
          <w:numId w:val="19"/>
        </w:numPr>
        <w:spacing w:after="0" w:line="240" w:lineRule="auto"/>
        <w:ind w:left="1074" w:hanging="357"/>
      </w:pPr>
      <w:r>
        <w:t xml:space="preserve">Don't know / can't remember  </w:t>
      </w:r>
    </w:p>
    <w:p w14:paraId="4A37C6D3" w14:textId="77777777" w:rsidR="00DD7BE2" w:rsidRPr="00E874AE" w:rsidRDefault="00DD7BE2" w:rsidP="00BD20D5">
      <w:pPr>
        <w:pStyle w:val="ListParagraph"/>
        <w:numPr>
          <w:ilvl w:val="0"/>
          <w:numId w:val="25"/>
        </w:numPr>
        <w:ind w:left="360"/>
        <w:rPr>
          <w:b/>
        </w:rPr>
      </w:pPr>
      <w:r w:rsidRPr="00E874AE">
        <w:rPr>
          <w:b/>
        </w:rPr>
        <w:t>In the last 12 months, have you considered switching your super balance to another fund?</w:t>
      </w:r>
    </w:p>
    <w:p w14:paraId="58D363CB" w14:textId="77777777" w:rsidR="00DD7BE2" w:rsidRDefault="00DD7BE2" w:rsidP="00BD20D5">
      <w:pPr>
        <w:pStyle w:val="ListParagraph"/>
        <w:keepNext/>
        <w:numPr>
          <w:ilvl w:val="1"/>
          <w:numId w:val="13"/>
        </w:numPr>
        <w:spacing w:after="0" w:line="240" w:lineRule="auto"/>
        <w:ind w:left="1080"/>
      </w:pPr>
      <w:r>
        <w:t xml:space="preserve">Yes - have considered  </w:t>
      </w:r>
    </w:p>
    <w:p w14:paraId="40A8461A" w14:textId="77777777" w:rsidR="00DD7BE2" w:rsidRDefault="00DD7BE2" w:rsidP="00BD20D5">
      <w:pPr>
        <w:pStyle w:val="ListParagraph"/>
        <w:keepNext/>
        <w:numPr>
          <w:ilvl w:val="1"/>
          <w:numId w:val="13"/>
        </w:numPr>
        <w:spacing w:after="0" w:line="240" w:lineRule="auto"/>
        <w:ind w:left="1080"/>
      </w:pPr>
      <w:r>
        <w:t xml:space="preserve">Yes - already switched  </w:t>
      </w:r>
    </w:p>
    <w:p w14:paraId="129627BE" w14:textId="77777777" w:rsidR="00DD7BE2" w:rsidRDefault="00DD7BE2" w:rsidP="00BD20D5">
      <w:pPr>
        <w:pStyle w:val="ListParagraph"/>
        <w:keepNext/>
        <w:numPr>
          <w:ilvl w:val="1"/>
          <w:numId w:val="13"/>
        </w:numPr>
        <w:spacing w:after="0" w:line="240" w:lineRule="auto"/>
        <w:ind w:left="1080"/>
      </w:pPr>
      <w:r>
        <w:t xml:space="preserve">No   </w:t>
      </w:r>
    </w:p>
    <w:p w14:paraId="257F64C3" w14:textId="77777777" w:rsidR="00DD7BE2" w:rsidRDefault="00DD7BE2" w:rsidP="00BD20D5">
      <w:pPr>
        <w:pStyle w:val="ListParagraph"/>
        <w:numPr>
          <w:ilvl w:val="1"/>
          <w:numId w:val="13"/>
        </w:numPr>
        <w:spacing w:after="0" w:line="240" w:lineRule="auto"/>
        <w:ind w:left="1074" w:hanging="357"/>
      </w:pPr>
      <w:r>
        <w:t xml:space="preserve">Not sure  </w:t>
      </w:r>
    </w:p>
    <w:p w14:paraId="23496449" w14:textId="77777777" w:rsidR="00DD7BE2" w:rsidRPr="00E874AE" w:rsidRDefault="00DD7BE2" w:rsidP="00BD20D5">
      <w:pPr>
        <w:pStyle w:val="ListParagraph"/>
        <w:keepNext/>
        <w:numPr>
          <w:ilvl w:val="0"/>
          <w:numId w:val="25"/>
        </w:numPr>
        <w:ind w:left="357" w:hanging="357"/>
        <w:rPr>
          <w:b/>
        </w:rPr>
      </w:pPr>
      <w:r w:rsidRPr="00E874AE">
        <w:rPr>
          <w:b/>
        </w:rPr>
        <w:lastRenderedPageBreak/>
        <w:t>Have you ever done any of the following? Please select all that apply.</w:t>
      </w:r>
    </w:p>
    <w:p w14:paraId="5198F705" w14:textId="77777777" w:rsidR="00DD7BE2" w:rsidRDefault="00DD7BE2" w:rsidP="00BD20D5">
      <w:pPr>
        <w:pStyle w:val="ListParagraph"/>
        <w:numPr>
          <w:ilvl w:val="0"/>
          <w:numId w:val="20"/>
        </w:numPr>
        <w:spacing w:after="0" w:line="240" w:lineRule="auto"/>
        <w:ind w:left="1080"/>
      </w:pPr>
      <w:r>
        <w:t xml:space="preserve">Visited a superannuation fund comparison site  </w:t>
      </w:r>
    </w:p>
    <w:p w14:paraId="744964FD" w14:textId="77777777" w:rsidR="00DD7BE2" w:rsidRDefault="00DD7BE2" w:rsidP="00BD20D5">
      <w:pPr>
        <w:pStyle w:val="ListParagraph"/>
        <w:numPr>
          <w:ilvl w:val="0"/>
          <w:numId w:val="20"/>
        </w:numPr>
        <w:spacing w:after="0" w:line="240" w:lineRule="auto"/>
        <w:ind w:left="1080"/>
      </w:pPr>
      <w:r>
        <w:t xml:space="preserve">Asked for advice from an accountant or financial planner about to your superannuation  </w:t>
      </w:r>
    </w:p>
    <w:p w14:paraId="3EB42683" w14:textId="77777777" w:rsidR="00DD7BE2" w:rsidRDefault="00DD7BE2" w:rsidP="00BD20D5">
      <w:pPr>
        <w:pStyle w:val="ListParagraph"/>
        <w:numPr>
          <w:ilvl w:val="0"/>
          <w:numId w:val="20"/>
        </w:numPr>
        <w:spacing w:after="0" w:line="240" w:lineRule="auto"/>
        <w:ind w:left="1080"/>
      </w:pPr>
      <w:r>
        <w:t xml:space="preserve">Done your own research on superannuation funds  </w:t>
      </w:r>
    </w:p>
    <w:p w14:paraId="203638F2" w14:textId="77777777" w:rsidR="00DD7BE2" w:rsidRDefault="00DD7BE2" w:rsidP="00BD20D5">
      <w:pPr>
        <w:pStyle w:val="ListParagraph"/>
        <w:numPr>
          <w:ilvl w:val="0"/>
          <w:numId w:val="20"/>
        </w:numPr>
        <w:spacing w:after="0" w:line="240" w:lineRule="auto"/>
        <w:ind w:left="1080"/>
      </w:pPr>
      <w:r>
        <w:t xml:space="preserve">Talked to friends or family about which superannuation funds are best  </w:t>
      </w:r>
    </w:p>
    <w:p w14:paraId="5B336F15" w14:textId="77777777" w:rsidR="00DD7BE2" w:rsidRDefault="00DD7BE2" w:rsidP="00BD20D5">
      <w:pPr>
        <w:pStyle w:val="ListParagraph"/>
        <w:numPr>
          <w:ilvl w:val="0"/>
          <w:numId w:val="20"/>
        </w:numPr>
        <w:spacing w:after="0" w:line="240" w:lineRule="auto"/>
        <w:ind w:left="1080"/>
      </w:pPr>
      <w:r>
        <w:t xml:space="preserve">Used a superannuation/retirement savings calculator  </w:t>
      </w:r>
    </w:p>
    <w:p w14:paraId="5F396A4B" w14:textId="77777777" w:rsidR="00DD7BE2" w:rsidRDefault="00DD7BE2" w:rsidP="00BD20D5">
      <w:pPr>
        <w:pStyle w:val="ListParagraph"/>
        <w:numPr>
          <w:ilvl w:val="0"/>
          <w:numId w:val="20"/>
        </w:numPr>
        <w:spacing w:after="0" w:line="240" w:lineRule="auto"/>
        <w:ind w:left="1080"/>
      </w:pPr>
      <w:r>
        <w:t xml:space="preserve">None of the above  </w:t>
      </w:r>
    </w:p>
    <w:p w14:paraId="38AFAE24" w14:textId="77777777" w:rsidR="00DD7BE2" w:rsidRPr="00E874AE" w:rsidRDefault="00DD7BE2" w:rsidP="00BD20D5">
      <w:pPr>
        <w:pStyle w:val="ListParagraph"/>
        <w:numPr>
          <w:ilvl w:val="0"/>
          <w:numId w:val="25"/>
        </w:numPr>
        <w:ind w:left="360"/>
        <w:rPr>
          <w:b/>
        </w:rPr>
      </w:pPr>
      <w:r w:rsidRPr="00E874AE">
        <w:rPr>
          <w:b/>
        </w:rPr>
        <w:t>Which of the following best describes your approach to investing for retirement?</w:t>
      </w:r>
    </w:p>
    <w:p w14:paraId="46B86E53" w14:textId="77777777" w:rsidR="00DD7BE2" w:rsidRDefault="00DD7BE2" w:rsidP="00BD20D5">
      <w:pPr>
        <w:pStyle w:val="ListParagraph"/>
        <w:numPr>
          <w:ilvl w:val="0"/>
          <w:numId w:val="21"/>
        </w:numPr>
        <w:spacing w:after="0" w:line="240" w:lineRule="auto"/>
        <w:ind w:left="1080"/>
      </w:pPr>
      <w:r>
        <w:t xml:space="preserve">Use my employer's default fund  </w:t>
      </w:r>
    </w:p>
    <w:p w14:paraId="2C6D386D" w14:textId="77777777" w:rsidR="00DD7BE2" w:rsidRDefault="00DD7BE2" w:rsidP="00BD20D5">
      <w:pPr>
        <w:pStyle w:val="ListParagraph"/>
        <w:numPr>
          <w:ilvl w:val="0"/>
          <w:numId w:val="21"/>
        </w:numPr>
        <w:spacing w:after="0" w:line="240" w:lineRule="auto"/>
        <w:ind w:left="1080"/>
      </w:pPr>
      <w:r>
        <w:t xml:space="preserve">Choose a low risk option  </w:t>
      </w:r>
    </w:p>
    <w:p w14:paraId="751A7201" w14:textId="77777777" w:rsidR="00DD7BE2" w:rsidRDefault="00DD7BE2" w:rsidP="00BD20D5">
      <w:pPr>
        <w:pStyle w:val="ListParagraph"/>
        <w:numPr>
          <w:ilvl w:val="0"/>
          <w:numId w:val="21"/>
        </w:numPr>
        <w:spacing w:after="0" w:line="240" w:lineRule="auto"/>
        <w:ind w:left="1080"/>
      </w:pPr>
      <w:r>
        <w:t xml:space="preserve">Consider the number of years to retirement  </w:t>
      </w:r>
    </w:p>
    <w:p w14:paraId="12948A5A" w14:textId="77777777" w:rsidR="00DD7BE2" w:rsidRDefault="00DD7BE2" w:rsidP="00BD20D5">
      <w:pPr>
        <w:pStyle w:val="ListParagraph"/>
        <w:numPr>
          <w:ilvl w:val="0"/>
          <w:numId w:val="21"/>
        </w:numPr>
        <w:spacing w:after="0" w:line="240" w:lineRule="auto"/>
        <w:ind w:left="1080"/>
      </w:pPr>
      <w:r>
        <w:t xml:space="preserve">Choose an ethical or sustainable option  </w:t>
      </w:r>
    </w:p>
    <w:p w14:paraId="678C4714" w14:textId="77777777" w:rsidR="00DD7BE2" w:rsidRDefault="00DD7BE2" w:rsidP="00BD20D5">
      <w:pPr>
        <w:pStyle w:val="ListParagraph"/>
        <w:numPr>
          <w:ilvl w:val="0"/>
          <w:numId w:val="21"/>
        </w:numPr>
        <w:spacing w:after="0" w:line="240" w:lineRule="auto"/>
        <w:ind w:left="1080"/>
      </w:pPr>
      <w:r>
        <w:t xml:space="preserve">Choose the option that will grow the fastest  </w:t>
      </w:r>
    </w:p>
    <w:p w14:paraId="0B8FC6CD" w14:textId="77777777" w:rsidR="00DD7BE2" w:rsidRDefault="00DD7BE2" w:rsidP="00BD20D5">
      <w:pPr>
        <w:pStyle w:val="ListParagraph"/>
        <w:numPr>
          <w:ilvl w:val="0"/>
          <w:numId w:val="21"/>
        </w:numPr>
        <w:spacing w:after="0" w:line="240" w:lineRule="auto"/>
        <w:ind w:left="1080"/>
      </w:pPr>
      <w:r>
        <w:t xml:space="preserve">Balance the risk and returns </w:t>
      </w:r>
    </w:p>
    <w:p w14:paraId="25CA559B" w14:textId="77777777" w:rsidR="00DD7BE2" w:rsidRDefault="00DD7BE2" w:rsidP="00BD20D5">
      <w:pPr>
        <w:pStyle w:val="ListParagraph"/>
        <w:numPr>
          <w:ilvl w:val="0"/>
          <w:numId w:val="21"/>
        </w:numPr>
        <w:spacing w:after="0" w:line="240" w:lineRule="auto"/>
        <w:ind w:left="1080"/>
      </w:pPr>
      <w:r>
        <w:t xml:space="preserve">Don't know  </w:t>
      </w:r>
    </w:p>
    <w:p w14:paraId="5E42D873" w14:textId="77777777" w:rsidR="00DD7BE2" w:rsidRDefault="00DD7BE2" w:rsidP="00BD20D5">
      <w:pPr>
        <w:pStyle w:val="ListParagraph"/>
        <w:numPr>
          <w:ilvl w:val="0"/>
          <w:numId w:val="21"/>
        </w:numPr>
        <w:spacing w:after="0" w:line="240" w:lineRule="auto"/>
        <w:ind w:left="1080"/>
      </w:pPr>
      <w:r>
        <w:t xml:space="preserve">Other  </w:t>
      </w:r>
    </w:p>
    <w:p w14:paraId="45769602" w14:textId="77777777" w:rsidR="00DD7BE2" w:rsidRDefault="00DD7BE2" w:rsidP="00BD20D5">
      <w:pPr>
        <w:pStyle w:val="ListParagraph"/>
        <w:numPr>
          <w:ilvl w:val="0"/>
          <w:numId w:val="21"/>
        </w:numPr>
        <w:spacing w:after="0" w:line="240" w:lineRule="auto"/>
        <w:ind w:left="1080"/>
      </w:pPr>
      <w:r>
        <w:t xml:space="preserve">Does not apply to me  </w:t>
      </w:r>
    </w:p>
    <w:p w14:paraId="7165A995" w14:textId="77777777" w:rsidR="00DD7BE2" w:rsidRPr="005A4F38" w:rsidRDefault="00DD7BE2" w:rsidP="00BD20D5">
      <w:pPr>
        <w:pStyle w:val="ListParagraph"/>
        <w:numPr>
          <w:ilvl w:val="0"/>
          <w:numId w:val="25"/>
        </w:numPr>
        <w:ind w:left="360"/>
        <w:rPr>
          <w:b/>
        </w:rPr>
      </w:pPr>
      <w:r w:rsidRPr="005A4F38">
        <w:rPr>
          <w:b/>
        </w:rPr>
        <w:t>Suppose you put $100 into a no-fee savings account with a guaranteed interest rate of 2% per year. You don't make any further payments into this account and you don't withdraw any money. How much would be in the account at the end of the first year, once the interest payment was made?</w:t>
      </w:r>
    </w:p>
    <w:p w14:paraId="6427B7AE" w14:textId="77777777" w:rsidR="00DD7BE2" w:rsidRPr="00904BE9" w:rsidRDefault="00DD7BE2" w:rsidP="00BD20D5">
      <w:pPr>
        <w:pStyle w:val="ListParagraph"/>
        <w:numPr>
          <w:ilvl w:val="0"/>
          <w:numId w:val="22"/>
        </w:numPr>
        <w:spacing w:after="0" w:line="240" w:lineRule="auto"/>
        <w:ind w:left="1080"/>
        <w:rPr>
          <w:lang w:val="en-US"/>
        </w:rPr>
      </w:pPr>
      <w:r w:rsidRPr="00904BE9">
        <w:rPr>
          <w:lang w:val="en-US"/>
        </w:rPr>
        <w:t xml:space="preserve">More than $102  </w:t>
      </w:r>
    </w:p>
    <w:p w14:paraId="62BE8678" w14:textId="77777777" w:rsidR="00DD7BE2" w:rsidRPr="00904BE9" w:rsidRDefault="00DD7BE2" w:rsidP="00BD20D5">
      <w:pPr>
        <w:pStyle w:val="ListParagraph"/>
        <w:numPr>
          <w:ilvl w:val="0"/>
          <w:numId w:val="22"/>
        </w:numPr>
        <w:spacing w:after="0" w:line="240" w:lineRule="auto"/>
        <w:ind w:left="1080"/>
        <w:rPr>
          <w:lang w:val="en-US"/>
        </w:rPr>
      </w:pPr>
      <w:r w:rsidRPr="00904BE9">
        <w:rPr>
          <w:lang w:val="en-US"/>
        </w:rPr>
        <w:t xml:space="preserve">Exactly $102  </w:t>
      </w:r>
    </w:p>
    <w:p w14:paraId="423997E3" w14:textId="77777777" w:rsidR="00DD7BE2" w:rsidRPr="00904BE9" w:rsidRDefault="00DD7BE2" w:rsidP="00BD20D5">
      <w:pPr>
        <w:pStyle w:val="ListParagraph"/>
        <w:numPr>
          <w:ilvl w:val="0"/>
          <w:numId w:val="22"/>
        </w:numPr>
        <w:spacing w:after="0" w:line="240" w:lineRule="auto"/>
        <w:ind w:left="1080"/>
        <w:rPr>
          <w:lang w:val="en-US"/>
        </w:rPr>
      </w:pPr>
      <w:r w:rsidRPr="00904BE9">
        <w:rPr>
          <w:lang w:val="en-US"/>
        </w:rPr>
        <w:t xml:space="preserve">Less than $102  </w:t>
      </w:r>
    </w:p>
    <w:p w14:paraId="3684C7B1" w14:textId="77777777" w:rsidR="00DD7BE2" w:rsidRPr="005A4F38" w:rsidRDefault="00DD7BE2" w:rsidP="00BD20D5">
      <w:pPr>
        <w:pStyle w:val="ListParagraph"/>
        <w:numPr>
          <w:ilvl w:val="0"/>
          <w:numId w:val="25"/>
        </w:numPr>
        <w:ind w:left="360"/>
        <w:rPr>
          <w:b/>
        </w:rPr>
      </w:pPr>
      <w:r w:rsidRPr="005A4F38">
        <w:rPr>
          <w:b/>
        </w:rPr>
        <w:t>Imagine that the interest rate on your savings account was 1% per year and inflation was 2% per year. After one year, would you be able to buy more than today, exactly the same as today, or less than today?</w:t>
      </w:r>
    </w:p>
    <w:p w14:paraId="1EED9E2E" w14:textId="77777777" w:rsidR="00DD7BE2" w:rsidRPr="00904BE9" w:rsidRDefault="00DD7BE2" w:rsidP="00BD20D5">
      <w:pPr>
        <w:pStyle w:val="ListParagraph"/>
        <w:numPr>
          <w:ilvl w:val="0"/>
          <w:numId w:val="23"/>
        </w:numPr>
        <w:spacing w:after="0" w:line="240" w:lineRule="auto"/>
        <w:ind w:left="1080"/>
        <w:rPr>
          <w:lang w:val="en-US"/>
        </w:rPr>
      </w:pPr>
      <w:r w:rsidRPr="00904BE9">
        <w:rPr>
          <w:lang w:val="en-US"/>
        </w:rPr>
        <w:t xml:space="preserve">More than today  </w:t>
      </w:r>
    </w:p>
    <w:p w14:paraId="1CDA0C20" w14:textId="77777777" w:rsidR="00DD7BE2" w:rsidRPr="00904BE9" w:rsidRDefault="00DD7BE2" w:rsidP="00BD20D5">
      <w:pPr>
        <w:pStyle w:val="ListParagraph"/>
        <w:numPr>
          <w:ilvl w:val="0"/>
          <w:numId w:val="23"/>
        </w:numPr>
        <w:spacing w:after="0" w:line="240" w:lineRule="auto"/>
        <w:ind w:left="1080"/>
        <w:rPr>
          <w:lang w:val="en-US"/>
        </w:rPr>
      </w:pPr>
      <w:r w:rsidRPr="00904BE9">
        <w:rPr>
          <w:lang w:val="en-US"/>
        </w:rPr>
        <w:t xml:space="preserve">Exactly the same as today  </w:t>
      </w:r>
    </w:p>
    <w:p w14:paraId="740FF10D" w14:textId="77777777" w:rsidR="00DD7BE2" w:rsidRPr="00904BE9" w:rsidRDefault="00DD7BE2" w:rsidP="00BD20D5">
      <w:pPr>
        <w:pStyle w:val="ListParagraph"/>
        <w:numPr>
          <w:ilvl w:val="0"/>
          <w:numId w:val="23"/>
        </w:numPr>
        <w:spacing w:after="0" w:line="240" w:lineRule="auto"/>
        <w:ind w:left="1080"/>
        <w:rPr>
          <w:lang w:val="en-US"/>
        </w:rPr>
      </w:pPr>
      <w:r w:rsidRPr="00904BE9">
        <w:rPr>
          <w:lang w:val="en-US"/>
        </w:rPr>
        <w:t xml:space="preserve">Less than today   </w:t>
      </w:r>
    </w:p>
    <w:p w14:paraId="229F803A" w14:textId="77777777" w:rsidR="00DD7BE2" w:rsidRPr="00706328" w:rsidRDefault="00DD7BE2" w:rsidP="00BD20D5">
      <w:pPr>
        <w:pStyle w:val="ListParagraph"/>
        <w:numPr>
          <w:ilvl w:val="0"/>
          <w:numId w:val="25"/>
        </w:numPr>
        <w:spacing w:after="0" w:line="240" w:lineRule="auto"/>
        <w:ind w:left="360"/>
        <w:rPr>
          <w:lang w:val="en-US"/>
        </w:rPr>
      </w:pPr>
      <w:r w:rsidRPr="005A4F38">
        <w:rPr>
          <w:b/>
        </w:rPr>
        <w:t>Do you think the following statement is True or False? </w:t>
      </w:r>
      <w:r w:rsidRPr="005A4F38">
        <w:rPr>
          <w:b/>
        </w:rPr>
        <w:br/>
      </w:r>
      <w:r w:rsidRPr="00706328">
        <w:rPr>
          <w:i/>
          <w:lang w:val="en-US"/>
        </w:rPr>
        <w:t>"Buying shares in a single company usually provides a safer return than buying shares in a number of different companies."</w:t>
      </w:r>
    </w:p>
    <w:p w14:paraId="5C06F853" w14:textId="77777777" w:rsidR="00DD7BE2" w:rsidRPr="00904BE9" w:rsidRDefault="00DD7BE2" w:rsidP="00BD20D5">
      <w:pPr>
        <w:pStyle w:val="ListParagraph"/>
        <w:numPr>
          <w:ilvl w:val="0"/>
          <w:numId w:val="24"/>
        </w:numPr>
        <w:spacing w:after="0" w:line="240" w:lineRule="auto"/>
        <w:ind w:left="1080"/>
        <w:rPr>
          <w:lang w:val="en-US"/>
        </w:rPr>
      </w:pPr>
      <w:r w:rsidRPr="00904BE9">
        <w:rPr>
          <w:lang w:val="en-US"/>
        </w:rPr>
        <w:t xml:space="preserve">True  </w:t>
      </w:r>
    </w:p>
    <w:p w14:paraId="12717E64" w14:textId="77777777" w:rsidR="00DD7BE2" w:rsidRPr="00904BE9" w:rsidRDefault="00DD7BE2" w:rsidP="00BD20D5">
      <w:pPr>
        <w:pStyle w:val="ListParagraph"/>
        <w:numPr>
          <w:ilvl w:val="0"/>
          <w:numId w:val="24"/>
        </w:numPr>
        <w:spacing w:after="0" w:line="240" w:lineRule="auto"/>
        <w:ind w:left="1080"/>
        <w:rPr>
          <w:lang w:val="en-US"/>
        </w:rPr>
      </w:pPr>
      <w:r w:rsidRPr="00904BE9">
        <w:rPr>
          <w:lang w:val="en-US"/>
        </w:rPr>
        <w:t xml:space="preserve">False  </w:t>
      </w:r>
    </w:p>
    <w:p w14:paraId="270A8DEF" w14:textId="77777777" w:rsidR="00DD7BE2" w:rsidRPr="007B33C9" w:rsidRDefault="00DD7BE2" w:rsidP="00BD20D5">
      <w:pPr>
        <w:pStyle w:val="ListParagraph"/>
        <w:numPr>
          <w:ilvl w:val="0"/>
          <w:numId w:val="25"/>
        </w:numPr>
        <w:ind w:left="360"/>
        <w:rPr>
          <w:b/>
        </w:rPr>
      </w:pPr>
      <w:r w:rsidRPr="007B33C9">
        <w:rPr>
          <w:b/>
        </w:rPr>
        <w:t>If you have any comments about the survey or this topic, please provide them here.</w:t>
      </w:r>
    </w:p>
    <w:p w14:paraId="5AF3C7DD" w14:textId="77777777" w:rsidR="00DD7BE2" w:rsidRDefault="00DD7BE2" w:rsidP="00DD7BE2">
      <w:pPr>
        <w:spacing w:after="0" w:line="240" w:lineRule="auto"/>
      </w:pPr>
      <w:r>
        <w:br w:type="page"/>
      </w:r>
    </w:p>
    <w:p w14:paraId="0240BD7B" w14:textId="77777777" w:rsidR="001E6A27" w:rsidRDefault="00C67F21" w:rsidP="00191A5D">
      <w:pPr>
        <w:pStyle w:val="Heading2"/>
      </w:pPr>
      <w:bookmarkStart w:id="49" w:name="_Toc115096501"/>
      <w:bookmarkStart w:id="50" w:name="_Toc115184223"/>
      <w:bookmarkStart w:id="51" w:name="_Toc115187667"/>
      <w:r>
        <w:lastRenderedPageBreak/>
        <w:t>References</w:t>
      </w:r>
      <w:bookmarkEnd w:id="47"/>
      <w:bookmarkEnd w:id="48"/>
      <w:bookmarkEnd w:id="49"/>
      <w:bookmarkEnd w:id="50"/>
      <w:bookmarkEnd w:id="51"/>
    </w:p>
    <w:p w14:paraId="398128FA" w14:textId="387CF2D2" w:rsidR="00A22607" w:rsidRDefault="00A22607" w:rsidP="00987FB9">
      <w:r>
        <w:t xml:space="preserve">Australian Government the Treasury (2020), </w:t>
      </w:r>
      <w:r w:rsidRPr="00A22607">
        <w:rPr>
          <w:i/>
        </w:rPr>
        <w:t>Retirement Income Review: Final report</w:t>
      </w:r>
      <w:r>
        <w:rPr>
          <w:i/>
        </w:rPr>
        <w:t xml:space="preserve">, </w:t>
      </w:r>
      <w:r>
        <w:t xml:space="preserve">accessed 1 August 2022. </w:t>
      </w:r>
      <w:hyperlink r:id="rId33" w:history="1">
        <w:r>
          <w:rPr>
            <w:rStyle w:val="Hyperlink"/>
          </w:rPr>
          <w:t>https://treasury.gov.au/sites/default/files/2021-02/p2020-100554-udcomplete-report.pdf</w:t>
        </w:r>
      </w:hyperlink>
    </w:p>
    <w:p w14:paraId="7ABBC4DA" w14:textId="46359C05" w:rsidR="00987FB9" w:rsidRDefault="00987FB9" w:rsidP="00987FB9">
      <w:r w:rsidRPr="00072C3A">
        <w:t>Australian</w:t>
      </w:r>
      <w:r>
        <w:t xml:space="preserve"> Prudential Regulation A</w:t>
      </w:r>
      <w:r w:rsidRPr="00072C3A">
        <w:t>uthority</w:t>
      </w:r>
      <w:r>
        <w:t xml:space="preserve"> (2021), </w:t>
      </w:r>
      <w:r w:rsidRPr="00987FB9">
        <w:rPr>
          <w:i/>
        </w:rPr>
        <w:t>Annual MySuper statistics 2021</w:t>
      </w:r>
      <w:r>
        <w:t xml:space="preserve">, accessed 12 July 2022. </w:t>
      </w:r>
      <w:hyperlink r:id="rId34" w:history="1">
        <w:r w:rsidRPr="00961212">
          <w:rPr>
            <w:rStyle w:val="Hyperlink"/>
          </w:rPr>
          <w:t>https://www.apra.gov.au/annual-mysuper-statistics</w:t>
        </w:r>
      </w:hyperlink>
      <w:r>
        <w:t xml:space="preserve"> </w:t>
      </w:r>
    </w:p>
    <w:p w14:paraId="4C31421D" w14:textId="6D277FDF" w:rsidR="00987FB9" w:rsidRDefault="00072C3A" w:rsidP="00987FB9">
      <w:r w:rsidRPr="00072C3A">
        <w:t>Australian</w:t>
      </w:r>
      <w:r>
        <w:t xml:space="preserve"> Prudential Regulation A</w:t>
      </w:r>
      <w:r w:rsidRPr="00072C3A">
        <w:t>uthority</w:t>
      </w:r>
      <w:r w:rsidR="00987FB9">
        <w:t xml:space="preserve"> (2022), </w:t>
      </w:r>
      <w:r w:rsidR="00987FB9" w:rsidRPr="00987FB9">
        <w:rPr>
          <w:i/>
        </w:rPr>
        <w:t>APRA releases superannuation statistics for March 2022</w:t>
      </w:r>
      <w:r w:rsidR="00987FB9">
        <w:t xml:space="preserve">, accessed 12 July 2022. </w:t>
      </w:r>
      <w:r w:rsidR="00987FB9">
        <w:rPr>
          <w:rStyle w:val="Hyperlink"/>
        </w:rPr>
        <w:t xml:space="preserve"> </w:t>
      </w:r>
      <w:r w:rsidR="00987FB9" w:rsidRPr="00987FB9">
        <w:rPr>
          <w:rStyle w:val="Hyperlink"/>
        </w:rPr>
        <w:t>https://www.apra.gov.au/news-and-publications/apra-releases-superannuation-statistics-for-march-2022</w:t>
      </w:r>
    </w:p>
    <w:p w14:paraId="4ECD8475" w14:textId="2AC475CD" w:rsidR="00FE09F4" w:rsidRDefault="00FE09F4" w:rsidP="00987FB9">
      <w:r w:rsidRPr="00FE09F4">
        <w:t>A</w:t>
      </w:r>
      <w:r>
        <w:t xml:space="preserve">ustralian Taxation </w:t>
      </w:r>
      <w:r w:rsidRPr="00FE09F4">
        <w:t>O</w:t>
      </w:r>
      <w:r>
        <w:t>ffice</w:t>
      </w:r>
      <w:r w:rsidRPr="00FE09F4">
        <w:t xml:space="preserve"> (20</w:t>
      </w:r>
      <w:r>
        <w:t>21</w:t>
      </w:r>
      <w:r w:rsidRPr="00FE09F4">
        <w:t>)</w:t>
      </w:r>
      <w:r w:rsidR="002C5172">
        <w:t xml:space="preserve">, </w:t>
      </w:r>
      <w:r w:rsidR="002C5172" w:rsidRPr="002C5172">
        <w:rPr>
          <w:i/>
        </w:rPr>
        <w:t>Super data: multiple accounts, lost and unclaimed super</w:t>
      </w:r>
      <w:r w:rsidR="002C5172">
        <w:t xml:space="preserve">, accessed 12 August 2022. </w:t>
      </w:r>
      <w:r w:rsidRPr="00FE09F4">
        <w:t>: https://www.ato.gov.au/About-ATO/Research-and-statistics/In-detail/Super-statistics/Super-accounts-data/Multiple-super-accounts-data/</w:t>
      </w:r>
    </w:p>
    <w:p w14:paraId="2EB0D6C6" w14:textId="2F258E36" w:rsidR="00987FB9" w:rsidRDefault="00987FB9" w:rsidP="00987FB9">
      <w:r w:rsidRPr="00D750BB">
        <w:t>Chernev, Alexander, Ulf Böckenholt, and Joseph Goodman</w:t>
      </w:r>
      <w:r w:rsidR="009D36FC">
        <w:t xml:space="preserve"> (2015)</w:t>
      </w:r>
      <w:r w:rsidRPr="00D750BB">
        <w:t>. "Choice overload: A conceptual review and meta-analysis." Journal of Consumer Psychology 25, no. 2: 333-358.</w:t>
      </w:r>
    </w:p>
    <w:p w14:paraId="3B4D7045" w14:textId="73F830D1" w:rsidR="00760856" w:rsidRPr="00875822" w:rsidRDefault="00760856" w:rsidP="00760856">
      <w:r w:rsidRPr="00760856">
        <w:t>Lusardi, Annamaria, and Olivia S. Mitchell</w:t>
      </w:r>
      <w:r w:rsidR="00F91AC1">
        <w:t xml:space="preserve"> (2014)</w:t>
      </w:r>
      <w:r w:rsidRPr="00760856">
        <w:t>. "The economic importance of financial literacy: Theory and evidence." Journal of economic literature 52, no. 1 (2014): 5-44.</w:t>
      </w:r>
    </w:p>
    <w:p w14:paraId="60CB5C10" w14:textId="1327326F" w:rsidR="00875822" w:rsidRDefault="00875822" w:rsidP="00760856">
      <w:r w:rsidRPr="00875822">
        <w:t>Productivity Commission 2018</w:t>
      </w:r>
      <w:r w:rsidR="00920962">
        <w:t>a</w:t>
      </w:r>
      <w:r w:rsidRPr="00875822">
        <w:t xml:space="preserve">, </w:t>
      </w:r>
      <w:r w:rsidRPr="00875822">
        <w:rPr>
          <w:i/>
        </w:rPr>
        <w:t>Superannuation:</w:t>
      </w:r>
      <w:r w:rsidRPr="00875822">
        <w:t xml:space="preserve"> </w:t>
      </w:r>
      <w:r w:rsidRPr="00875822">
        <w:rPr>
          <w:i/>
        </w:rPr>
        <w:t>Assessing Efficiency and Competitiveness</w:t>
      </w:r>
      <w:r w:rsidRPr="00875822">
        <w:t>, Report no. 91, Canberra.</w:t>
      </w:r>
    </w:p>
    <w:p w14:paraId="26F0C7C9" w14:textId="1B2ADE16" w:rsidR="00920962" w:rsidRDefault="00920962" w:rsidP="00920962">
      <w:r>
        <w:t>Productivity Commission 2018b, ‘Members surveys’, Technical Supplement 1 to the Inquiry Report Superannuation: Assessing Efficiency and Competitiveness, Canberra, December.</w:t>
      </w:r>
    </w:p>
    <w:p w14:paraId="31CA2AEC" w14:textId="24AB4EE6" w:rsidR="00987FB9" w:rsidRDefault="00987FB9">
      <w:pPr>
        <w:spacing w:after="0" w:line="240" w:lineRule="auto"/>
        <w:rPr>
          <w:b/>
          <w:color w:val="117479" w:themeColor="accent2"/>
          <w:sz w:val="22"/>
        </w:rPr>
      </w:pPr>
      <w:r>
        <w:rPr>
          <w:b/>
          <w:color w:val="117479" w:themeColor="accent2"/>
          <w:sz w:val="22"/>
        </w:rPr>
        <w:br w:type="page"/>
      </w:r>
    </w:p>
    <w:p w14:paraId="200B426F" w14:textId="14A24F55" w:rsidR="00EB0609" w:rsidRPr="00A96B0F" w:rsidRDefault="00EB0609" w:rsidP="007F24BF">
      <w:pPr>
        <w:spacing w:before="5000" w:after="120"/>
        <w:outlineLvl w:val="1"/>
        <w:rPr>
          <w:b/>
          <w:color w:val="117479" w:themeColor="accent2"/>
          <w:sz w:val="22"/>
        </w:rPr>
      </w:pPr>
      <w:r w:rsidRPr="00A96B0F">
        <w:rPr>
          <w:b/>
          <w:color w:val="117479" w:themeColor="accent2"/>
          <w:sz w:val="22"/>
        </w:rPr>
        <w:lastRenderedPageBreak/>
        <w:t xml:space="preserve">© </w:t>
      </w:r>
      <w:r w:rsidR="002B2858" w:rsidRPr="00A96B0F">
        <w:rPr>
          <w:b/>
          <w:color w:val="117479" w:themeColor="accent2"/>
          <w:sz w:val="22"/>
        </w:rPr>
        <w:t>Commonwealth of Australia 202</w:t>
      </w:r>
      <w:r w:rsidR="00E62B1A">
        <w:rPr>
          <w:b/>
          <w:color w:val="117479" w:themeColor="accent2"/>
          <w:sz w:val="22"/>
        </w:rPr>
        <w:t>2</w:t>
      </w:r>
    </w:p>
    <w:p w14:paraId="2AA957ED" w14:textId="0FF44DB3" w:rsidR="00BC5F0D" w:rsidRDefault="003A6EB9" w:rsidP="001540CB">
      <w:r>
        <w:t xml:space="preserve">ISBN </w:t>
      </w:r>
      <w:r w:rsidR="00287373" w:rsidRPr="00287373">
        <w:t>978-1-925365-14-6</w:t>
      </w:r>
      <w:r w:rsidR="00287373" w:rsidRPr="00287373">
        <w:tab/>
        <w:t>YourSuper Comparison Tool: Results from a survey and two survey experiments (online)</w:t>
      </w:r>
      <w:r w:rsidR="00287373">
        <w:t xml:space="preserve"> </w:t>
      </w:r>
    </w:p>
    <w:p w14:paraId="59366AD1"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35"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36">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79E0E990" w14:textId="77777777" w:rsidR="003A6EB9" w:rsidRDefault="00EB0609" w:rsidP="00EB0609">
      <w:r>
        <w:t xml:space="preserve">This publication should be attributed as follows: </w:t>
      </w:r>
    </w:p>
    <w:p w14:paraId="446D37F1" w14:textId="1A12F017" w:rsidR="00EB0609" w:rsidRDefault="003A6EB9" w:rsidP="00EB0609">
      <w:r>
        <w:t xml:space="preserve">© </w:t>
      </w:r>
      <w:r w:rsidR="00EB0609">
        <w:t xml:space="preserve">Commonwealth of Australia, Department of the Prime Minister and Cabinet, </w:t>
      </w:r>
      <w:r w:rsidR="00E62B1A" w:rsidRPr="00E62B1A">
        <w:rPr>
          <w:i/>
        </w:rPr>
        <w:t>YourSuper Comparison Tool: Results from a survey and two survey experiments</w:t>
      </w:r>
      <w:r w:rsidR="00EB0609">
        <w:t xml:space="preserve">. </w:t>
      </w:r>
    </w:p>
    <w:p w14:paraId="2D07F17E"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37"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headerReference w:type="default" r:id="rId38"/>
          <w:footerReference w:type="default" r:id="rId39"/>
          <w:type w:val="continuous"/>
          <w:pgSz w:w="11906" w:h="16838" w:code="9"/>
          <w:pgMar w:top="2041" w:right="2381" w:bottom="1247" w:left="1247" w:header="720" w:footer="851" w:gutter="0"/>
          <w:cols w:space="708"/>
          <w:docGrid w:linePitch="360"/>
        </w:sectPr>
      </w:pPr>
    </w:p>
    <w:p w14:paraId="254D55EA" w14:textId="77777777" w:rsidR="00D10FA1" w:rsidRDefault="00037F3D" w:rsidP="00E320C4">
      <w:pPr>
        <w:ind w:left="-378"/>
      </w:pPr>
      <w:r>
        <w:rPr>
          <w:noProof/>
        </w:rPr>
        <w:lastRenderedPageBreak/>
        <w:drawing>
          <wp:inline distT="0" distB="0" distL="0" distR="0" wp14:anchorId="5142E6F6" wp14:editId="0EA3510C">
            <wp:extent cx="2524404" cy="3496063"/>
            <wp:effectExtent l="0" t="0" r="0" b="9525"/>
            <wp:docPr id="9" name="Picture 9" descr="Cover Includes Aus Gov arms, Dept of Prime Minister Cabinet and BETA branding"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0">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41"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42" w:history="1">
        <w:r w:rsidRPr="004A4D74">
          <w:rPr>
            <w:rStyle w:val="Hyperlink"/>
          </w:rPr>
          <w:t>media@pmc.gov.au</w:t>
        </w:r>
      </w:hyperlink>
    </w:p>
    <w:p w14:paraId="30F7CFBE" w14:textId="77777777" w:rsidR="00037F3D" w:rsidRPr="00037F3D" w:rsidRDefault="001A0BF0" w:rsidP="007D16C2">
      <w:pPr>
        <w:pStyle w:val="BackPageH2"/>
        <w:rPr>
          <w:sz w:val="2"/>
          <w:szCs w:val="2"/>
        </w:rPr>
      </w:pPr>
      <w:r w:rsidRPr="004A4D74">
        <w:t xml:space="preserve">Find out more </w:t>
      </w:r>
      <w:hyperlink r:id="rId43" w:history="1">
        <w:r w:rsidRPr="004A4D74">
          <w:rPr>
            <w:rStyle w:val="Hyperlink"/>
          </w:rPr>
          <w:t>www.pmc.gov.au/beta</w:t>
        </w:r>
      </w:hyperlink>
    </w:p>
    <w:sectPr w:rsidR="00037F3D" w:rsidRPr="00037F3D" w:rsidSect="00F202CA">
      <w:headerReference w:type="default" r:id="rId44"/>
      <w:footerReference w:type="default" r:id="rId45"/>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2E1EF" w14:textId="77777777" w:rsidR="00A139DE" w:rsidRDefault="00A139DE">
      <w:r>
        <w:separator/>
      </w:r>
    </w:p>
  </w:endnote>
  <w:endnote w:type="continuationSeparator" w:id="0">
    <w:p w14:paraId="13AB9757" w14:textId="77777777" w:rsidR="00A139DE" w:rsidRDefault="00A139DE">
      <w:r>
        <w:continuationSeparator/>
      </w:r>
    </w:p>
  </w:endnote>
  <w:endnote w:type="continuationNotice" w:id="1">
    <w:p w14:paraId="0D2DE081" w14:textId="77777777" w:rsidR="00A139DE" w:rsidRDefault="00A139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3494B" w14:textId="77777777" w:rsidR="00A139DE" w:rsidRDefault="00A139DE" w:rsidP="00A00EEB">
    <w:pPr>
      <w:pStyle w:val="Footer"/>
    </w:pPr>
  </w:p>
  <w:p w14:paraId="7DBFA287" w14:textId="7F46A432" w:rsidR="00A139DE" w:rsidRDefault="00A139DE" w:rsidP="00A00EEB">
    <w:pPr>
      <w:pStyle w:val="Footer"/>
    </w:pPr>
    <w:r w:rsidRPr="003F31E6">
      <w:rPr>
        <w:noProof/>
      </w:rPr>
      <mc:AlternateContent>
        <mc:Choice Requires="wps">
          <w:drawing>
            <wp:anchor distT="0" distB="0" distL="114300" distR="114300" simplePos="0" relativeHeight="251658243" behindDoc="1" locked="0" layoutInCell="1" allowOverlap="1" wp14:anchorId="69C8CDF3" wp14:editId="5791DFA8">
              <wp:simplePos x="0" y="0"/>
              <wp:positionH relativeFrom="page">
                <wp:posOffset>0</wp:posOffset>
              </wp:positionH>
              <wp:positionV relativeFrom="page">
                <wp:posOffset>0</wp:posOffset>
              </wp:positionV>
              <wp:extent cx="7560000" cy="10692000"/>
              <wp:effectExtent l="0" t="0" r="3175" b="0"/>
              <wp:wrapNone/>
              <wp:docPr id="5" name="Rectangle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0508C" id="Rectangle 5" o:spid="_x0000_s1026" style="position:absolute;margin-left:0;margin-top:0;width:595.3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lgoAIAAKoFAAAOAAAAZHJzL2Uyb0RvYy54bWysVE1v2zAMvQ/YfxB0X+0ET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O/Z+WC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C71CAB">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AA7D" w14:textId="2CC5FD79" w:rsidR="00A139DE" w:rsidRPr="008253C4" w:rsidRDefault="00A139DE" w:rsidP="00A00EEB">
    <w:pPr>
      <w:pStyle w:val="Footer"/>
      <w:rPr>
        <w:color w:val="FFFFFF" w:themeColor="background1"/>
      </w:rPr>
    </w:pPr>
    <w:r w:rsidRPr="003F31E6">
      <w:rPr>
        <w:noProof/>
      </w:rPr>
      <mc:AlternateContent>
        <mc:Choice Requires="wps">
          <w:drawing>
            <wp:anchor distT="0" distB="0" distL="114300" distR="114300" simplePos="0" relativeHeight="251658242" behindDoc="1" locked="0" layoutInCell="1" allowOverlap="1" wp14:anchorId="123E1DF4" wp14:editId="740FDF05">
              <wp:simplePos x="0" y="0"/>
              <wp:positionH relativeFrom="page">
                <wp:posOffset>0</wp:posOffset>
              </wp:positionH>
              <wp:positionV relativeFrom="page">
                <wp:posOffset>0</wp:posOffset>
              </wp:positionV>
              <wp:extent cx="7560000" cy="10692000"/>
              <wp:effectExtent l="0" t="0" r="3175" b="0"/>
              <wp:wrapNone/>
              <wp:docPr id="7" name="Rectangle 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CB3CC" id="Rectangle 7" o:spid="_x0000_s1026" style="position:absolute;margin-left:0;margin-top:0;width:595.3pt;height:84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" fillcolor="#117479 [3205]"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C71CAB">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A139DE" w:rsidRDefault="00A139DE" w:rsidP="00A00EEB">
    <w:pPr>
      <w:pStyle w:val="Footer"/>
    </w:pPr>
  </w:p>
  <w:p w14:paraId="2C174312" w14:textId="11B70486" w:rsidR="00A139DE" w:rsidRDefault="00A139DE" w:rsidP="00A00EEB">
    <w:pPr>
      <w:pStyle w:val="Footer"/>
    </w:pPr>
    <w:r w:rsidRPr="00632C76">
      <w:t>Behavioural Economics Team of the Australian Government and the Australian Taxation Office’s Behavioural Insights Unit</w:t>
    </w:r>
    <w:r>
      <w:tab/>
    </w:r>
    <w:r w:rsidRPr="00D91DE4">
      <w:fldChar w:fldCharType="begin"/>
    </w:r>
    <w:r w:rsidRPr="00D91DE4">
      <w:instrText xml:space="preserve"> PAGE   \* MERGEFORMAT </w:instrText>
    </w:r>
    <w:r w:rsidRPr="00D91DE4">
      <w:fldChar w:fldCharType="separate"/>
    </w:r>
    <w:r w:rsidR="00C71CAB">
      <w:rPr>
        <w:noProof/>
      </w:rPr>
      <w:t>10</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A139DE" w:rsidRPr="00F202CA" w:rsidRDefault="00A139DE"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2AEB5" w14:textId="77777777" w:rsidR="00A139DE" w:rsidRDefault="00A139DE">
      <w:r>
        <w:separator/>
      </w:r>
    </w:p>
  </w:footnote>
  <w:footnote w:type="continuationSeparator" w:id="0">
    <w:p w14:paraId="25DE51B6" w14:textId="77777777" w:rsidR="00A139DE" w:rsidRDefault="00A139DE">
      <w:r>
        <w:continuationSeparator/>
      </w:r>
    </w:p>
  </w:footnote>
  <w:footnote w:type="continuationNotice" w:id="1">
    <w:p w14:paraId="38B3D072" w14:textId="77777777" w:rsidR="00A139DE" w:rsidRDefault="00A139DE">
      <w:pPr>
        <w:spacing w:after="0" w:line="240" w:lineRule="auto"/>
      </w:pPr>
    </w:p>
  </w:footnote>
  <w:footnote w:id="2">
    <w:p w14:paraId="44733BA4" w14:textId="6AF22C06" w:rsidR="00A139DE" w:rsidRDefault="00A139DE" w:rsidP="003E5AB5">
      <w:pPr>
        <w:pStyle w:val="FootnoteText"/>
      </w:pPr>
      <w:r>
        <w:rPr>
          <w:rStyle w:val="FootnoteReference"/>
        </w:rPr>
        <w:footnoteRef/>
      </w:r>
      <w:r>
        <w:t xml:space="preserve"> In Group A (2 categories, unsorted) 20% selected the ‘poor’ category, compared to 17-18% for Group B (3 categories, unsorted) and Group C (3 categories, sorted). 46% of ‘Group A chose a ‘middle-ranking’ product, which fell to 27% and 23% respectively for Group B and Group C. See tables 10</w:t>
      </w:r>
      <w:r>
        <w:noBreakHyphen/>
        <w:t>12 in Appendix 3 for more details.</w:t>
      </w:r>
    </w:p>
  </w:footnote>
  <w:footnote w:id="3">
    <w:p w14:paraId="04E24E82" w14:textId="171A245A" w:rsidR="00A139DE" w:rsidRDefault="00A139DE" w:rsidP="003E5AB5">
      <w:pPr>
        <w:pStyle w:val="FootnoteText"/>
      </w:pPr>
      <w:r>
        <w:rPr>
          <w:rStyle w:val="FootnoteReference"/>
        </w:rPr>
        <w:footnoteRef/>
      </w:r>
      <w:r>
        <w:t xml:space="preserve"> For Group A (2 categories, unsorted) ‘Acumen Super’ had the lowest fees amongst the ‘good’ products but ranked fourth on performance. For Groups B and C (both with 3 categories), ‘SafeInvest Super’ was the lowest fee option of the ‘top’ products but it ranked second on performance.</w:t>
      </w:r>
    </w:p>
  </w:footnote>
  <w:footnote w:id="4">
    <w:p w14:paraId="1B5A2A00" w14:textId="03694881" w:rsidR="00A139DE" w:rsidRDefault="00A139DE" w:rsidP="003717D6">
      <w:pPr>
        <w:pStyle w:val="FootnoteText"/>
      </w:pPr>
      <w:r>
        <w:rPr>
          <w:rStyle w:val="FootnoteReference"/>
        </w:rPr>
        <w:footnoteRef/>
      </w:r>
      <w:r>
        <w:t xml:space="preserve"> We constructed a measure of respondent financial literacy using responses to 3 questions on knowledge of interest rates, inflation and investment diversification. The questions were adapted from the ‘Big 3’ set devised by </w:t>
      </w:r>
      <w:r w:rsidRPr="00DA76F5">
        <w:t>Lusardi and Mitchell (2014)</w:t>
      </w:r>
      <w:r>
        <w:t>. Respondents who scored one or below were deemed to have low financial literacy (38% of the sample).</w:t>
      </w:r>
    </w:p>
  </w:footnote>
  <w:footnote w:id="5">
    <w:p w14:paraId="64A9086E" w14:textId="31755FD7" w:rsidR="00A139DE" w:rsidRDefault="00A139DE">
      <w:pPr>
        <w:pStyle w:val="FootnoteText"/>
      </w:pPr>
      <w:r>
        <w:rPr>
          <w:rStyle w:val="FootnoteReference"/>
        </w:rPr>
        <w:footnoteRef/>
      </w:r>
      <w:r>
        <w:t xml:space="preserve"> The spreadsheet appendix is available at: </w:t>
      </w:r>
      <w:hyperlink r:id="rId1" w:history="1">
        <w:r w:rsidRPr="00700D9F">
          <w:rPr>
            <w:rStyle w:val="Hyperlink"/>
          </w:rPr>
          <w:t>https://behaviouraleconomics.pmc.gov.au/projects/yoursuper-comparison-tool-results-survey-and-two-survey-experiments</w:t>
        </w:r>
      </w:hyperlink>
    </w:p>
  </w:footnote>
  <w:footnote w:id="6">
    <w:p w14:paraId="17FC7D10" w14:textId="6005DB6A" w:rsidR="00A139DE" w:rsidRDefault="00A139DE" w:rsidP="00F802A8">
      <w:pPr>
        <w:pStyle w:val="FootnoteText"/>
      </w:pPr>
      <w:r>
        <w:rPr>
          <w:rStyle w:val="FootnoteReference"/>
        </w:rPr>
        <w:footnoteRef/>
      </w:r>
      <w:r>
        <w:t xml:space="preserve"> One respondent who had retired was included in the sample owing to a decision to screen on this criterion being made after the soft launch of the survey occurred.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751FA" w14:textId="77777777" w:rsidR="00A139DE" w:rsidRDefault="00A139DE"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36B1061B" wp14:editId="40440BC8">
          <wp:simplePos x="0" y="0"/>
          <wp:positionH relativeFrom="page">
            <wp:align>left</wp:align>
          </wp:positionH>
          <wp:positionV relativeFrom="page">
            <wp:align>top</wp:align>
          </wp:positionV>
          <wp:extent cx="7558405" cy="10690225"/>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D84C68F" wp14:editId="25AD89AB">
          <wp:simplePos x="0" y="0"/>
          <wp:positionH relativeFrom="page">
            <wp:posOffset>456565</wp:posOffset>
          </wp:positionH>
          <wp:positionV relativeFrom="page">
            <wp:posOffset>428039</wp:posOffset>
          </wp:positionV>
          <wp:extent cx="3523957" cy="753971"/>
          <wp:effectExtent l="0" t="0" r="635" b="8255"/>
          <wp:wrapSquare wrapText="bothSides"/>
          <wp:docPr id="12" name="Picture 12" descr="Australian Government Department of the Prime Minister and Cabinet,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MC+ATO_inline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3957" cy="753971"/>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FDEE1" w14:textId="77777777" w:rsidR="00A139DE" w:rsidRDefault="00A139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6CAB0" w14:textId="6049B221" w:rsidR="00A139DE" w:rsidRPr="004909C3" w:rsidRDefault="00A139DE" w:rsidP="008253C4">
    <w:pPr>
      <w:pStyle w:val="Header"/>
      <w:rPr>
        <w:color w:val="FFFFFF" w:themeColor="background1"/>
      </w:rPr>
    </w:pPr>
    <w:r w:rsidRPr="00EF3817">
      <w:rPr>
        <w:color w:val="FFFFFF" w:themeColor="background1"/>
      </w:rPr>
      <w:t>YourSuper Comparison Tool – results from a survey and two survey experiments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E9B0" w14:textId="03F8AA39" w:rsidR="00A139DE" w:rsidRPr="00B73BBF" w:rsidRDefault="00A139DE" w:rsidP="00B73BBF">
    <w:pPr>
      <w:pStyle w:val="Header"/>
      <w:rPr>
        <w:sz w:val="16"/>
        <w:szCs w:val="16"/>
      </w:rPr>
    </w:pPr>
    <w:r w:rsidRPr="004D3902">
      <w:rPr>
        <w:sz w:val="16"/>
        <w:szCs w:val="16"/>
      </w:rPr>
      <w:t xml:space="preserve">YourSuper Comparison Tool – </w:t>
    </w:r>
    <w:r>
      <w:rPr>
        <w:sz w:val="16"/>
        <w:szCs w:val="16"/>
      </w:rPr>
      <w:t xml:space="preserve">results from a </w:t>
    </w:r>
    <w:r w:rsidRPr="004D3902">
      <w:rPr>
        <w:sz w:val="16"/>
        <w:szCs w:val="16"/>
      </w:rPr>
      <w:t xml:space="preserve">survey </w:t>
    </w:r>
    <w:r>
      <w:rPr>
        <w:sz w:val="16"/>
        <w:szCs w:val="16"/>
      </w:rPr>
      <w:t>and two survey experiments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A139DE" w:rsidRPr="00F202CA" w:rsidRDefault="00A139DE"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752A"/>
    <w:multiLevelType w:val="hybridMultilevel"/>
    <w:tmpl w:val="35D6C14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6723AA1"/>
    <w:multiLevelType w:val="hybridMultilevel"/>
    <w:tmpl w:val="FCB0B52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6054A1"/>
    <w:multiLevelType w:val="hybridMultilevel"/>
    <w:tmpl w:val="E26E4C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46A3667"/>
    <w:multiLevelType w:val="hybridMultilevel"/>
    <w:tmpl w:val="6080920A"/>
    <w:lvl w:ilvl="0" w:tplc="580C23F2">
      <w:start w:val="1"/>
      <w:numFmt w:val="decimal"/>
      <w:pStyle w:val="HeadingTable"/>
      <w:lvlText w:val="Table %1."/>
      <w:lvlJc w:val="left"/>
      <w:pPr>
        <w:ind w:left="1353"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391216"/>
    <w:multiLevelType w:val="hybridMultilevel"/>
    <w:tmpl w:val="F6F81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8D5309"/>
    <w:multiLevelType w:val="hybridMultilevel"/>
    <w:tmpl w:val="7C1CAE4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1000ED3"/>
    <w:multiLevelType w:val="hybridMultilevel"/>
    <w:tmpl w:val="E8BCF5D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2786199"/>
    <w:multiLevelType w:val="hybridMultilevel"/>
    <w:tmpl w:val="C668373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12" w15:restartNumberingAfterBreak="0">
    <w:nsid w:val="37557374"/>
    <w:multiLevelType w:val="hybridMultilevel"/>
    <w:tmpl w:val="148E1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484C10"/>
    <w:multiLevelType w:val="hybridMultilevel"/>
    <w:tmpl w:val="AF70E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6A7891"/>
    <w:multiLevelType w:val="multilevel"/>
    <w:tmpl w:val="8182F784"/>
    <w:lvl w:ilvl="0">
      <w:start w:val="1"/>
      <w:numFmt w:val="decimal"/>
      <w:pStyle w:val="FigureHeading"/>
      <w:lvlText w:val="Figure %1."/>
      <w:lvlJc w:val="left"/>
      <w:pPr>
        <w:ind w:left="786" w:hanging="360"/>
      </w:pPr>
      <w:rPr>
        <w:rFonts w:cs="Times New Roman"/>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47613EA"/>
    <w:multiLevelType w:val="hybridMultilevel"/>
    <w:tmpl w:val="E4AAC9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A9B5C6F"/>
    <w:multiLevelType w:val="hybridMultilevel"/>
    <w:tmpl w:val="9530D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FA0BF0"/>
    <w:multiLevelType w:val="hybridMultilevel"/>
    <w:tmpl w:val="44DC2C3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63619BB"/>
    <w:multiLevelType w:val="hybridMultilevel"/>
    <w:tmpl w:val="C076FF0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1" w15:restartNumberingAfterBreak="0">
    <w:nsid w:val="5D61273D"/>
    <w:multiLevelType w:val="hybridMultilevel"/>
    <w:tmpl w:val="215E6EF2"/>
    <w:lvl w:ilvl="0" w:tplc="0C090001">
      <w:start w:val="1"/>
      <w:numFmt w:val="bullet"/>
      <w:lvlText w:val=""/>
      <w:lvlJc w:val="left"/>
      <w:pPr>
        <w:ind w:left="1125" w:hanging="360"/>
      </w:pPr>
      <w:rPr>
        <w:rFonts w:ascii="Symbol" w:hAnsi="Symbol" w:hint="default"/>
      </w:r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22" w15:restartNumberingAfterBreak="0">
    <w:nsid w:val="61E67AAC"/>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AC72477"/>
    <w:multiLevelType w:val="hybridMultilevel"/>
    <w:tmpl w:val="4ADC6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6A7E40"/>
    <w:multiLevelType w:val="hybridMultilevel"/>
    <w:tmpl w:val="4F781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5571B9"/>
    <w:multiLevelType w:val="hybridMultilevel"/>
    <w:tmpl w:val="12CA0C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98C4428"/>
    <w:multiLevelType w:val="hybridMultilevel"/>
    <w:tmpl w:val="0A50FD8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FEF5712"/>
    <w:multiLevelType w:val="hybridMultilevel"/>
    <w:tmpl w:val="4D5C4CD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8"/>
  </w:num>
  <w:num w:numId="2">
    <w:abstractNumId w:val="20"/>
  </w:num>
  <w:num w:numId="3">
    <w:abstractNumId w:val="14"/>
  </w:num>
  <w:num w:numId="4">
    <w:abstractNumId w:val="11"/>
  </w:num>
  <w:num w:numId="5">
    <w:abstractNumId w:val="4"/>
  </w:num>
  <w:num w:numId="6">
    <w:abstractNumId w:val="5"/>
  </w:num>
  <w:num w:numId="7">
    <w:abstractNumId w:val="2"/>
  </w:num>
  <w:num w:numId="8">
    <w:abstractNumId w:val="22"/>
  </w:num>
  <w:num w:numId="9">
    <w:abstractNumId w:val="10"/>
  </w:num>
  <w:num w:numId="10">
    <w:abstractNumId w:val="13"/>
  </w:num>
  <w:num w:numId="11">
    <w:abstractNumId w:val="6"/>
  </w:num>
  <w:num w:numId="12">
    <w:abstractNumId w:val="12"/>
  </w:num>
  <w:num w:numId="13">
    <w:abstractNumId w:val="24"/>
  </w:num>
  <w:num w:numId="14">
    <w:abstractNumId w:val="16"/>
  </w:num>
  <w:num w:numId="15">
    <w:abstractNumId w:val="1"/>
  </w:num>
  <w:num w:numId="16">
    <w:abstractNumId w:val="27"/>
  </w:num>
  <w:num w:numId="17">
    <w:abstractNumId w:val="9"/>
  </w:num>
  <w:num w:numId="18">
    <w:abstractNumId w:val="3"/>
  </w:num>
  <w:num w:numId="19">
    <w:abstractNumId w:val="19"/>
  </w:num>
  <w:num w:numId="20">
    <w:abstractNumId w:val="26"/>
  </w:num>
  <w:num w:numId="21">
    <w:abstractNumId w:val="18"/>
  </w:num>
  <w:num w:numId="22">
    <w:abstractNumId w:val="25"/>
  </w:num>
  <w:num w:numId="23">
    <w:abstractNumId w:val="7"/>
  </w:num>
  <w:num w:numId="24">
    <w:abstractNumId w:val="0"/>
  </w:num>
  <w:num w:numId="25">
    <w:abstractNumId w:val="15"/>
  </w:num>
  <w:num w:numId="26">
    <w:abstractNumId w:val="17"/>
  </w:num>
  <w:num w:numId="27">
    <w:abstractNumId w:val="21"/>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removePersonalInformation/>
  <w:removeDateAndTime/>
  <w:activeWritingStyle w:appName="MSWord" w:lang="en-AU" w:vendorID="64" w:dllVersion="131078" w:nlCheck="1" w:checkStyle="1"/>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27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25DD"/>
    <w:rsid w:val="00005785"/>
    <w:rsid w:val="00006876"/>
    <w:rsid w:val="000079AD"/>
    <w:rsid w:val="00007D1F"/>
    <w:rsid w:val="00010D84"/>
    <w:rsid w:val="00010F15"/>
    <w:rsid w:val="00011194"/>
    <w:rsid w:val="00011CE3"/>
    <w:rsid w:val="00011FC0"/>
    <w:rsid w:val="000131D0"/>
    <w:rsid w:val="00013560"/>
    <w:rsid w:val="000156E0"/>
    <w:rsid w:val="000176B5"/>
    <w:rsid w:val="0001771B"/>
    <w:rsid w:val="000207DF"/>
    <w:rsid w:val="000220C4"/>
    <w:rsid w:val="00022BCD"/>
    <w:rsid w:val="00022E9C"/>
    <w:rsid w:val="000249CC"/>
    <w:rsid w:val="00024EF0"/>
    <w:rsid w:val="00025631"/>
    <w:rsid w:val="00025B9A"/>
    <w:rsid w:val="00027B26"/>
    <w:rsid w:val="00030705"/>
    <w:rsid w:val="00031D33"/>
    <w:rsid w:val="00032861"/>
    <w:rsid w:val="00032B77"/>
    <w:rsid w:val="00033BCE"/>
    <w:rsid w:val="000369CB"/>
    <w:rsid w:val="00036F19"/>
    <w:rsid w:val="00037F3D"/>
    <w:rsid w:val="00042285"/>
    <w:rsid w:val="0004283C"/>
    <w:rsid w:val="00043256"/>
    <w:rsid w:val="00044D37"/>
    <w:rsid w:val="00045A89"/>
    <w:rsid w:val="00046164"/>
    <w:rsid w:val="0004635E"/>
    <w:rsid w:val="00046F8E"/>
    <w:rsid w:val="000471A8"/>
    <w:rsid w:val="00047261"/>
    <w:rsid w:val="00047524"/>
    <w:rsid w:val="0005040E"/>
    <w:rsid w:val="0005087D"/>
    <w:rsid w:val="00050F9E"/>
    <w:rsid w:val="0005104D"/>
    <w:rsid w:val="00051761"/>
    <w:rsid w:val="00053910"/>
    <w:rsid w:val="00053B0B"/>
    <w:rsid w:val="000547EF"/>
    <w:rsid w:val="00054FA4"/>
    <w:rsid w:val="00056004"/>
    <w:rsid w:val="00056F63"/>
    <w:rsid w:val="00057CFE"/>
    <w:rsid w:val="0006075A"/>
    <w:rsid w:val="0006083B"/>
    <w:rsid w:val="00061C84"/>
    <w:rsid w:val="00062017"/>
    <w:rsid w:val="00062484"/>
    <w:rsid w:val="00063129"/>
    <w:rsid w:val="00063809"/>
    <w:rsid w:val="000639A1"/>
    <w:rsid w:val="0006489E"/>
    <w:rsid w:val="00064BB5"/>
    <w:rsid w:val="00064CFC"/>
    <w:rsid w:val="00064D7C"/>
    <w:rsid w:val="00064EE9"/>
    <w:rsid w:val="00065022"/>
    <w:rsid w:val="00065088"/>
    <w:rsid w:val="000657BF"/>
    <w:rsid w:val="00065A5E"/>
    <w:rsid w:val="00070681"/>
    <w:rsid w:val="0007097B"/>
    <w:rsid w:val="00070F67"/>
    <w:rsid w:val="00072C3A"/>
    <w:rsid w:val="00072DA5"/>
    <w:rsid w:val="000739EE"/>
    <w:rsid w:val="00075A7A"/>
    <w:rsid w:val="00075E45"/>
    <w:rsid w:val="0008001B"/>
    <w:rsid w:val="00080A09"/>
    <w:rsid w:val="00081366"/>
    <w:rsid w:val="0008174B"/>
    <w:rsid w:val="00081CEB"/>
    <w:rsid w:val="00082137"/>
    <w:rsid w:val="00082C85"/>
    <w:rsid w:val="00083082"/>
    <w:rsid w:val="000837BA"/>
    <w:rsid w:val="00083F36"/>
    <w:rsid w:val="00085A68"/>
    <w:rsid w:val="00086353"/>
    <w:rsid w:val="00086D9F"/>
    <w:rsid w:val="00087B2C"/>
    <w:rsid w:val="00087D4E"/>
    <w:rsid w:val="00087DBD"/>
    <w:rsid w:val="00090718"/>
    <w:rsid w:val="00091B4E"/>
    <w:rsid w:val="00091B67"/>
    <w:rsid w:val="00091CD7"/>
    <w:rsid w:val="00092765"/>
    <w:rsid w:val="000931CB"/>
    <w:rsid w:val="00093DD5"/>
    <w:rsid w:val="00095DE6"/>
    <w:rsid w:val="000A03DD"/>
    <w:rsid w:val="000A1136"/>
    <w:rsid w:val="000A1193"/>
    <w:rsid w:val="000A1A09"/>
    <w:rsid w:val="000A1B0D"/>
    <w:rsid w:val="000A2752"/>
    <w:rsid w:val="000A4041"/>
    <w:rsid w:val="000A43DC"/>
    <w:rsid w:val="000A47A8"/>
    <w:rsid w:val="000A48B2"/>
    <w:rsid w:val="000A4C19"/>
    <w:rsid w:val="000A4F61"/>
    <w:rsid w:val="000A56A5"/>
    <w:rsid w:val="000A5A48"/>
    <w:rsid w:val="000A73FB"/>
    <w:rsid w:val="000B0129"/>
    <w:rsid w:val="000B0437"/>
    <w:rsid w:val="000B218A"/>
    <w:rsid w:val="000B2372"/>
    <w:rsid w:val="000B39C7"/>
    <w:rsid w:val="000B3E02"/>
    <w:rsid w:val="000B4742"/>
    <w:rsid w:val="000B59BD"/>
    <w:rsid w:val="000C014D"/>
    <w:rsid w:val="000C063C"/>
    <w:rsid w:val="000C1CDC"/>
    <w:rsid w:val="000C26E5"/>
    <w:rsid w:val="000C29B4"/>
    <w:rsid w:val="000C3D9B"/>
    <w:rsid w:val="000C49B2"/>
    <w:rsid w:val="000C5CD8"/>
    <w:rsid w:val="000C707C"/>
    <w:rsid w:val="000C7A69"/>
    <w:rsid w:val="000D1158"/>
    <w:rsid w:val="000D1D99"/>
    <w:rsid w:val="000D3D6A"/>
    <w:rsid w:val="000D428D"/>
    <w:rsid w:val="000D4703"/>
    <w:rsid w:val="000D7463"/>
    <w:rsid w:val="000E12D4"/>
    <w:rsid w:val="000E1A5A"/>
    <w:rsid w:val="000E214C"/>
    <w:rsid w:val="000E39EF"/>
    <w:rsid w:val="000E47BB"/>
    <w:rsid w:val="000E4919"/>
    <w:rsid w:val="000E51CE"/>
    <w:rsid w:val="000E620E"/>
    <w:rsid w:val="000E65AE"/>
    <w:rsid w:val="000F03C3"/>
    <w:rsid w:val="000F2063"/>
    <w:rsid w:val="000F2AF9"/>
    <w:rsid w:val="000F38EC"/>
    <w:rsid w:val="000F3D28"/>
    <w:rsid w:val="000F5C2C"/>
    <w:rsid w:val="000F63C4"/>
    <w:rsid w:val="000F63F8"/>
    <w:rsid w:val="000F7463"/>
    <w:rsid w:val="000F762E"/>
    <w:rsid w:val="00100200"/>
    <w:rsid w:val="0010263D"/>
    <w:rsid w:val="00102824"/>
    <w:rsid w:val="0010300A"/>
    <w:rsid w:val="001030FA"/>
    <w:rsid w:val="00105797"/>
    <w:rsid w:val="00107F60"/>
    <w:rsid w:val="00111B40"/>
    <w:rsid w:val="00112928"/>
    <w:rsid w:val="001131F0"/>
    <w:rsid w:val="001139C7"/>
    <w:rsid w:val="00114EBC"/>
    <w:rsid w:val="00116778"/>
    <w:rsid w:val="00116D67"/>
    <w:rsid w:val="0012073F"/>
    <w:rsid w:val="00121718"/>
    <w:rsid w:val="001239B3"/>
    <w:rsid w:val="0012427E"/>
    <w:rsid w:val="00124541"/>
    <w:rsid w:val="001247E0"/>
    <w:rsid w:val="0012523B"/>
    <w:rsid w:val="001252F6"/>
    <w:rsid w:val="00126750"/>
    <w:rsid w:val="001271A1"/>
    <w:rsid w:val="00130551"/>
    <w:rsid w:val="00131C0F"/>
    <w:rsid w:val="001325BF"/>
    <w:rsid w:val="00132F0D"/>
    <w:rsid w:val="00133713"/>
    <w:rsid w:val="00133A4A"/>
    <w:rsid w:val="001342B7"/>
    <w:rsid w:val="001352D4"/>
    <w:rsid w:val="00135B7E"/>
    <w:rsid w:val="00137F03"/>
    <w:rsid w:val="00137FDB"/>
    <w:rsid w:val="00140FC9"/>
    <w:rsid w:val="001413C5"/>
    <w:rsid w:val="0014231B"/>
    <w:rsid w:val="00142956"/>
    <w:rsid w:val="00142D10"/>
    <w:rsid w:val="001432B0"/>
    <w:rsid w:val="00144868"/>
    <w:rsid w:val="001452BC"/>
    <w:rsid w:val="001472E5"/>
    <w:rsid w:val="00150D2A"/>
    <w:rsid w:val="00150E25"/>
    <w:rsid w:val="00150EA9"/>
    <w:rsid w:val="001512BB"/>
    <w:rsid w:val="00151650"/>
    <w:rsid w:val="0015349D"/>
    <w:rsid w:val="001540CB"/>
    <w:rsid w:val="00155968"/>
    <w:rsid w:val="00155B98"/>
    <w:rsid w:val="00155C05"/>
    <w:rsid w:val="00157001"/>
    <w:rsid w:val="00157709"/>
    <w:rsid w:val="00160B66"/>
    <w:rsid w:val="00160E91"/>
    <w:rsid w:val="00160FA6"/>
    <w:rsid w:val="00163CBB"/>
    <w:rsid w:val="00165626"/>
    <w:rsid w:val="00166272"/>
    <w:rsid w:val="001671D2"/>
    <w:rsid w:val="00167CF4"/>
    <w:rsid w:val="00170BE9"/>
    <w:rsid w:val="0017147C"/>
    <w:rsid w:val="0017194E"/>
    <w:rsid w:val="0017249B"/>
    <w:rsid w:val="001727A4"/>
    <w:rsid w:val="00174B4A"/>
    <w:rsid w:val="00174B4B"/>
    <w:rsid w:val="00174B5C"/>
    <w:rsid w:val="00175189"/>
    <w:rsid w:val="00176148"/>
    <w:rsid w:val="001762AB"/>
    <w:rsid w:val="00177EC4"/>
    <w:rsid w:val="0018049B"/>
    <w:rsid w:val="00181533"/>
    <w:rsid w:val="001824C8"/>
    <w:rsid w:val="00182698"/>
    <w:rsid w:val="001836CD"/>
    <w:rsid w:val="00183DEA"/>
    <w:rsid w:val="00184352"/>
    <w:rsid w:val="00184787"/>
    <w:rsid w:val="00185263"/>
    <w:rsid w:val="00185D11"/>
    <w:rsid w:val="001864FD"/>
    <w:rsid w:val="00190F06"/>
    <w:rsid w:val="00191A5D"/>
    <w:rsid w:val="001936A7"/>
    <w:rsid w:val="001943DD"/>
    <w:rsid w:val="00194B17"/>
    <w:rsid w:val="00195582"/>
    <w:rsid w:val="001959C4"/>
    <w:rsid w:val="00196A75"/>
    <w:rsid w:val="00196BAC"/>
    <w:rsid w:val="001A009A"/>
    <w:rsid w:val="001A0BF0"/>
    <w:rsid w:val="001A0F94"/>
    <w:rsid w:val="001A13F6"/>
    <w:rsid w:val="001A16D0"/>
    <w:rsid w:val="001A2559"/>
    <w:rsid w:val="001A2D78"/>
    <w:rsid w:val="001A4B4C"/>
    <w:rsid w:val="001A61C4"/>
    <w:rsid w:val="001A620F"/>
    <w:rsid w:val="001A6377"/>
    <w:rsid w:val="001A6900"/>
    <w:rsid w:val="001A6BA2"/>
    <w:rsid w:val="001A6EDA"/>
    <w:rsid w:val="001A7249"/>
    <w:rsid w:val="001B0BE1"/>
    <w:rsid w:val="001B1EA0"/>
    <w:rsid w:val="001B33AC"/>
    <w:rsid w:val="001B385A"/>
    <w:rsid w:val="001B3904"/>
    <w:rsid w:val="001B3AEC"/>
    <w:rsid w:val="001B3E8D"/>
    <w:rsid w:val="001B5259"/>
    <w:rsid w:val="001B53B8"/>
    <w:rsid w:val="001B60D4"/>
    <w:rsid w:val="001B6F28"/>
    <w:rsid w:val="001B7AD5"/>
    <w:rsid w:val="001C117E"/>
    <w:rsid w:val="001C12DB"/>
    <w:rsid w:val="001C2FA9"/>
    <w:rsid w:val="001C35DA"/>
    <w:rsid w:val="001C38BA"/>
    <w:rsid w:val="001C4F4F"/>
    <w:rsid w:val="001C6BA1"/>
    <w:rsid w:val="001C6F22"/>
    <w:rsid w:val="001D1327"/>
    <w:rsid w:val="001D141C"/>
    <w:rsid w:val="001D2904"/>
    <w:rsid w:val="001D2EE1"/>
    <w:rsid w:val="001D38E8"/>
    <w:rsid w:val="001D5050"/>
    <w:rsid w:val="001D652D"/>
    <w:rsid w:val="001D693F"/>
    <w:rsid w:val="001D6EDF"/>
    <w:rsid w:val="001D6F9E"/>
    <w:rsid w:val="001E0A11"/>
    <w:rsid w:val="001E1662"/>
    <w:rsid w:val="001E310C"/>
    <w:rsid w:val="001E38FB"/>
    <w:rsid w:val="001E4A09"/>
    <w:rsid w:val="001E52C2"/>
    <w:rsid w:val="001E6A27"/>
    <w:rsid w:val="001F0B81"/>
    <w:rsid w:val="001F0BE1"/>
    <w:rsid w:val="001F101A"/>
    <w:rsid w:val="001F11F2"/>
    <w:rsid w:val="001F24EF"/>
    <w:rsid w:val="001F2E45"/>
    <w:rsid w:val="001F4644"/>
    <w:rsid w:val="001F56C7"/>
    <w:rsid w:val="001F7838"/>
    <w:rsid w:val="001F7C2B"/>
    <w:rsid w:val="002014AA"/>
    <w:rsid w:val="00201C77"/>
    <w:rsid w:val="00203039"/>
    <w:rsid w:val="002035DF"/>
    <w:rsid w:val="002039D9"/>
    <w:rsid w:val="00203A42"/>
    <w:rsid w:val="00204B17"/>
    <w:rsid w:val="002069D2"/>
    <w:rsid w:val="002111E1"/>
    <w:rsid w:val="002112EC"/>
    <w:rsid w:val="00211DA2"/>
    <w:rsid w:val="00212C62"/>
    <w:rsid w:val="00213210"/>
    <w:rsid w:val="00213693"/>
    <w:rsid w:val="00213B6F"/>
    <w:rsid w:val="00215137"/>
    <w:rsid w:val="00215479"/>
    <w:rsid w:val="00215CCB"/>
    <w:rsid w:val="002168DD"/>
    <w:rsid w:val="00216B05"/>
    <w:rsid w:val="00216CF5"/>
    <w:rsid w:val="0021722A"/>
    <w:rsid w:val="0022037B"/>
    <w:rsid w:val="00221006"/>
    <w:rsid w:val="0022125C"/>
    <w:rsid w:val="002212D5"/>
    <w:rsid w:val="00222C8D"/>
    <w:rsid w:val="002249B0"/>
    <w:rsid w:val="002256A8"/>
    <w:rsid w:val="00225A61"/>
    <w:rsid w:val="00225AE3"/>
    <w:rsid w:val="00226462"/>
    <w:rsid w:val="00226D96"/>
    <w:rsid w:val="00230261"/>
    <w:rsid w:val="00230E6B"/>
    <w:rsid w:val="002320BC"/>
    <w:rsid w:val="00232B97"/>
    <w:rsid w:val="00232D1B"/>
    <w:rsid w:val="00233077"/>
    <w:rsid w:val="002332B0"/>
    <w:rsid w:val="00234E6D"/>
    <w:rsid w:val="0023523A"/>
    <w:rsid w:val="00236038"/>
    <w:rsid w:val="0023757C"/>
    <w:rsid w:val="00237C47"/>
    <w:rsid w:val="002402E4"/>
    <w:rsid w:val="0024160C"/>
    <w:rsid w:val="002421A0"/>
    <w:rsid w:val="00242687"/>
    <w:rsid w:val="00242B98"/>
    <w:rsid w:val="002445A1"/>
    <w:rsid w:val="0024594C"/>
    <w:rsid w:val="00246F49"/>
    <w:rsid w:val="00246FE6"/>
    <w:rsid w:val="002470E3"/>
    <w:rsid w:val="00251695"/>
    <w:rsid w:val="0025207D"/>
    <w:rsid w:val="00252FB8"/>
    <w:rsid w:val="002535AE"/>
    <w:rsid w:val="00254DE9"/>
    <w:rsid w:val="00254E8A"/>
    <w:rsid w:val="002554BF"/>
    <w:rsid w:val="00255A50"/>
    <w:rsid w:val="002569E1"/>
    <w:rsid w:val="00256DA0"/>
    <w:rsid w:val="00257A66"/>
    <w:rsid w:val="00257F6F"/>
    <w:rsid w:val="002602FC"/>
    <w:rsid w:val="00261022"/>
    <w:rsid w:val="002615D3"/>
    <w:rsid w:val="0026268A"/>
    <w:rsid w:val="00262845"/>
    <w:rsid w:val="00262D9D"/>
    <w:rsid w:val="002631F9"/>
    <w:rsid w:val="00263335"/>
    <w:rsid w:val="002633C2"/>
    <w:rsid w:val="00265941"/>
    <w:rsid w:val="00266432"/>
    <w:rsid w:val="002672F1"/>
    <w:rsid w:val="00270E16"/>
    <w:rsid w:val="00271414"/>
    <w:rsid w:val="00271922"/>
    <w:rsid w:val="00273412"/>
    <w:rsid w:val="0027373F"/>
    <w:rsid w:val="00274ACF"/>
    <w:rsid w:val="00277388"/>
    <w:rsid w:val="002775B1"/>
    <w:rsid w:val="00277C8F"/>
    <w:rsid w:val="00280BFC"/>
    <w:rsid w:val="0028159B"/>
    <w:rsid w:val="002815B4"/>
    <w:rsid w:val="00281CF1"/>
    <w:rsid w:val="00282671"/>
    <w:rsid w:val="00282861"/>
    <w:rsid w:val="00283D2E"/>
    <w:rsid w:val="002843E2"/>
    <w:rsid w:val="00286374"/>
    <w:rsid w:val="00287373"/>
    <w:rsid w:val="002874D8"/>
    <w:rsid w:val="002876D5"/>
    <w:rsid w:val="00287BAA"/>
    <w:rsid w:val="0029171B"/>
    <w:rsid w:val="0029180D"/>
    <w:rsid w:val="00291FDD"/>
    <w:rsid w:val="00293489"/>
    <w:rsid w:val="00294013"/>
    <w:rsid w:val="00295B30"/>
    <w:rsid w:val="00296F5E"/>
    <w:rsid w:val="002971B8"/>
    <w:rsid w:val="002971E3"/>
    <w:rsid w:val="00297A8D"/>
    <w:rsid w:val="002A0550"/>
    <w:rsid w:val="002A1BE8"/>
    <w:rsid w:val="002A30F0"/>
    <w:rsid w:val="002A38A4"/>
    <w:rsid w:val="002A4735"/>
    <w:rsid w:val="002A6DF5"/>
    <w:rsid w:val="002B06F1"/>
    <w:rsid w:val="002B261E"/>
    <w:rsid w:val="002B2858"/>
    <w:rsid w:val="002B44B7"/>
    <w:rsid w:val="002B4846"/>
    <w:rsid w:val="002B50E6"/>
    <w:rsid w:val="002B6406"/>
    <w:rsid w:val="002B6809"/>
    <w:rsid w:val="002C2871"/>
    <w:rsid w:val="002C2E95"/>
    <w:rsid w:val="002C3771"/>
    <w:rsid w:val="002C4231"/>
    <w:rsid w:val="002C44DD"/>
    <w:rsid w:val="002C5172"/>
    <w:rsid w:val="002C7080"/>
    <w:rsid w:val="002C76BF"/>
    <w:rsid w:val="002D00B0"/>
    <w:rsid w:val="002D08F9"/>
    <w:rsid w:val="002D2364"/>
    <w:rsid w:val="002D2E16"/>
    <w:rsid w:val="002D3661"/>
    <w:rsid w:val="002D3B35"/>
    <w:rsid w:val="002D6050"/>
    <w:rsid w:val="002D6E3E"/>
    <w:rsid w:val="002E004C"/>
    <w:rsid w:val="002E0103"/>
    <w:rsid w:val="002E15C1"/>
    <w:rsid w:val="002E1E21"/>
    <w:rsid w:val="002E21D6"/>
    <w:rsid w:val="002E45F0"/>
    <w:rsid w:val="002E6757"/>
    <w:rsid w:val="002E6B63"/>
    <w:rsid w:val="002E7778"/>
    <w:rsid w:val="002E7D66"/>
    <w:rsid w:val="002F277A"/>
    <w:rsid w:val="002F39CD"/>
    <w:rsid w:val="002F4160"/>
    <w:rsid w:val="002F680D"/>
    <w:rsid w:val="002F6FDC"/>
    <w:rsid w:val="002F765F"/>
    <w:rsid w:val="0030174D"/>
    <w:rsid w:val="00302400"/>
    <w:rsid w:val="00304011"/>
    <w:rsid w:val="00304B3E"/>
    <w:rsid w:val="00304C98"/>
    <w:rsid w:val="00304D97"/>
    <w:rsid w:val="00305F02"/>
    <w:rsid w:val="00311246"/>
    <w:rsid w:val="003117A3"/>
    <w:rsid w:val="0031180A"/>
    <w:rsid w:val="003122C7"/>
    <w:rsid w:val="0031246D"/>
    <w:rsid w:val="00313127"/>
    <w:rsid w:val="00313304"/>
    <w:rsid w:val="00313DA6"/>
    <w:rsid w:val="003155F4"/>
    <w:rsid w:val="003158EE"/>
    <w:rsid w:val="00315F23"/>
    <w:rsid w:val="00320309"/>
    <w:rsid w:val="00320487"/>
    <w:rsid w:val="00320D36"/>
    <w:rsid w:val="003213A1"/>
    <w:rsid w:val="00321D1E"/>
    <w:rsid w:val="0032200A"/>
    <w:rsid w:val="00322911"/>
    <w:rsid w:val="00323BF9"/>
    <w:rsid w:val="003249F6"/>
    <w:rsid w:val="00324FDC"/>
    <w:rsid w:val="0032530E"/>
    <w:rsid w:val="00325A61"/>
    <w:rsid w:val="00326976"/>
    <w:rsid w:val="00326B01"/>
    <w:rsid w:val="003279E4"/>
    <w:rsid w:val="00327E7A"/>
    <w:rsid w:val="00330274"/>
    <w:rsid w:val="003311D7"/>
    <w:rsid w:val="003318E7"/>
    <w:rsid w:val="00332B8B"/>
    <w:rsid w:val="0033319B"/>
    <w:rsid w:val="003339C8"/>
    <w:rsid w:val="003347D0"/>
    <w:rsid w:val="0033521E"/>
    <w:rsid w:val="00335DDB"/>
    <w:rsid w:val="003364C7"/>
    <w:rsid w:val="00337CA2"/>
    <w:rsid w:val="003402FB"/>
    <w:rsid w:val="003404A4"/>
    <w:rsid w:val="0034146C"/>
    <w:rsid w:val="003418E4"/>
    <w:rsid w:val="0034255E"/>
    <w:rsid w:val="00342A52"/>
    <w:rsid w:val="00342C92"/>
    <w:rsid w:val="00343179"/>
    <w:rsid w:val="00343B11"/>
    <w:rsid w:val="003452D3"/>
    <w:rsid w:val="00345505"/>
    <w:rsid w:val="00346843"/>
    <w:rsid w:val="00347104"/>
    <w:rsid w:val="00347586"/>
    <w:rsid w:val="00347B06"/>
    <w:rsid w:val="00347FED"/>
    <w:rsid w:val="00350852"/>
    <w:rsid w:val="0035096E"/>
    <w:rsid w:val="00350FC0"/>
    <w:rsid w:val="003510B3"/>
    <w:rsid w:val="0035129C"/>
    <w:rsid w:val="0035219F"/>
    <w:rsid w:val="00352ECF"/>
    <w:rsid w:val="00355D01"/>
    <w:rsid w:val="003566B0"/>
    <w:rsid w:val="00360B81"/>
    <w:rsid w:val="00361E5E"/>
    <w:rsid w:val="00362B01"/>
    <w:rsid w:val="00362B49"/>
    <w:rsid w:val="00365661"/>
    <w:rsid w:val="003660E9"/>
    <w:rsid w:val="00366283"/>
    <w:rsid w:val="003674D0"/>
    <w:rsid w:val="0036777E"/>
    <w:rsid w:val="003701FA"/>
    <w:rsid w:val="00370842"/>
    <w:rsid w:val="003717D6"/>
    <w:rsid w:val="00372692"/>
    <w:rsid w:val="0037271A"/>
    <w:rsid w:val="00372A26"/>
    <w:rsid w:val="00372EC7"/>
    <w:rsid w:val="003733DE"/>
    <w:rsid w:val="0037484C"/>
    <w:rsid w:val="003749CD"/>
    <w:rsid w:val="00374A6C"/>
    <w:rsid w:val="00375068"/>
    <w:rsid w:val="0038045A"/>
    <w:rsid w:val="00380EF7"/>
    <w:rsid w:val="003816C8"/>
    <w:rsid w:val="003823AB"/>
    <w:rsid w:val="00382718"/>
    <w:rsid w:val="00382B3B"/>
    <w:rsid w:val="00385ED2"/>
    <w:rsid w:val="0038647C"/>
    <w:rsid w:val="003866D6"/>
    <w:rsid w:val="003870D4"/>
    <w:rsid w:val="0038714A"/>
    <w:rsid w:val="00390FD9"/>
    <w:rsid w:val="00391F86"/>
    <w:rsid w:val="003923FB"/>
    <w:rsid w:val="00392A01"/>
    <w:rsid w:val="003931C7"/>
    <w:rsid w:val="00393F00"/>
    <w:rsid w:val="003942B6"/>
    <w:rsid w:val="003945C0"/>
    <w:rsid w:val="003A1AA9"/>
    <w:rsid w:val="003A25A7"/>
    <w:rsid w:val="003A4685"/>
    <w:rsid w:val="003A6469"/>
    <w:rsid w:val="003A6EB9"/>
    <w:rsid w:val="003B21AD"/>
    <w:rsid w:val="003B244F"/>
    <w:rsid w:val="003B28CC"/>
    <w:rsid w:val="003B2E3F"/>
    <w:rsid w:val="003B499C"/>
    <w:rsid w:val="003B4EE0"/>
    <w:rsid w:val="003B52CE"/>
    <w:rsid w:val="003B535C"/>
    <w:rsid w:val="003B5F0C"/>
    <w:rsid w:val="003B7668"/>
    <w:rsid w:val="003C081F"/>
    <w:rsid w:val="003C1CC9"/>
    <w:rsid w:val="003C2120"/>
    <w:rsid w:val="003C47C0"/>
    <w:rsid w:val="003C4824"/>
    <w:rsid w:val="003C4BB1"/>
    <w:rsid w:val="003C63A3"/>
    <w:rsid w:val="003D030E"/>
    <w:rsid w:val="003D040D"/>
    <w:rsid w:val="003D06D9"/>
    <w:rsid w:val="003D0C7F"/>
    <w:rsid w:val="003D1DC2"/>
    <w:rsid w:val="003D1F49"/>
    <w:rsid w:val="003D2061"/>
    <w:rsid w:val="003D4097"/>
    <w:rsid w:val="003D4211"/>
    <w:rsid w:val="003D4893"/>
    <w:rsid w:val="003D543B"/>
    <w:rsid w:val="003D5D8C"/>
    <w:rsid w:val="003D61A4"/>
    <w:rsid w:val="003D6AE7"/>
    <w:rsid w:val="003D6C99"/>
    <w:rsid w:val="003D6D05"/>
    <w:rsid w:val="003D7E3D"/>
    <w:rsid w:val="003E02C5"/>
    <w:rsid w:val="003E06BA"/>
    <w:rsid w:val="003E1FE3"/>
    <w:rsid w:val="003E2299"/>
    <w:rsid w:val="003E24F1"/>
    <w:rsid w:val="003E32A7"/>
    <w:rsid w:val="003E5AB5"/>
    <w:rsid w:val="003E5E22"/>
    <w:rsid w:val="003E6102"/>
    <w:rsid w:val="003E7488"/>
    <w:rsid w:val="003E74AE"/>
    <w:rsid w:val="003F1A33"/>
    <w:rsid w:val="003F3072"/>
    <w:rsid w:val="003F31E6"/>
    <w:rsid w:val="003F3EB5"/>
    <w:rsid w:val="004004C3"/>
    <w:rsid w:val="00400E01"/>
    <w:rsid w:val="00401057"/>
    <w:rsid w:val="0040207C"/>
    <w:rsid w:val="0040236B"/>
    <w:rsid w:val="004024E4"/>
    <w:rsid w:val="004039AA"/>
    <w:rsid w:val="00403A01"/>
    <w:rsid w:val="00405BA4"/>
    <w:rsid w:val="004061B4"/>
    <w:rsid w:val="00406289"/>
    <w:rsid w:val="00406578"/>
    <w:rsid w:val="0040663F"/>
    <w:rsid w:val="00406ECD"/>
    <w:rsid w:val="004074EF"/>
    <w:rsid w:val="004078CC"/>
    <w:rsid w:val="00407BF1"/>
    <w:rsid w:val="00407CAA"/>
    <w:rsid w:val="004102C3"/>
    <w:rsid w:val="004124EF"/>
    <w:rsid w:val="0041307C"/>
    <w:rsid w:val="00413699"/>
    <w:rsid w:val="00413BCF"/>
    <w:rsid w:val="00413DDE"/>
    <w:rsid w:val="004144D3"/>
    <w:rsid w:val="004167B4"/>
    <w:rsid w:val="004167BC"/>
    <w:rsid w:val="00416AA3"/>
    <w:rsid w:val="00416D8E"/>
    <w:rsid w:val="0042032D"/>
    <w:rsid w:val="004225DC"/>
    <w:rsid w:val="0042294B"/>
    <w:rsid w:val="00423A41"/>
    <w:rsid w:val="00425FBA"/>
    <w:rsid w:val="00427C7D"/>
    <w:rsid w:val="00430094"/>
    <w:rsid w:val="00430D7E"/>
    <w:rsid w:val="00432332"/>
    <w:rsid w:val="00432368"/>
    <w:rsid w:val="00433B04"/>
    <w:rsid w:val="00436303"/>
    <w:rsid w:val="00436B02"/>
    <w:rsid w:val="00436F73"/>
    <w:rsid w:val="0043784D"/>
    <w:rsid w:val="00440256"/>
    <w:rsid w:val="00440E22"/>
    <w:rsid w:val="0044316C"/>
    <w:rsid w:val="00444139"/>
    <w:rsid w:val="0044547D"/>
    <w:rsid w:val="0044656C"/>
    <w:rsid w:val="00446F93"/>
    <w:rsid w:val="00447220"/>
    <w:rsid w:val="004479B4"/>
    <w:rsid w:val="00447ED8"/>
    <w:rsid w:val="00451A74"/>
    <w:rsid w:val="00451BCE"/>
    <w:rsid w:val="004533A1"/>
    <w:rsid w:val="00455142"/>
    <w:rsid w:val="004552AB"/>
    <w:rsid w:val="004553FF"/>
    <w:rsid w:val="0045622C"/>
    <w:rsid w:val="0045741B"/>
    <w:rsid w:val="00464234"/>
    <w:rsid w:val="00464492"/>
    <w:rsid w:val="00464B51"/>
    <w:rsid w:val="00464FB1"/>
    <w:rsid w:val="00466320"/>
    <w:rsid w:val="00467185"/>
    <w:rsid w:val="00467736"/>
    <w:rsid w:val="00470442"/>
    <w:rsid w:val="0047050C"/>
    <w:rsid w:val="00470580"/>
    <w:rsid w:val="00471901"/>
    <w:rsid w:val="00471B13"/>
    <w:rsid w:val="00472272"/>
    <w:rsid w:val="00472A45"/>
    <w:rsid w:val="00473540"/>
    <w:rsid w:val="00473930"/>
    <w:rsid w:val="00474D25"/>
    <w:rsid w:val="004750DB"/>
    <w:rsid w:val="004750EE"/>
    <w:rsid w:val="004750FB"/>
    <w:rsid w:val="00475732"/>
    <w:rsid w:val="0047649C"/>
    <w:rsid w:val="004777EC"/>
    <w:rsid w:val="00480F21"/>
    <w:rsid w:val="0048101F"/>
    <w:rsid w:val="0048108E"/>
    <w:rsid w:val="00481389"/>
    <w:rsid w:val="004821BA"/>
    <w:rsid w:val="0048387C"/>
    <w:rsid w:val="0048537F"/>
    <w:rsid w:val="004872C7"/>
    <w:rsid w:val="004874E5"/>
    <w:rsid w:val="00487885"/>
    <w:rsid w:val="004909C3"/>
    <w:rsid w:val="00490A65"/>
    <w:rsid w:val="0049116C"/>
    <w:rsid w:val="00491968"/>
    <w:rsid w:val="00492866"/>
    <w:rsid w:val="004930C9"/>
    <w:rsid w:val="00493EAC"/>
    <w:rsid w:val="00493F62"/>
    <w:rsid w:val="00494278"/>
    <w:rsid w:val="00494832"/>
    <w:rsid w:val="004952B2"/>
    <w:rsid w:val="004957C2"/>
    <w:rsid w:val="00495AF1"/>
    <w:rsid w:val="00495EC0"/>
    <w:rsid w:val="00497A89"/>
    <w:rsid w:val="004A208A"/>
    <w:rsid w:val="004A2F38"/>
    <w:rsid w:val="004A33DC"/>
    <w:rsid w:val="004A4CED"/>
    <w:rsid w:val="004A4D74"/>
    <w:rsid w:val="004A699C"/>
    <w:rsid w:val="004A6BE6"/>
    <w:rsid w:val="004B047F"/>
    <w:rsid w:val="004B0628"/>
    <w:rsid w:val="004B0828"/>
    <w:rsid w:val="004B0B5A"/>
    <w:rsid w:val="004B2588"/>
    <w:rsid w:val="004B3304"/>
    <w:rsid w:val="004B3DF1"/>
    <w:rsid w:val="004B4BC0"/>
    <w:rsid w:val="004B5555"/>
    <w:rsid w:val="004C011C"/>
    <w:rsid w:val="004C0484"/>
    <w:rsid w:val="004C08E6"/>
    <w:rsid w:val="004C15FD"/>
    <w:rsid w:val="004C1C19"/>
    <w:rsid w:val="004C259B"/>
    <w:rsid w:val="004C3CCF"/>
    <w:rsid w:val="004C6B0C"/>
    <w:rsid w:val="004C777E"/>
    <w:rsid w:val="004D0605"/>
    <w:rsid w:val="004D0C54"/>
    <w:rsid w:val="004D16A4"/>
    <w:rsid w:val="004D73CE"/>
    <w:rsid w:val="004E13D7"/>
    <w:rsid w:val="004E40F9"/>
    <w:rsid w:val="004E51C4"/>
    <w:rsid w:val="004E6682"/>
    <w:rsid w:val="004E6D8A"/>
    <w:rsid w:val="004F0411"/>
    <w:rsid w:val="004F10C1"/>
    <w:rsid w:val="004F15EF"/>
    <w:rsid w:val="004F22FE"/>
    <w:rsid w:val="004F386A"/>
    <w:rsid w:val="004F6F0C"/>
    <w:rsid w:val="004F7346"/>
    <w:rsid w:val="004F774D"/>
    <w:rsid w:val="005002FC"/>
    <w:rsid w:val="005013B0"/>
    <w:rsid w:val="005015E4"/>
    <w:rsid w:val="005017A6"/>
    <w:rsid w:val="0050291D"/>
    <w:rsid w:val="0050321B"/>
    <w:rsid w:val="005035B8"/>
    <w:rsid w:val="00503A26"/>
    <w:rsid w:val="00505846"/>
    <w:rsid w:val="00505AA6"/>
    <w:rsid w:val="00505DCC"/>
    <w:rsid w:val="005064CD"/>
    <w:rsid w:val="00506C00"/>
    <w:rsid w:val="0050783B"/>
    <w:rsid w:val="00507BB7"/>
    <w:rsid w:val="00510741"/>
    <w:rsid w:val="00511016"/>
    <w:rsid w:val="0051405A"/>
    <w:rsid w:val="005146FC"/>
    <w:rsid w:val="00514D8C"/>
    <w:rsid w:val="005159B3"/>
    <w:rsid w:val="00516415"/>
    <w:rsid w:val="005179B7"/>
    <w:rsid w:val="0052133E"/>
    <w:rsid w:val="00521926"/>
    <w:rsid w:val="00521C35"/>
    <w:rsid w:val="00522061"/>
    <w:rsid w:val="00522C03"/>
    <w:rsid w:val="00523110"/>
    <w:rsid w:val="005258F8"/>
    <w:rsid w:val="0052592A"/>
    <w:rsid w:val="00525EA4"/>
    <w:rsid w:val="00526448"/>
    <w:rsid w:val="005276B7"/>
    <w:rsid w:val="0052791F"/>
    <w:rsid w:val="00527E83"/>
    <w:rsid w:val="00532CFF"/>
    <w:rsid w:val="005331E2"/>
    <w:rsid w:val="00533EB3"/>
    <w:rsid w:val="00534D3D"/>
    <w:rsid w:val="0053649F"/>
    <w:rsid w:val="00536880"/>
    <w:rsid w:val="0053759C"/>
    <w:rsid w:val="00537CEC"/>
    <w:rsid w:val="00540AD0"/>
    <w:rsid w:val="00542AAF"/>
    <w:rsid w:val="00542D27"/>
    <w:rsid w:val="00542E69"/>
    <w:rsid w:val="00542F60"/>
    <w:rsid w:val="0054357A"/>
    <w:rsid w:val="00543A76"/>
    <w:rsid w:val="00547738"/>
    <w:rsid w:val="00547D93"/>
    <w:rsid w:val="005522F3"/>
    <w:rsid w:val="005523D1"/>
    <w:rsid w:val="0055401F"/>
    <w:rsid w:val="00554A1D"/>
    <w:rsid w:val="00554C78"/>
    <w:rsid w:val="0055532E"/>
    <w:rsid w:val="00555BC3"/>
    <w:rsid w:val="00557851"/>
    <w:rsid w:val="00557C8E"/>
    <w:rsid w:val="00560722"/>
    <w:rsid w:val="00561B2B"/>
    <w:rsid w:val="0056273C"/>
    <w:rsid w:val="0056357E"/>
    <w:rsid w:val="00563AB2"/>
    <w:rsid w:val="00564649"/>
    <w:rsid w:val="00564952"/>
    <w:rsid w:val="005660F4"/>
    <w:rsid w:val="0056645F"/>
    <w:rsid w:val="00566516"/>
    <w:rsid w:val="00570D87"/>
    <w:rsid w:val="00570DA5"/>
    <w:rsid w:val="00571AB1"/>
    <w:rsid w:val="00573797"/>
    <w:rsid w:val="0057427A"/>
    <w:rsid w:val="00577E1C"/>
    <w:rsid w:val="00580DB1"/>
    <w:rsid w:val="005814AC"/>
    <w:rsid w:val="0058171F"/>
    <w:rsid w:val="00582014"/>
    <w:rsid w:val="00584676"/>
    <w:rsid w:val="00584923"/>
    <w:rsid w:val="005854B7"/>
    <w:rsid w:val="00585708"/>
    <w:rsid w:val="00587623"/>
    <w:rsid w:val="00587AB1"/>
    <w:rsid w:val="0059070B"/>
    <w:rsid w:val="005916BD"/>
    <w:rsid w:val="00592629"/>
    <w:rsid w:val="0059283C"/>
    <w:rsid w:val="00595082"/>
    <w:rsid w:val="00596824"/>
    <w:rsid w:val="00597B80"/>
    <w:rsid w:val="005A057F"/>
    <w:rsid w:val="005A0D95"/>
    <w:rsid w:val="005A1561"/>
    <w:rsid w:val="005A224B"/>
    <w:rsid w:val="005A2741"/>
    <w:rsid w:val="005A4F38"/>
    <w:rsid w:val="005A5C3A"/>
    <w:rsid w:val="005A5EAE"/>
    <w:rsid w:val="005A68E9"/>
    <w:rsid w:val="005B0F09"/>
    <w:rsid w:val="005B1225"/>
    <w:rsid w:val="005B1417"/>
    <w:rsid w:val="005B17D8"/>
    <w:rsid w:val="005B1D82"/>
    <w:rsid w:val="005B39AB"/>
    <w:rsid w:val="005B4077"/>
    <w:rsid w:val="005B65E5"/>
    <w:rsid w:val="005B7348"/>
    <w:rsid w:val="005C28B0"/>
    <w:rsid w:val="005C2F01"/>
    <w:rsid w:val="005C3687"/>
    <w:rsid w:val="005C57ED"/>
    <w:rsid w:val="005C5F3C"/>
    <w:rsid w:val="005D01BE"/>
    <w:rsid w:val="005D0281"/>
    <w:rsid w:val="005D07C0"/>
    <w:rsid w:val="005D1177"/>
    <w:rsid w:val="005D1D13"/>
    <w:rsid w:val="005D254A"/>
    <w:rsid w:val="005D378D"/>
    <w:rsid w:val="005D50AF"/>
    <w:rsid w:val="005D5460"/>
    <w:rsid w:val="005D7040"/>
    <w:rsid w:val="005E08CD"/>
    <w:rsid w:val="005E0D4E"/>
    <w:rsid w:val="005E3191"/>
    <w:rsid w:val="005E37E8"/>
    <w:rsid w:val="005E3B81"/>
    <w:rsid w:val="005E62D4"/>
    <w:rsid w:val="005E74C5"/>
    <w:rsid w:val="005F219D"/>
    <w:rsid w:val="005F2437"/>
    <w:rsid w:val="005F318A"/>
    <w:rsid w:val="005F38FE"/>
    <w:rsid w:val="005F49E7"/>
    <w:rsid w:val="005F5288"/>
    <w:rsid w:val="005F5E1B"/>
    <w:rsid w:val="005F76F4"/>
    <w:rsid w:val="005F7710"/>
    <w:rsid w:val="00600191"/>
    <w:rsid w:val="006004F7"/>
    <w:rsid w:val="00602DEF"/>
    <w:rsid w:val="00603261"/>
    <w:rsid w:val="006040C0"/>
    <w:rsid w:val="00605FEB"/>
    <w:rsid w:val="00606C44"/>
    <w:rsid w:val="00607597"/>
    <w:rsid w:val="00607871"/>
    <w:rsid w:val="00610C51"/>
    <w:rsid w:val="00610F93"/>
    <w:rsid w:val="006127CC"/>
    <w:rsid w:val="00614661"/>
    <w:rsid w:val="006243C6"/>
    <w:rsid w:val="00624A68"/>
    <w:rsid w:val="00624C56"/>
    <w:rsid w:val="00625509"/>
    <w:rsid w:val="00625C02"/>
    <w:rsid w:val="00625C1A"/>
    <w:rsid w:val="00625E44"/>
    <w:rsid w:val="006273BC"/>
    <w:rsid w:val="006274D0"/>
    <w:rsid w:val="006313AA"/>
    <w:rsid w:val="00631EAD"/>
    <w:rsid w:val="00632009"/>
    <w:rsid w:val="00632C76"/>
    <w:rsid w:val="00632D70"/>
    <w:rsid w:val="0063347D"/>
    <w:rsid w:val="00633CF1"/>
    <w:rsid w:val="00635A6C"/>
    <w:rsid w:val="00636B3B"/>
    <w:rsid w:val="00637091"/>
    <w:rsid w:val="00642839"/>
    <w:rsid w:val="00643F9E"/>
    <w:rsid w:val="006442BD"/>
    <w:rsid w:val="00644367"/>
    <w:rsid w:val="006457F8"/>
    <w:rsid w:val="00645CCB"/>
    <w:rsid w:val="00646EDB"/>
    <w:rsid w:val="0064700E"/>
    <w:rsid w:val="006472A3"/>
    <w:rsid w:val="006474E0"/>
    <w:rsid w:val="0064773B"/>
    <w:rsid w:val="006478CB"/>
    <w:rsid w:val="00650B88"/>
    <w:rsid w:val="00650E2C"/>
    <w:rsid w:val="0065263E"/>
    <w:rsid w:val="00652C58"/>
    <w:rsid w:val="0065307B"/>
    <w:rsid w:val="006530EF"/>
    <w:rsid w:val="006553E5"/>
    <w:rsid w:val="006554DD"/>
    <w:rsid w:val="006557EC"/>
    <w:rsid w:val="00655E71"/>
    <w:rsid w:val="00660951"/>
    <w:rsid w:val="00662E7D"/>
    <w:rsid w:val="006636E2"/>
    <w:rsid w:val="00663DC2"/>
    <w:rsid w:val="00664C4E"/>
    <w:rsid w:val="00666273"/>
    <w:rsid w:val="0066768C"/>
    <w:rsid w:val="00667FA9"/>
    <w:rsid w:val="00670450"/>
    <w:rsid w:val="00670713"/>
    <w:rsid w:val="00670AEA"/>
    <w:rsid w:val="00671466"/>
    <w:rsid w:val="0067204B"/>
    <w:rsid w:val="0067233D"/>
    <w:rsid w:val="00672B2E"/>
    <w:rsid w:val="00674217"/>
    <w:rsid w:val="006745AE"/>
    <w:rsid w:val="0067511A"/>
    <w:rsid w:val="00676870"/>
    <w:rsid w:val="00676AF3"/>
    <w:rsid w:val="00677895"/>
    <w:rsid w:val="00677BEF"/>
    <w:rsid w:val="00680F6F"/>
    <w:rsid w:val="006814A3"/>
    <w:rsid w:val="0068228F"/>
    <w:rsid w:val="006822A6"/>
    <w:rsid w:val="00682AFC"/>
    <w:rsid w:val="00682FE2"/>
    <w:rsid w:val="00683344"/>
    <w:rsid w:val="0068479D"/>
    <w:rsid w:val="00684FC9"/>
    <w:rsid w:val="0069072B"/>
    <w:rsid w:val="0069174B"/>
    <w:rsid w:val="00693340"/>
    <w:rsid w:val="00695713"/>
    <w:rsid w:val="006A04C7"/>
    <w:rsid w:val="006A4287"/>
    <w:rsid w:val="006A5E36"/>
    <w:rsid w:val="006B05E3"/>
    <w:rsid w:val="006B06D0"/>
    <w:rsid w:val="006B09BC"/>
    <w:rsid w:val="006B2ACA"/>
    <w:rsid w:val="006B6D5D"/>
    <w:rsid w:val="006B7A6E"/>
    <w:rsid w:val="006B7B5A"/>
    <w:rsid w:val="006C0801"/>
    <w:rsid w:val="006C0C2C"/>
    <w:rsid w:val="006C1EAA"/>
    <w:rsid w:val="006C216F"/>
    <w:rsid w:val="006C34EE"/>
    <w:rsid w:val="006C45D4"/>
    <w:rsid w:val="006C4A12"/>
    <w:rsid w:val="006C570F"/>
    <w:rsid w:val="006C64C2"/>
    <w:rsid w:val="006C6C13"/>
    <w:rsid w:val="006D0524"/>
    <w:rsid w:val="006D06C5"/>
    <w:rsid w:val="006D11BD"/>
    <w:rsid w:val="006D2042"/>
    <w:rsid w:val="006D24F0"/>
    <w:rsid w:val="006D2F17"/>
    <w:rsid w:val="006D66E3"/>
    <w:rsid w:val="006D6E50"/>
    <w:rsid w:val="006D75BA"/>
    <w:rsid w:val="006D7855"/>
    <w:rsid w:val="006D7A80"/>
    <w:rsid w:val="006E010C"/>
    <w:rsid w:val="006E0DE3"/>
    <w:rsid w:val="006E1003"/>
    <w:rsid w:val="006E16BF"/>
    <w:rsid w:val="006E18F0"/>
    <w:rsid w:val="006E2C89"/>
    <w:rsid w:val="006E38AF"/>
    <w:rsid w:val="006E4191"/>
    <w:rsid w:val="006E4F93"/>
    <w:rsid w:val="006E5016"/>
    <w:rsid w:val="006E76FE"/>
    <w:rsid w:val="006E7F4D"/>
    <w:rsid w:val="006F0D42"/>
    <w:rsid w:val="006F0EA4"/>
    <w:rsid w:val="006F10FE"/>
    <w:rsid w:val="006F1174"/>
    <w:rsid w:val="006F1DFF"/>
    <w:rsid w:val="006F4C3D"/>
    <w:rsid w:val="006F535B"/>
    <w:rsid w:val="006F5465"/>
    <w:rsid w:val="006F6543"/>
    <w:rsid w:val="00700135"/>
    <w:rsid w:val="00700D9F"/>
    <w:rsid w:val="00701B11"/>
    <w:rsid w:val="0070212F"/>
    <w:rsid w:val="007023AB"/>
    <w:rsid w:val="007034D5"/>
    <w:rsid w:val="0070424A"/>
    <w:rsid w:val="00704C40"/>
    <w:rsid w:val="00705180"/>
    <w:rsid w:val="00705574"/>
    <w:rsid w:val="00705D90"/>
    <w:rsid w:val="00706328"/>
    <w:rsid w:val="00706917"/>
    <w:rsid w:val="00707917"/>
    <w:rsid w:val="007079D2"/>
    <w:rsid w:val="00707E70"/>
    <w:rsid w:val="00710A39"/>
    <w:rsid w:val="00711397"/>
    <w:rsid w:val="00711438"/>
    <w:rsid w:val="00711605"/>
    <w:rsid w:val="00711DF6"/>
    <w:rsid w:val="007128B8"/>
    <w:rsid w:val="00713211"/>
    <w:rsid w:val="00716FBC"/>
    <w:rsid w:val="00717090"/>
    <w:rsid w:val="00720739"/>
    <w:rsid w:val="00721F3D"/>
    <w:rsid w:val="0072253E"/>
    <w:rsid w:val="007228E8"/>
    <w:rsid w:val="00723AE7"/>
    <w:rsid w:val="00723E1F"/>
    <w:rsid w:val="0072443D"/>
    <w:rsid w:val="007247E5"/>
    <w:rsid w:val="007248B7"/>
    <w:rsid w:val="007253AB"/>
    <w:rsid w:val="007254CA"/>
    <w:rsid w:val="007267D2"/>
    <w:rsid w:val="00727A56"/>
    <w:rsid w:val="00730CF8"/>
    <w:rsid w:val="00731A90"/>
    <w:rsid w:val="00732608"/>
    <w:rsid w:val="00733251"/>
    <w:rsid w:val="0073375B"/>
    <w:rsid w:val="00733BE8"/>
    <w:rsid w:val="00733CFE"/>
    <w:rsid w:val="00734083"/>
    <w:rsid w:val="007347E7"/>
    <w:rsid w:val="007354C1"/>
    <w:rsid w:val="00736DCA"/>
    <w:rsid w:val="00740A69"/>
    <w:rsid w:val="00740E4B"/>
    <w:rsid w:val="00743B0C"/>
    <w:rsid w:val="00745C47"/>
    <w:rsid w:val="00745E49"/>
    <w:rsid w:val="00746989"/>
    <w:rsid w:val="00746BC3"/>
    <w:rsid w:val="00746F80"/>
    <w:rsid w:val="00747542"/>
    <w:rsid w:val="007479AD"/>
    <w:rsid w:val="0075003D"/>
    <w:rsid w:val="00751C98"/>
    <w:rsid w:val="00751D97"/>
    <w:rsid w:val="00752C55"/>
    <w:rsid w:val="00753608"/>
    <w:rsid w:val="007562D4"/>
    <w:rsid w:val="007565CF"/>
    <w:rsid w:val="007573FA"/>
    <w:rsid w:val="00757EF9"/>
    <w:rsid w:val="00760856"/>
    <w:rsid w:val="00761DBF"/>
    <w:rsid w:val="00761FCF"/>
    <w:rsid w:val="00762234"/>
    <w:rsid w:val="0076483B"/>
    <w:rsid w:val="007653F2"/>
    <w:rsid w:val="00765503"/>
    <w:rsid w:val="00766C93"/>
    <w:rsid w:val="0076715A"/>
    <w:rsid w:val="007672CC"/>
    <w:rsid w:val="00767B7E"/>
    <w:rsid w:val="007705E9"/>
    <w:rsid w:val="007708C7"/>
    <w:rsid w:val="00771082"/>
    <w:rsid w:val="00771D7D"/>
    <w:rsid w:val="007727C4"/>
    <w:rsid w:val="007745B7"/>
    <w:rsid w:val="007750C8"/>
    <w:rsid w:val="007757FE"/>
    <w:rsid w:val="00776538"/>
    <w:rsid w:val="007766EB"/>
    <w:rsid w:val="0077714E"/>
    <w:rsid w:val="007802BE"/>
    <w:rsid w:val="00780EEF"/>
    <w:rsid w:val="00781157"/>
    <w:rsid w:val="0078134C"/>
    <w:rsid w:val="0078166E"/>
    <w:rsid w:val="00781C47"/>
    <w:rsid w:val="00782189"/>
    <w:rsid w:val="00782412"/>
    <w:rsid w:val="00783044"/>
    <w:rsid w:val="007837C7"/>
    <w:rsid w:val="00784B44"/>
    <w:rsid w:val="00784FC9"/>
    <w:rsid w:val="00785465"/>
    <w:rsid w:val="00787656"/>
    <w:rsid w:val="00790A4B"/>
    <w:rsid w:val="00790C7F"/>
    <w:rsid w:val="007910E3"/>
    <w:rsid w:val="00791767"/>
    <w:rsid w:val="00791FAB"/>
    <w:rsid w:val="0079268A"/>
    <w:rsid w:val="007943B9"/>
    <w:rsid w:val="007946EA"/>
    <w:rsid w:val="00794859"/>
    <w:rsid w:val="00796B85"/>
    <w:rsid w:val="0079715F"/>
    <w:rsid w:val="00797C88"/>
    <w:rsid w:val="007A0EF1"/>
    <w:rsid w:val="007A1013"/>
    <w:rsid w:val="007A13B0"/>
    <w:rsid w:val="007A235B"/>
    <w:rsid w:val="007A4628"/>
    <w:rsid w:val="007A4CA9"/>
    <w:rsid w:val="007A5477"/>
    <w:rsid w:val="007A60B4"/>
    <w:rsid w:val="007A7665"/>
    <w:rsid w:val="007A78B3"/>
    <w:rsid w:val="007A7D19"/>
    <w:rsid w:val="007A7EC2"/>
    <w:rsid w:val="007B042D"/>
    <w:rsid w:val="007B05BB"/>
    <w:rsid w:val="007B2CA3"/>
    <w:rsid w:val="007B3288"/>
    <w:rsid w:val="007B33C9"/>
    <w:rsid w:val="007B35A0"/>
    <w:rsid w:val="007B3DEA"/>
    <w:rsid w:val="007B42B8"/>
    <w:rsid w:val="007B5382"/>
    <w:rsid w:val="007B5467"/>
    <w:rsid w:val="007B5566"/>
    <w:rsid w:val="007B6E0A"/>
    <w:rsid w:val="007B764C"/>
    <w:rsid w:val="007C0C6D"/>
    <w:rsid w:val="007C118A"/>
    <w:rsid w:val="007C170D"/>
    <w:rsid w:val="007C2007"/>
    <w:rsid w:val="007C27FB"/>
    <w:rsid w:val="007C2EB3"/>
    <w:rsid w:val="007C636F"/>
    <w:rsid w:val="007C6C73"/>
    <w:rsid w:val="007C7899"/>
    <w:rsid w:val="007D01E4"/>
    <w:rsid w:val="007D0FC7"/>
    <w:rsid w:val="007D16C2"/>
    <w:rsid w:val="007D23C1"/>
    <w:rsid w:val="007D2B9F"/>
    <w:rsid w:val="007D39EB"/>
    <w:rsid w:val="007D4512"/>
    <w:rsid w:val="007E000E"/>
    <w:rsid w:val="007E14BA"/>
    <w:rsid w:val="007E1D41"/>
    <w:rsid w:val="007E2406"/>
    <w:rsid w:val="007E4245"/>
    <w:rsid w:val="007E51C5"/>
    <w:rsid w:val="007E6D09"/>
    <w:rsid w:val="007E7319"/>
    <w:rsid w:val="007E74E1"/>
    <w:rsid w:val="007E7521"/>
    <w:rsid w:val="007E77A8"/>
    <w:rsid w:val="007F0A56"/>
    <w:rsid w:val="007F24BF"/>
    <w:rsid w:val="007F274B"/>
    <w:rsid w:val="007F491C"/>
    <w:rsid w:val="007F492C"/>
    <w:rsid w:val="007F7A9A"/>
    <w:rsid w:val="00800D07"/>
    <w:rsid w:val="0080114F"/>
    <w:rsid w:val="00801256"/>
    <w:rsid w:val="00801E8A"/>
    <w:rsid w:val="008025F3"/>
    <w:rsid w:val="008037A2"/>
    <w:rsid w:val="008037F0"/>
    <w:rsid w:val="00803BF8"/>
    <w:rsid w:val="00804D3D"/>
    <w:rsid w:val="008061C9"/>
    <w:rsid w:val="008066D8"/>
    <w:rsid w:val="00806BA7"/>
    <w:rsid w:val="00807271"/>
    <w:rsid w:val="008074BB"/>
    <w:rsid w:val="008108B4"/>
    <w:rsid w:val="00811A18"/>
    <w:rsid w:val="008121AF"/>
    <w:rsid w:val="00812E18"/>
    <w:rsid w:val="00813711"/>
    <w:rsid w:val="008137BF"/>
    <w:rsid w:val="008146BE"/>
    <w:rsid w:val="00815847"/>
    <w:rsid w:val="00816A03"/>
    <w:rsid w:val="008179B6"/>
    <w:rsid w:val="00820576"/>
    <w:rsid w:val="00821E64"/>
    <w:rsid w:val="00821EDD"/>
    <w:rsid w:val="008223E9"/>
    <w:rsid w:val="00823423"/>
    <w:rsid w:val="00823530"/>
    <w:rsid w:val="008253C4"/>
    <w:rsid w:val="008263C2"/>
    <w:rsid w:val="00826662"/>
    <w:rsid w:val="008270EF"/>
    <w:rsid w:val="0083045B"/>
    <w:rsid w:val="008306CD"/>
    <w:rsid w:val="008307DB"/>
    <w:rsid w:val="00831A7E"/>
    <w:rsid w:val="00833398"/>
    <w:rsid w:val="00835D9D"/>
    <w:rsid w:val="00835FC9"/>
    <w:rsid w:val="00836511"/>
    <w:rsid w:val="008368F8"/>
    <w:rsid w:val="00836C29"/>
    <w:rsid w:val="00836CBB"/>
    <w:rsid w:val="008370E3"/>
    <w:rsid w:val="00837702"/>
    <w:rsid w:val="008418FA"/>
    <w:rsid w:val="008419AC"/>
    <w:rsid w:val="00842959"/>
    <w:rsid w:val="00843390"/>
    <w:rsid w:val="0084352C"/>
    <w:rsid w:val="00843631"/>
    <w:rsid w:val="00844865"/>
    <w:rsid w:val="00845205"/>
    <w:rsid w:val="0084568B"/>
    <w:rsid w:val="0084645A"/>
    <w:rsid w:val="00846AC4"/>
    <w:rsid w:val="00847A1C"/>
    <w:rsid w:val="00847E3D"/>
    <w:rsid w:val="00851DE2"/>
    <w:rsid w:val="0085235A"/>
    <w:rsid w:val="00852F69"/>
    <w:rsid w:val="008533E3"/>
    <w:rsid w:val="00853F8F"/>
    <w:rsid w:val="00854138"/>
    <w:rsid w:val="00854410"/>
    <w:rsid w:val="008544DF"/>
    <w:rsid w:val="00854F9F"/>
    <w:rsid w:val="0085625A"/>
    <w:rsid w:val="008564F5"/>
    <w:rsid w:val="008566A5"/>
    <w:rsid w:val="0085772D"/>
    <w:rsid w:val="008602B6"/>
    <w:rsid w:val="00860AAD"/>
    <w:rsid w:val="00860E12"/>
    <w:rsid w:val="00861AA6"/>
    <w:rsid w:val="00864668"/>
    <w:rsid w:val="008700CF"/>
    <w:rsid w:val="008708F3"/>
    <w:rsid w:val="00871354"/>
    <w:rsid w:val="00871C81"/>
    <w:rsid w:val="008730BB"/>
    <w:rsid w:val="00873611"/>
    <w:rsid w:val="00873821"/>
    <w:rsid w:val="00873C8F"/>
    <w:rsid w:val="00873EE7"/>
    <w:rsid w:val="0087446A"/>
    <w:rsid w:val="008745FE"/>
    <w:rsid w:val="00874FB3"/>
    <w:rsid w:val="008752D8"/>
    <w:rsid w:val="00875822"/>
    <w:rsid w:val="00876012"/>
    <w:rsid w:val="008761EC"/>
    <w:rsid w:val="00877F7C"/>
    <w:rsid w:val="0088014E"/>
    <w:rsid w:val="00880BE3"/>
    <w:rsid w:val="00881359"/>
    <w:rsid w:val="00882093"/>
    <w:rsid w:val="00882588"/>
    <w:rsid w:val="00882E14"/>
    <w:rsid w:val="00884ADE"/>
    <w:rsid w:val="008856CF"/>
    <w:rsid w:val="00885864"/>
    <w:rsid w:val="0088618A"/>
    <w:rsid w:val="00887014"/>
    <w:rsid w:val="00890A1D"/>
    <w:rsid w:val="0089383B"/>
    <w:rsid w:val="008938FA"/>
    <w:rsid w:val="00893E2B"/>
    <w:rsid w:val="00894323"/>
    <w:rsid w:val="0089534B"/>
    <w:rsid w:val="0089616F"/>
    <w:rsid w:val="008A0232"/>
    <w:rsid w:val="008A0E70"/>
    <w:rsid w:val="008A28EB"/>
    <w:rsid w:val="008A5FEA"/>
    <w:rsid w:val="008A6E73"/>
    <w:rsid w:val="008B0470"/>
    <w:rsid w:val="008B05E7"/>
    <w:rsid w:val="008B06C5"/>
    <w:rsid w:val="008B164E"/>
    <w:rsid w:val="008B215F"/>
    <w:rsid w:val="008B2C30"/>
    <w:rsid w:val="008B4227"/>
    <w:rsid w:val="008B4923"/>
    <w:rsid w:val="008B4F06"/>
    <w:rsid w:val="008B502A"/>
    <w:rsid w:val="008B532C"/>
    <w:rsid w:val="008B57D8"/>
    <w:rsid w:val="008B5CA4"/>
    <w:rsid w:val="008B65CF"/>
    <w:rsid w:val="008B6871"/>
    <w:rsid w:val="008B7A65"/>
    <w:rsid w:val="008C1219"/>
    <w:rsid w:val="008C123E"/>
    <w:rsid w:val="008C137D"/>
    <w:rsid w:val="008C22DD"/>
    <w:rsid w:val="008C3DFD"/>
    <w:rsid w:val="008C3E28"/>
    <w:rsid w:val="008C3ED0"/>
    <w:rsid w:val="008C4203"/>
    <w:rsid w:val="008C43C1"/>
    <w:rsid w:val="008C495C"/>
    <w:rsid w:val="008C5DA5"/>
    <w:rsid w:val="008C5E94"/>
    <w:rsid w:val="008C5EFF"/>
    <w:rsid w:val="008C6A3D"/>
    <w:rsid w:val="008D01AE"/>
    <w:rsid w:val="008D196A"/>
    <w:rsid w:val="008D1CCD"/>
    <w:rsid w:val="008D27BC"/>
    <w:rsid w:val="008D39AB"/>
    <w:rsid w:val="008D551E"/>
    <w:rsid w:val="008D6E52"/>
    <w:rsid w:val="008D7A3B"/>
    <w:rsid w:val="008E1160"/>
    <w:rsid w:val="008E3DBA"/>
    <w:rsid w:val="008E3EF2"/>
    <w:rsid w:val="008E44CD"/>
    <w:rsid w:val="008E51C9"/>
    <w:rsid w:val="008E5BEB"/>
    <w:rsid w:val="008E6306"/>
    <w:rsid w:val="008E6C4B"/>
    <w:rsid w:val="008E7639"/>
    <w:rsid w:val="008F0800"/>
    <w:rsid w:val="008F0911"/>
    <w:rsid w:val="008F15FF"/>
    <w:rsid w:val="008F3F6A"/>
    <w:rsid w:val="008F4DF9"/>
    <w:rsid w:val="008F6355"/>
    <w:rsid w:val="008F68F7"/>
    <w:rsid w:val="008F6B3A"/>
    <w:rsid w:val="008F7CC2"/>
    <w:rsid w:val="009005A6"/>
    <w:rsid w:val="009006CF"/>
    <w:rsid w:val="009007A1"/>
    <w:rsid w:val="00900C71"/>
    <w:rsid w:val="009015D3"/>
    <w:rsid w:val="00902A1C"/>
    <w:rsid w:val="00902D0A"/>
    <w:rsid w:val="009037B6"/>
    <w:rsid w:val="00904B91"/>
    <w:rsid w:val="00904BE9"/>
    <w:rsid w:val="00904E17"/>
    <w:rsid w:val="009063F3"/>
    <w:rsid w:val="00906CBE"/>
    <w:rsid w:val="00910024"/>
    <w:rsid w:val="00910384"/>
    <w:rsid w:val="0091038B"/>
    <w:rsid w:val="00910CDB"/>
    <w:rsid w:val="00914B0C"/>
    <w:rsid w:val="009162BB"/>
    <w:rsid w:val="0091643D"/>
    <w:rsid w:val="00916E33"/>
    <w:rsid w:val="009175A6"/>
    <w:rsid w:val="00920818"/>
    <w:rsid w:val="0092093B"/>
    <w:rsid w:val="00920962"/>
    <w:rsid w:val="00922CE2"/>
    <w:rsid w:val="0092496F"/>
    <w:rsid w:val="009269AB"/>
    <w:rsid w:val="00927118"/>
    <w:rsid w:val="009271AA"/>
    <w:rsid w:val="00927FAF"/>
    <w:rsid w:val="00930669"/>
    <w:rsid w:val="00930EB8"/>
    <w:rsid w:val="00931C2B"/>
    <w:rsid w:val="00932C33"/>
    <w:rsid w:val="00933CB0"/>
    <w:rsid w:val="00937C63"/>
    <w:rsid w:val="00937D5C"/>
    <w:rsid w:val="009401B7"/>
    <w:rsid w:val="00941C2D"/>
    <w:rsid w:val="009427A1"/>
    <w:rsid w:val="00942FFE"/>
    <w:rsid w:val="009434EB"/>
    <w:rsid w:val="00943C96"/>
    <w:rsid w:val="00943FE8"/>
    <w:rsid w:val="00944D24"/>
    <w:rsid w:val="009451B8"/>
    <w:rsid w:val="009458A8"/>
    <w:rsid w:val="009511C4"/>
    <w:rsid w:val="00952235"/>
    <w:rsid w:val="009525E3"/>
    <w:rsid w:val="009551E0"/>
    <w:rsid w:val="00955DC1"/>
    <w:rsid w:val="0095654E"/>
    <w:rsid w:val="00956581"/>
    <w:rsid w:val="00956F3C"/>
    <w:rsid w:val="0096054C"/>
    <w:rsid w:val="00960CA2"/>
    <w:rsid w:val="00960CFB"/>
    <w:rsid w:val="00964F90"/>
    <w:rsid w:val="00965D8B"/>
    <w:rsid w:val="009673B9"/>
    <w:rsid w:val="00970678"/>
    <w:rsid w:val="00971729"/>
    <w:rsid w:val="00971C34"/>
    <w:rsid w:val="00972488"/>
    <w:rsid w:val="009726D0"/>
    <w:rsid w:val="0097292A"/>
    <w:rsid w:val="00973B23"/>
    <w:rsid w:val="0097421D"/>
    <w:rsid w:val="00976117"/>
    <w:rsid w:val="00976601"/>
    <w:rsid w:val="00976A23"/>
    <w:rsid w:val="0097749C"/>
    <w:rsid w:val="0097757B"/>
    <w:rsid w:val="009800BC"/>
    <w:rsid w:val="00980265"/>
    <w:rsid w:val="00980575"/>
    <w:rsid w:val="009816F6"/>
    <w:rsid w:val="00982DC6"/>
    <w:rsid w:val="009841A4"/>
    <w:rsid w:val="009843BA"/>
    <w:rsid w:val="0098456D"/>
    <w:rsid w:val="00985400"/>
    <w:rsid w:val="00985F3F"/>
    <w:rsid w:val="00987FB9"/>
    <w:rsid w:val="009900F0"/>
    <w:rsid w:val="0099044D"/>
    <w:rsid w:val="00990B9B"/>
    <w:rsid w:val="00990EE3"/>
    <w:rsid w:val="00991370"/>
    <w:rsid w:val="009916C5"/>
    <w:rsid w:val="00991769"/>
    <w:rsid w:val="00991ACA"/>
    <w:rsid w:val="00992286"/>
    <w:rsid w:val="009928B5"/>
    <w:rsid w:val="00993236"/>
    <w:rsid w:val="00993D8C"/>
    <w:rsid w:val="00994E3D"/>
    <w:rsid w:val="009A297E"/>
    <w:rsid w:val="009A6127"/>
    <w:rsid w:val="009A706D"/>
    <w:rsid w:val="009B005D"/>
    <w:rsid w:val="009B0CC1"/>
    <w:rsid w:val="009B24A0"/>
    <w:rsid w:val="009B275D"/>
    <w:rsid w:val="009B2C7D"/>
    <w:rsid w:val="009B3631"/>
    <w:rsid w:val="009B4573"/>
    <w:rsid w:val="009B53F3"/>
    <w:rsid w:val="009B5D83"/>
    <w:rsid w:val="009B69F0"/>
    <w:rsid w:val="009B713C"/>
    <w:rsid w:val="009C0F18"/>
    <w:rsid w:val="009C12C6"/>
    <w:rsid w:val="009C19D4"/>
    <w:rsid w:val="009C2555"/>
    <w:rsid w:val="009C2858"/>
    <w:rsid w:val="009C2DA6"/>
    <w:rsid w:val="009C582A"/>
    <w:rsid w:val="009C5B4F"/>
    <w:rsid w:val="009C6366"/>
    <w:rsid w:val="009C705A"/>
    <w:rsid w:val="009C7778"/>
    <w:rsid w:val="009C7EE6"/>
    <w:rsid w:val="009D06AE"/>
    <w:rsid w:val="009D09E2"/>
    <w:rsid w:val="009D1E42"/>
    <w:rsid w:val="009D2205"/>
    <w:rsid w:val="009D2361"/>
    <w:rsid w:val="009D282B"/>
    <w:rsid w:val="009D289C"/>
    <w:rsid w:val="009D36FC"/>
    <w:rsid w:val="009D5C90"/>
    <w:rsid w:val="009D7148"/>
    <w:rsid w:val="009D72A8"/>
    <w:rsid w:val="009E02FD"/>
    <w:rsid w:val="009E1EA3"/>
    <w:rsid w:val="009E2DE1"/>
    <w:rsid w:val="009E34FA"/>
    <w:rsid w:val="009E3657"/>
    <w:rsid w:val="009E4C74"/>
    <w:rsid w:val="009E55DA"/>
    <w:rsid w:val="009E56CC"/>
    <w:rsid w:val="009E59F1"/>
    <w:rsid w:val="009E62B6"/>
    <w:rsid w:val="009E7807"/>
    <w:rsid w:val="009F0687"/>
    <w:rsid w:val="009F06C4"/>
    <w:rsid w:val="009F0A1A"/>
    <w:rsid w:val="009F0EA5"/>
    <w:rsid w:val="009F1E2D"/>
    <w:rsid w:val="009F26CA"/>
    <w:rsid w:val="009F35DA"/>
    <w:rsid w:val="009F3C0D"/>
    <w:rsid w:val="009F3EAC"/>
    <w:rsid w:val="009F4034"/>
    <w:rsid w:val="009F43D0"/>
    <w:rsid w:val="00A000F0"/>
    <w:rsid w:val="00A002A8"/>
    <w:rsid w:val="00A00568"/>
    <w:rsid w:val="00A00660"/>
    <w:rsid w:val="00A00884"/>
    <w:rsid w:val="00A00EEB"/>
    <w:rsid w:val="00A020CE"/>
    <w:rsid w:val="00A02F62"/>
    <w:rsid w:val="00A02FA3"/>
    <w:rsid w:val="00A030C3"/>
    <w:rsid w:val="00A04803"/>
    <w:rsid w:val="00A06E69"/>
    <w:rsid w:val="00A06EBF"/>
    <w:rsid w:val="00A10147"/>
    <w:rsid w:val="00A10EDE"/>
    <w:rsid w:val="00A11331"/>
    <w:rsid w:val="00A12348"/>
    <w:rsid w:val="00A131E6"/>
    <w:rsid w:val="00A13843"/>
    <w:rsid w:val="00A139DE"/>
    <w:rsid w:val="00A146A5"/>
    <w:rsid w:val="00A1471F"/>
    <w:rsid w:val="00A14B18"/>
    <w:rsid w:val="00A14CEA"/>
    <w:rsid w:val="00A151C4"/>
    <w:rsid w:val="00A1552C"/>
    <w:rsid w:val="00A16F14"/>
    <w:rsid w:val="00A17466"/>
    <w:rsid w:val="00A204B3"/>
    <w:rsid w:val="00A20576"/>
    <w:rsid w:val="00A20BDB"/>
    <w:rsid w:val="00A21593"/>
    <w:rsid w:val="00A221F7"/>
    <w:rsid w:val="00A2227F"/>
    <w:rsid w:val="00A22607"/>
    <w:rsid w:val="00A22C21"/>
    <w:rsid w:val="00A23412"/>
    <w:rsid w:val="00A24AFA"/>
    <w:rsid w:val="00A25CA2"/>
    <w:rsid w:val="00A2604E"/>
    <w:rsid w:val="00A26269"/>
    <w:rsid w:val="00A3125B"/>
    <w:rsid w:val="00A31CCE"/>
    <w:rsid w:val="00A31EDE"/>
    <w:rsid w:val="00A33C95"/>
    <w:rsid w:val="00A34FF3"/>
    <w:rsid w:val="00A35351"/>
    <w:rsid w:val="00A361C7"/>
    <w:rsid w:val="00A36723"/>
    <w:rsid w:val="00A374EB"/>
    <w:rsid w:val="00A37EBC"/>
    <w:rsid w:val="00A41BEC"/>
    <w:rsid w:val="00A43140"/>
    <w:rsid w:val="00A43386"/>
    <w:rsid w:val="00A442A3"/>
    <w:rsid w:val="00A445A0"/>
    <w:rsid w:val="00A4483D"/>
    <w:rsid w:val="00A44C7B"/>
    <w:rsid w:val="00A46DF5"/>
    <w:rsid w:val="00A5149A"/>
    <w:rsid w:val="00A53650"/>
    <w:rsid w:val="00A53E51"/>
    <w:rsid w:val="00A56F51"/>
    <w:rsid w:val="00A57183"/>
    <w:rsid w:val="00A603E2"/>
    <w:rsid w:val="00A60693"/>
    <w:rsid w:val="00A61956"/>
    <w:rsid w:val="00A6196D"/>
    <w:rsid w:val="00A619C0"/>
    <w:rsid w:val="00A61ADF"/>
    <w:rsid w:val="00A61E03"/>
    <w:rsid w:val="00A62012"/>
    <w:rsid w:val="00A624CB"/>
    <w:rsid w:val="00A62AC0"/>
    <w:rsid w:val="00A6321F"/>
    <w:rsid w:val="00A63548"/>
    <w:rsid w:val="00A650FE"/>
    <w:rsid w:val="00A70FEA"/>
    <w:rsid w:val="00A72A9C"/>
    <w:rsid w:val="00A74395"/>
    <w:rsid w:val="00A74502"/>
    <w:rsid w:val="00A74FE6"/>
    <w:rsid w:val="00A75118"/>
    <w:rsid w:val="00A761A1"/>
    <w:rsid w:val="00A76BD2"/>
    <w:rsid w:val="00A81925"/>
    <w:rsid w:val="00A820DF"/>
    <w:rsid w:val="00A8267D"/>
    <w:rsid w:val="00A82E14"/>
    <w:rsid w:val="00A85862"/>
    <w:rsid w:val="00A85F13"/>
    <w:rsid w:val="00A86156"/>
    <w:rsid w:val="00A8688E"/>
    <w:rsid w:val="00A86CFE"/>
    <w:rsid w:val="00A8722B"/>
    <w:rsid w:val="00A901E9"/>
    <w:rsid w:val="00A917B6"/>
    <w:rsid w:val="00A91831"/>
    <w:rsid w:val="00A919CB"/>
    <w:rsid w:val="00A91B3B"/>
    <w:rsid w:val="00A921F3"/>
    <w:rsid w:val="00A93B4F"/>
    <w:rsid w:val="00A941C6"/>
    <w:rsid w:val="00A94F7A"/>
    <w:rsid w:val="00A95D3B"/>
    <w:rsid w:val="00A96317"/>
    <w:rsid w:val="00A96B0F"/>
    <w:rsid w:val="00A97341"/>
    <w:rsid w:val="00A9766A"/>
    <w:rsid w:val="00A97860"/>
    <w:rsid w:val="00AA0081"/>
    <w:rsid w:val="00AA05D6"/>
    <w:rsid w:val="00AA08AE"/>
    <w:rsid w:val="00AA12F2"/>
    <w:rsid w:val="00AA4E4D"/>
    <w:rsid w:val="00AA5E38"/>
    <w:rsid w:val="00AA7D4D"/>
    <w:rsid w:val="00AB03FE"/>
    <w:rsid w:val="00AB09ED"/>
    <w:rsid w:val="00AB1DA8"/>
    <w:rsid w:val="00AB25E9"/>
    <w:rsid w:val="00AB3DC0"/>
    <w:rsid w:val="00AB4CBB"/>
    <w:rsid w:val="00AB735E"/>
    <w:rsid w:val="00AC125E"/>
    <w:rsid w:val="00AC136E"/>
    <w:rsid w:val="00AC3E43"/>
    <w:rsid w:val="00AC45DF"/>
    <w:rsid w:val="00AC474D"/>
    <w:rsid w:val="00AC4DFD"/>
    <w:rsid w:val="00AC4F47"/>
    <w:rsid w:val="00AC5663"/>
    <w:rsid w:val="00AC58FD"/>
    <w:rsid w:val="00AC7FE0"/>
    <w:rsid w:val="00AD0F6D"/>
    <w:rsid w:val="00AD1156"/>
    <w:rsid w:val="00AD1166"/>
    <w:rsid w:val="00AD19D2"/>
    <w:rsid w:val="00AD1A96"/>
    <w:rsid w:val="00AD1CAD"/>
    <w:rsid w:val="00AD235A"/>
    <w:rsid w:val="00AD3042"/>
    <w:rsid w:val="00AD386C"/>
    <w:rsid w:val="00AD4257"/>
    <w:rsid w:val="00AD4A9A"/>
    <w:rsid w:val="00AD4FDA"/>
    <w:rsid w:val="00AD56B3"/>
    <w:rsid w:val="00AD793A"/>
    <w:rsid w:val="00AE0120"/>
    <w:rsid w:val="00AE0622"/>
    <w:rsid w:val="00AE0725"/>
    <w:rsid w:val="00AE2227"/>
    <w:rsid w:val="00AE225E"/>
    <w:rsid w:val="00AE3038"/>
    <w:rsid w:val="00AE3D4A"/>
    <w:rsid w:val="00AE5956"/>
    <w:rsid w:val="00AE619F"/>
    <w:rsid w:val="00AE63B7"/>
    <w:rsid w:val="00AE71A2"/>
    <w:rsid w:val="00AE7A88"/>
    <w:rsid w:val="00AE7D22"/>
    <w:rsid w:val="00AF060F"/>
    <w:rsid w:val="00AF13D2"/>
    <w:rsid w:val="00AF148A"/>
    <w:rsid w:val="00AF2A56"/>
    <w:rsid w:val="00AF45B0"/>
    <w:rsid w:val="00AF51D1"/>
    <w:rsid w:val="00AF6321"/>
    <w:rsid w:val="00AF63AB"/>
    <w:rsid w:val="00B00988"/>
    <w:rsid w:val="00B01499"/>
    <w:rsid w:val="00B01784"/>
    <w:rsid w:val="00B0388B"/>
    <w:rsid w:val="00B03BEE"/>
    <w:rsid w:val="00B0517E"/>
    <w:rsid w:val="00B05D0F"/>
    <w:rsid w:val="00B069A1"/>
    <w:rsid w:val="00B10582"/>
    <w:rsid w:val="00B11314"/>
    <w:rsid w:val="00B113E3"/>
    <w:rsid w:val="00B1156A"/>
    <w:rsid w:val="00B11783"/>
    <w:rsid w:val="00B12D4A"/>
    <w:rsid w:val="00B138E3"/>
    <w:rsid w:val="00B13FB5"/>
    <w:rsid w:val="00B14898"/>
    <w:rsid w:val="00B178FA"/>
    <w:rsid w:val="00B17D8E"/>
    <w:rsid w:val="00B207C3"/>
    <w:rsid w:val="00B209CD"/>
    <w:rsid w:val="00B21443"/>
    <w:rsid w:val="00B2173F"/>
    <w:rsid w:val="00B21F90"/>
    <w:rsid w:val="00B22468"/>
    <w:rsid w:val="00B229FD"/>
    <w:rsid w:val="00B23267"/>
    <w:rsid w:val="00B23906"/>
    <w:rsid w:val="00B23F96"/>
    <w:rsid w:val="00B25698"/>
    <w:rsid w:val="00B257BF"/>
    <w:rsid w:val="00B2621F"/>
    <w:rsid w:val="00B27149"/>
    <w:rsid w:val="00B30AB2"/>
    <w:rsid w:val="00B3279A"/>
    <w:rsid w:val="00B32F04"/>
    <w:rsid w:val="00B3313C"/>
    <w:rsid w:val="00B33C6C"/>
    <w:rsid w:val="00B34BB7"/>
    <w:rsid w:val="00B35B4D"/>
    <w:rsid w:val="00B35F62"/>
    <w:rsid w:val="00B362F0"/>
    <w:rsid w:val="00B36652"/>
    <w:rsid w:val="00B4000A"/>
    <w:rsid w:val="00B40A99"/>
    <w:rsid w:val="00B41A65"/>
    <w:rsid w:val="00B41DC6"/>
    <w:rsid w:val="00B425AB"/>
    <w:rsid w:val="00B42B94"/>
    <w:rsid w:val="00B43417"/>
    <w:rsid w:val="00B43827"/>
    <w:rsid w:val="00B447C1"/>
    <w:rsid w:val="00B45279"/>
    <w:rsid w:val="00B46698"/>
    <w:rsid w:val="00B47090"/>
    <w:rsid w:val="00B526D9"/>
    <w:rsid w:val="00B532D1"/>
    <w:rsid w:val="00B54B41"/>
    <w:rsid w:val="00B57925"/>
    <w:rsid w:val="00B601BB"/>
    <w:rsid w:val="00B602A5"/>
    <w:rsid w:val="00B61E3E"/>
    <w:rsid w:val="00B634B4"/>
    <w:rsid w:val="00B6432A"/>
    <w:rsid w:val="00B67A79"/>
    <w:rsid w:val="00B67CA9"/>
    <w:rsid w:val="00B70227"/>
    <w:rsid w:val="00B70491"/>
    <w:rsid w:val="00B70852"/>
    <w:rsid w:val="00B71DE3"/>
    <w:rsid w:val="00B722AE"/>
    <w:rsid w:val="00B72335"/>
    <w:rsid w:val="00B72D62"/>
    <w:rsid w:val="00B73BBF"/>
    <w:rsid w:val="00B742A0"/>
    <w:rsid w:val="00B7602E"/>
    <w:rsid w:val="00B767AF"/>
    <w:rsid w:val="00B77080"/>
    <w:rsid w:val="00B77926"/>
    <w:rsid w:val="00B80511"/>
    <w:rsid w:val="00B80798"/>
    <w:rsid w:val="00B80876"/>
    <w:rsid w:val="00B81C6B"/>
    <w:rsid w:val="00B82C3C"/>
    <w:rsid w:val="00B82DE6"/>
    <w:rsid w:val="00B831CD"/>
    <w:rsid w:val="00B83D4E"/>
    <w:rsid w:val="00B846F6"/>
    <w:rsid w:val="00B85329"/>
    <w:rsid w:val="00B85446"/>
    <w:rsid w:val="00B85B29"/>
    <w:rsid w:val="00B86E69"/>
    <w:rsid w:val="00B8701A"/>
    <w:rsid w:val="00B91244"/>
    <w:rsid w:val="00B91B73"/>
    <w:rsid w:val="00B91B9D"/>
    <w:rsid w:val="00B92219"/>
    <w:rsid w:val="00B930C4"/>
    <w:rsid w:val="00B931D3"/>
    <w:rsid w:val="00B965B5"/>
    <w:rsid w:val="00B96BB3"/>
    <w:rsid w:val="00B97414"/>
    <w:rsid w:val="00B97BCF"/>
    <w:rsid w:val="00BA1B71"/>
    <w:rsid w:val="00BA2C97"/>
    <w:rsid w:val="00BA3176"/>
    <w:rsid w:val="00BA3F10"/>
    <w:rsid w:val="00BA4A00"/>
    <w:rsid w:val="00BA5E20"/>
    <w:rsid w:val="00BA607C"/>
    <w:rsid w:val="00BA60E5"/>
    <w:rsid w:val="00BA656F"/>
    <w:rsid w:val="00BA6734"/>
    <w:rsid w:val="00BB1928"/>
    <w:rsid w:val="00BB219E"/>
    <w:rsid w:val="00BB24A4"/>
    <w:rsid w:val="00BB31BE"/>
    <w:rsid w:val="00BB3BFB"/>
    <w:rsid w:val="00BB3E2A"/>
    <w:rsid w:val="00BB419F"/>
    <w:rsid w:val="00BB4632"/>
    <w:rsid w:val="00BB48A7"/>
    <w:rsid w:val="00BB579E"/>
    <w:rsid w:val="00BB7121"/>
    <w:rsid w:val="00BC0479"/>
    <w:rsid w:val="00BC1651"/>
    <w:rsid w:val="00BC16F5"/>
    <w:rsid w:val="00BC18FF"/>
    <w:rsid w:val="00BC287D"/>
    <w:rsid w:val="00BC2A38"/>
    <w:rsid w:val="00BC4315"/>
    <w:rsid w:val="00BC46EB"/>
    <w:rsid w:val="00BC57FE"/>
    <w:rsid w:val="00BC5F0D"/>
    <w:rsid w:val="00BC643B"/>
    <w:rsid w:val="00BD0246"/>
    <w:rsid w:val="00BD030F"/>
    <w:rsid w:val="00BD20D5"/>
    <w:rsid w:val="00BD2A41"/>
    <w:rsid w:val="00BD32E5"/>
    <w:rsid w:val="00BD36C4"/>
    <w:rsid w:val="00BD3857"/>
    <w:rsid w:val="00BD4443"/>
    <w:rsid w:val="00BD48FC"/>
    <w:rsid w:val="00BD4BC6"/>
    <w:rsid w:val="00BD5D68"/>
    <w:rsid w:val="00BD62B6"/>
    <w:rsid w:val="00BD6E1A"/>
    <w:rsid w:val="00BD79DE"/>
    <w:rsid w:val="00BE089C"/>
    <w:rsid w:val="00BE0BBA"/>
    <w:rsid w:val="00BE1095"/>
    <w:rsid w:val="00BE150A"/>
    <w:rsid w:val="00BE358B"/>
    <w:rsid w:val="00BE38BD"/>
    <w:rsid w:val="00BE5383"/>
    <w:rsid w:val="00BE5FF5"/>
    <w:rsid w:val="00BE633F"/>
    <w:rsid w:val="00BE6767"/>
    <w:rsid w:val="00BE686C"/>
    <w:rsid w:val="00BE78EC"/>
    <w:rsid w:val="00BE7B77"/>
    <w:rsid w:val="00BF1EB9"/>
    <w:rsid w:val="00BF2BAF"/>
    <w:rsid w:val="00BF46EE"/>
    <w:rsid w:val="00BF646E"/>
    <w:rsid w:val="00BF6C3A"/>
    <w:rsid w:val="00BF7526"/>
    <w:rsid w:val="00C01261"/>
    <w:rsid w:val="00C04C1A"/>
    <w:rsid w:val="00C05333"/>
    <w:rsid w:val="00C05E81"/>
    <w:rsid w:val="00C0613C"/>
    <w:rsid w:val="00C06796"/>
    <w:rsid w:val="00C0683F"/>
    <w:rsid w:val="00C07DD1"/>
    <w:rsid w:val="00C10D05"/>
    <w:rsid w:val="00C11342"/>
    <w:rsid w:val="00C120FE"/>
    <w:rsid w:val="00C12584"/>
    <w:rsid w:val="00C13970"/>
    <w:rsid w:val="00C13C26"/>
    <w:rsid w:val="00C13DF9"/>
    <w:rsid w:val="00C14FBA"/>
    <w:rsid w:val="00C15225"/>
    <w:rsid w:val="00C15484"/>
    <w:rsid w:val="00C15EA1"/>
    <w:rsid w:val="00C165A3"/>
    <w:rsid w:val="00C174DB"/>
    <w:rsid w:val="00C17A8E"/>
    <w:rsid w:val="00C217E5"/>
    <w:rsid w:val="00C218F4"/>
    <w:rsid w:val="00C21A68"/>
    <w:rsid w:val="00C2378F"/>
    <w:rsid w:val="00C24F70"/>
    <w:rsid w:val="00C25615"/>
    <w:rsid w:val="00C25DC2"/>
    <w:rsid w:val="00C25F35"/>
    <w:rsid w:val="00C26A06"/>
    <w:rsid w:val="00C27699"/>
    <w:rsid w:val="00C30B8E"/>
    <w:rsid w:val="00C31D4E"/>
    <w:rsid w:val="00C31F99"/>
    <w:rsid w:val="00C328CB"/>
    <w:rsid w:val="00C33479"/>
    <w:rsid w:val="00C34AE3"/>
    <w:rsid w:val="00C40ED2"/>
    <w:rsid w:val="00C4199C"/>
    <w:rsid w:val="00C41B80"/>
    <w:rsid w:val="00C41F10"/>
    <w:rsid w:val="00C432DD"/>
    <w:rsid w:val="00C43AF1"/>
    <w:rsid w:val="00C4423A"/>
    <w:rsid w:val="00C44429"/>
    <w:rsid w:val="00C4562F"/>
    <w:rsid w:val="00C4748A"/>
    <w:rsid w:val="00C501FE"/>
    <w:rsid w:val="00C5167B"/>
    <w:rsid w:val="00C53000"/>
    <w:rsid w:val="00C53B74"/>
    <w:rsid w:val="00C544B5"/>
    <w:rsid w:val="00C557AB"/>
    <w:rsid w:val="00C55DBC"/>
    <w:rsid w:val="00C56957"/>
    <w:rsid w:val="00C5768A"/>
    <w:rsid w:val="00C5784B"/>
    <w:rsid w:val="00C57FAC"/>
    <w:rsid w:val="00C6031A"/>
    <w:rsid w:val="00C61B08"/>
    <w:rsid w:val="00C620D2"/>
    <w:rsid w:val="00C62AE7"/>
    <w:rsid w:val="00C639FF"/>
    <w:rsid w:val="00C63CB4"/>
    <w:rsid w:val="00C6442A"/>
    <w:rsid w:val="00C6492D"/>
    <w:rsid w:val="00C64D15"/>
    <w:rsid w:val="00C66088"/>
    <w:rsid w:val="00C67C4C"/>
    <w:rsid w:val="00C67F21"/>
    <w:rsid w:val="00C711A6"/>
    <w:rsid w:val="00C71CAB"/>
    <w:rsid w:val="00C72A27"/>
    <w:rsid w:val="00C737DE"/>
    <w:rsid w:val="00C7485C"/>
    <w:rsid w:val="00C74B1C"/>
    <w:rsid w:val="00C74B5D"/>
    <w:rsid w:val="00C74F74"/>
    <w:rsid w:val="00C7554B"/>
    <w:rsid w:val="00C768A7"/>
    <w:rsid w:val="00C76CFF"/>
    <w:rsid w:val="00C808E3"/>
    <w:rsid w:val="00C8094C"/>
    <w:rsid w:val="00C80951"/>
    <w:rsid w:val="00C8205E"/>
    <w:rsid w:val="00C82109"/>
    <w:rsid w:val="00C8223A"/>
    <w:rsid w:val="00C82EB5"/>
    <w:rsid w:val="00C84A0E"/>
    <w:rsid w:val="00C85039"/>
    <w:rsid w:val="00C85D24"/>
    <w:rsid w:val="00C86D1E"/>
    <w:rsid w:val="00C86DA3"/>
    <w:rsid w:val="00C87966"/>
    <w:rsid w:val="00C902DE"/>
    <w:rsid w:val="00C916AE"/>
    <w:rsid w:val="00C91C74"/>
    <w:rsid w:val="00C93AAA"/>
    <w:rsid w:val="00C95FCD"/>
    <w:rsid w:val="00C97188"/>
    <w:rsid w:val="00CA0639"/>
    <w:rsid w:val="00CA11D0"/>
    <w:rsid w:val="00CA1DC4"/>
    <w:rsid w:val="00CA22CE"/>
    <w:rsid w:val="00CA2E02"/>
    <w:rsid w:val="00CA38D6"/>
    <w:rsid w:val="00CA485D"/>
    <w:rsid w:val="00CA583A"/>
    <w:rsid w:val="00CA5EC6"/>
    <w:rsid w:val="00CA787C"/>
    <w:rsid w:val="00CB1E33"/>
    <w:rsid w:val="00CB1ED4"/>
    <w:rsid w:val="00CB5744"/>
    <w:rsid w:val="00CB7022"/>
    <w:rsid w:val="00CB7BC5"/>
    <w:rsid w:val="00CC10D6"/>
    <w:rsid w:val="00CC141E"/>
    <w:rsid w:val="00CC18DD"/>
    <w:rsid w:val="00CC3C11"/>
    <w:rsid w:val="00CC586D"/>
    <w:rsid w:val="00CC7169"/>
    <w:rsid w:val="00CC7945"/>
    <w:rsid w:val="00CC7DBC"/>
    <w:rsid w:val="00CD1BA3"/>
    <w:rsid w:val="00CD1D23"/>
    <w:rsid w:val="00CD3612"/>
    <w:rsid w:val="00CD3E69"/>
    <w:rsid w:val="00CD4224"/>
    <w:rsid w:val="00CD4948"/>
    <w:rsid w:val="00CD6B7D"/>
    <w:rsid w:val="00CD7CE8"/>
    <w:rsid w:val="00CD7D29"/>
    <w:rsid w:val="00CE0064"/>
    <w:rsid w:val="00CE0847"/>
    <w:rsid w:val="00CE0B6C"/>
    <w:rsid w:val="00CE11D0"/>
    <w:rsid w:val="00CE24EB"/>
    <w:rsid w:val="00CE28D1"/>
    <w:rsid w:val="00CE4708"/>
    <w:rsid w:val="00CE4BA9"/>
    <w:rsid w:val="00CE4C50"/>
    <w:rsid w:val="00CE64F5"/>
    <w:rsid w:val="00CE6858"/>
    <w:rsid w:val="00CE7450"/>
    <w:rsid w:val="00CE770C"/>
    <w:rsid w:val="00CF0CC9"/>
    <w:rsid w:val="00CF1CC5"/>
    <w:rsid w:val="00CF3992"/>
    <w:rsid w:val="00CF4B3C"/>
    <w:rsid w:val="00CF50BE"/>
    <w:rsid w:val="00CF538C"/>
    <w:rsid w:val="00CF658D"/>
    <w:rsid w:val="00CF7625"/>
    <w:rsid w:val="00CF764E"/>
    <w:rsid w:val="00D00568"/>
    <w:rsid w:val="00D01A84"/>
    <w:rsid w:val="00D01E66"/>
    <w:rsid w:val="00D0506A"/>
    <w:rsid w:val="00D0619B"/>
    <w:rsid w:val="00D066FB"/>
    <w:rsid w:val="00D10FA1"/>
    <w:rsid w:val="00D1289C"/>
    <w:rsid w:val="00D134A4"/>
    <w:rsid w:val="00D13CCC"/>
    <w:rsid w:val="00D151DC"/>
    <w:rsid w:val="00D15CF4"/>
    <w:rsid w:val="00D1666F"/>
    <w:rsid w:val="00D204AD"/>
    <w:rsid w:val="00D2071A"/>
    <w:rsid w:val="00D2216C"/>
    <w:rsid w:val="00D22B35"/>
    <w:rsid w:val="00D22F44"/>
    <w:rsid w:val="00D2350E"/>
    <w:rsid w:val="00D24E25"/>
    <w:rsid w:val="00D25177"/>
    <w:rsid w:val="00D25A43"/>
    <w:rsid w:val="00D30F73"/>
    <w:rsid w:val="00D30F97"/>
    <w:rsid w:val="00D313A0"/>
    <w:rsid w:val="00D322A1"/>
    <w:rsid w:val="00D36EA1"/>
    <w:rsid w:val="00D36FE0"/>
    <w:rsid w:val="00D40799"/>
    <w:rsid w:val="00D41349"/>
    <w:rsid w:val="00D414CD"/>
    <w:rsid w:val="00D41A06"/>
    <w:rsid w:val="00D42ABF"/>
    <w:rsid w:val="00D42F40"/>
    <w:rsid w:val="00D42F8B"/>
    <w:rsid w:val="00D452C1"/>
    <w:rsid w:val="00D45B67"/>
    <w:rsid w:val="00D45B7E"/>
    <w:rsid w:val="00D4615B"/>
    <w:rsid w:val="00D47F91"/>
    <w:rsid w:val="00D5034A"/>
    <w:rsid w:val="00D50B1C"/>
    <w:rsid w:val="00D51F49"/>
    <w:rsid w:val="00D52AE4"/>
    <w:rsid w:val="00D53CBA"/>
    <w:rsid w:val="00D55EE8"/>
    <w:rsid w:val="00D560D1"/>
    <w:rsid w:val="00D562CB"/>
    <w:rsid w:val="00D569D1"/>
    <w:rsid w:val="00D56AD8"/>
    <w:rsid w:val="00D56C05"/>
    <w:rsid w:val="00D5785A"/>
    <w:rsid w:val="00D60A50"/>
    <w:rsid w:val="00D62769"/>
    <w:rsid w:val="00D63293"/>
    <w:rsid w:val="00D6375F"/>
    <w:rsid w:val="00D63E44"/>
    <w:rsid w:val="00D63F79"/>
    <w:rsid w:val="00D64C48"/>
    <w:rsid w:val="00D6680B"/>
    <w:rsid w:val="00D671E4"/>
    <w:rsid w:val="00D70BD7"/>
    <w:rsid w:val="00D70ECA"/>
    <w:rsid w:val="00D71165"/>
    <w:rsid w:val="00D71B3D"/>
    <w:rsid w:val="00D72F4F"/>
    <w:rsid w:val="00D731C4"/>
    <w:rsid w:val="00D74406"/>
    <w:rsid w:val="00D7495A"/>
    <w:rsid w:val="00D74EB4"/>
    <w:rsid w:val="00D750BB"/>
    <w:rsid w:val="00D75A80"/>
    <w:rsid w:val="00D77A66"/>
    <w:rsid w:val="00D801FC"/>
    <w:rsid w:val="00D85BE0"/>
    <w:rsid w:val="00D865B6"/>
    <w:rsid w:val="00D87C1B"/>
    <w:rsid w:val="00D87FD7"/>
    <w:rsid w:val="00D91466"/>
    <w:rsid w:val="00D915ED"/>
    <w:rsid w:val="00D91DE4"/>
    <w:rsid w:val="00D92300"/>
    <w:rsid w:val="00D925ED"/>
    <w:rsid w:val="00D92BC5"/>
    <w:rsid w:val="00D9409E"/>
    <w:rsid w:val="00D94AFC"/>
    <w:rsid w:val="00D950E6"/>
    <w:rsid w:val="00D95774"/>
    <w:rsid w:val="00D96156"/>
    <w:rsid w:val="00D966BA"/>
    <w:rsid w:val="00D97047"/>
    <w:rsid w:val="00D975FC"/>
    <w:rsid w:val="00D97F05"/>
    <w:rsid w:val="00DA0481"/>
    <w:rsid w:val="00DA30F2"/>
    <w:rsid w:val="00DA3619"/>
    <w:rsid w:val="00DA4614"/>
    <w:rsid w:val="00DA4A13"/>
    <w:rsid w:val="00DA6D4A"/>
    <w:rsid w:val="00DA76F5"/>
    <w:rsid w:val="00DA7AE4"/>
    <w:rsid w:val="00DB0B88"/>
    <w:rsid w:val="00DB1652"/>
    <w:rsid w:val="00DB203E"/>
    <w:rsid w:val="00DB299E"/>
    <w:rsid w:val="00DB2A81"/>
    <w:rsid w:val="00DB56BD"/>
    <w:rsid w:val="00DB5773"/>
    <w:rsid w:val="00DB58A6"/>
    <w:rsid w:val="00DB6284"/>
    <w:rsid w:val="00DB6B99"/>
    <w:rsid w:val="00DB716F"/>
    <w:rsid w:val="00DC001A"/>
    <w:rsid w:val="00DC1DB2"/>
    <w:rsid w:val="00DC5247"/>
    <w:rsid w:val="00DC6B0D"/>
    <w:rsid w:val="00DC7E9F"/>
    <w:rsid w:val="00DD22BB"/>
    <w:rsid w:val="00DD2952"/>
    <w:rsid w:val="00DD4F44"/>
    <w:rsid w:val="00DD686C"/>
    <w:rsid w:val="00DD7BE2"/>
    <w:rsid w:val="00DD7E0C"/>
    <w:rsid w:val="00DE1DD7"/>
    <w:rsid w:val="00DE2AC3"/>
    <w:rsid w:val="00DE2E40"/>
    <w:rsid w:val="00DE3598"/>
    <w:rsid w:val="00DE3FBD"/>
    <w:rsid w:val="00DE4058"/>
    <w:rsid w:val="00DE410D"/>
    <w:rsid w:val="00DE43F5"/>
    <w:rsid w:val="00DE4952"/>
    <w:rsid w:val="00DE65FB"/>
    <w:rsid w:val="00DF0396"/>
    <w:rsid w:val="00DF234F"/>
    <w:rsid w:val="00DF26DB"/>
    <w:rsid w:val="00DF2A47"/>
    <w:rsid w:val="00DF2B77"/>
    <w:rsid w:val="00DF420A"/>
    <w:rsid w:val="00DF4EE1"/>
    <w:rsid w:val="00DF52A2"/>
    <w:rsid w:val="00DF7284"/>
    <w:rsid w:val="00E00C55"/>
    <w:rsid w:val="00E012E1"/>
    <w:rsid w:val="00E02472"/>
    <w:rsid w:val="00E041F0"/>
    <w:rsid w:val="00E04454"/>
    <w:rsid w:val="00E04B6D"/>
    <w:rsid w:val="00E0699B"/>
    <w:rsid w:val="00E1142D"/>
    <w:rsid w:val="00E11C6F"/>
    <w:rsid w:val="00E12197"/>
    <w:rsid w:val="00E128D8"/>
    <w:rsid w:val="00E130C3"/>
    <w:rsid w:val="00E16E33"/>
    <w:rsid w:val="00E16F01"/>
    <w:rsid w:val="00E170ED"/>
    <w:rsid w:val="00E17EDF"/>
    <w:rsid w:val="00E2082D"/>
    <w:rsid w:val="00E221E2"/>
    <w:rsid w:val="00E22892"/>
    <w:rsid w:val="00E2330D"/>
    <w:rsid w:val="00E24303"/>
    <w:rsid w:val="00E26312"/>
    <w:rsid w:val="00E26ED7"/>
    <w:rsid w:val="00E27A16"/>
    <w:rsid w:val="00E27C61"/>
    <w:rsid w:val="00E27E7A"/>
    <w:rsid w:val="00E27FF6"/>
    <w:rsid w:val="00E30053"/>
    <w:rsid w:val="00E31C3A"/>
    <w:rsid w:val="00E320C4"/>
    <w:rsid w:val="00E32BB6"/>
    <w:rsid w:val="00E344B0"/>
    <w:rsid w:val="00E3565D"/>
    <w:rsid w:val="00E356F8"/>
    <w:rsid w:val="00E375B4"/>
    <w:rsid w:val="00E404B9"/>
    <w:rsid w:val="00E406FC"/>
    <w:rsid w:val="00E40F7B"/>
    <w:rsid w:val="00E412C2"/>
    <w:rsid w:val="00E419C1"/>
    <w:rsid w:val="00E43E48"/>
    <w:rsid w:val="00E44B9E"/>
    <w:rsid w:val="00E45087"/>
    <w:rsid w:val="00E46CB5"/>
    <w:rsid w:val="00E46D60"/>
    <w:rsid w:val="00E4737D"/>
    <w:rsid w:val="00E47C33"/>
    <w:rsid w:val="00E47F58"/>
    <w:rsid w:val="00E51EB9"/>
    <w:rsid w:val="00E53DA0"/>
    <w:rsid w:val="00E54BB5"/>
    <w:rsid w:val="00E54BFC"/>
    <w:rsid w:val="00E55248"/>
    <w:rsid w:val="00E56D9D"/>
    <w:rsid w:val="00E57038"/>
    <w:rsid w:val="00E608A1"/>
    <w:rsid w:val="00E60E2E"/>
    <w:rsid w:val="00E62B1A"/>
    <w:rsid w:val="00E62C90"/>
    <w:rsid w:val="00E630EA"/>
    <w:rsid w:val="00E63459"/>
    <w:rsid w:val="00E64849"/>
    <w:rsid w:val="00E66268"/>
    <w:rsid w:val="00E67713"/>
    <w:rsid w:val="00E71A2D"/>
    <w:rsid w:val="00E724C5"/>
    <w:rsid w:val="00E72621"/>
    <w:rsid w:val="00E72FB3"/>
    <w:rsid w:val="00E74A73"/>
    <w:rsid w:val="00E75CA7"/>
    <w:rsid w:val="00E75E85"/>
    <w:rsid w:val="00E76306"/>
    <w:rsid w:val="00E77B59"/>
    <w:rsid w:val="00E8095E"/>
    <w:rsid w:val="00E80D6F"/>
    <w:rsid w:val="00E81479"/>
    <w:rsid w:val="00E81632"/>
    <w:rsid w:val="00E823C1"/>
    <w:rsid w:val="00E82DB7"/>
    <w:rsid w:val="00E83C85"/>
    <w:rsid w:val="00E853BA"/>
    <w:rsid w:val="00E8579C"/>
    <w:rsid w:val="00E86597"/>
    <w:rsid w:val="00E865FE"/>
    <w:rsid w:val="00E874AE"/>
    <w:rsid w:val="00E875D1"/>
    <w:rsid w:val="00E91408"/>
    <w:rsid w:val="00E91759"/>
    <w:rsid w:val="00E93679"/>
    <w:rsid w:val="00E93D69"/>
    <w:rsid w:val="00E95220"/>
    <w:rsid w:val="00E9654B"/>
    <w:rsid w:val="00E9739D"/>
    <w:rsid w:val="00E9772A"/>
    <w:rsid w:val="00EA05CC"/>
    <w:rsid w:val="00EA13E4"/>
    <w:rsid w:val="00EA18DB"/>
    <w:rsid w:val="00EA1DCF"/>
    <w:rsid w:val="00EA2FBA"/>
    <w:rsid w:val="00EA3F54"/>
    <w:rsid w:val="00EA457D"/>
    <w:rsid w:val="00EA4D47"/>
    <w:rsid w:val="00EA4DC5"/>
    <w:rsid w:val="00EA531A"/>
    <w:rsid w:val="00EA5664"/>
    <w:rsid w:val="00EA66DF"/>
    <w:rsid w:val="00EA6ADC"/>
    <w:rsid w:val="00EB04DE"/>
    <w:rsid w:val="00EB0609"/>
    <w:rsid w:val="00EB13A7"/>
    <w:rsid w:val="00EB14DF"/>
    <w:rsid w:val="00EB1A4D"/>
    <w:rsid w:val="00EB2BAA"/>
    <w:rsid w:val="00EB2F1F"/>
    <w:rsid w:val="00EB34EC"/>
    <w:rsid w:val="00EB3A07"/>
    <w:rsid w:val="00EB54FA"/>
    <w:rsid w:val="00EB5539"/>
    <w:rsid w:val="00EB76F4"/>
    <w:rsid w:val="00EC05BA"/>
    <w:rsid w:val="00EC08EC"/>
    <w:rsid w:val="00EC1E95"/>
    <w:rsid w:val="00EC20B8"/>
    <w:rsid w:val="00EC3365"/>
    <w:rsid w:val="00EC3D88"/>
    <w:rsid w:val="00EC3F31"/>
    <w:rsid w:val="00EC52E7"/>
    <w:rsid w:val="00EC7E0E"/>
    <w:rsid w:val="00ED12AB"/>
    <w:rsid w:val="00ED2BCA"/>
    <w:rsid w:val="00ED3698"/>
    <w:rsid w:val="00ED4794"/>
    <w:rsid w:val="00ED47AE"/>
    <w:rsid w:val="00ED4A6D"/>
    <w:rsid w:val="00ED4AEE"/>
    <w:rsid w:val="00ED5C83"/>
    <w:rsid w:val="00ED61D0"/>
    <w:rsid w:val="00ED6693"/>
    <w:rsid w:val="00ED6A97"/>
    <w:rsid w:val="00ED75D6"/>
    <w:rsid w:val="00ED769F"/>
    <w:rsid w:val="00ED7B59"/>
    <w:rsid w:val="00ED7EC9"/>
    <w:rsid w:val="00EE21C4"/>
    <w:rsid w:val="00EE25FA"/>
    <w:rsid w:val="00EE265C"/>
    <w:rsid w:val="00EE3A4E"/>
    <w:rsid w:val="00EE5A60"/>
    <w:rsid w:val="00EE5C63"/>
    <w:rsid w:val="00EE6152"/>
    <w:rsid w:val="00EE67D7"/>
    <w:rsid w:val="00EF05C9"/>
    <w:rsid w:val="00EF23EE"/>
    <w:rsid w:val="00EF359C"/>
    <w:rsid w:val="00EF3817"/>
    <w:rsid w:val="00EF416F"/>
    <w:rsid w:val="00EF6122"/>
    <w:rsid w:val="00EF7929"/>
    <w:rsid w:val="00F00449"/>
    <w:rsid w:val="00F0095C"/>
    <w:rsid w:val="00F01129"/>
    <w:rsid w:val="00F01CCA"/>
    <w:rsid w:val="00F01F2C"/>
    <w:rsid w:val="00F02104"/>
    <w:rsid w:val="00F0426C"/>
    <w:rsid w:val="00F04EF6"/>
    <w:rsid w:val="00F06C02"/>
    <w:rsid w:val="00F06C17"/>
    <w:rsid w:val="00F070B8"/>
    <w:rsid w:val="00F0717D"/>
    <w:rsid w:val="00F07558"/>
    <w:rsid w:val="00F11CF3"/>
    <w:rsid w:val="00F121B2"/>
    <w:rsid w:val="00F12E3D"/>
    <w:rsid w:val="00F12ED1"/>
    <w:rsid w:val="00F135F2"/>
    <w:rsid w:val="00F138B4"/>
    <w:rsid w:val="00F13C82"/>
    <w:rsid w:val="00F14B81"/>
    <w:rsid w:val="00F151C9"/>
    <w:rsid w:val="00F152D0"/>
    <w:rsid w:val="00F1632B"/>
    <w:rsid w:val="00F202CA"/>
    <w:rsid w:val="00F223A7"/>
    <w:rsid w:val="00F23A01"/>
    <w:rsid w:val="00F241A3"/>
    <w:rsid w:val="00F26646"/>
    <w:rsid w:val="00F26A64"/>
    <w:rsid w:val="00F27B9D"/>
    <w:rsid w:val="00F303C0"/>
    <w:rsid w:val="00F3090C"/>
    <w:rsid w:val="00F30A73"/>
    <w:rsid w:val="00F334CB"/>
    <w:rsid w:val="00F348DF"/>
    <w:rsid w:val="00F3495A"/>
    <w:rsid w:val="00F34A05"/>
    <w:rsid w:val="00F34E2C"/>
    <w:rsid w:val="00F370BC"/>
    <w:rsid w:val="00F37143"/>
    <w:rsid w:val="00F401CC"/>
    <w:rsid w:val="00F416A7"/>
    <w:rsid w:val="00F42182"/>
    <w:rsid w:val="00F4272E"/>
    <w:rsid w:val="00F430C2"/>
    <w:rsid w:val="00F50562"/>
    <w:rsid w:val="00F507D0"/>
    <w:rsid w:val="00F50A92"/>
    <w:rsid w:val="00F50B0B"/>
    <w:rsid w:val="00F50B6B"/>
    <w:rsid w:val="00F50D01"/>
    <w:rsid w:val="00F51E21"/>
    <w:rsid w:val="00F52412"/>
    <w:rsid w:val="00F52AF1"/>
    <w:rsid w:val="00F52D4E"/>
    <w:rsid w:val="00F533E9"/>
    <w:rsid w:val="00F53F16"/>
    <w:rsid w:val="00F546B9"/>
    <w:rsid w:val="00F56BC1"/>
    <w:rsid w:val="00F6164E"/>
    <w:rsid w:val="00F618C4"/>
    <w:rsid w:val="00F6544B"/>
    <w:rsid w:val="00F65774"/>
    <w:rsid w:val="00F65A34"/>
    <w:rsid w:val="00F65F4C"/>
    <w:rsid w:val="00F70106"/>
    <w:rsid w:val="00F70540"/>
    <w:rsid w:val="00F713D1"/>
    <w:rsid w:val="00F715E9"/>
    <w:rsid w:val="00F71A60"/>
    <w:rsid w:val="00F725DA"/>
    <w:rsid w:val="00F737D0"/>
    <w:rsid w:val="00F7500C"/>
    <w:rsid w:val="00F7536E"/>
    <w:rsid w:val="00F75652"/>
    <w:rsid w:val="00F76137"/>
    <w:rsid w:val="00F767B9"/>
    <w:rsid w:val="00F76F2C"/>
    <w:rsid w:val="00F7782D"/>
    <w:rsid w:val="00F77EE3"/>
    <w:rsid w:val="00F802A8"/>
    <w:rsid w:val="00F81052"/>
    <w:rsid w:val="00F8168B"/>
    <w:rsid w:val="00F81CF2"/>
    <w:rsid w:val="00F81F93"/>
    <w:rsid w:val="00F82FD5"/>
    <w:rsid w:val="00F857D1"/>
    <w:rsid w:val="00F86123"/>
    <w:rsid w:val="00F86296"/>
    <w:rsid w:val="00F86FD9"/>
    <w:rsid w:val="00F91AC1"/>
    <w:rsid w:val="00F91DCC"/>
    <w:rsid w:val="00F92895"/>
    <w:rsid w:val="00F9323F"/>
    <w:rsid w:val="00F93379"/>
    <w:rsid w:val="00F943FE"/>
    <w:rsid w:val="00F95814"/>
    <w:rsid w:val="00F95CE9"/>
    <w:rsid w:val="00F97100"/>
    <w:rsid w:val="00F9780C"/>
    <w:rsid w:val="00FA01D9"/>
    <w:rsid w:val="00FA208E"/>
    <w:rsid w:val="00FA473D"/>
    <w:rsid w:val="00FB0401"/>
    <w:rsid w:val="00FB17BE"/>
    <w:rsid w:val="00FB247D"/>
    <w:rsid w:val="00FC1DFB"/>
    <w:rsid w:val="00FC1EF2"/>
    <w:rsid w:val="00FC3343"/>
    <w:rsid w:val="00FC33BA"/>
    <w:rsid w:val="00FC35AB"/>
    <w:rsid w:val="00FC43B7"/>
    <w:rsid w:val="00FC487C"/>
    <w:rsid w:val="00FC5609"/>
    <w:rsid w:val="00FC6134"/>
    <w:rsid w:val="00FC654D"/>
    <w:rsid w:val="00FC77CF"/>
    <w:rsid w:val="00FD0555"/>
    <w:rsid w:val="00FD06F5"/>
    <w:rsid w:val="00FD0E7A"/>
    <w:rsid w:val="00FD1F02"/>
    <w:rsid w:val="00FD2C46"/>
    <w:rsid w:val="00FD3183"/>
    <w:rsid w:val="00FD440B"/>
    <w:rsid w:val="00FD45FA"/>
    <w:rsid w:val="00FD54F4"/>
    <w:rsid w:val="00FD5961"/>
    <w:rsid w:val="00FE09F4"/>
    <w:rsid w:val="00FE0C07"/>
    <w:rsid w:val="00FE344B"/>
    <w:rsid w:val="00FE3EFA"/>
    <w:rsid w:val="00FE403B"/>
    <w:rsid w:val="00FE5563"/>
    <w:rsid w:val="00FE5C56"/>
    <w:rsid w:val="00FE5E20"/>
    <w:rsid w:val="00FE74DF"/>
    <w:rsid w:val="00FE75BE"/>
    <w:rsid w:val="00FE7825"/>
    <w:rsid w:val="00FE7AAC"/>
    <w:rsid w:val="00FE7B06"/>
    <w:rsid w:val="00FE7B2F"/>
    <w:rsid w:val="00FE7E98"/>
    <w:rsid w:val="00FF0117"/>
    <w:rsid w:val="00FF06BC"/>
    <w:rsid w:val="00FF06E2"/>
    <w:rsid w:val="00FF184D"/>
    <w:rsid w:val="00FF1FB8"/>
    <w:rsid w:val="00FF20AC"/>
    <w:rsid w:val="00FF3801"/>
    <w:rsid w:val="00FF3A27"/>
    <w:rsid w:val="00FF3B27"/>
    <w:rsid w:val="00FF442F"/>
    <w:rsid w:val="00FF49AA"/>
    <w:rsid w:val="00FF4E8D"/>
    <w:rsid w:val="00FF579C"/>
    <w:rsid w:val="00FF5CFA"/>
    <w:rsid w:val="00FF60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3"/>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qFormat="1"/>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7"/>
      </w:numPr>
      <w:contextualSpacing/>
    </w:pPr>
  </w:style>
  <w:style w:type="paragraph" w:styleId="Footer">
    <w:name w:val="footer"/>
    <w:basedOn w:val="Header"/>
    <w:link w:val="FooterChar"/>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91B67"/>
    <w:rPr>
      <w:color w:val="188A79" w:themeColor="accent1" w:themeShade="BF"/>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C57FE"/>
    <w:pPr>
      <w:spacing w:after="0" w:line="240" w:lineRule="auto"/>
    </w:pPr>
    <w:rPr>
      <w:sz w:val="18"/>
      <w:szCs w:val="20"/>
    </w:rPr>
  </w:style>
  <w:style w:type="character" w:customStyle="1" w:styleId="FootnoteTextChar">
    <w:name w:val="Footnote Text Char"/>
    <w:basedOn w:val="DefaultParagraphFont"/>
    <w:link w:val="FootnoteText"/>
    <w:rsid w:val="00BC57FE"/>
    <w:rPr>
      <w:rFonts w:ascii="Arial" w:hAnsi="Arial"/>
      <w:sz w:val="18"/>
    </w:rPr>
  </w:style>
  <w:style w:type="character" w:styleId="FootnoteReference">
    <w:name w:val="footnote reference"/>
    <w:basedOn w:val="DefaultParagraphFont"/>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38647C"/>
    <w:pPr>
      <w:keepNext/>
      <w:keepLines/>
      <w:numPr>
        <w:numId w:val="3"/>
      </w:numPr>
      <w:tabs>
        <w:tab w:val="left" w:pos="1361"/>
      </w:tabs>
      <w:spacing w:before="120" w:after="24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numbering" w:styleId="111111">
    <w:name w:val="Outline List 2"/>
    <w:basedOn w:val="NoList"/>
    <w:rsid w:val="009E3657"/>
    <w:pPr>
      <w:numPr>
        <w:numId w:val="8"/>
      </w:numPr>
    </w:pPr>
  </w:style>
  <w:style w:type="character" w:customStyle="1" w:styleId="HeaderChar">
    <w:name w:val="Header Char"/>
    <w:basedOn w:val="DefaultParagraphFont"/>
    <w:link w:val="Header"/>
    <w:rsid w:val="009E3657"/>
    <w:rPr>
      <w:rFonts w:asciiTheme="minorHAnsi" w:hAnsiTheme="minorHAnsi"/>
      <w:sz w:val="14"/>
      <w:szCs w:val="24"/>
    </w:rPr>
  </w:style>
  <w:style w:type="character" w:customStyle="1" w:styleId="FooterChar">
    <w:name w:val="Footer Char"/>
    <w:basedOn w:val="DefaultParagraphFont"/>
    <w:link w:val="Footer"/>
    <w:rsid w:val="009E3657"/>
    <w:rPr>
      <w:rFonts w:asciiTheme="minorHAnsi" w:hAnsiTheme="minorHAnsi"/>
      <w:sz w:val="14"/>
      <w:szCs w:val="24"/>
    </w:rPr>
  </w:style>
  <w:style w:type="paragraph" w:customStyle="1" w:styleId="PageSubtitle">
    <w:name w:val="Page Subtitle"/>
    <w:basedOn w:val="Normal"/>
    <w:qFormat/>
    <w:rsid w:val="009E3657"/>
    <w:pPr>
      <w:pBdr>
        <w:bottom w:val="single" w:sz="24" w:space="20" w:color="AA338A" w:themeColor="accent3"/>
      </w:pBdr>
      <w:spacing w:after="240" w:line="360" w:lineRule="atLeast"/>
    </w:pPr>
    <w:rPr>
      <w:rFonts w:ascii="Helvetica" w:hAnsi="Helvetica"/>
      <w:b/>
      <w:color w:val="000000" w:themeColor="text1"/>
      <w:sz w:val="28"/>
      <w:szCs w:val="28"/>
      <w:lang w:val="en-US" w:eastAsia="en-US"/>
    </w:rPr>
  </w:style>
  <w:style w:type="paragraph" w:customStyle="1" w:styleId="BodyHead">
    <w:name w:val="Body Head"/>
    <w:basedOn w:val="Heading2"/>
    <w:qFormat/>
    <w:rsid w:val="009E3657"/>
    <w:pPr>
      <w:pBdr>
        <w:bottom w:val="none" w:sz="0" w:space="0" w:color="auto"/>
      </w:pBdr>
      <w:spacing w:before="480" w:after="120" w:line="320" w:lineRule="atLeast"/>
    </w:pPr>
    <w:rPr>
      <w:color w:val="7F2667" w:themeColor="accent3" w:themeShade="BF"/>
      <w:sz w:val="24"/>
      <w:szCs w:val="24"/>
      <w:lang w:val="en-US" w:eastAsia="en-US"/>
    </w:rPr>
  </w:style>
  <w:style w:type="numbering" w:customStyle="1" w:styleId="Singlepunch">
    <w:name w:val="Single punch"/>
    <w:rsid w:val="00ED2BCA"/>
    <w:pPr>
      <w:numPr>
        <w:numId w:val="14"/>
      </w:numPr>
    </w:pPr>
  </w:style>
  <w:style w:type="paragraph" w:styleId="Revision">
    <w:name w:val="Revision"/>
    <w:hidden/>
    <w:uiPriority w:val="99"/>
    <w:semiHidden/>
    <w:rsid w:val="000B59BD"/>
    <w:rPr>
      <w:rFonts w:asciiTheme="minorHAnsi" w:hAnsiTheme="minorHAnsi"/>
      <w:szCs w:val="24"/>
    </w:rPr>
  </w:style>
  <w:style w:type="paragraph" w:styleId="NormalWeb">
    <w:name w:val="Normal (Web)"/>
    <w:basedOn w:val="Normal"/>
    <w:uiPriority w:val="99"/>
    <w:semiHidden/>
    <w:unhideWhenUsed/>
    <w:rsid w:val="00BB419F"/>
    <w:pPr>
      <w:spacing w:before="100" w:beforeAutospacing="1" w:after="100" w:afterAutospacing="1" w:line="240" w:lineRule="auto"/>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342166786">
      <w:bodyDiv w:val="1"/>
      <w:marLeft w:val="0"/>
      <w:marRight w:val="0"/>
      <w:marTop w:val="0"/>
      <w:marBottom w:val="0"/>
      <w:divBdr>
        <w:top w:val="none" w:sz="0" w:space="0" w:color="auto"/>
        <w:left w:val="none" w:sz="0" w:space="0" w:color="auto"/>
        <w:bottom w:val="none" w:sz="0" w:space="0" w:color="auto"/>
        <w:right w:val="none" w:sz="0" w:space="0" w:color="auto"/>
      </w:divBdr>
    </w:div>
    <w:div w:id="357006233">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78527261">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83471262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ta@pmc.gov.au" TargetMode="External"/><Relationship Id="rId18" Type="http://schemas.openxmlformats.org/officeDocument/2006/relationships/footer" Target="footer2.xml"/><Relationship Id="rId26" Type="http://schemas.openxmlformats.org/officeDocument/2006/relationships/chart" Target="charts/chart4.xml"/><Relationship Id="rId39" Type="http://schemas.openxmlformats.org/officeDocument/2006/relationships/footer" Target="footer3.xml"/><Relationship Id="rId21" Type="http://schemas.openxmlformats.org/officeDocument/2006/relationships/image" Target="media/image5.png"/><Relationship Id="rId34" Type="http://schemas.openxmlformats.org/officeDocument/2006/relationships/hyperlink" Target="https://www.apra.gov.au/annual-mysuper-statistics" TargetMode="External"/><Relationship Id="rId42" Type="http://schemas.openxmlformats.org/officeDocument/2006/relationships/hyperlink" Target="mailto:media@pmc.gov.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ocialscienceregistry.org/trials/6995"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hyperlink" Target="https://pmc.gov.au/cca" TargetMode="External"/><Relationship Id="rId40" Type="http://schemas.openxmlformats.org/officeDocument/2006/relationships/image" Target="media/image8.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hyperlink" Target="https://www.socialscienceregistry.org/trials/6995"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behaviouraleconomics.pmc.gov.au/projects/yoursuper-comparison-tool-results-survey-and-two-survey-experiments" TargetMode="External"/><Relationship Id="rId31" Type="http://schemas.openxmlformats.org/officeDocument/2006/relationships/chart" Target="charts/chart8.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hyperlink" Target="https://creativecommons.org/licenses/by/4.0/" TargetMode="External"/><Relationship Id="rId43" Type="http://schemas.openxmlformats.org/officeDocument/2006/relationships/hyperlink" Target="http://www.pmc.gov.au/beta" TargetMode="External"/><Relationship Id="rId48"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hyperlink" Target="https://treasury.gov.au/sites/default/files/2021-02/p2020-100554-udcomplete-report.pdf" TargetMode="External"/><Relationship Id="rId38" Type="http://schemas.openxmlformats.org/officeDocument/2006/relationships/header" Target="header4.xm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mailto:beta@pmc.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ehaviouraleconomics.pmc.gov.au/projects/yoursuper-comparison-tool-results-survey-and-two-survey-experi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https://share.internal.pmc.gov.au/teams/ed_beta/SmallProjects/Treasury/YourSuper%20-%20Comparison%20tool/Report%20-%20for%20publication/BETA%20Chart%20Templates%20Green%20-%20your%20super%20chart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'[BETA Chart Templates Green.xlsx]Column'!$B$9</c:f>
              <c:strCache>
                <c:ptCount val="1"/>
                <c:pt idx="0">
                  <c:v>Series 1</c:v>
                </c:pt>
              </c:strCache>
            </c:strRef>
          </c:tx>
          <c:spPr>
            <a:solidFill>
              <a:srgbClr val="20B9A3"/>
            </a:solidFill>
            <a:ln>
              <a:noFill/>
            </a:ln>
            <a:effectLst/>
          </c:spPr>
          <c:invertIfNegative val="0"/>
          <c:dPt>
            <c:idx val="3"/>
            <c:invertIfNegative val="0"/>
            <c:bubble3D val="0"/>
            <c:spPr>
              <a:solidFill>
                <a:srgbClr val="20B9A3"/>
              </a:solidFill>
              <a:ln>
                <a:noFill/>
              </a:ln>
              <a:effectLst/>
            </c:spPr>
            <c:extLst>
              <c:ext xmlns:c16="http://schemas.microsoft.com/office/drawing/2014/chart" uri="{C3380CC4-5D6E-409C-BE32-E72D297353CC}">
                <c16:uniqueId val="{00000001-A4AB-4918-ABE5-98D4B88A470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'[BETA Chart Templates Green.xlsx]Column'!$A$10:$A$12</c:f>
              <c:strCache>
                <c:ptCount val="3"/>
                <c:pt idx="0">
                  <c:v>Group A - 2 categories, unsorted</c:v>
                </c:pt>
                <c:pt idx="1">
                  <c:v>Group B - 3 categories, unsorted</c:v>
                </c:pt>
                <c:pt idx="2">
                  <c:v>Group C - 3 categories, sorted</c:v>
                </c:pt>
              </c:strCache>
            </c:strRef>
          </c:cat>
          <c:val>
            <c:numRef>
              <c:f>'[BETA Chart Templates Green.xlsx]Column'!$B$10:$B$12</c:f>
              <c:numCache>
                <c:formatCode>General</c:formatCode>
                <c:ptCount val="3"/>
                <c:pt idx="0">
                  <c:v>34</c:v>
                </c:pt>
                <c:pt idx="1">
                  <c:v>55</c:v>
                </c:pt>
                <c:pt idx="2">
                  <c:v>61</c:v>
                </c:pt>
              </c:numCache>
            </c:numRef>
          </c:val>
          <c:extLst>
            <c:ext xmlns:c16="http://schemas.microsoft.com/office/drawing/2014/chart" uri="{C3380CC4-5D6E-409C-BE32-E72D297353CC}">
              <c16:uniqueId val="{00000002-A4AB-4918-ABE5-98D4B88A470B}"/>
            </c:ext>
          </c:extLst>
        </c:ser>
        <c:dLbls>
          <c:showLegendKey val="0"/>
          <c:showVal val="0"/>
          <c:showCatName val="0"/>
          <c:showSerName val="0"/>
          <c:showPercent val="0"/>
          <c:showBubbleSize val="0"/>
        </c:dLbls>
        <c:gapWidth val="75"/>
        <c:axId val="569014528"/>
        <c:axId val="569011576"/>
      </c:barChart>
      <c:catAx>
        <c:axId val="5690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11576"/>
        <c:crosses val="autoZero"/>
        <c:auto val="1"/>
        <c:lblAlgn val="ctr"/>
        <c:lblOffset val="100"/>
        <c:noMultiLvlLbl val="0"/>
      </c:catAx>
      <c:valAx>
        <c:axId val="569011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 selecting top</a:t>
                </a:r>
                <a:r>
                  <a:rPr lang="en-AU" baseline="0"/>
                  <a:t> product</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14528"/>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'[BETA Chart Templates Green.xlsx]Column'!$B$24</c:f>
              <c:strCache>
                <c:ptCount val="1"/>
                <c:pt idx="0">
                  <c:v>Series 1</c:v>
                </c:pt>
              </c:strCache>
            </c:strRef>
          </c:tx>
          <c:spPr>
            <a:solidFill>
              <a:srgbClr val="20B9A3"/>
            </a:solidFill>
            <a:ln>
              <a:noFill/>
            </a:ln>
            <a:effectLst/>
          </c:spPr>
          <c:invertIfNegative val="0"/>
          <c:dPt>
            <c:idx val="3"/>
            <c:invertIfNegative val="0"/>
            <c:bubble3D val="0"/>
            <c:spPr>
              <a:solidFill>
                <a:srgbClr val="20B9A3"/>
              </a:solidFill>
              <a:ln>
                <a:noFill/>
              </a:ln>
              <a:effectLst/>
            </c:spPr>
            <c:extLst>
              <c:ext xmlns:c16="http://schemas.microsoft.com/office/drawing/2014/chart" uri="{C3380CC4-5D6E-409C-BE32-E72D297353CC}">
                <c16:uniqueId val="{00000001-0F5F-478A-9563-26B079981AE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'[BETA Chart Templates Green.xlsx]Column'!$A$25:$A$27</c:f>
              <c:strCache>
                <c:ptCount val="3"/>
                <c:pt idx="0">
                  <c:v>Group X - Technical, highlighting negative returns</c:v>
                </c:pt>
                <c:pt idx="1">
                  <c:v>Group Y - Common industry terms</c:v>
                </c:pt>
                <c:pt idx="2">
                  <c:v>Group Z - Technical, highlighting expected returns</c:v>
                </c:pt>
              </c:strCache>
            </c:strRef>
          </c:cat>
          <c:val>
            <c:numRef>
              <c:f>'[BETA Chart Templates Green.xlsx]Column'!$B$25:$B$27</c:f>
              <c:numCache>
                <c:formatCode>General</c:formatCode>
                <c:ptCount val="3"/>
                <c:pt idx="0">
                  <c:v>27</c:v>
                </c:pt>
                <c:pt idx="1">
                  <c:v>49</c:v>
                </c:pt>
                <c:pt idx="2">
                  <c:v>30</c:v>
                </c:pt>
              </c:numCache>
            </c:numRef>
          </c:val>
          <c:extLst>
            <c:ext xmlns:c16="http://schemas.microsoft.com/office/drawing/2014/chart" uri="{C3380CC4-5D6E-409C-BE32-E72D297353CC}">
              <c16:uniqueId val="{00000002-0F5F-478A-9563-26B079981AE6}"/>
            </c:ext>
          </c:extLst>
        </c:ser>
        <c:dLbls>
          <c:showLegendKey val="0"/>
          <c:showVal val="0"/>
          <c:showCatName val="0"/>
          <c:showSerName val="0"/>
          <c:showPercent val="0"/>
          <c:showBubbleSize val="0"/>
        </c:dLbls>
        <c:gapWidth val="75"/>
        <c:axId val="569014528"/>
        <c:axId val="569011576"/>
      </c:barChart>
      <c:catAx>
        <c:axId val="5690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11576"/>
        <c:crosses val="autoZero"/>
        <c:auto val="1"/>
        <c:lblAlgn val="ctr"/>
        <c:lblOffset val="100"/>
        <c:noMultiLvlLbl val="0"/>
      </c:catAx>
      <c:valAx>
        <c:axId val="569011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 selecting 'growth strategy'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14528"/>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55479596260766"/>
          <c:y val="0.14795404228000916"/>
          <c:w val="0.73522898098669887"/>
          <c:h val="0.81801788911833273"/>
        </c:manualLayout>
      </c:layout>
      <c:barChart>
        <c:barDir val="bar"/>
        <c:grouping val="clustered"/>
        <c:varyColors val="0"/>
        <c:ser>
          <c:idx val="0"/>
          <c:order val="0"/>
          <c:tx>
            <c:strRef>
              <c:f>'Bar (multiple series)'!$B$10</c:f>
              <c:strCache>
                <c:ptCount val="1"/>
                <c:pt idx="0">
                  <c:v>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'Bar (multiple series)'!$A$11:$A$13</c:f>
              <c:strCache>
                <c:ptCount val="3"/>
                <c:pt idx="0">
                  <c:v>Under</c:v>
                </c:pt>
                <c:pt idx="1">
                  <c:v>Poor</c:v>
                </c:pt>
                <c:pt idx="2">
                  <c:v>Weak</c:v>
                </c:pt>
              </c:strCache>
            </c:strRef>
          </c:cat>
          <c:val>
            <c:numRef>
              <c:f>'Bar (multiple series)'!$B$11:$B$13</c:f>
              <c:numCache>
                <c:formatCode>General</c:formatCode>
                <c:ptCount val="3"/>
                <c:pt idx="0">
                  <c:v>24</c:v>
                </c:pt>
                <c:pt idx="1">
                  <c:v>44</c:v>
                </c:pt>
                <c:pt idx="2">
                  <c:v>32</c:v>
                </c:pt>
              </c:numCache>
            </c:numRef>
          </c:val>
          <c:extLst>
            <c:ext xmlns:c16="http://schemas.microsoft.com/office/drawing/2014/chart" uri="{C3380CC4-5D6E-409C-BE32-E72D297353CC}">
              <c16:uniqueId val="{00000000-D69E-4EB4-A0CC-DBF84279FC31}"/>
            </c:ext>
          </c:extLst>
        </c:ser>
        <c:ser>
          <c:idx val="1"/>
          <c:order val="1"/>
          <c:tx>
            <c:strRef>
              <c:f>'Bar (multiple series)'!$C$10</c:f>
              <c:strCache>
                <c:ptCount val="1"/>
                <c:pt idx="0">
                  <c:v>Low Fin Lit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'Bar (multiple series)'!$A$11:$A$13</c:f>
              <c:strCache>
                <c:ptCount val="3"/>
                <c:pt idx="0">
                  <c:v>Under</c:v>
                </c:pt>
                <c:pt idx="1">
                  <c:v>Poor</c:v>
                </c:pt>
                <c:pt idx="2">
                  <c:v>Weak</c:v>
                </c:pt>
              </c:strCache>
            </c:strRef>
          </c:cat>
          <c:val>
            <c:numRef>
              <c:f>'Bar (multiple series)'!$C$11:$C$13</c:f>
              <c:numCache>
                <c:formatCode>General</c:formatCode>
                <c:ptCount val="3"/>
                <c:pt idx="0">
                  <c:v>36</c:v>
                </c:pt>
                <c:pt idx="1">
                  <c:v>30</c:v>
                </c:pt>
                <c:pt idx="2">
                  <c:v>35</c:v>
                </c:pt>
              </c:numCache>
            </c:numRef>
          </c:val>
          <c:extLst>
            <c:ext xmlns:c16="http://schemas.microsoft.com/office/drawing/2014/chart" uri="{C3380CC4-5D6E-409C-BE32-E72D297353CC}">
              <c16:uniqueId val="{00000001-D69E-4EB4-A0CC-DBF84279FC31}"/>
            </c:ext>
          </c:extLst>
        </c:ser>
        <c:ser>
          <c:idx val="2"/>
          <c:order val="2"/>
          <c:tx>
            <c:strRef>
              <c:f>'Bar (multiple series)'!$D$10</c:f>
              <c:strCache>
                <c:ptCount val="1"/>
                <c:pt idx="0">
                  <c:v>High Fin Lit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'Bar (multiple series)'!$A$11:$A$13</c:f>
              <c:strCache>
                <c:ptCount val="3"/>
                <c:pt idx="0">
                  <c:v>Under</c:v>
                </c:pt>
                <c:pt idx="1">
                  <c:v>Poor</c:v>
                </c:pt>
                <c:pt idx="2">
                  <c:v>Weak</c:v>
                </c:pt>
              </c:strCache>
            </c:strRef>
          </c:cat>
          <c:val>
            <c:numRef>
              <c:f>'Bar (multiple series)'!$D$11:$D$13</c:f>
              <c:numCache>
                <c:formatCode>General</c:formatCode>
                <c:ptCount val="3"/>
                <c:pt idx="0">
                  <c:v>17</c:v>
                </c:pt>
                <c:pt idx="1">
                  <c:v>53</c:v>
                </c:pt>
                <c:pt idx="2">
                  <c:v>30</c:v>
                </c:pt>
              </c:numCache>
            </c:numRef>
          </c:val>
          <c:extLst>
            <c:ext xmlns:c16="http://schemas.microsoft.com/office/drawing/2014/chart" uri="{C3380CC4-5D6E-409C-BE32-E72D297353CC}">
              <c16:uniqueId val="{00000002-D69E-4EB4-A0CC-DBF84279FC31}"/>
            </c:ext>
          </c:extLst>
        </c:ser>
        <c:dLbls>
          <c:dLblPos val="inBase"/>
          <c:showLegendKey val="0"/>
          <c:showVal val="1"/>
          <c:showCatName val="0"/>
          <c:showSerName val="0"/>
          <c:showPercent val="0"/>
          <c:showBubbleSize val="0"/>
        </c:dLbls>
        <c:gapWidth val="150"/>
        <c:overlap val="-20"/>
        <c:axId val="569021744"/>
        <c:axId val="569025024"/>
      </c:barChart>
      <c:catAx>
        <c:axId val="5690217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69025024"/>
        <c:crosses val="autoZero"/>
        <c:auto val="1"/>
        <c:lblAlgn val="ctr"/>
        <c:lblOffset val="100"/>
        <c:noMultiLvlLbl val="0"/>
      </c:catAx>
      <c:valAx>
        <c:axId val="56902502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Per cent</a:t>
                </a:r>
              </a:p>
            </c:rich>
          </c:tx>
          <c:layout>
            <c:manualLayout>
              <c:xMode val="edge"/>
              <c:yMode val="edge"/>
              <c:x val="0.46036832895888014"/>
              <c:y val="2.777777777777777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21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242712100786881E-2"/>
          <c:y val="0.14938665848808907"/>
          <c:w val="0.92831122689260537"/>
          <c:h val="0.82516813919054877"/>
        </c:manualLayout>
      </c:layout>
      <c:barChart>
        <c:barDir val="bar"/>
        <c:grouping val="clustered"/>
        <c:varyColors val="0"/>
        <c:ser>
          <c:idx val="1"/>
          <c:order val="0"/>
          <c:tx>
            <c:strRef>
              <c:f>'Bar (single series)'!$B$11</c:f>
              <c:strCache>
                <c:ptCount val="1"/>
                <c:pt idx="0">
                  <c:v>Series 1</c:v>
                </c:pt>
              </c:strCache>
            </c:strRef>
          </c:tx>
          <c:spPr>
            <a:solidFill>
              <a:schemeClr val="bg2"/>
            </a:solidFill>
          </c:spPr>
          <c:invertIfNegative val="0"/>
          <c:dPt>
            <c:idx val="0"/>
            <c:invertIfNegative val="0"/>
            <c:bubble3D val="0"/>
            <c:spPr>
              <a:solidFill>
                <a:srgbClr val="20B9A3"/>
              </a:solidFill>
            </c:spPr>
            <c:extLst>
              <c:ext xmlns:c16="http://schemas.microsoft.com/office/drawing/2014/chart" uri="{C3380CC4-5D6E-409C-BE32-E72D297353CC}">
                <c16:uniqueId val="{00000001-5DD6-47DD-A8EC-B561C534EF82}"/>
              </c:ext>
            </c:extLst>
          </c:dPt>
          <c:dPt>
            <c:idx val="3"/>
            <c:invertIfNegative val="0"/>
            <c:bubble3D val="0"/>
            <c:spPr>
              <a:solidFill>
                <a:srgbClr val="6D6E71"/>
              </a:solidFill>
            </c:spPr>
            <c:extLst>
              <c:ext xmlns:c16="http://schemas.microsoft.com/office/drawing/2014/chart" uri="{C3380CC4-5D6E-409C-BE32-E72D297353CC}">
                <c16:uniqueId val="{00000003-5DD6-47DD-A8EC-B561C534EF82}"/>
              </c:ext>
            </c:extLst>
          </c:dPt>
          <c:dLbls>
            <c:spPr>
              <a:noFill/>
              <a:ln>
                <a:noFill/>
              </a:ln>
              <a:effectLst/>
            </c:spPr>
            <c:txPr>
              <a:bodyPr wrap="square" lIns="38100" tIns="19050" rIns="38100" bIns="19050" anchor="ctr">
                <a:spAutoFit/>
              </a:bodyPr>
              <a:lstStyle/>
              <a:p>
                <a:pPr>
                  <a:defRPr sz="9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'Bar (single series)'!$A$12:$A$21</c:f>
              <c:strCache>
                <c:ptCount val="10"/>
                <c:pt idx="0">
                  <c:v>Annual super statement</c:v>
                </c:pt>
                <c:pt idx="1">
                  <c:v>Accountant suggestion</c:v>
                </c:pt>
                <c:pt idx="2">
                  <c:v>Super fund letter/email</c:v>
                </c:pt>
                <c:pt idx="3">
                  <c:v>Start or change jobs</c:v>
                </c:pt>
                <c:pt idx="4">
                  <c:v>Friends/family mention</c:v>
                </c:pt>
                <c:pt idx="5">
                  <c:v>Traditional media</c:v>
                </c:pt>
                <c:pt idx="6">
                  <c:v>Tax return</c:v>
                </c:pt>
                <c:pt idx="7">
                  <c:v>Pay increase</c:v>
                </c:pt>
                <c:pt idx="8">
                  <c:v>Retirement</c:v>
                </c:pt>
                <c:pt idx="9">
                  <c:v>Other</c:v>
                </c:pt>
              </c:strCache>
            </c:strRef>
          </c:cat>
          <c:val>
            <c:numRef>
              <c:f>'Bar (single series)'!$B$12:$B$21</c:f>
              <c:numCache>
                <c:formatCode>General</c:formatCode>
                <c:ptCount val="10"/>
                <c:pt idx="0">
                  <c:v>39</c:v>
                </c:pt>
                <c:pt idx="1">
                  <c:v>25</c:v>
                </c:pt>
                <c:pt idx="2">
                  <c:v>25</c:v>
                </c:pt>
                <c:pt idx="3">
                  <c:v>23</c:v>
                </c:pt>
                <c:pt idx="4">
                  <c:v>20</c:v>
                </c:pt>
                <c:pt idx="5">
                  <c:v>17</c:v>
                </c:pt>
                <c:pt idx="6">
                  <c:v>17</c:v>
                </c:pt>
                <c:pt idx="7">
                  <c:v>16</c:v>
                </c:pt>
                <c:pt idx="8">
                  <c:v>13</c:v>
                </c:pt>
                <c:pt idx="9">
                  <c:v>2</c:v>
                </c:pt>
              </c:numCache>
            </c:numRef>
          </c:val>
          <c:extLst>
            <c:ext xmlns:c16="http://schemas.microsoft.com/office/drawing/2014/chart" uri="{C3380CC4-5D6E-409C-BE32-E72D297353CC}">
              <c16:uniqueId val="{00000004-5DD6-47DD-A8EC-B561C534EF82}"/>
            </c:ext>
          </c:extLst>
        </c:ser>
        <c:dLbls>
          <c:dLblPos val="inEnd"/>
          <c:showLegendKey val="0"/>
          <c:showVal val="1"/>
          <c:showCatName val="0"/>
          <c:showSerName val="0"/>
          <c:showPercent val="0"/>
          <c:showBubbleSize val="0"/>
        </c:dLbls>
        <c:gapWidth val="26"/>
        <c:axId val="219414912"/>
        <c:axId val="219416832"/>
      </c:barChart>
      <c:catAx>
        <c:axId val="219414912"/>
        <c:scaling>
          <c:orientation val="maxMin"/>
        </c:scaling>
        <c:delete val="1"/>
        <c:axPos val="l"/>
        <c:numFmt formatCode="General" sourceLinked="0"/>
        <c:majorTickMark val="none"/>
        <c:minorTickMark val="none"/>
        <c:tickLblPos val="nextTo"/>
        <c:crossAx val="219416832"/>
        <c:crosses val="autoZero"/>
        <c:auto val="1"/>
        <c:lblAlgn val="ctr"/>
        <c:lblOffset val="200"/>
        <c:noMultiLvlLbl val="0"/>
      </c:catAx>
      <c:valAx>
        <c:axId val="219416832"/>
        <c:scaling>
          <c:orientation val="minMax"/>
        </c:scaling>
        <c:delete val="0"/>
        <c:axPos val="t"/>
        <c:title>
          <c:tx>
            <c:rich>
              <a:bodyPr/>
              <a:lstStyle/>
              <a:p>
                <a:pPr>
                  <a:defRPr sz="900" b="0">
                    <a:solidFill>
                      <a:schemeClr val="tx1">
                        <a:lumMod val="65000"/>
                        <a:lumOff val="35000"/>
                      </a:schemeClr>
                    </a:solidFill>
                  </a:defRPr>
                </a:pPr>
                <a:r>
                  <a:rPr lang="en-AU" sz="900" b="1">
                    <a:solidFill>
                      <a:schemeClr val="tx1">
                        <a:lumMod val="65000"/>
                        <a:lumOff val="35000"/>
                      </a:schemeClr>
                    </a:solidFill>
                  </a:rPr>
                  <a:t>percent</a:t>
                </a:r>
              </a:p>
            </c:rich>
          </c:tx>
          <c:layout>
            <c:manualLayout>
              <c:xMode val="edge"/>
              <c:yMode val="edge"/>
              <c:x val="0.46646714357209851"/>
              <c:y val="2.4057057085630822E-2"/>
            </c:manualLayout>
          </c:layout>
          <c:overlay val="0"/>
        </c:title>
        <c:numFmt formatCode="General" sourceLinked="1"/>
        <c:majorTickMark val="out"/>
        <c:minorTickMark val="none"/>
        <c:tickLblPos val="nextTo"/>
        <c:spPr>
          <a:ln>
            <a:solidFill>
              <a:schemeClr val="bg1">
                <a:lumMod val="75000"/>
              </a:schemeClr>
            </a:solidFill>
          </a:ln>
        </c:spPr>
        <c:txPr>
          <a:bodyPr/>
          <a:lstStyle/>
          <a:p>
            <a:pPr>
              <a:defRPr sz="900">
                <a:solidFill>
                  <a:schemeClr val="tx1">
                    <a:lumMod val="65000"/>
                    <a:lumOff val="35000"/>
                  </a:schemeClr>
                </a:solidFill>
              </a:defRPr>
            </a:pPr>
            <a:endParaRPr lang="en-US"/>
          </a:p>
        </c:txPr>
        <c:crossAx val="219414912"/>
        <c:crosses val="autoZero"/>
        <c:crossBetween val="between"/>
        <c:majorUnit val="10"/>
      </c:valAx>
    </c:plotArea>
    <c:legend>
      <c:legendPos val="l"/>
      <c:legendEntry>
        <c:idx val="9"/>
        <c:txPr>
          <a:bodyPr/>
          <a:lstStyle/>
          <a:p>
            <a:pPr>
              <a:defRPr sz="900" b="1">
                <a:solidFill>
                  <a:sysClr val="windowText" lastClr="000000"/>
                </a:solidFill>
              </a:defRPr>
            </a:pPr>
            <a:endParaRPr lang="en-US"/>
          </a:p>
        </c:txPr>
      </c:legendEntry>
      <c:layout>
        <c:manualLayout>
          <c:xMode val="edge"/>
          <c:yMode val="edge"/>
          <c:x val="1.2171496578467722E-2"/>
          <c:y val="0.14866430298759595"/>
          <c:w val="0.35532853744421955"/>
          <c:h val="0.822213690996769"/>
        </c:manualLayout>
      </c:layout>
      <c:overlay val="0"/>
      <c:spPr>
        <a:noFill/>
        <a:ln>
          <a:noFill/>
        </a:ln>
      </c:spPr>
      <c:txPr>
        <a:bodyPr/>
        <a:lstStyle/>
        <a:p>
          <a:pPr>
            <a:defRPr sz="900" b="1">
              <a:solidFill>
                <a:schemeClr val="bg1"/>
              </a:solidFill>
            </a:defRPr>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Column!$B$47</c:f>
              <c:strCache>
                <c:ptCount val="1"/>
                <c:pt idx="0">
                  <c:v>Series 1</c:v>
                </c:pt>
              </c:strCache>
            </c:strRef>
          </c:tx>
          <c:spPr>
            <a:solidFill>
              <a:srgbClr val="20B9A3"/>
            </a:solidFill>
            <a:ln>
              <a:noFill/>
            </a:ln>
            <a:effectLst/>
          </c:spPr>
          <c:invertIfNegative val="0"/>
          <c:dPt>
            <c:idx val="3"/>
            <c:invertIfNegative val="0"/>
            <c:bubble3D val="0"/>
            <c:spPr>
              <a:solidFill>
                <a:srgbClr val="20B9A3"/>
              </a:solidFill>
              <a:ln>
                <a:noFill/>
              </a:ln>
              <a:effectLst/>
            </c:spPr>
            <c:extLst>
              <c:ext xmlns:c16="http://schemas.microsoft.com/office/drawing/2014/chart" uri="{C3380CC4-5D6E-409C-BE32-E72D297353CC}">
                <c16:uniqueId val="{00000001-1197-4232-B964-670C19039A3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Column!$A$48:$A$50</c:f>
              <c:strCache>
                <c:ptCount val="3"/>
                <c:pt idx="0">
                  <c:v>By email</c:v>
                </c:pt>
                <c:pt idx="1">
                  <c:v>By both mail and email</c:v>
                </c:pt>
                <c:pt idx="2">
                  <c:v>By mail</c:v>
                </c:pt>
              </c:strCache>
            </c:strRef>
          </c:cat>
          <c:val>
            <c:numRef>
              <c:f>Column!$B$48:$B$50</c:f>
              <c:numCache>
                <c:formatCode>General</c:formatCode>
                <c:ptCount val="3"/>
                <c:pt idx="0">
                  <c:v>54</c:v>
                </c:pt>
                <c:pt idx="1">
                  <c:v>33</c:v>
                </c:pt>
                <c:pt idx="2">
                  <c:v>13</c:v>
                </c:pt>
              </c:numCache>
            </c:numRef>
          </c:val>
          <c:extLst>
            <c:ext xmlns:c16="http://schemas.microsoft.com/office/drawing/2014/chart" uri="{C3380CC4-5D6E-409C-BE32-E72D297353CC}">
              <c16:uniqueId val="{00000002-1197-4232-B964-670C19039A36}"/>
            </c:ext>
          </c:extLst>
        </c:ser>
        <c:dLbls>
          <c:showLegendKey val="0"/>
          <c:showVal val="0"/>
          <c:showCatName val="0"/>
          <c:showSerName val="0"/>
          <c:showPercent val="0"/>
          <c:showBubbleSize val="0"/>
        </c:dLbls>
        <c:gapWidth val="75"/>
        <c:axId val="569014528"/>
        <c:axId val="569011576"/>
      </c:barChart>
      <c:catAx>
        <c:axId val="5690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11576"/>
        <c:crosses val="autoZero"/>
        <c:auto val="1"/>
        <c:lblAlgn val="ctr"/>
        <c:lblOffset val="100"/>
        <c:noMultiLvlLbl val="0"/>
      </c:catAx>
      <c:valAx>
        <c:axId val="569011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14528"/>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Column!$B$47</c:f>
              <c:strCache>
                <c:ptCount val="1"/>
                <c:pt idx="0">
                  <c:v>Series 1</c:v>
                </c:pt>
              </c:strCache>
            </c:strRef>
          </c:tx>
          <c:spPr>
            <a:solidFill>
              <a:srgbClr val="20B9A3"/>
            </a:solidFill>
            <a:ln>
              <a:noFill/>
            </a:ln>
            <a:effectLst/>
          </c:spPr>
          <c:invertIfNegative val="0"/>
          <c:dPt>
            <c:idx val="3"/>
            <c:invertIfNegative val="0"/>
            <c:bubble3D val="0"/>
            <c:spPr>
              <a:solidFill>
                <a:srgbClr val="20B9A3"/>
              </a:solidFill>
              <a:ln>
                <a:noFill/>
              </a:ln>
              <a:effectLst/>
            </c:spPr>
            <c:extLst>
              <c:ext xmlns:c16="http://schemas.microsoft.com/office/drawing/2014/chart" uri="{C3380CC4-5D6E-409C-BE32-E72D297353CC}">
                <c16:uniqueId val="{00000001-6E4D-4C4F-B8F9-C4B5122B450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Column!$A$48:$A$50</c:f>
              <c:strCache>
                <c:ptCount val="3"/>
                <c:pt idx="0">
                  <c:v>By email</c:v>
                </c:pt>
                <c:pt idx="1">
                  <c:v>By both mail and email</c:v>
                </c:pt>
                <c:pt idx="2">
                  <c:v>By mail</c:v>
                </c:pt>
              </c:strCache>
            </c:strRef>
          </c:cat>
          <c:val>
            <c:numRef>
              <c:f>Column!$B$48:$B$50</c:f>
              <c:numCache>
                <c:formatCode>General</c:formatCode>
                <c:ptCount val="3"/>
                <c:pt idx="0">
                  <c:v>54</c:v>
                </c:pt>
                <c:pt idx="1">
                  <c:v>33</c:v>
                </c:pt>
                <c:pt idx="2">
                  <c:v>13</c:v>
                </c:pt>
              </c:numCache>
            </c:numRef>
          </c:val>
          <c:extLst>
            <c:ext xmlns:c16="http://schemas.microsoft.com/office/drawing/2014/chart" uri="{C3380CC4-5D6E-409C-BE32-E72D297353CC}">
              <c16:uniqueId val="{00000002-6E4D-4C4F-B8F9-C4B5122B4507}"/>
            </c:ext>
          </c:extLst>
        </c:ser>
        <c:dLbls>
          <c:showLegendKey val="0"/>
          <c:showVal val="0"/>
          <c:showCatName val="0"/>
          <c:showSerName val="0"/>
          <c:showPercent val="0"/>
          <c:showBubbleSize val="0"/>
        </c:dLbls>
        <c:gapWidth val="75"/>
        <c:axId val="569014528"/>
        <c:axId val="569011576"/>
      </c:barChart>
      <c:catAx>
        <c:axId val="5690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11576"/>
        <c:crosses val="autoZero"/>
        <c:auto val="1"/>
        <c:lblAlgn val="ctr"/>
        <c:lblOffset val="100"/>
        <c:noMultiLvlLbl val="0"/>
      </c:catAx>
      <c:valAx>
        <c:axId val="569011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14528"/>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242712100786881E-2"/>
          <c:y val="0.14938665848808907"/>
          <c:w val="0.92831122689260537"/>
          <c:h val="0.82516813919054877"/>
        </c:manualLayout>
      </c:layout>
      <c:barChart>
        <c:barDir val="bar"/>
        <c:grouping val="clustered"/>
        <c:varyColors val="0"/>
        <c:ser>
          <c:idx val="1"/>
          <c:order val="0"/>
          <c:tx>
            <c:strRef>
              <c:f>'Bar (single series)'!$B$87</c:f>
              <c:strCache>
                <c:ptCount val="1"/>
                <c:pt idx="0">
                  <c:v>Series 1</c:v>
                </c:pt>
              </c:strCache>
            </c:strRef>
          </c:tx>
          <c:spPr>
            <a:solidFill>
              <a:schemeClr val="bg2"/>
            </a:solidFill>
          </c:spPr>
          <c:invertIfNegative val="0"/>
          <c:dPt>
            <c:idx val="0"/>
            <c:invertIfNegative val="0"/>
            <c:bubble3D val="0"/>
            <c:spPr>
              <a:solidFill>
                <a:srgbClr val="20B9A3"/>
              </a:solidFill>
            </c:spPr>
            <c:extLst>
              <c:ext xmlns:c16="http://schemas.microsoft.com/office/drawing/2014/chart" uri="{C3380CC4-5D6E-409C-BE32-E72D297353CC}">
                <c16:uniqueId val="{00000001-8C5B-43C3-8C2F-353B0CAED769}"/>
              </c:ext>
            </c:extLst>
          </c:dPt>
          <c:dPt>
            <c:idx val="3"/>
            <c:invertIfNegative val="0"/>
            <c:bubble3D val="0"/>
            <c:spPr>
              <a:solidFill>
                <a:srgbClr val="6D6E71"/>
              </a:solidFill>
            </c:spPr>
            <c:extLst>
              <c:ext xmlns:c16="http://schemas.microsoft.com/office/drawing/2014/chart" uri="{C3380CC4-5D6E-409C-BE32-E72D297353CC}">
                <c16:uniqueId val="{00000003-8C5B-43C3-8C2F-353B0CAED769}"/>
              </c:ext>
            </c:extLst>
          </c:dPt>
          <c:dLbls>
            <c:spPr>
              <a:noFill/>
              <a:ln>
                <a:noFill/>
              </a:ln>
              <a:effectLst/>
            </c:spPr>
            <c:txPr>
              <a:bodyPr wrap="square" lIns="38100" tIns="19050" rIns="38100" bIns="19050" anchor="ctr" anchorCtr="0">
                <a:spAutoFit/>
              </a:bodyPr>
              <a:lstStyle/>
              <a:p>
                <a:pPr algn="ctr">
                  <a:defRPr sz="9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'Bar (single series)'!$A$88:$A$91</c:f>
              <c:strCache>
                <c:ptCount val="4"/>
                <c:pt idx="0">
                  <c:v>Easy to use</c:v>
                </c:pt>
                <c:pt idx="1">
                  <c:v>Free</c:v>
                </c:pt>
                <c:pt idx="2">
                  <c:v>Independent source</c:v>
                </c:pt>
                <c:pt idx="3">
                  <c:v>Personalised</c:v>
                </c:pt>
              </c:strCache>
            </c:strRef>
          </c:cat>
          <c:val>
            <c:numRef>
              <c:f>'Bar (single series)'!$B$88:$B$91</c:f>
              <c:numCache>
                <c:formatCode>General</c:formatCode>
                <c:ptCount val="4"/>
                <c:pt idx="0">
                  <c:v>83</c:v>
                </c:pt>
                <c:pt idx="1">
                  <c:v>83</c:v>
                </c:pt>
                <c:pt idx="2">
                  <c:v>76</c:v>
                </c:pt>
                <c:pt idx="3">
                  <c:v>68</c:v>
                </c:pt>
              </c:numCache>
            </c:numRef>
          </c:val>
          <c:extLst>
            <c:ext xmlns:c16="http://schemas.microsoft.com/office/drawing/2014/chart" uri="{C3380CC4-5D6E-409C-BE32-E72D297353CC}">
              <c16:uniqueId val="{00000004-8C5B-43C3-8C2F-353B0CAED769}"/>
            </c:ext>
          </c:extLst>
        </c:ser>
        <c:dLbls>
          <c:dLblPos val="inEnd"/>
          <c:showLegendKey val="0"/>
          <c:showVal val="1"/>
          <c:showCatName val="0"/>
          <c:showSerName val="0"/>
          <c:showPercent val="0"/>
          <c:showBubbleSize val="0"/>
        </c:dLbls>
        <c:gapWidth val="26"/>
        <c:axId val="219414912"/>
        <c:axId val="219416832"/>
      </c:barChart>
      <c:catAx>
        <c:axId val="219414912"/>
        <c:scaling>
          <c:orientation val="maxMin"/>
        </c:scaling>
        <c:delete val="1"/>
        <c:axPos val="l"/>
        <c:numFmt formatCode="General" sourceLinked="0"/>
        <c:majorTickMark val="none"/>
        <c:minorTickMark val="none"/>
        <c:tickLblPos val="nextTo"/>
        <c:crossAx val="219416832"/>
        <c:crosses val="autoZero"/>
        <c:auto val="1"/>
        <c:lblAlgn val="ctr"/>
        <c:lblOffset val="200"/>
        <c:noMultiLvlLbl val="0"/>
      </c:catAx>
      <c:valAx>
        <c:axId val="219416832"/>
        <c:scaling>
          <c:orientation val="minMax"/>
        </c:scaling>
        <c:delete val="0"/>
        <c:axPos val="t"/>
        <c:title>
          <c:tx>
            <c:rich>
              <a:bodyPr/>
              <a:lstStyle/>
              <a:p>
                <a:pPr>
                  <a:defRPr sz="900" b="0">
                    <a:solidFill>
                      <a:schemeClr val="tx1">
                        <a:lumMod val="65000"/>
                        <a:lumOff val="35000"/>
                      </a:schemeClr>
                    </a:solidFill>
                  </a:defRPr>
                </a:pPr>
                <a:r>
                  <a:rPr lang="en-AU" sz="900" b="1">
                    <a:solidFill>
                      <a:schemeClr val="tx1">
                        <a:lumMod val="65000"/>
                        <a:lumOff val="35000"/>
                      </a:schemeClr>
                    </a:solidFill>
                  </a:rPr>
                  <a:t>percent</a:t>
                </a:r>
              </a:p>
            </c:rich>
          </c:tx>
          <c:layout>
            <c:manualLayout>
              <c:xMode val="edge"/>
              <c:yMode val="edge"/>
              <c:x val="0.46646714357209851"/>
              <c:y val="2.4057057085630822E-2"/>
            </c:manualLayout>
          </c:layout>
          <c:overlay val="0"/>
        </c:title>
        <c:numFmt formatCode="General" sourceLinked="1"/>
        <c:majorTickMark val="out"/>
        <c:minorTickMark val="none"/>
        <c:tickLblPos val="nextTo"/>
        <c:spPr>
          <a:ln>
            <a:solidFill>
              <a:schemeClr val="bg1">
                <a:lumMod val="75000"/>
              </a:schemeClr>
            </a:solidFill>
          </a:ln>
        </c:spPr>
        <c:txPr>
          <a:bodyPr/>
          <a:lstStyle/>
          <a:p>
            <a:pPr>
              <a:defRPr sz="900">
                <a:solidFill>
                  <a:schemeClr val="tx1">
                    <a:lumMod val="65000"/>
                    <a:lumOff val="35000"/>
                  </a:schemeClr>
                </a:solidFill>
              </a:defRPr>
            </a:pPr>
            <a:endParaRPr lang="en-US"/>
          </a:p>
        </c:txPr>
        <c:crossAx val="219414912"/>
        <c:crosses val="autoZero"/>
        <c:crossBetween val="between"/>
        <c:majorUnit val="10"/>
      </c:valAx>
    </c:plotArea>
    <c:legend>
      <c:legendPos val="l"/>
      <c:layout>
        <c:manualLayout>
          <c:xMode val="edge"/>
          <c:yMode val="edge"/>
          <c:x val="0.16553235346716103"/>
          <c:y val="0.14531000573664066"/>
          <c:w val="0.35532853744421955"/>
          <c:h val="0.822213690996769"/>
        </c:manualLayout>
      </c:layout>
      <c:overlay val="0"/>
      <c:spPr>
        <a:noFill/>
        <a:ln>
          <a:noFill/>
        </a:ln>
      </c:spPr>
      <c:txPr>
        <a:bodyPr/>
        <a:lstStyle/>
        <a:p>
          <a:pPr>
            <a:defRPr sz="900" b="1">
              <a:solidFill>
                <a:schemeClr val="bg1"/>
              </a:solidFill>
            </a:defRPr>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242712100786881E-2"/>
          <c:y val="0.14938665848808907"/>
          <c:w val="0.92831122689260537"/>
          <c:h val="0.82516813919054877"/>
        </c:manualLayout>
      </c:layout>
      <c:barChart>
        <c:barDir val="bar"/>
        <c:grouping val="clustered"/>
        <c:varyColors val="0"/>
        <c:ser>
          <c:idx val="1"/>
          <c:order val="0"/>
          <c:tx>
            <c:strRef>
              <c:f>'Bar (single series)'!$B$33</c:f>
              <c:strCache>
                <c:ptCount val="1"/>
                <c:pt idx="0">
                  <c:v>Series 1</c:v>
                </c:pt>
              </c:strCache>
            </c:strRef>
          </c:tx>
          <c:spPr>
            <a:solidFill>
              <a:schemeClr val="bg2"/>
            </a:solidFill>
          </c:spPr>
          <c:invertIfNegative val="0"/>
          <c:dPt>
            <c:idx val="0"/>
            <c:invertIfNegative val="0"/>
            <c:bubble3D val="0"/>
            <c:spPr>
              <a:solidFill>
                <a:srgbClr val="20B9A3"/>
              </a:solidFill>
            </c:spPr>
            <c:extLst>
              <c:ext xmlns:c16="http://schemas.microsoft.com/office/drawing/2014/chart" uri="{C3380CC4-5D6E-409C-BE32-E72D297353CC}">
                <c16:uniqueId val="{00000001-4819-42D5-9332-F73635B07404}"/>
              </c:ext>
            </c:extLst>
          </c:dPt>
          <c:dPt>
            <c:idx val="3"/>
            <c:invertIfNegative val="0"/>
            <c:bubble3D val="0"/>
            <c:spPr>
              <a:solidFill>
                <a:srgbClr val="6D6E71"/>
              </a:solidFill>
            </c:spPr>
            <c:extLst>
              <c:ext xmlns:c16="http://schemas.microsoft.com/office/drawing/2014/chart" uri="{C3380CC4-5D6E-409C-BE32-E72D297353CC}">
                <c16:uniqueId val="{00000003-4819-42D5-9332-F73635B07404}"/>
              </c:ext>
            </c:extLst>
          </c:dPt>
          <c:dLbls>
            <c:spPr>
              <a:noFill/>
              <a:ln>
                <a:noFill/>
              </a:ln>
              <a:effectLst/>
            </c:spPr>
            <c:txPr>
              <a:bodyPr wrap="square" lIns="38100" tIns="19050" rIns="38100" bIns="19050" anchor="ctr" anchorCtr="0">
                <a:spAutoFit/>
              </a:bodyPr>
              <a:lstStyle/>
              <a:p>
                <a:pPr algn="ctr">
                  <a:defRPr sz="9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'Bar (single series)'!$A$34:$A$42</c:f>
              <c:strCache>
                <c:ptCount val="9"/>
                <c:pt idx="0">
                  <c:v>Letter from super fund</c:v>
                </c:pt>
                <c:pt idx="1">
                  <c:v>Message in myGov</c:v>
                </c:pt>
                <c:pt idx="2">
                  <c:v>Email from Government</c:v>
                </c:pt>
                <c:pt idx="3">
                  <c:v>Reminder with tax return</c:v>
                </c:pt>
                <c:pt idx="4">
                  <c:v>SMS from super fund</c:v>
                </c:pt>
                <c:pt idx="5">
                  <c:v>Letter from Government</c:v>
                </c:pt>
                <c:pt idx="6">
                  <c:v>SMS from ATO</c:v>
                </c:pt>
                <c:pt idx="7">
                  <c:v>Via trad media</c:v>
                </c:pt>
                <c:pt idx="8">
                  <c:v>Don't want to be reminded</c:v>
                </c:pt>
              </c:strCache>
            </c:strRef>
          </c:cat>
          <c:val>
            <c:numRef>
              <c:f>'Bar (single series)'!$B$34:$B$42</c:f>
              <c:numCache>
                <c:formatCode>General</c:formatCode>
                <c:ptCount val="9"/>
                <c:pt idx="0">
                  <c:v>39</c:v>
                </c:pt>
                <c:pt idx="1">
                  <c:v>33</c:v>
                </c:pt>
                <c:pt idx="2">
                  <c:v>31</c:v>
                </c:pt>
                <c:pt idx="3">
                  <c:v>29</c:v>
                </c:pt>
                <c:pt idx="4">
                  <c:v>28</c:v>
                </c:pt>
                <c:pt idx="5">
                  <c:v>23</c:v>
                </c:pt>
                <c:pt idx="6">
                  <c:v>20</c:v>
                </c:pt>
                <c:pt idx="7">
                  <c:v>17</c:v>
                </c:pt>
                <c:pt idx="8">
                  <c:v>5</c:v>
                </c:pt>
              </c:numCache>
            </c:numRef>
          </c:val>
          <c:extLst>
            <c:ext xmlns:c16="http://schemas.microsoft.com/office/drawing/2014/chart" uri="{C3380CC4-5D6E-409C-BE32-E72D297353CC}">
              <c16:uniqueId val="{00000004-4819-42D5-9332-F73635B07404}"/>
            </c:ext>
          </c:extLst>
        </c:ser>
        <c:dLbls>
          <c:dLblPos val="inEnd"/>
          <c:showLegendKey val="0"/>
          <c:showVal val="1"/>
          <c:showCatName val="0"/>
          <c:showSerName val="0"/>
          <c:showPercent val="0"/>
          <c:showBubbleSize val="0"/>
        </c:dLbls>
        <c:gapWidth val="26"/>
        <c:axId val="219414912"/>
        <c:axId val="219416832"/>
      </c:barChart>
      <c:catAx>
        <c:axId val="219414912"/>
        <c:scaling>
          <c:orientation val="maxMin"/>
        </c:scaling>
        <c:delete val="1"/>
        <c:axPos val="l"/>
        <c:numFmt formatCode="General" sourceLinked="0"/>
        <c:majorTickMark val="none"/>
        <c:minorTickMark val="none"/>
        <c:tickLblPos val="nextTo"/>
        <c:crossAx val="219416832"/>
        <c:crosses val="autoZero"/>
        <c:auto val="1"/>
        <c:lblAlgn val="ctr"/>
        <c:lblOffset val="200"/>
        <c:noMultiLvlLbl val="0"/>
      </c:catAx>
      <c:valAx>
        <c:axId val="219416832"/>
        <c:scaling>
          <c:orientation val="minMax"/>
        </c:scaling>
        <c:delete val="0"/>
        <c:axPos val="t"/>
        <c:title>
          <c:tx>
            <c:rich>
              <a:bodyPr/>
              <a:lstStyle/>
              <a:p>
                <a:pPr>
                  <a:defRPr sz="900" b="0">
                    <a:solidFill>
                      <a:schemeClr val="tx1">
                        <a:lumMod val="65000"/>
                        <a:lumOff val="35000"/>
                      </a:schemeClr>
                    </a:solidFill>
                  </a:defRPr>
                </a:pPr>
                <a:r>
                  <a:rPr lang="en-AU" sz="900" b="1">
                    <a:solidFill>
                      <a:schemeClr val="tx1">
                        <a:lumMod val="65000"/>
                        <a:lumOff val="35000"/>
                      </a:schemeClr>
                    </a:solidFill>
                  </a:rPr>
                  <a:t>percent</a:t>
                </a:r>
              </a:p>
            </c:rich>
          </c:tx>
          <c:layout>
            <c:manualLayout>
              <c:xMode val="edge"/>
              <c:yMode val="edge"/>
              <c:x val="0.46646714357209851"/>
              <c:y val="2.4057057085630822E-2"/>
            </c:manualLayout>
          </c:layout>
          <c:overlay val="0"/>
        </c:title>
        <c:numFmt formatCode="General" sourceLinked="1"/>
        <c:majorTickMark val="out"/>
        <c:minorTickMark val="none"/>
        <c:tickLblPos val="nextTo"/>
        <c:spPr>
          <a:ln>
            <a:solidFill>
              <a:schemeClr val="bg1">
                <a:lumMod val="75000"/>
              </a:schemeClr>
            </a:solidFill>
          </a:ln>
        </c:spPr>
        <c:txPr>
          <a:bodyPr/>
          <a:lstStyle/>
          <a:p>
            <a:pPr>
              <a:defRPr sz="900">
                <a:solidFill>
                  <a:schemeClr val="tx1">
                    <a:lumMod val="65000"/>
                    <a:lumOff val="35000"/>
                  </a:schemeClr>
                </a:solidFill>
              </a:defRPr>
            </a:pPr>
            <a:endParaRPr lang="en-US"/>
          </a:p>
        </c:txPr>
        <c:crossAx val="219414912"/>
        <c:crosses val="autoZero"/>
        <c:crossBetween val="between"/>
        <c:majorUnit val="10"/>
      </c:valAx>
    </c:plotArea>
    <c:legend>
      <c:legendPos val="l"/>
      <c:legendEntry>
        <c:idx val="8"/>
        <c:txPr>
          <a:bodyPr/>
          <a:lstStyle/>
          <a:p>
            <a:pPr>
              <a:defRPr sz="900" b="1">
                <a:solidFill>
                  <a:sysClr val="windowText" lastClr="000000"/>
                </a:solidFill>
              </a:defRPr>
            </a:pPr>
            <a:endParaRPr lang="en-US"/>
          </a:p>
        </c:txPr>
      </c:legendEntry>
      <c:layout>
        <c:manualLayout>
          <c:xMode val="edge"/>
          <c:yMode val="edge"/>
          <c:x val="7.7897578102193415E-2"/>
          <c:y val="0.14866430298759595"/>
          <c:w val="0.35532853744421955"/>
          <c:h val="0.822213690996769"/>
        </c:manualLayout>
      </c:layout>
      <c:overlay val="0"/>
      <c:spPr>
        <a:noFill/>
        <a:ln>
          <a:noFill/>
        </a:ln>
      </c:spPr>
      <c:txPr>
        <a:bodyPr/>
        <a:lstStyle/>
        <a:p>
          <a:pPr>
            <a:defRPr sz="900" b="1">
              <a:solidFill>
                <a:schemeClr val="bg1"/>
              </a:solidFill>
            </a:defRPr>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242712100786881E-2"/>
          <c:y val="0.14938665848808907"/>
          <c:w val="0.92831122689260537"/>
          <c:h val="0.82516813919054877"/>
        </c:manualLayout>
      </c:layout>
      <c:barChart>
        <c:barDir val="bar"/>
        <c:grouping val="clustered"/>
        <c:varyColors val="0"/>
        <c:ser>
          <c:idx val="1"/>
          <c:order val="0"/>
          <c:tx>
            <c:strRef>
              <c:f>'Bar (single series)'!$B$59</c:f>
              <c:strCache>
                <c:ptCount val="1"/>
                <c:pt idx="0">
                  <c:v>Series 1</c:v>
                </c:pt>
              </c:strCache>
            </c:strRef>
          </c:tx>
          <c:spPr>
            <a:solidFill>
              <a:schemeClr val="bg2"/>
            </a:solidFill>
          </c:spPr>
          <c:invertIfNegative val="0"/>
          <c:dPt>
            <c:idx val="0"/>
            <c:invertIfNegative val="0"/>
            <c:bubble3D val="0"/>
            <c:spPr>
              <a:solidFill>
                <a:srgbClr val="20B9A3"/>
              </a:solidFill>
            </c:spPr>
            <c:extLst>
              <c:ext xmlns:c16="http://schemas.microsoft.com/office/drawing/2014/chart" uri="{C3380CC4-5D6E-409C-BE32-E72D297353CC}">
                <c16:uniqueId val="{00000001-2FA7-4541-83A8-C5C41DE60101}"/>
              </c:ext>
            </c:extLst>
          </c:dPt>
          <c:dPt>
            <c:idx val="3"/>
            <c:invertIfNegative val="0"/>
            <c:bubble3D val="0"/>
            <c:spPr>
              <a:solidFill>
                <a:srgbClr val="6D6E71"/>
              </a:solidFill>
            </c:spPr>
            <c:extLst>
              <c:ext xmlns:c16="http://schemas.microsoft.com/office/drawing/2014/chart" uri="{C3380CC4-5D6E-409C-BE32-E72D297353CC}">
                <c16:uniqueId val="{00000003-2FA7-4541-83A8-C5C41DE60101}"/>
              </c:ext>
            </c:extLst>
          </c:dPt>
          <c:dLbls>
            <c:dLbl>
              <c:idx val="5"/>
              <c:spPr>
                <a:noFill/>
                <a:ln>
                  <a:noFill/>
                </a:ln>
                <a:effectLst/>
              </c:spPr>
              <c:txPr>
                <a:bodyPr wrap="square" lIns="38100" tIns="19050" rIns="38100" bIns="19050" anchor="ctr" anchorCtr="0">
                  <a:spAutoFit/>
                </a:bodyPr>
                <a:lstStyle/>
                <a:p>
                  <a:pPr algn="ctr">
                    <a:defRPr sz="900" b="1">
                      <a:solidFill>
                        <a:sysClr val="windowText" lastClr="00000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105F-44F2-9BD7-47BF801139D9}"/>
                </c:ext>
              </c:extLst>
            </c:dLbl>
            <c:spPr>
              <a:noFill/>
              <a:ln>
                <a:noFill/>
              </a:ln>
              <a:effectLst/>
            </c:spPr>
            <c:txPr>
              <a:bodyPr wrap="square" lIns="38100" tIns="19050" rIns="38100" bIns="19050" anchor="ctr" anchorCtr="0">
                <a:spAutoFit/>
              </a:bodyPr>
              <a:lstStyle/>
              <a:p>
                <a:pPr algn="ctr">
                  <a:defRPr sz="9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'Bar (single series)'!$A$60:$A$64</c:f>
              <c:strCache>
                <c:ptCount val="5"/>
                <c:pt idx="0">
                  <c:v>A small change now can mean a big difference in retirement</c:v>
                </c:pt>
                <c:pt idx="1">
                  <c:v>Make your super work harder for you</c:v>
                </c:pt>
                <c:pt idx="2">
                  <c:v>Make the most of your super</c:v>
                </c:pt>
                <c:pt idx="3">
                  <c:v>Take control of your super</c:v>
                </c:pt>
                <c:pt idx="4">
                  <c:v>None of the above</c:v>
                </c:pt>
              </c:strCache>
            </c:strRef>
          </c:cat>
          <c:val>
            <c:numRef>
              <c:f>'Bar (single series)'!$B$60:$B$64</c:f>
              <c:numCache>
                <c:formatCode>General</c:formatCode>
                <c:ptCount val="5"/>
                <c:pt idx="0">
                  <c:v>28</c:v>
                </c:pt>
                <c:pt idx="1">
                  <c:v>24</c:v>
                </c:pt>
                <c:pt idx="2">
                  <c:v>22</c:v>
                </c:pt>
                <c:pt idx="3">
                  <c:v>20</c:v>
                </c:pt>
                <c:pt idx="4">
                  <c:v>5</c:v>
                </c:pt>
              </c:numCache>
            </c:numRef>
          </c:val>
          <c:extLst>
            <c:ext xmlns:c16="http://schemas.microsoft.com/office/drawing/2014/chart" uri="{C3380CC4-5D6E-409C-BE32-E72D297353CC}">
              <c16:uniqueId val="{00000004-2FA7-4541-83A8-C5C41DE60101}"/>
            </c:ext>
          </c:extLst>
        </c:ser>
        <c:dLbls>
          <c:dLblPos val="inEnd"/>
          <c:showLegendKey val="0"/>
          <c:showVal val="1"/>
          <c:showCatName val="0"/>
          <c:showSerName val="0"/>
          <c:showPercent val="0"/>
          <c:showBubbleSize val="0"/>
        </c:dLbls>
        <c:gapWidth val="26"/>
        <c:axId val="219414912"/>
        <c:axId val="219416832"/>
      </c:barChart>
      <c:catAx>
        <c:axId val="219414912"/>
        <c:scaling>
          <c:orientation val="maxMin"/>
        </c:scaling>
        <c:delete val="1"/>
        <c:axPos val="l"/>
        <c:numFmt formatCode="General" sourceLinked="0"/>
        <c:majorTickMark val="none"/>
        <c:minorTickMark val="none"/>
        <c:tickLblPos val="nextTo"/>
        <c:crossAx val="219416832"/>
        <c:crosses val="autoZero"/>
        <c:auto val="1"/>
        <c:lblAlgn val="ctr"/>
        <c:lblOffset val="200"/>
        <c:noMultiLvlLbl val="0"/>
      </c:catAx>
      <c:valAx>
        <c:axId val="219416832"/>
        <c:scaling>
          <c:orientation val="minMax"/>
        </c:scaling>
        <c:delete val="0"/>
        <c:axPos val="t"/>
        <c:title>
          <c:tx>
            <c:rich>
              <a:bodyPr/>
              <a:lstStyle/>
              <a:p>
                <a:pPr>
                  <a:defRPr sz="900" b="0">
                    <a:solidFill>
                      <a:schemeClr val="tx1">
                        <a:lumMod val="65000"/>
                        <a:lumOff val="35000"/>
                      </a:schemeClr>
                    </a:solidFill>
                  </a:defRPr>
                </a:pPr>
                <a:r>
                  <a:rPr lang="en-AU" sz="900" b="1">
                    <a:solidFill>
                      <a:schemeClr val="tx1">
                        <a:lumMod val="65000"/>
                        <a:lumOff val="35000"/>
                      </a:schemeClr>
                    </a:solidFill>
                  </a:rPr>
                  <a:t>percent</a:t>
                </a:r>
              </a:p>
            </c:rich>
          </c:tx>
          <c:layout>
            <c:manualLayout>
              <c:xMode val="edge"/>
              <c:yMode val="edge"/>
              <c:x val="0.46646714357209851"/>
              <c:y val="2.4057057085630822E-2"/>
            </c:manualLayout>
          </c:layout>
          <c:overlay val="0"/>
        </c:title>
        <c:numFmt formatCode="General" sourceLinked="1"/>
        <c:majorTickMark val="out"/>
        <c:minorTickMark val="none"/>
        <c:tickLblPos val="nextTo"/>
        <c:spPr>
          <a:ln>
            <a:solidFill>
              <a:schemeClr val="bg1">
                <a:lumMod val="75000"/>
              </a:schemeClr>
            </a:solidFill>
          </a:ln>
        </c:spPr>
        <c:txPr>
          <a:bodyPr/>
          <a:lstStyle/>
          <a:p>
            <a:pPr>
              <a:defRPr sz="900">
                <a:solidFill>
                  <a:schemeClr val="tx1">
                    <a:lumMod val="65000"/>
                    <a:lumOff val="35000"/>
                  </a:schemeClr>
                </a:solidFill>
              </a:defRPr>
            </a:pPr>
            <a:endParaRPr lang="en-US"/>
          </a:p>
        </c:txPr>
        <c:crossAx val="219414912"/>
        <c:crosses val="autoZero"/>
        <c:crossBetween val="between"/>
        <c:majorUnit val="10"/>
      </c:valAx>
    </c:plotArea>
    <c:legend>
      <c:legendPos val="l"/>
      <c:legendEntry>
        <c:idx val="4"/>
        <c:txPr>
          <a:bodyPr/>
          <a:lstStyle/>
          <a:p>
            <a:pPr>
              <a:defRPr sz="900" b="1">
                <a:solidFill>
                  <a:sysClr val="windowText" lastClr="000000"/>
                </a:solidFill>
              </a:defRPr>
            </a:pPr>
            <a:endParaRPr lang="en-US"/>
          </a:p>
        </c:txPr>
      </c:legendEntry>
      <c:layout>
        <c:manualLayout>
          <c:xMode val="edge"/>
          <c:yMode val="edge"/>
          <c:x val="0.16553235346716103"/>
          <c:y val="0.14531000573664066"/>
          <c:w val="0.35289392842936629"/>
          <c:h val="0.84462620216753359"/>
        </c:manualLayout>
      </c:layout>
      <c:overlay val="0"/>
      <c:spPr>
        <a:noFill/>
        <a:ln>
          <a:noFill/>
        </a:ln>
      </c:spPr>
      <c:txPr>
        <a:bodyPr/>
        <a:lstStyle/>
        <a:p>
          <a:pPr>
            <a:defRPr sz="900" b="1">
              <a:solidFill>
                <a:schemeClr val="bg1"/>
              </a:solidFill>
            </a:defRPr>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0.27495</cdr:x>
      <cdr:y>0.66014</cdr:y>
    </cdr:from>
    <cdr:to>
      <cdr:x>0.39554</cdr:x>
      <cdr:y>0.72182</cdr:y>
    </cdr:to>
    <cdr:sp macro="" textlink="">
      <cdr:nvSpPr>
        <cdr:cNvPr id="3" name="TextBox 1"/>
        <cdr:cNvSpPr txBox="1"/>
      </cdr:nvSpPr>
      <cdr:spPr>
        <a:xfrm xmlns:a="http://schemas.openxmlformats.org/drawingml/2006/main">
          <a:off x="1447800" y="2463800"/>
          <a:ext cx="635000" cy="2301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solidFill>
                <a:schemeClr val="bg1"/>
              </a:solidFill>
            </a:rPr>
            <a:t>Series 2</a:t>
          </a:r>
        </a:p>
      </cdr:txBody>
    </cdr:sp>
  </cdr:relSizeAnchor>
</c:userShape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8">
    <a:dk1>
      <a:srgbClr val="000000"/>
    </a:dk1>
    <a:lt1>
      <a:sysClr val="window" lastClr="FFFFFF"/>
    </a:lt1>
    <a:dk2>
      <a:srgbClr val="000000"/>
    </a:dk2>
    <a:lt2>
      <a:srgbClr val="6D6E71"/>
    </a:lt2>
    <a:accent1>
      <a:srgbClr val="20B9A3"/>
    </a:accent1>
    <a:accent2>
      <a:srgbClr val="117479"/>
    </a:accent2>
    <a:accent3>
      <a:srgbClr val="142E3B"/>
    </a:accent3>
    <a:accent4>
      <a:srgbClr val="AA338A"/>
    </a:accent4>
    <a:accent5>
      <a:srgbClr val="4C255E"/>
    </a:accent5>
    <a:accent6>
      <a:srgbClr val="D21E32"/>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8">
    <a:dk1>
      <a:srgbClr val="000000"/>
    </a:dk1>
    <a:lt1>
      <a:sysClr val="window" lastClr="FFFFFF"/>
    </a:lt1>
    <a:dk2>
      <a:srgbClr val="000000"/>
    </a:dk2>
    <a:lt2>
      <a:srgbClr val="6D6E71"/>
    </a:lt2>
    <a:accent1>
      <a:srgbClr val="20B9A3"/>
    </a:accent1>
    <a:accent2>
      <a:srgbClr val="117479"/>
    </a:accent2>
    <a:accent3>
      <a:srgbClr val="142E3B"/>
    </a:accent3>
    <a:accent4>
      <a:srgbClr val="AA338A"/>
    </a:accent4>
    <a:accent5>
      <a:srgbClr val="4C255E"/>
    </a:accent5>
    <a:accent6>
      <a:srgbClr val="D21E32"/>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8">
    <a:dk1>
      <a:srgbClr val="000000"/>
    </a:dk1>
    <a:lt1>
      <a:sysClr val="window" lastClr="FFFFFF"/>
    </a:lt1>
    <a:dk2>
      <a:srgbClr val="000000"/>
    </a:dk2>
    <a:lt2>
      <a:srgbClr val="6D6E71"/>
    </a:lt2>
    <a:accent1>
      <a:srgbClr val="20B9A3"/>
    </a:accent1>
    <a:accent2>
      <a:srgbClr val="117479"/>
    </a:accent2>
    <a:accent3>
      <a:srgbClr val="142E3B"/>
    </a:accent3>
    <a:accent4>
      <a:srgbClr val="AA338A"/>
    </a:accent4>
    <a:accent5>
      <a:srgbClr val="4C255E"/>
    </a:accent5>
    <a:accent6>
      <a:srgbClr val="D21E32"/>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8">
    <a:dk1>
      <a:srgbClr val="000000"/>
    </a:dk1>
    <a:lt1>
      <a:sysClr val="window" lastClr="FFFFFF"/>
    </a:lt1>
    <a:dk2>
      <a:srgbClr val="000000"/>
    </a:dk2>
    <a:lt2>
      <a:srgbClr val="6D6E71"/>
    </a:lt2>
    <a:accent1>
      <a:srgbClr val="20B9A3"/>
    </a:accent1>
    <a:accent2>
      <a:srgbClr val="117479"/>
    </a:accent2>
    <a:accent3>
      <a:srgbClr val="142E3B"/>
    </a:accent3>
    <a:accent4>
      <a:srgbClr val="AA338A"/>
    </a:accent4>
    <a:accent5>
      <a:srgbClr val="4C255E"/>
    </a:accent5>
    <a:accent6>
      <a:srgbClr val="D21E32"/>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8">
    <a:dk1>
      <a:srgbClr val="000000"/>
    </a:dk1>
    <a:lt1>
      <a:sysClr val="window" lastClr="FFFFFF"/>
    </a:lt1>
    <a:dk2>
      <a:srgbClr val="000000"/>
    </a:dk2>
    <a:lt2>
      <a:srgbClr val="6D6E71"/>
    </a:lt2>
    <a:accent1>
      <a:srgbClr val="20B9A3"/>
    </a:accent1>
    <a:accent2>
      <a:srgbClr val="117479"/>
    </a:accent2>
    <a:accent3>
      <a:srgbClr val="142E3B"/>
    </a:accent3>
    <a:accent4>
      <a:srgbClr val="AA338A"/>
    </a:accent4>
    <a:accent5>
      <a:srgbClr val="4C255E"/>
    </a:accent5>
    <a:accent6>
      <a:srgbClr val="D21E32"/>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8">
    <a:dk1>
      <a:srgbClr val="000000"/>
    </a:dk1>
    <a:lt1>
      <a:sysClr val="window" lastClr="FFFFFF"/>
    </a:lt1>
    <a:dk2>
      <a:srgbClr val="000000"/>
    </a:dk2>
    <a:lt2>
      <a:srgbClr val="6D6E71"/>
    </a:lt2>
    <a:accent1>
      <a:srgbClr val="20B9A3"/>
    </a:accent1>
    <a:accent2>
      <a:srgbClr val="117479"/>
    </a:accent2>
    <a:accent3>
      <a:srgbClr val="142E3B"/>
    </a:accent3>
    <a:accent4>
      <a:srgbClr val="AA338A"/>
    </a:accent4>
    <a:accent5>
      <a:srgbClr val="4C255E"/>
    </a:accent5>
    <a:accent6>
      <a:srgbClr val="D21E32"/>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8">
    <a:dk1>
      <a:srgbClr val="000000"/>
    </a:dk1>
    <a:lt1>
      <a:sysClr val="window" lastClr="FFFFFF"/>
    </a:lt1>
    <a:dk2>
      <a:srgbClr val="000000"/>
    </a:dk2>
    <a:lt2>
      <a:srgbClr val="6D6E71"/>
    </a:lt2>
    <a:accent1>
      <a:srgbClr val="20B9A3"/>
    </a:accent1>
    <a:accent2>
      <a:srgbClr val="117479"/>
    </a:accent2>
    <a:accent3>
      <a:srgbClr val="142E3B"/>
    </a:accent3>
    <a:accent4>
      <a:srgbClr val="AA338A"/>
    </a:accent4>
    <a:accent5>
      <a:srgbClr val="4C255E"/>
    </a:accent5>
    <a:accent6>
      <a:srgbClr val="D21E32"/>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DOC22-268862</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PMCdoc-213507164-64622</_dlc_DocId>
    <_dlc_DocIdUrl xmlns="d0dfa800-9ef0-44cb-8a12-633e29de1e0b">
      <Url>https://pmc01.sharepoint.com/sites/pmc-ms-cb/_layouts/15/DocIdRedir.aspx?ID=PMCdoc-213507164-64622</Url>
      <Description>PMCdoc-213507164-64622</Description>
    </_dlc_DocIdUrl>
    <lcf76f155ced4ddcb4097134ff3c332f xmlns="631b17cb-7e05-4b62-a9e3-205a319fa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6E8AA1D-7A15-42C1-9535-1926A0712AA8}"/>
</file>

<file path=customXml/itemProps2.xml><?xml version="1.0" encoding="utf-8"?>
<ds:datastoreItem xmlns:ds="http://schemas.openxmlformats.org/officeDocument/2006/customXml" ds:itemID="{27997780-35F6-4A67-B9DC-6182FC99D462}">
  <ds:schemaRefs>
    <ds:schemaRef ds:uri="http://schemas.microsoft.com/sharepoint/v3/contenttype/forms"/>
  </ds:schemaRefs>
</ds:datastoreItem>
</file>

<file path=customXml/itemProps3.xml><?xml version="1.0" encoding="utf-8"?>
<ds:datastoreItem xmlns:ds="http://schemas.openxmlformats.org/officeDocument/2006/customXml" ds:itemID="{BA18660F-C1C4-4F81-8C47-1B00180F5F9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FA19765A-17A7-4275-8879-C6AFE41FCEB5}">
  <ds:schemaRefs>
    <ds:schemaRef ds:uri="http://schemas.openxmlformats.org/officeDocument/2006/bibliography"/>
  </ds:schemaRefs>
</ds:datastoreItem>
</file>

<file path=customXml/itemProps5.xml><?xml version="1.0" encoding="utf-8"?>
<ds:datastoreItem xmlns:ds="http://schemas.openxmlformats.org/officeDocument/2006/customXml" ds:itemID="{A0BBD36F-26A8-4576-A2A8-360E1055DBD2}"/>
</file>

<file path=docProps/app.xml><?xml version="1.0" encoding="utf-8"?>
<Properties xmlns="http://schemas.openxmlformats.org/officeDocument/2006/extended-properties" xmlns:vt="http://schemas.openxmlformats.org/officeDocument/2006/docPropsVTypes">
  <Template>Normal.dotm</Template>
  <TotalTime>0</TotalTime>
  <Pages>52</Pages>
  <Words>12716</Words>
  <Characters>68780</Characters>
  <Application>Microsoft Office Word</Application>
  <DocSecurity>0</DocSecurity>
  <Lines>573</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2022-09-30T00:22:00Z</dcterms:created>
  <dcterms:modified xsi:type="dcterms:W3CDTF">2022-10-03T22:39:00Z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Caveat">
    <vt:lpwstr/>
  </property>
  <property fmtid="{D5CDD505-2E9C-101B-9397-08002B2CF9AE}" pid="4" name="ESearchTags">
    <vt:lpwstr>39;#Election|4090d51f-fccc-4f41-80dd-86270166a8a3;#18;#Cabinet|84cba657-17c1-4642-9e59-a0df180c2be5</vt:lpwstr>
  </property>
  <property fmtid="{D5CDD505-2E9C-101B-9397-08002B2CF9AE}" pid="5" name="HPRMSecurityLevel">
    <vt:lpwstr>57;#OFFICIAL|11463c70-78df-4e3b-b0ff-f66cd3cb26ec</vt:lpwstr>
  </property>
  <property fmtid="{D5CDD505-2E9C-101B-9397-08002B2CF9AE}" pid="6" name="PMC.ESearch.TagGeneratedTime">
    <vt:lpwstr>2022-10-04T09:42:46</vt:lpwstr>
  </property>
  <property fmtid="{D5CDD505-2E9C-101B-9397-08002B2CF9AE}" pid="7" name="SecurityClassification">
    <vt:i4>1</vt:i4>
  </property>
  <property fmtid="{D5CDD505-2E9C-101B-9397-08002B2CF9AE}" pid="8" name="_dlc_DocIdItemGuid">
    <vt:lpwstr>dde43ecd-e14f-4ba5-96e3-ef30ebdf8551</vt:lpwstr>
  </property>
</Properties>
</file>