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charts/style11.xml" ContentType="application/vnd.ms-office.chartstyle+xml"/>
  <Override PartName="/word/charts/style12.xml" ContentType="application/vnd.ms-office.chartstyle+xml"/>
  <Override PartName="/word/charts/chart12.xml" ContentType="application/vnd.openxmlformats-officedocument.drawingml.chart+xml"/>
  <Override PartName="/word/charts/colors11.xml" ContentType="application/vnd.ms-office.chartcolorstyle+xml"/>
  <Override PartName="/word/charts/chart11.xml" ContentType="application/vnd.openxmlformats-officedocument.drawingml.chart+xml"/>
  <Override PartName="/word/charts/colors12.xml" ContentType="application/vnd.ms-office.chartcolorstyle+xml"/>
  <Override PartName="/word/charts/colors10.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style13.xml" ContentType="application/vnd.ms-office.chartstyle+xml"/>
  <Override PartName="/word/theme/theme1.xml" ContentType="application/vnd.openxmlformats-officedocument.theme+xml"/>
  <Override PartName="/word/charts/colors8.xml" ContentType="application/vnd.ms-office.chartcolor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3.xml" ContentType="application/vnd.openxmlformats-officedocument.drawingml.chart+xml"/>
  <Override PartName="/word/charts/style6.xml" ContentType="application/vnd.ms-office.chartstyle+xml"/>
  <Override PartName="/word/charts/chart8.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style8.xml" ContentType="application/vnd.ms-office.chartstyle+xml"/>
  <Override PartName="/word/charts/colors2.xml" ContentType="application/vnd.ms-office.chartcolorstyle+xml"/>
  <Override PartName="/word/charts/style3.xml" ContentType="application/vnd.ms-office.chartstyle+xml"/>
  <Override PartName="/word/charts/chart6.xml" ContentType="application/vnd.openxmlformats-officedocument.drawingml.chart+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3.xml" ContentType="application/vnd.openxmlformats-officedocument.drawingml.chart+xml"/>
  <Override PartName="/word/charts/colors5.xml" ContentType="application/vnd.ms-office.chartcolorstyle+xml"/>
  <Override PartName="/word/charts/colors3.xml" ContentType="application/vnd.ms-office.chartcolorstyle+xml"/>
  <Override PartName="/word/charts/chart4.xml" ContentType="application/vnd.openxmlformats-officedocument.drawingml.chart+xml"/>
  <Override PartName="/word/charts/style5.xml" ContentType="application/vnd.ms-office.chartstyle+xml"/>
  <Override PartName="/word/charts/style4.xml" ContentType="application/vnd.ms-office.chartstyle+xml"/>
  <Override PartName="/word/charts/chart5.xml" ContentType="application/vnd.openxmlformats-officedocument.drawingml.chart+xml"/>
  <Override PartName="/word/charts/colors4.xml" ContentType="application/vnd.ms-office.chartcolorstyl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D960" w14:textId="2638856C" w:rsidR="00C87766" w:rsidRPr="00FF13F8" w:rsidRDefault="00FF13F8" w:rsidP="00FF13F8">
      <w:pPr>
        <w:spacing w:before="720" w:after="1440"/>
      </w:pPr>
      <w:bookmarkStart w:id="0" w:name="_Toc432437392"/>
      <w:r>
        <w:rPr>
          <w:noProof/>
        </w:rPr>
        <w:drawing>
          <wp:anchor distT="0" distB="0" distL="114300" distR="114300" simplePos="0" relativeHeight="251630592" behindDoc="1" locked="0" layoutInCell="1" allowOverlap="1" wp14:anchorId="205AA393" wp14:editId="6E382BD2">
            <wp:simplePos x="0" y="0"/>
            <wp:positionH relativeFrom="margin">
              <wp:posOffset>8255</wp:posOffset>
            </wp:positionH>
            <wp:positionV relativeFrom="paragraph">
              <wp:posOffset>1113790</wp:posOffset>
            </wp:positionV>
            <wp:extent cx="6637655" cy="3848100"/>
            <wp:effectExtent l="0" t="0" r="0" b="0"/>
            <wp:wrapTight wrapText="bothSides">
              <wp:wrapPolygon edited="0">
                <wp:start x="0" y="0"/>
                <wp:lineTo x="0" y="21493"/>
                <wp:lineTo x="21511" y="21493"/>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Stigma as a Mental Healthcare Barr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7655" cy="384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E4902" w14:textId="77777777" w:rsidR="00C87766" w:rsidRDefault="00C87766" w:rsidP="00C87766">
      <w:pPr>
        <w:spacing w:before="480" w:after="40"/>
        <w:ind w:left="4394"/>
        <w:rPr>
          <w:rFonts w:asciiTheme="majorHAnsi" w:hAnsiTheme="majorHAnsi"/>
          <w:b/>
          <w:bCs/>
          <w:sz w:val="56"/>
          <w:szCs w:val="80"/>
        </w:rPr>
      </w:pPr>
    </w:p>
    <w:p w14:paraId="63F75EAD" w14:textId="1FE83BC5" w:rsidR="00E77B59" w:rsidRPr="00C87766" w:rsidRDefault="00C87766" w:rsidP="00C87766">
      <w:pPr>
        <w:spacing w:before="480" w:after="40"/>
        <w:ind w:left="4394"/>
        <w:rPr>
          <w:rFonts w:asciiTheme="majorHAnsi" w:hAnsiTheme="majorHAnsi"/>
          <w:b/>
          <w:bCs/>
          <w:sz w:val="56"/>
          <w:szCs w:val="80"/>
        </w:rPr>
      </w:pPr>
      <w:r>
        <w:rPr>
          <w:rFonts w:asciiTheme="majorHAnsi" w:hAnsiTheme="majorHAnsi"/>
          <w:b/>
          <w:bCs/>
          <w:sz w:val="56"/>
          <w:szCs w:val="80"/>
        </w:rPr>
        <w:t>National Survey of Mental Health</w:t>
      </w:r>
      <w:r w:rsidR="008D18DD">
        <w:rPr>
          <w:rFonts w:asciiTheme="majorHAnsi" w:hAnsiTheme="majorHAnsi"/>
          <w:b/>
          <w:bCs/>
          <w:sz w:val="56"/>
          <w:szCs w:val="80"/>
        </w:rPr>
        <w:t>-Related</w:t>
      </w:r>
      <w:r>
        <w:rPr>
          <w:rFonts w:asciiTheme="majorHAnsi" w:hAnsiTheme="majorHAnsi"/>
          <w:b/>
          <w:bCs/>
          <w:sz w:val="56"/>
          <w:szCs w:val="80"/>
        </w:rPr>
        <w:t xml:space="preserve"> Stigma and Discrimination</w:t>
      </w:r>
    </w:p>
    <w:p w14:paraId="23F7F4A2" w14:textId="5815E15C" w:rsidR="00E77B59" w:rsidRPr="008C5EFF" w:rsidRDefault="00BD57E4" w:rsidP="008C5EFF">
      <w:pPr>
        <w:spacing w:before="240" w:after="40"/>
        <w:ind w:left="4395"/>
        <w:rPr>
          <w:rFonts w:asciiTheme="majorHAnsi" w:hAnsiTheme="majorHAnsi" w:cstheme="majorHAnsi"/>
          <w:b/>
          <w:color w:val="117479" w:themeColor="accent2"/>
          <w:sz w:val="24"/>
        </w:rPr>
        <w:sectPr w:rsidR="00E77B59" w:rsidRPr="008C5EFF" w:rsidSect="00454DCC">
          <w:headerReference w:type="default" r:id="rId12"/>
          <w:pgSz w:w="11906" w:h="16838" w:code="9"/>
          <w:pgMar w:top="2126" w:right="720" w:bottom="567" w:left="720" w:header="567" w:footer="567" w:gutter="0"/>
          <w:pgNumType w:start="0"/>
          <w:cols w:space="708"/>
          <w:docGrid w:linePitch="360"/>
        </w:sectPr>
      </w:pPr>
      <w:r>
        <w:rPr>
          <w:rFonts w:asciiTheme="majorHAnsi" w:hAnsiTheme="majorHAnsi" w:cstheme="majorHAnsi"/>
          <w:b/>
          <w:color w:val="117479" w:themeColor="accent2"/>
          <w:sz w:val="24"/>
        </w:rPr>
        <w:t>November</w:t>
      </w:r>
      <w:r w:rsidR="00441B5D" w:rsidRPr="00724334">
        <w:rPr>
          <w:rFonts w:asciiTheme="majorHAnsi" w:hAnsiTheme="majorHAnsi" w:cstheme="majorHAnsi"/>
          <w:b/>
          <w:color w:val="117479" w:themeColor="accent2"/>
          <w:sz w:val="24"/>
        </w:rPr>
        <w:t xml:space="preserve"> 2022</w:t>
      </w:r>
    </w:p>
    <w:p w14:paraId="7A709FE6" w14:textId="77777777" w:rsidR="00EB0609" w:rsidRPr="00E72621" w:rsidRDefault="00EB0609" w:rsidP="00284288">
      <w:pPr>
        <w:spacing w:before="5000" w:after="120"/>
        <w:ind w:right="-1078"/>
        <w:outlineLvl w:val="1"/>
        <w:rPr>
          <w:b/>
          <w:color w:val="117479" w:themeColor="accent2"/>
          <w:sz w:val="22"/>
        </w:rPr>
      </w:pPr>
      <w:r w:rsidRPr="00E72621">
        <w:rPr>
          <w:b/>
          <w:color w:val="117479" w:themeColor="accent2"/>
          <w:sz w:val="22"/>
        </w:rPr>
        <w:t>Other uses</w:t>
      </w:r>
    </w:p>
    <w:p w14:paraId="4DB32B79" w14:textId="77777777" w:rsidR="00EB0609" w:rsidRDefault="00EB0609" w:rsidP="00284288">
      <w:pPr>
        <w:spacing w:before="120" w:after="120"/>
        <w:ind w:right="-1078"/>
      </w:pPr>
      <w:r>
        <w:t>Enquiries regarding this license and any other use of this document are welcome at:</w:t>
      </w:r>
    </w:p>
    <w:p w14:paraId="6D97909A" w14:textId="77777777" w:rsidR="00EB0609" w:rsidRDefault="00EB0609" w:rsidP="00284288">
      <w:pPr>
        <w:spacing w:after="0"/>
        <w:ind w:right="-1078"/>
      </w:pPr>
      <w:r>
        <w:t>Managing Director</w:t>
      </w:r>
    </w:p>
    <w:p w14:paraId="6A93675E" w14:textId="77777777" w:rsidR="00EB0609" w:rsidRDefault="00EB0609" w:rsidP="00284288">
      <w:pPr>
        <w:spacing w:after="0"/>
        <w:ind w:right="-1078"/>
      </w:pPr>
      <w:r>
        <w:t>Behavioural Economics Team of the Australian Government</w:t>
      </w:r>
    </w:p>
    <w:p w14:paraId="33F17211" w14:textId="77777777" w:rsidR="00EB0609" w:rsidRDefault="00EB0609" w:rsidP="00284288">
      <w:pPr>
        <w:spacing w:after="0"/>
        <w:ind w:right="-1078"/>
      </w:pPr>
      <w:r>
        <w:t>Department of the Prime Minister and Cabinet</w:t>
      </w:r>
    </w:p>
    <w:p w14:paraId="50B1C5C0" w14:textId="77777777" w:rsidR="00853F8F" w:rsidRDefault="00853F8F" w:rsidP="00284288">
      <w:pPr>
        <w:spacing w:after="0"/>
        <w:ind w:right="-1078"/>
      </w:pPr>
      <w:r>
        <w:t>1 National Circuit</w:t>
      </w:r>
    </w:p>
    <w:p w14:paraId="4EFC2CD8" w14:textId="77777777" w:rsidR="00EB0609" w:rsidRDefault="00EB0609" w:rsidP="00284288">
      <w:pPr>
        <w:spacing w:after="0"/>
        <w:ind w:right="-1078"/>
      </w:pPr>
      <w:r>
        <w:t>Barton ACT 2600</w:t>
      </w:r>
    </w:p>
    <w:p w14:paraId="3B5128FF" w14:textId="77777777" w:rsidR="00EB0609" w:rsidRPr="000A6094" w:rsidRDefault="00EB0609" w:rsidP="00284288">
      <w:pPr>
        <w:spacing w:after="0"/>
        <w:ind w:right="-1078"/>
        <w:rPr>
          <w:color w:val="117479" w:themeColor="accent2"/>
        </w:rPr>
      </w:pPr>
      <w:r>
        <w:t xml:space="preserve">Email: </w:t>
      </w:r>
      <w:hyperlink r:id="rId13" w:history="1">
        <w:r w:rsidR="000A1B0D" w:rsidRPr="000A6094">
          <w:rPr>
            <w:rStyle w:val="Hyperlink"/>
            <w:color w:val="117479" w:themeColor="accent2"/>
          </w:rPr>
          <w:t>beta@pmc.gov.au</w:t>
        </w:r>
      </w:hyperlink>
      <w:r w:rsidR="000A1B0D" w:rsidRPr="000A6094">
        <w:rPr>
          <w:color w:val="117479" w:themeColor="accent2"/>
        </w:rPr>
        <w:t xml:space="preserve"> </w:t>
      </w:r>
    </w:p>
    <w:p w14:paraId="339E7FE6" w14:textId="77777777" w:rsidR="00EB0609" w:rsidRDefault="00EB0609" w:rsidP="00284288">
      <w:pPr>
        <w:spacing w:before="120" w:after="120"/>
        <w:ind w:right="-1078"/>
      </w:pPr>
      <w:r>
        <w:t>The views expressed in this paper are those of the authors and do not necessarily reflect those of the Department of the Prime Minister and Cabinet or the Australian Government.</w:t>
      </w:r>
    </w:p>
    <w:p w14:paraId="629D7C69" w14:textId="77777777" w:rsidR="00EB0609" w:rsidRPr="00E72621" w:rsidRDefault="00EB0609" w:rsidP="00284288">
      <w:pPr>
        <w:spacing w:before="240" w:after="120"/>
        <w:ind w:right="-1078"/>
        <w:outlineLvl w:val="1"/>
        <w:rPr>
          <w:b/>
          <w:color w:val="117479" w:themeColor="accent2"/>
          <w:sz w:val="22"/>
        </w:rPr>
      </w:pPr>
      <w:r w:rsidRPr="00E72621">
        <w:rPr>
          <w:b/>
          <w:color w:val="117479" w:themeColor="accent2"/>
          <w:sz w:val="22"/>
        </w:rPr>
        <w:t>Research team</w:t>
      </w:r>
    </w:p>
    <w:p w14:paraId="5614FC84" w14:textId="0E1136D5" w:rsidR="002A6FDF" w:rsidRDefault="002A6FDF" w:rsidP="002A6FDF">
      <w:pPr>
        <w:spacing w:after="0"/>
        <w:ind w:right="-1078"/>
      </w:pPr>
      <w:r>
        <w:t>Behavioural Economics Team of the Australian Government</w:t>
      </w:r>
      <w:r w:rsidR="00835A0F">
        <w:t>:</w:t>
      </w:r>
    </w:p>
    <w:p w14:paraId="4EBAAA86" w14:textId="7FE0446E" w:rsidR="00EB0609" w:rsidRDefault="0042777C" w:rsidP="00835A0F">
      <w:pPr>
        <w:spacing w:before="120" w:after="120"/>
        <w:ind w:right="-1078"/>
      </w:pPr>
      <w:r>
        <w:t xml:space="preserve">Bradley Carron-Arthur, </w:t>
      </w:r>
      <w:r w:rsidR="00C87766">
        <w:t xml:space="preserve">Bethany Jones, </w:t>
      </w:r>
      <w:r w:rsidR="003B3174">
        <w:t>Jacqui Brewer</w:t>
      </w:r>
      <w:r w:rsidR="00C87766">
        <w:t xml:space="preserve">, Laura Bennetts-Kneebone, Parima Vyas, </w:t>
      </w:r>
      <w:r w:rsidR="008D0D34">
        <w:t>Dana </w:t>
      </w:r>
      <w:r w:rsidR="00835A0F">
        <w:t xml:space="preserve">Leidl, Katrina Anderson, </w:t>
      </w:r>
      <w:r w:rsidR="008D18DD">
        <w:t xml:space="preserve">Ayndri De Soysa, </w:t>
      </w:r>
      <w:r w:rsidR="00C87766">
        <w:t>Rox</w:t>
      </w:r>
      <w:r w:rsidR="002A6FDF">
        <w:t>arne</w:t>
      </w:r>
      <w:r w:rsidR="00C87766">
        <w:t xml:space="preserve"> Armstrong</w:t>
      </w:r>
      <w:r w:rsidR="00835A0F">
        <w:t xml:space="preserve"> and Simon Gordon.</w:t>
      </w:r>
    </w:p>
    <w:p w14:paraId="33E1B566" w14:textId="0D910B47" w:rsidR="002A6FDF" w:rsidRDefault="002A6FDF" w:rsidP="00284288">
      <w:pPr>
        <w:spacing w:before="120" w:after="120"/>
        <w:ind w:right="-1078"/>
      </w:pPr>
      <w:r>
        <w:t>National Mental Health Commission</w:t>
      </w:r>
      <w:r w:rsidR="00835A0F">
        <w:t>:</w:t>
      </w:r>
    </w:p>
    <w:p w14:paraId="05490B09" w14:textId="0C35E9E3" w:rsidR="002A6FDF" w:rsidRDefault="002A6FDF" w:rsidP="00284288">
      <w:pPr>
        <w:spacing w:before="120" w:after="120"/>
        <w:ind w:right="-1078"/>
      </w:pPr>
      <w:r>
        <w:t>Michelle Blanchard, Emily Clay and Matthew Halpin</w:t>
      </w:r>
      <w:r w:rsidR="00835A0F">
        <w:t>.</w:t>
      </w:r>
    </w:p>
    <w:p w14:paraId="6A2CC379" w14:textId="77777777" w:rsidR="00EB0609" w:rsidRPr="00E72621" w:rsidRDefault="00EB0609" w:rsidP="00284288">
      <w:pPr>
        <w:spacing w:before="240" w:after="120"/>
        <w:ind w:right="-1078"/>
        <w:outlineLvl w:val="1"/>
        <w:rPr>
          <w:b/>
          <w:color w:val="117479" w:themeColor="accent2"/>
          <w:sz w:val="22"/>
        </w:rPr>
      </w:pPr>
      <w:r w:rsidRPr="00E72621">
        <w:rPr>
          <w:b/>
          <w:color w:val="117479" w:themeColor="accent2"/>
          <w:sz w:val="22"/>
        </w:rPr>
        <w:t>Acknowledgments</w:t>
      </w:r>
    </w:p>
    <w:p w14:paraId="21EAC6B6" w14:textId="080E7F3A" w:rsidR="00B14898" w:rsidRDefault="002A6FDF" w:rsidP="00284288">
      <w:pPr>
        <w:spacing w:before="120" w:after="120"/>
        <w:ind w:right="-1078"/>
        <w:sectPr w:rsidR="00B14898" w:rsidSect="00454DCC">
          <w:headerReference w:type="default" r:id="rId14"/>
          <w:footerReference w:type="default" r:id="rId15"/>
          <w:pgSz w:w="11906" w:h="16838" w:code="9"/>
          <w:pgMar w:top="2041" w:right="2381" w:bottom="1247" w:left="1247" w:header="720" w:footer="851" w:gutter="0"/>
          <w:cols w:space="708"/>
          <w:docGrid w:linePitch="360"/>
        </w:sectPr>
      </w:pPr>
      <w:r>
        <w:t xml:space="preserve">We would like to thank the National Mental Health </w:t>
      </w:r>
      <w:r w:rsidR="008D18DD">
        <w:t xml:space="preserve">Commission’s </w:t>
      </w:r>
      <w:r w:rsidR="00A10519">
        <w:t xml:space="preserve">National </w:t>
      </w:r>
      <w:r>
        <w:t>Stigma and Dis</w:t>
      </w:r>
      <w:r w:rsidR="008D18DD">
        <w:t>crimination Reduction Strategy</w:t>
      </w:r>
      <w:r>
        <w:t xml:space="preserve"> Measurement Technical Advisory Group</w:t>
      </w:r>
      <w:r w:rsidR="00CF3BA1">
        <w:t xml:space="preserve"> and Public Stigma Technical Advisory Group</w:t>
      </w:r>
      <w:r>
        <w:t xml:space="preserve"> for their advice regarding the design and analysis of the survey</w:t>
      </w:r>
      <w:r w:rsidR="00CF3BA1">
        <w:t xml:space="preserve">, </w:t>
      </w:r>
      <w:r>
        <w:t>includ</w:t>
      </w:r>
      <w:r w:rsidR="00CF3BA1">
        <w:t>ing</w:t>
      </w:r>
      <w:r>
        <w:t xml:space="preserve">: Jo </w:t>
      </w:r>
      <w:r w:rsidR="00EE792D">
        <w:t xml:space="preserve">Farmer, </w:t>
      </w:r>
      <w:r>
        <w:t>Philip Batterham</w:t>
      </w:r>
      <w:r w:rsidR="00EE792D">
        <w:t>, Chri</w:t>
      </w:r>
      <w:r w:rsidR="008D0D34">
        <w:t xml:space="preserve">s Groot, Nicola Reavley, </w:t>
      </w:r>
      <w:r w:rsidR="00CF3BA1">
        <w:t xml:space="preserve">Amy Morgan, </w:t>
      </w:r>
      <w:r w:rsidR="008D0D34">
        <w:t>Ashley </w:t>
      </w:r>
      <w:r w:rsidR="00EE792D">
        <w:t xml:space="preserve">McAllister, Vera Morgan and Carol Harvey. </w:t>
      </w:r>
    </w:p>
    <w:p w14:paraId="3B0E9A27" w14:textId="7F15D532" w:rsidR="00D13E6C" w:rsidRDefault="00D13E6C" w:rsidP="00D13E6C">
      <w:pPr>
        <w:pStyle w:val="Heading2"/>
      </w:pPr>
      <w:r>
        <w:t>Who?</w:t>
      </w:r>
    </w:p>
    <w:p w14:paraId="2C42211E" w14:textId="08BFA44C" w:rsidR="00E96D1D" w:rsidRPr="0000240F" w:rsidRDefault="00E96D1D" w:rsidP="00D13E6C">
      <w:pPr>
        <w:pStyle w:val="Heading3"/>
      </w:pPr>
      <w:r w:rsidRPr="0000240F">
        <w:t>Who are we?</w:t>
      </w:r>
    </w:p>
    <w:p w14:paraId="7FFD53A3" w14:textId="6B76091B" w:rsidR="00E96D1D" w:rsidRPr="0000240F" w:rsidRDefault="00E96D1D" w:rsidP="00E96D1D">
      <w:pPr>
        <w:pStyle w:val="NormalWhite"/>
        <w:ind w:right="-1078"/>
        <w:rPr>
          <w:color w:val="auto"/>
        </w:rPr>
      </w:pPr>
      <w:r w:rsidRPr="0000240F">
        <w:rPr>
          <w:color w:val="auto"/>
        </w:rPr>
        <w:t xml:space="preserve">We are the Behavioural Economics Team of the Australian Government, or BETA. </w:t>
      </w:r>
    </w:p>
    <w:p w14:paraId="53D82EAE" w14:textId="5C29C269" w:rsidR="00175537" w:rsidRPr="0000240F" w:rsidRDefault="00175537" w:rsidP="00175537">
      <w:pPr>
        <w:pStyle w:val="NormalWhite"/>
        <w:ind w:right="-1078"/>
        <w:rPr>
          <w:color w:val="auto"/>
        </w:rPr>
      </w:pPr>
      <w:r w:rsidRPr="0000240F">
        <w:rPr>
          <w:color w:val="auto"/>
        </w:rPr>
        <w:t>We improve the lives of Australians by generating and applying evidence from the behavioural and social sciences to find solutions to complex policy problems</w:t>
      </w:r>
    </w:p>
    <w:p w14:paraId="78ECF740" w14:textId="024F93B4" w:rsidR="00175537" w:rsidRPr="0000240F" w:rsidRDefault="00E96D1D" w:rsidP="00D13E6C">
      <w:pPr>
        <w:pStyle w:val="Heading3"/>
      </w:pPr>
      <w:r w:rsidRPr="0000240F">
        <w:t>What do we do?</w:t>
      </w:r>
    </w:p>
    <w:p w14:paraId="35D657B3" w14:textId="396C582F" w:rsidR="00175537" w:rsidRPr="0000240F" w:rsidRDefault="00175537" w:rsidP="00175537">
      <w:pPr>
        <w:pStyle w:val="NormalWhite"/>
        <w:ind w:right="-1078"/>
        <w:rPr>
          <w:color w:val="auto"/>
        </w:rPr>
      </w:pPr>
      <w:r w:rsidRPr="0000240F">
        <w:rPr>
          <w:color w:val="auto"/>
        </w:rPr>
        <w:t xml:space="preserve">We apply our mix of specialist expertise and work collaboratively with partner agencies to: </w:t>
      </w:r>
    </w:p>
    <w:p w14:paraId="7AEF34D5" w14:textId="77777777" w:rsidR="00175537" w:rsidRPr="0000240F" w:rsidRDefault="00175537" w:rsidP="00AF0F56">
      <w:pPr>
        <w:pStyle w:val="NormalWhite"/>
        <w:numPr>
          <w:ilvl w:val="0"/>
          <w:numId w:val="19"/>
        </w:numPr>
        <w:ind w:right="-1078"/>
        <w:rPr>
          <w:color w:val="auto"/>
        </w:rPr>
      </w:pPr>
      <w:r w:rsidRPr="0000240F">
        <w:rPr>
          <w:color w:val="auto"/>
        </w:rPr>
        <w:t xml:space="preserve">conduct research and provide advice on how people interact with programs and policy issues; </w:t>
      </w:r>
    </w:p>
    <w:p w14:paraId="45CAC22B" w14:textId="77777777" w:rsidR="00175537" w:rsidRPr="0000240F" w:rsidRDefault="00175537" w:rsidP="00AF0F56">
      <w:pPr>
        <w:pStyle w:val="NormalWhite"/>
        <w:numPr>
          <w:ilvl w:val="0"/>
          <w:numId w:val="19"/>
        </w:numPr>
        <w:ind w:right="-1078"/>
        <w:rPr>
          <w:color w:val="auto"/>
        </w:rPr>
      </w:pPr>
      <w:r w:rsidRPr="0000240F">
        <w:rPr>
          <w:color w:val="auto"/>
        </w:rPr>
        <w:t>design and test evidence-based solutions to complex policy problems;</w:t>
      </w:r>
    </w:p>
    <w:p w14:paraId="0E87CFF4" w14:textId="77777777" w:rsidR="00175537" w:rsidRPr="0000240F" w:rsidRDefault="00175537" w:rsidP="00AF0F56">
      <w:pPr>
        <w:pStyle w:val="NormalWhite"/>
        <w:numPr>
          <w:ilvl w:val="0"/>
          <w:numId w:val="19"/>
        </w:numPr>
        <w:ind w:right="-1078"/>
        <w:rPr>
          <w:color w:val="auto"/>
        </w:rPr>
      </w:pPr>
      <w:r w:rsidRPr="0000240F">
        <w:rPr>
          <w:color w:val="auto"/>
        </w:rPr>
        <w:t>evaluate and measure the impact of programs and program changes;</w:t>
      </w:r>
    </w:p>
    <w:p w14:paraId="7746FE6B" w14:textId="74E5E97E" w:rsidR="00E96D1D" w:rsidRPr="00687E97" w:rsidRDefault="00175537" w:rsidP="00284288">
      <w:pPr>
        <w:pStyle w:val="NormalWhite"/>
        <w:numPr>
          <w:ilvl w:val="0"/>
          <w:numId w:val="19"/>
        </w:numPr>
        <w:ind w:right="-1078"/>
        <w:rPr>
          <w:color w:val="auto"/>
        </w:rPr>
      </w:pPr>
      <w:r w:rsidRPr="0000240F">
        <w:rPr>
          <w:color w:val="auto"/>
        </w:rPr>
        <w:t xml:space="preserve">uplift APS capability to apply evidence from the behavioural and social sciences to public policy. </w:t>
      </w:r>
    </w:p>
    <w:p w14:paraId="70B37C72" w14:textId="5CF9C09A" w:rsidR="004909C3" w:rsidRPr="0000240F" w:rsidRDefault="004909C3" w:rsidP="004909C3">
      <w:pPr>
        <w:pStyle w:val="WhiteNormal"/>
        <w:rPr>
          <w:color w:val="auto"/>
        </w:rPr>
      </w:pPr>
      <w:r w:rsidRPr="0000240F">
        <w:rPr>
          <w:color w:val="auto"/>
        </w:rPr>
        <w:br w:type="page"/>
      </w:r>
    </w:p>
    <w:bookmarkEnd w:id="0" w:displacedByCustomXml="next"/>
    <w:sdt>
      <w:sdtPr>
        <w:rPr>
          <w:rFonts w:asciiTheme="minorHAnsi" w:eastAsiaTheme="minorEastAsia" w:hAnsiTheme="minorHAnsi" w:cs="Times New Roman"/>
          <w:b w:val="0"/>
          <w:bCs w:val="0"/>
          <w:color w:val="auto"/>
          <w:sz w:val="22"/>
          <w:szCs w:val="22"/>
          <w:lang w:val="en-US" w:eastAsia="en-US"/>
        </w:rPr>
        <w:id w:val="14895884"/>
        <w:docPartObj>
          <w:docPartGallery w:val="Table of Contents"/>
          <w:docPartUnique/>
        </w:docPartObj>
      </w:sdtPr>
      <w:sdtEndPr/>
      <w:sdtContent>
        <w:p w14:paraId="583A7C2E" w14:textId="45CA8955" w:rsidR="00315BEF" w:rsidRPr="0000240F" w:rsidRDefault="00315BEF">
          <w:pPr>
            <w:pStyle w:val="TOCHeading"/>
            <w:rPr>
              <w:color w:val="auto"/>
            </w:rPr>
          </w:pPr>
          <w:r w:rsidRPr="0000240F">
            <w:rPr>
              <w:color w:val="auto"/>
            </w:rPr>
            <w:t>Contents</w:t>
          </w:r>
        </w:p>
        <w:p w14:paraId="76CED30E" w14:textId="061B33DB" w:rsidR="00315BEF" w:rsidRPr="0000240F" w:rsidRDefault="009C46C8" w:rsidP="00783C3B">
          <w:pPr>
            <w:pStyle w:val="TOC1"/>
            <w:rPr>
              <w:color w:val="auto"/>
            </w:rPr>
          </w:pPr>
          <w:r w:rsidRPr="0000240F">
            <w:rPr>
              <w:color w:val="auto"/>
            </w:rPr>
            <w:t>About this report</w:t>
          </w:r>
          <w:r w:rsidR="00315BEF" w:rsidRPr="0000240F">
            <w:rPr>
              <w:color w:val="auto"/>
            </w:rPr>
            <w:ptab w:relativeTo="margin" w:alignment="right" w:leader="dot"/>
          </w:r>
          <w:r w:rsidR="00620FCB" w:rsidRPr="0000240F">
            <w:rPr>
              <w:color w:val="auto"/>
            </w:rPr>
            <w:t>4</w:t>
          </w:r>
        </w:p>
        <w:p w14:paraId="01408DDB" w14:textId="057EC235" w:rsidR="00315BEF" w:rsidRPr="0000240F" w:rsidRDefault="009C46C8" w:rsidP="00783C3B">
          <w:pPr>
            <w:pStyle w:val="TOC1"/>
            <w:rPr>
              <w:color w:val="auto"/>
            </w:rPr>
          </w:pPr>
          <w:r w:rsidRPr="0000240F">
            <w:rPr>
              <w:color w:val="auto"/>
            </w:rPr>
            <w:t>Language matters</w:t>
          </w:r>
          <w:r w:rsidR="00315BEF" w:rsidRPr="0000240F">
            <w:rPr>
              <w:color w:val="auto"/>
            </w:rPr>
            <w:ptab w:relativeTo="margin" w:alignment="right" w:leader="dot"/>
          </w:r>
          <w:r w:rsidR="00620FCB" w:rsidRPr="0000240F">
            <w:rPr>
              <w:color w:val="auto"/>
            </w:rPr>
            <w:t>5</w:t>
          </w:r>
        </w:p>
        <w:p w14:paraId="2333020B" w14:textId="67F89BA9" w:rsidR="00315BEF" w:rsidRPr="0000240F" w:rsidRDefault="009C46C8" w:rsidP="00783C3B">
          <w:pPr>
            <w:pStyle w:val="TOC1"/>
            <w:rPr>
              <w:color w:val="auto"/>
            </w:rPr>
          </w:pPr>
          <w:r w:rsidRPr="0000240F">
            <w:rPr>
              <w:color w:val="auto"/>
            </w:rPr>
            <w:t>Key findings</w:t>
          </w:r>
          <w:r w:rsidR="00315BEF" w:rsidRPr="0000240F">
            <w:rPr>
              <w:color w:val="auto"/>
            </w:rPr>
            <w:ptab w:relativeTo="margin" w:alignment="right" w:leader="dot"/>
          </w:r>
          <w:r w:rsidR="00620FCB" w:rsidRPr="0000240F">
            <w:rPr>
              <w:color w:val="auto"/>
            </w:rPr>
            <w:t>6</w:t>
          </w:r>
        </w:p>
        <w:p w14:paraId="0BE168CF" w14:textId="001318CB" w:rsidR="00562980" w:rsidRPr="0000240F" w:rsidRDefault="00562980" w:rsidP="00783C3B">
          <w:pPr>
            <w:pStyle w:val="TOC1"/>
            <w:rPr>
              <w:color w:val="auto"/>
            </w:rPr>
          </w:pPr>
          <w:r w:rsidRPr="0000240F">
            <w:rPr>
              <w:color w:val="auto"/>
            </w:rPr>
            <w:t>Findings</w:t>
          </w:r>
          <w:r w:rsidRPr="0000240F">
            <w:rPr>
              <w:color w:val="auto"/>
            </w:rPr>
            <w:ptab w:relativeTo="margin" w:alignment="right" w:leader="dot"/>
          </w:r>
          <w:r w:rsidR="00620FCB" w:rsidRPr="0000240F">
            <w:rPr>
              <w:color w:val="auto"/>
            </w:rPr>
            <w:t>7</w:t>
          </w:r>
        </w:p>
        <w:p w14:paraId="5AE487C2" w14:textId="254204D1" w:rsidR="00315BEF" w:rsidRPr="0000240F" w:rsidRDefault="00562980" w:rsidP="00783C3B">
          <w:pPr>
            <w:pStyle w:val="TOC2"/>
            <w:rPr>
              <w:color w:val="auto"/>
            </w:rPr>
          </w:pPr>
          <w:r w:rsidRPr="0000240F">
            <w:rPr>
              <w:color w:val="auto"/>
            </w:rPr>
            <w:t>Public stigma and experiences of discrimination</w:t>
          </w:r>
          <w:r w:rsidR="00315BEF" w:rsidRPr="0000240F">
            <w:rPr>
              <w:color w:val="auto"/>
            </w:rPr>
            <w:ptab w:relativeTo="margin" w:alignment="right" w:leader="dot"/>
          </w:r>
          <w:r w:rsidR="00620FCB" w:rsidRPr="0000240F">
            <w:rPr>
              <w:color w:val="auto"/>
            </w:rPr>
            <w:t>7</w:t>
          </w:r>
        </w:p>
        <w:p w14:paraId="5773F78D" w14:textId="4E923AB1" w:rsidR="00562980" w:rsidRPr="0000240F" w:rsidRDefault="003A7DE8" w:rsidP="008C6CA5">
          <w:pPr>
            <w:pStyle w:val="TOC3"/>
            <w:ind w:left="446" w:right="56"/>
            <w:rPr>
              <w:sz w:val="20"/>
              <w:szCs w:val="20"/>
            </w:rPr>
          </w:pPr>
          <w:r w:rsidRPr="0000240F">
            <w:rPr>
              <w:sz w:val="20"/>
              <w:szCs w:val="20"/>
            </w:rPr>
            <w:t>Intentions</w:t>
          </w:r>
          <w:r w:rsidR="00562980" w:rsidRPr="0000240F">
            <w:rPr>
              <w:sz w:val="20"/>
              <w:szCs w:val="20"/>
            </w:rPr>
            <w:ptab w:relativeTo="margin" w:alignment="right" w:leader="dot"/>
          </w:r>
          <w:r w:rsidR="00620FCB" w:rsidRPr="0000240F">
            <w:rPr>
              <w:sz w:val="20"/>
              <w:szCs w:val="20"/>
            </w:rPr>
            <w:t>7</w:t>
          </w:r>
        </w:p>
        <w:p w14:paraId="077262E7" w14:textId="1A13A6A5" w:rsidR="00562980" w:rsidRPr="0000240F" w:rsidRDefault="00F132DD" w:rsidP="008C6CA5">
          <w:pPr>
            <w:pStyle w:val="TOC3"/>
            <w:ind w:left="446" w:right="56"/>
            <w:rPr>
              <w:sz w:val="20"/>
              <w:szCs w:val="20"/>
            </w:rPr>
          </w:pPr>
          <w:r w:rsidRPr="0000240F">
            <w:rPr>
              <w:sz w:val="20"/>
              <w:szCs w:val="20"/>
            </w:rPr>
            <w:t>Beliefs</w:t>
          </w:r>
          <w:r w:rsidR="00562980" w:rsidRPr="0000240F">
            <w:rPr>
              <w:sz w:val="20"/>
              <w:szCs w:val="20"/>
            </w:rPr>
            <w:ptab w:relativeTo="margin" w:alignment="right" w:leader="dot"/>
          </w:r>
          <w:r w:rsidR="00757AE4" w:rsidRPr="0000240F">
            <w:rPr>
              <w:sz w:val="20"/>
              <w:szCs w:val="20"/>
            </w:rPr>
            <w:t>9</w:t>
          </w:r>
        </w:p>
        <w:p w14:paraId="270ADD0D" w14:textId="4012156E" w:rsidR="00F132DD" w:rsidRPr="0000240F" w:rsidRDefault="00F132DD" w:rsidP="00783C3B">
          <w:pPr>
            <w:pStyle w:val="TOC3"/>
            <w:ind w:left="446" w:right="56"/>
            <w:rPr>
              <w:sz w:val="20"/>
              <w:szCs w:val="20"/>
            </w:rPr>
          </w:pPr>
          <w:r w:rsidRPr="0000240F">
            <w:rPr>
              <w:sz w:val="20"/>
              <w:szCs w:val="20"/>
            </w:rPr>
            <w:t>Behaviour</w:t>
          </w:r>
          <w:r w:rsidRPr="0000240F">
            <w:rPr>
              <w:sz w:val="20"/>
              <w:szCs w:val="20"/>
            </w:rPr>
            <w:ptab w:relativeTo="margin" w:alignment="right" w:leader="dot"/>
          </w:r>
          <w:r w:rsidR="00757AE4" w:rsidRPr="0000240F">
            <w:rPr>
              <w:sz w:val="20"/>
              <w:szCs w:val="20"/>
            </w:rPr>
            <w:t>11</w:t>
          </w:r>
        </w:p>
        <w:p w14:paraId="6AC0CCD3" w14:textId="02EB538A" w:rsidR="002E632B" w:rsidRPr="0000240F" w:rsidRDefault="0028264F" w:rsidP="00E4765C">
          <w:pPr>
            <w:pStyle w:val="TOC3"/>
            <w:ind w:left="446" w:right="56"/>
            <w:rPr>
              <w:sz w:val="20"/>
              <w:szCs w:val="20"/>
            </w:rPr>
          </w:pPr>
          <w:r w:rsidRPr="0000240F">
            <w:rPr>
              <w:sz w:val="20"/>
              <w:szCs w:val="20"/>
            </w:rPr>
            <w:t>People with personal lived experience</w:t>
          </w:r>
          <w:r w:rsidR="002E632B" w:rsidRPr="0000240F">
            <w:rPr>
              <w:sz w:val="20"/>
              <w:szCs w:val="20"/>
            </w:rPr>
            <w:ptab w:relativeTo="margin" w:alignment="right" w:leader="dot"/>
          </w:r>
          <w:r w:rsidR="002E632B" w:rsidRPr="0000240F">
            <w:rPr>
              <w:sz w:val="20"/>
              <w:szCs w:val="20"/>
            </w:rPr>
            <w:t>1</w:t>
          </w:r>
          <w:r w:rsidR="00757AE4" w:rsidRPr="0000240F">
            <w:rPr>
              <w:sz w:val="20"/>
              <w:szCs w:val="20"/>
            </w:rPr>
            <w:t>2</w:t>
          </w:r>
        </w:p>
        <w:p w14:paraId="1379E42B" w14:textId="322DD9CE" w:rsidR="00F132DD" w:rsidRPr="0000240F" w:rsidRDefault="00F132DD" w:rsidP="008C6CA5">
          <w:pPr>
            <w:pStyle w:val="TOC3"/>
            <w:ind w:left="446" w:right="56"/>
            <w:rPr>
              <w:sz w:val="20"/>
              <w:szCs w:val="20"/>
            </w:rPr>
          </w:pPr>
          <w:r w:rsidRPr="0000240F">
            <w:rPr>
              <w:sz w:val="20"/>
              <w:szCs w:val="20"/>
            </w:rPr>
            <w:t>Experiences of discrimination in private life domains</w:t>
          </w:r>
          <w:r w:rsidRPr="0000240F">
            <w:rPr>
              <w:sz w:val="20"/>
              <w:szCs w:val="20"/>
            </w:rPr>
            <w:ptab w:relativeTo="margin" w:alignment="right" w:leader="dot"/>
          </w:r>
          <w:r w:rsidR="00B81C18" w:rsidRPr="0000240F">
            <w:rPr>
              <w:sz w:val="20"/>
              <w:szCs w:val="20"/>
            </w:rPr>
            <w:t>1</w:t>
          </w:r>
          <w:r w:rsidR="00757AE4" w:rsidRPr="0000240F">
            <w:rPr>
              <w:sz w:val="20"/>
              <w:szCs w:val="20"/>
            </w:rPr>
            <w:t>3</w:t>
          </w:r>
        </w:p>
        <w:p w14:paraId="46330CA7" w14:textId="0E2B650F" w:rsidR="00F132DD" w:rsidRPr="0000240F" w:rsidRDefault="00F132DD" w:rsidP="008C6CA5">
          <w:pPr>
            <w:pStyle w:val="TOC3"/>
            <w:ind w:left="446" w:right="56"/>
            <w:rPr>
              <w:sz w:val="20"/>
              <w:szCs w:val="20"/>
            </w:rPr>
          </w:pPr>
          <w:r w:rsidRPr="0000240F">
            <w:rPr>
              <w:sz w:val="20"/>
              <w:szCs w:val="20"/>
            </w:rPr>
            <w:t>Support person experiences of stigma and discrimination</w:t>
          </w:r>
          <w:r w:rsidRPr="0000240F">
            <w:rPr>
              <w:sz w:val="20"/>
              <w:szCs w:val="20"/>
            </w:rPr>
            <w:ptab w:relativeTo="margin" w:alignment="right" w:leader="dot"/>
          </w:r>
          <w:r w:rsidR="00B81C18" w:rsidRPr="0000240F">
            <w:rPr>
              <w:sz w:val="20"/>
              <w:szCs w:val="20"/>
            </w:rPr>
            <w:t>1</w:t>
          </w:r>
          <w:r w:rsidR="00757AE4" w:rsidRPr="0000240F">
            <w:rPr>
              <w:sz w:val="20"/>
              <w:szCs w:val="20"/>
            </w:rPr>
            <w:t>6</w:t>
          </w:r>
        </w:p>
        <w:p w14:paraId="1B5217CD" w14:textId="12746D82" w:rsidR="00F132DD" w:rsidRPr="0000240F" w:rsidRDefault="00F132DD" w:rsidP="008C6CA5">
          <w:pPr>
            <w:pStyle w:val="TOC3"/>
            <w:ind w:left="446" w:right="56"/>
            <w:rPr>
              <w:sz w:val="20"/>
              <w:szCs w:val="20"/>
            </w:rPr>
          </w:pPr>
          <w:r w:rsidRPr="0000240F">
            <w:rPr>
              <w:sz w:val="20"/>
              <w:szCs w:val="20"/>
            </w:rPr>
            <w:t>Differences in expression of public stigma by demographic group</w:t>
          </w:r>
          <w:r w:rsidRPr="0000240F">
            <w:rPr>
              <w:sz w:val="20"/>
              <w:szCs w:val="20"/>
            </w:rPr>
            <w:ptab w:relativeTo="margin" w:alignment="right" w:leader="dot"/>
          </w:r>
          <w:r w:rsidR="00B81C18" w:rsidRPr="0000240F">
            <w:rPr>
              <w:sz w:val="20"/>
              <w:szCs w:val="20"/>
            </w:rPr>
            <w:t>1</w:t>
          </w:r>
          <w:r w:rsidR="00757AE4" w:rsidRPr="0000240F">
            <w:rPr>
              <w:sz w:val="20"/>
              <w:szCs w:val="20"/>
            </w:rPr>
            <w:t>7</w:t>
          </w:r>
        </w:p>
        <w:p w14:paraId="0576820D" w14:textId="088D14F4" w:rsidR="00562980" w:rsidRPr="0000240F" w:rsidRDefault="00F132DD" w:rsidP="00783C3B">
          <w:pPr>
            <w:pStyle w:val="TOC3"/>
            <w:ind w:right="56"/>
            <w:rPr>
              <w:sz w:val="20"/>
              <w:szCs w:val="20"/>
            </w:rPr>
          </w:pPr>
          <w:r w:rsidRPr="0000240F">
            <w:rPr>
              <w:sz w:val="20"/>
              <w:szCs w:val="20"/>
            </w:rPr>
            <w:t>Differences in experience of public stigma by demographic group</w:t>
          </w:r>
          <w:r w:rsidRPr="0000240F">
            <w:rPr>
              <w:sz w:val="20"/>
              <w:szCs w:val="20"/>
            </w:rPr>
            <w:ptab w:relativeTo="margin" w:alignment="right" w:leader="dot"/>
          </w:r>
          <w:r w:rsidR="00B81C18" w:rsidRPr="0000240F">
            <w:rPr>
              <w:sz w:val="20"/>
              <w:szCs w:val="20"/>
            </w:rPr>
            <w:t>1</w:t>
          </w:r>
          <w:r w:rsidR="00757AE4" w:rsidRPr="0000240F">
            <w:rPr>
              <w:sz w:val="20"/>
              <w:szCs w:val="20"/>
            </w:rPr>
            <w:t>9</w:t>
          </w:r>
        </w:p>
        <w:p w14:paraId="5F705C86" w14:textId="1E5C84FA" w:rsidR="00562980" w:rsidRPr="0000240F" w:rsidRDefault="00562980" w:rsidP="009C7435">
          <w:pPr>
            <w:pStyle w:val="TOC2"/>
            <w:rPr>
              <w:color w:val="auto"/>
            </w:rPr>
          </w:pPr>
          <w:r w:rsidRPr="0000240F">
            <w:rPr>
              <w:color w:val="auto"/>
            </w:rPr>
            <w:t>Structural stigma and experiences of discrimination</w:t>
          </w:r>
          <w:r w:rsidRPr="0000240F">
            <w:rPr>
              <w:color w:val="auto"/>
            </w:rPr>
            <w:ptab w:relativeTo="margin" w:alignment="right" w:leader="dot"/>
          </w:r>
          <w:r w:rsidR="00757AE4" w:rsidRPr="0000240F">
            <w:rPr>
              <w:color w:val="auto"/>
            </w:rPr>
            <w:t>21</w:t>
          </w:r>
        </w:p>
        <w:p w14:paraId="58DF37C7" w14:textId="1DAF4519" w:rsidR="00FC5939" w:rsidRPr="0000240F" w:rsidRDefault="00FC5939" w:rsidP="008C6CA5">
          <w:pPr>
            <w:pStyle w:val="TOC3"/>
            <w:ind w:left="446" w:right="56"/>
            <w:rPr>
              <w:sz w:val="20"/>
            </w:rPr>
          </w:pPr>
          <w:r w:rsidRPr="0000240F">
            <w:rPr>
              <w:sz w:val="20"/>
            </w:rPr>
            <w:t xml:space="preserve">Structural stigma </w:t>
          </w:r>
          <w:r w:rsidR="00F56C17" w:rsidRPr="0000240F">
            <w:rPr>
              <w:sz w:val="20"/>
            </w:rPr>
            <w:t>beliefs</w:t>
          </w:r>
          <w:r w:rsidRPr="0000240F">
            <w:rPr>
              <w:sz w:val="20"/>
            </w:rPr>
            <w:ptab w:relativeTo="margin" w:alignment="right" w:leader="dot"/>
          </w:r>
          <w:r w:rsidR="00757AE4" w:rsidRPr="0000240F">
            <w:rPr>
              <w:sz w:val="20"/>
            </w:rPr>
            <w:t>21</w:t>
          </w:r>
        </w:p>
        <w:p w14:paraId="292C119D" w14:textId="19F74BF6" w:rsidR="00562980" w:rsidRPr="0000240F" w:rsidRDefault="00F132DD" w:rsidP="008C6CA5">
          <w:pPr>
            <w:pStyle w:val="TOC3"/>
            <w:ind w:left="446" w:right="56"/>
            <w:rPr>
              <w:sz w:val="20"/>
            </w:rPr>
          </w:pPr>
          <w:r w:rsidRPr="0000240F">
            <w:rPr>
              <w:sz w:val="20"/>
            </w:rPr>
            <w:t>Experiences of discrimination in public life domains</w:t>
          </w:r>
          <w:r w:rsidR="00562980" w:rsidRPr="0000240F">
            <w:rPr>
              <w:sz w:val="20"/>
            </w:rPr>
            <w:ptab w:relativeTo="margin" w:alignment="right" w:leader="dot"/>
          </w:r>
          <w:r w:rsidR="00B81C18" w:rsidRPr="0000240F">
            <w:rPr>
              <w:sz w:val="20"/>
            </w:rPr>
            <w:t>2</w:t>
          </w:r>
          <w:r w:rsidR="00757AE4" w:rsidRPr="0000240F">
            <w:rPr>
              <w:sz w:val="20"/>
            </w:rPr>
            <w:t>3</w:t>
          </w:r>
        </w:p>
        <w:p w14:paraId="4E59EAB0" w14:textId="055BF554" w:rsidR="00562980" w:rsidRPr="0000240F" w:rsidRDefault="00F132DD" w:rsidP="00783C3B">
          <w:pPr>
            <w:pStyle w:val="TOC3"/>
            <w:ind w:left="446" w:right="56"/>
            <w:rPr>
              <w:sz w:val="20"/>
            </w:rPr>
          </w:pPr>
          <w:r w:rsidRPr="0000240F">
            <w:rPr>
              <w:sz w:val="20"/>
            </w:rPr>
            <w:t>Stigma and discrimination in the workplace</w:t>
          </w:r>
          <w:r w:rsidRPr="0000240F">
            <w:rPr>
              <w:sz w:val="20"/>
            </w:rPr>
            <w:ptab w:relativeTo="margin" w:alignment="right" w:leader="dot"/>
          </w:r>
          <w:r w:rsidR="00B81C18" w:rsidRPr="0000240F">
            <w:rPr>
              <w:sz w:val="20"/>
            </w:rPr>
            <w:t>2</w:t>
          </w:r>
          <w:r w:rsidR="00757AE4" w:rsidRPr="0000240F">
            <w:rPr>
              <w:sz w:val="20"/>
            </w:rPr>
            <w:t>5</w:t>
          </w:r>
        </w:p>
        <w:p w14:paraId="36263E6E" w14:textId="04E8A662" w:rsidR="00562980" w:rsidRPr="0000240F" w:rsidRDefault="00562980" w:rsidP="009C7435">
          <w:pPr>
            <w:pStyle w:val="TOC2"/>
            <w:rPr>
              <w:color w:val="auto"/>
            </w:rPr>
          </w:pPr>
          <w:r w:rsidRPr="0000240F">
            <w:rPr>
              <w:color w:val="auto"/>
            </w:rPr>
            <w:t>Self-stigma and anticipation of discrimination</w:t>
          </w:r>
          <w:r w:rsidRPr="0000240F">
            <w:rPr>
              <w:color w:val="auto"/>
            </w:rPr>
            <w:ptab w:relativeTo="margin" w:alignment="right" w:leader="dot"/>
          </w:r>
          <w:r w:rsidRPr="0000240F">
            <w:rPr>
              <w:color w:val="auto"/>
            </w:rPr>
            <w:t>2</w:t>
          </w:r>
          <w:r w:rsidR="00757AE4" w:rsidRPr="0000240F">
            <w:rPr>
              <w:color w:val="auto"/>
            </w:rPr>
            <w:t>7</w:t>
          </w:r>
        </w:p>
        <w:p w14:paraId="0C390A6D" w14:textId="50ABC28F" w:rsidR="00315BEF" w:rsidRPr="0000240F" w:rsidRDefault="00F132DD" w:rsidP="008C6CA5">
          <w:pPr>
            <w:pStyle w:val="TOC3"/>
            <w:ind w:left="446" w:right="56"/>
            <w:rPr>
              <w:sz w:val="20"/>
            </w:rPr>
          </w:pPr>
          <w:r w:rsidRPr="0000240F">
            <w:rPr>
              <w:sz w:val="20"/>
            </w:rPr>
            <w:t>Self-stigma</w:t>
          </w:r>
          <w:r w:rsidR="00315BEF" w:rsidRPr="0000240F">
            <w:rPr>
              <w:sz w:val="20"/>
            </w:rPr>
            <w:ptab w:relativeTo="margin" w:alignment="right" w:leader="dot"/>
          </w:r>
          <w:r w:rsidR="00B81C18" w:rsidRPr="0000240F">
            <w:rPr>
              <w:sz w:val="20"/>
            </w:rPr>
            <w:t>2</w:t>
          </w:r>
          <w:r w:rsidR="00757AE4" w:rsidRPr="0000240F">
            <w:rPr>
              <w:sz w:val="20"/>
            </w:rPr>
            <w:t>7</w:t>
          </w:r>
        </w:p>
        <w:p w14:paraId="477AACB4" w14:textId="4ED18D21" w:rsidR="00F132DD" w:rsidRPr="0000240F" w:rsidRDefault="00F132DD" w:rsidP="00783C3B">
          <w:pPr>
            <w:pStyle w:val="TOC3"/>
            <w:ind w:left="446" w:right="56"/>
            <w:rPr>
              <w:sz w:val="20"/>
            </w:rPr>
          </w:pPr>
          <w:r w:rsidRPr="0000240F">
            <w:rPr>
              <w:sz w:val="20"/>
            </w:rPr>
            <w:t>Anticipated stigma</w:t>
          </w:r>
          <w:r w:rsidRPr="0000240F">
            <w:rPr>
              <w:sz w:val="20"/>
            </w:rPr>
            <w:ptab w:relativeTo="margin" w:alignment="right" w:leader="dot"/>
          </w:r>
          <w:r w:rsidR="00B81C18" w:rsidRPr="0000240F">
            <w:rPr>
              <w:sz w:val="20"/>
            </w:rPr>
            <w:t>2</w:t>
          </w:r>
          <w:r w:rsidR="00757AE4" w:rsidRPr="0000240F">
            <w:rPr>
              <w:sz w:val="20"/>
            </w:rPr>
            <w:t>9</w:t>
          </w:r>
        </w:p>
        <w:p w14:paraId="0351AF20" w14:textId="614BE50A" w:rsidR="00315BEF" w:rsidRPr="0000240F" w:rsidRDefault="00635B86" w:rsidP="009C7435">
          <w:pPr>
            <w:pStyle w:val="TOC1"/>
            <w:rPr>
              <w:color w:val="auto"/>
            </w:rPr>
          </w:pPr>
          <w:r w:rsidRPr="0000240F">
            <w:rPr>
              <w:color w:val="auto"/>
            </w:rPr>
            <w:t>Appendix</w:t>
          </w:r>
          <w:r w:rsidR="00315BEF" w:rsidRPr="0000240F">
            <w:rPr>
              <w:color w:val="auto"/>
            </w:rPr>
            <w:ptab w:relativeTo="margin" w:alignment="right" w:leader="dot"/>
          </w:r>
          <w:r w:rsidR="00757AE4" w:rsidRPr="0000240F">
            <w:rPr>
              <w:color w:val="auto"/>
            </w:rPr>
            <w:t>31</w:t>
          </w:r>
        </w:p>
        <w:p w14:paraId="38061FC1" w14:textId="476A4023" w:rsidR="00635B86" w:rsidRPr="0000240F" w:rsidRDefault="00635B86" w:rsidP="00635B86">
          <w:pPr>
            <w:pStyle w:val="TOC2"/>
            <w:rPr>
              <w:color w:val="auto"/>
            </w:rPr>
          </w:pPr>
          <w:r w:rsidRPr="0000240F">
            <w:rPr>
              <w:color w:val="auto"/>
            </w:rPr>
            <w:t xml:space="preserve">A: </w:t>
          </w:r>
          <w:r w:rsidR="00620FCB" w:rsidRPr="0000240F">
            <w:rPr>
              <w:color w:val="auto"/>
            </w:rPr>
            <w:t>M</w:t>
          </w:r>
          <w:r w:rsidRPr="0000240F">
            <w:rPr>
              <w:color w:val="auto"/>
            </w:rPr>
            <w:t>ethod</w:t>
          </w:r>
          <w:r w:rsidR="00620FCB" w:rsidRPr="0000240F">
            <w:rPr>
              <w:color w:val="auto"/>
            </w:rPr>
            <w:t xml:space="preserve"> detail</w:t>
          </w:r>
          <w:r w:rsidRPr="0000240F">
            <w:rPr>
              <w:color w:val="auto"/>
            </w:rPr>
            <w:ptab w:relativeTo="margin" w:alignment="right" w:leader="dot"/>
          </w:r>
          <w:r w:rsidR="00757AE4" w:rsidRPr="0000240F">
            <w:rPr>
              <w:color w:val="auto"/>
            </w:rPr>
            <w:t>31</w:t>
          </w:r>
        </w:p>
        <w:p w14:paraId="42007997" w14:textId="309D41E0" w:rsidR="00635B86" w:rsidRPr="0000240F" w:rsidRDefault="00635B86" w:rsidP="00635B86">
          <w:pPr>
            <w:pStyle w:val="TOC2"/>
            <w:rPr>
              <w:color w:val="auto"/>
            </w:rPr>
          </w:pPr>
          <w:r w:rsidRPr="0000240F">
            <w:rPr>
              <w:color w:val="auto"/>
            </w:rPr>
            <w:t>B: Glossary</w:t>
          </w:r>
          <w:r w:rsidRPr="0000240F">
            <w:rPr>
              <w:color w:val="auto"/>
            </w:rPr>
            <w:ptab w:relativeTo="margin" w:alignment="right" w:leader="dot"/>
          </w:r>
          <w:r w:rsidR="00757AE4" w:rsidRPr="0000240F">
            <w:rPr>
              <w:color w:val="auto"/>
            </w:rPr>
            <w:t>33</w:t>
          </w:r>
        </w:p>
        <w:p w14:paraId="25D8E36D" w14:textId="15D0BBA5" w:rsidR="00635B86" w:rsidRPr="0000240F" w:rsidRDefault="00635B86" w:rsidP="00635B86">
          <w:pPr>
            <w:pStyle w:val="TOC2"/>
            <w:rPr>
              <w:color w:val="auto"/>
            </w:rPr>
          </w:pPr>
          <w:r w:rsidRPr="0000240F">
            <w:rPr>
              <w:color w:val="auto"/>
            </w:rPr>
            <w:t>C: References</w:t>
          </w:r>
          <w:r w:rsidRPr="0000240F">
            <w:rPr>
              <w:color w:val="auto"/>
            </w:rPr>
            <w:ptab w:relativeTo="margin" w:alignment="right" w:leader="dot"/>
          </w:r>
          <w:r w:rsidR="00620FCB" w:rsidRPr="0000240F">
            <w:rPr>
              <w:color w:val="auto"/>
            </w:rPr>
            <w:t>3</w:t>
          </w:r>
          <w:r w:rsidR="00757AE4" w:rsidRPr="0000240F">
            <w:rPr>
              <w:color w:val="auto"/>
            </w:rPr>
            <w:t>5</w:t>
          </w:r>
        </w:p>
        <w:p w14:paraId="3842942B" w14:textId="479392E2" w:rsidR="008253C4" w:rsidRPr="0000240F" w:rsidRDefault="00687E97" w:rsidP="00783C3B">
          <w:pPr>
            <w:pStyle w:val="TOC3"/>
            <w:rPr>
              <w:noProof/>
            </w:rPr>
            <w:sectPr w:rsidR="008253C4" w:rsidRPr="0000240F" w:rsidSect="00454DCC">
              <w:headerReference w:type="default" r:id="rId16"/>
              <w:footerReference w:type="default" r:id="rId17"/>
              <w:pgSz w:w="11906" w:h="16838" w:code="9"/>
              <w:pgMar w:top="2041" w:right="2381" w:bottom="1247" w:left="1247" w:header="720" w:footer="851" w:gutter="0"/>
              <w:cols w:space="708"/>
              <w:docGrid w:linePitch="360"/>
            </w:sectPr>
          </w:pPr>
        </w:p>
      </w:sdtContent>
    </w:sdt>
    <w:p w14:paraId="2CC5E58C" w14:textId="77777777" w:rsidR="00E41B2E" w:rsidRPr="0000240F" w:rsidRDefault="00E41B2E">
      <w:pPr>
        <w:spacing w:after="0" w:line="240" w:lineRule="auto"/>
      </w:pPr>
    </w:p>
    <w:p w14:paraId="17C8683D" w14:textId="77777777" w:rsidR="009C46C8" w:rsidRDefault="009C46C8" w:rsidP="008E01B4">
      <w:pPr>
        <w:pStyle w:val="Heading2"/>
        <w:ind w:right="-1078"/>
      </w:pPr>
      <w:r>
        <w:t>About this report</w:t>
      </w:r>
    </w:p>
    <w:p w14:paraId="7E53AD6B" w14:textId="77777777" w:rsidR="009C46C8" w:rsidRPr="00D55A1F" w:rsidRDefault="009C46C8" w:rsidP="009C46C8">
      <w:pPr>
        <w:ind w:right="-1078"/>
        <w:rPr>
          <w:szCs w:val="20"/>
        </w:rPr>
      </w:pPr>
      <w:r w:rsidRPr="00D55A1F">
        <w:rPr>
          <w:szCs w:val="20"/>
        </w:rPr>
        <w:t xml:space="preserve">In </w:t>
      </w:r>
      <w:r>
        <w:rPr>
          <w:szCs w:val="20"/>
        </w:rPr>
        <w:t>February 2021, the National Mental Health Commission (The Commission) approached the Behavioural Economics Team of the Australian Government (BETA) to help deliver a national survey of mental health-related stigma and discrimination.</w:t>
      </w:r>
    </w:p>
    <w:p w14:paraId="6B30EA17" w14:textId="77777777" w:rsidR="009C46C8" w:rsidRDefault="009C46C8" w:rsidP="009C46C8">
      <w:pPr>
        <w:pStyle w:val="Heading3"/>
        <w:ind w:right="-1078"/>
      </w:pPr>
      <w:r>
        <w:t>Why?</w:t>
      </w:r>
    </w:p>
    <w:p w14:paraId="4E9156E3" w14:textId="77777777" w:rsidR="009C46C8" w:rsidRPr="00184B6D" w:rsidRDefault="009C46C8" w:rsidP="009C46C8">
      <w:pPr>
        <w:ind w:right="-1078"/>
        <w:rPr>
          <w:szCs w:val="20"/>
        </w:rPr>
      </w:pPr>
      <w:r w:rsidRPr="00184B6D">
        <w:rPr>
          <w:szCs w:val="20"/>
        </w:rPr>
        <w:t xml:space="preserve">The purpose of the survey was to support </w:t>
      </w:r>
      <w:r>
        <w:rPr>
          <w:szCs w:val="20"/>
        </w:rPr>
        <w:t xml:space="preserve">The </w:t>
      </w:r>
      <w:r w:rsidRPr="00184B6D">
        <w:rPr>
          <w:szCs w:val="20"/>
        </w:rPr>
        <w:t xml:space="preserve">Commission to develop and evaluate the National Stigma and Discrimination </w:t>
      </w:r>
      <w:r>
        <w:rPr>
          <w:szCs w:val="20"/>
        </w:rPr>
        <w:t xml:space="preserve">Reduction </w:t>
      </w:r>
      <w:r w:rsidRPr="00184B6D">
        <w:rPr>
          <w:szCs w:val="20"/>
        </w:rPr>
        <w:t>Strategy</w:t>
      </w:r>
      <w:r>
        <w:rPr>
          <w:szCs w:val="20"/>
        </w:rPr>
        <w:t xml:space="preserve"> (The Strategy)</w:t>
      </w:r>
      <w:r w:rsidRPr="00184B6D">
        <w:rPr>
          <w:szCs w:val="20"/>
        </w:rPr>
        <w:t xml:space="preserve">. Selected findings from the survey are included in </w:t>
      </w:r>
      <w:r>
        <w:rPr>
          <w:szCs w:val="20"/>
        </w:rPr>
        <w:t>T</w:t>
      </w:r>
      <w:r w:rsidRPr="00184B6D">
        <w:rPr>
          <w:szCs w:val="20"/>
        </w:rPr>
        <w:t xml:space="preserve">he Strategy. The purpose of this report is to provide a </w:t>
      </w:r>
      <w:r>
        <w:rPr>
          <w:szCs w:val="20"/>
        </w:rPr>
        <w:t>full</w:t>
      </w:r>
      <w:r w:rsidRPr="00184B6D">
        <w:rPr>
          <w:szCs w:val="20"/>
        </w:rPr>
        <w:t xml:space="preserve"> descri</w:t>
      </w:r>
      <w:r>
        <w:rPr>
          <w:szCs w:val="20"/>
        </w:rPr>
        <w:t>ption of the survey</w:t>
      </w:r>
      <w:r w:rsidRPr="00184B6D">
        <w:rPr>
          <w:szCs w:val="20"/>
        </w:rPr>
        <w:t xml:space="preserve"> methods and f</w:t>
      </w:r>
      <w:r>
        <w:rPr>
          <w:szCs w:val="20"/>
        </w:rPr>
        <w:t>indings.</w:t>
      </w:r>
    </w:p>
    <w:p w14:paraId="38BF16E9" w14:textId="77777777" w:rsidR="009C46C8" w:rsidRPr="00184B6D" w:rsidRDefault="009C46C8" w:rsidP="009C46C8">
      <w:pPr>
        <w:pStyle w:val="Heading3"/>
        <w:ind w:right="-1078"/>
      </w:pPr>
      <w:r w:rsidRPr="00184B6D">
        <w:t>How?</w:t>
      </w:r>
    </w:p>
    <w:p w14:paraId="15DEB752" w14:textId="77777777" w:rsidR="009C46C8" w:rsidRDefault="009C46C8" w:rsidP="009C46C8">
      <w:pPr>
        <w:ind w:right="-1078"/>
        <w:rPr>
          <w:szCs w:val="20"/>
        </w:rPr>
      </w:pPr>
      <w:r w:rsidRPr="00184B6D">
        <w:rPr>
          <w:szCs w:val="20"/>
        </w:rPr>
        <w:t xml:space="preserve">The survey was completed </w:t>
      </w:r>
      <w:r>
        <w:rPr>
          <w:szCs w:val="20"/>
        </w:rPr>
        <w:t xml:space="preserve">in August 2021 </w:t>
      </w:r>
      <w:r w:rsidRPr="00184B6D">
        <w:rPr>
          <w:szCs w:val="20"/>
        </w:rPr>
        <w:t xml:space="preserve">by 7,873 Australians aged 18+ </w:t>
      </w:r>
      <w:r>
        <w:rPr>
          <w:szCs w:val="20"/>
        </w:rPr>
        <w:t>on a computer or by phone</w:t>
      </w:r>
      <w:r w:rsidRPr="00184B6D">
        <w:rPr>
          <w:szCs w:val="20"/>
        </w:rPr>
        <w:t xml:space="preserve">. In order to recruit a </w:t>
      </w:r>
      <w:r>
        <w:rPr>
          <w:szCs w:val="20"/>
        </w:rPr>
        <w:t>large high-quality</w:t>
      </w:r>
      <w:r w:rsidRPr="00184B6D">
        <w:rPr>
          <w:szCs w:val="20"/>
        </w:rPr>
        <w:t xml:space="preserve"> </w:t>
      </w:r>
      <w:r>
        <w:rPr>
          <w:szCs w:val="20"/>
        </w:rPr>
        <w:t>sample</w:t>
      </w:r>
      <w:r w:rsidRPr="00184B6D">
        <w:rPr>
          <w:szCs w:val="20"/>
        </w:rPr>
        <w:t xml:space="preserve"> representative of the Australian population, </w:t>
      </w:r>
      <w:r>
        <w:rPr>
          <w:szCs w:val="20"/>
        </w:rPr>
        <w:t xml:space="preserve">we used </w:t>
      </w:r>
      <w:r w:rsidRPr="00184B6D">
        <w:rPr>
          <w:szCs w:val="20"/>
        </w:rPr>
        <w:t>a mixture of probability and non-probability based sampling, with quotas for characteristics such as age, ge</w:t>
      </w:r>
      <w:r>
        <w:rPr>
          <w:szCs w:val="20"/>
        </w:rPr>
        <w:t>nder and location. We weighted the data to ABS census population benchmarks</w:t>
      </w:r>
      <w:r w:rsidRPr="00184B6D">
        <w:rPr>
          <w:szCs w:val="20"/>
        </w:rPr>
        <w:t xml:space="preserve">. </w:t>
      </w:r>
    </w:p>
    <w:p w14:paraId="1C2B93FE" w14:textId="77777777" w:rsidR="009C46C8" w:rsidRPr="00184B6D" w:rsidRDefault="009C46C8" w:rsidP="009C46C8">
      <w:pPr>
        <w:ind w:right="-1078"/>
        <w:rPr>
          <w:szCs w:val="20"/>
        </w:rPr>
      </w:pPr>
      <w:r>
        <w:rPr>
          <w:szCs w:val="20"/>
        </w:rPr>
        <w:t xml:space="preserve">The survey questions were designed in collaboration with an advisory group comprising experts in mental health-related stigma with both lived and learned experience of mental ill-health. </w:t>
      </w:r>
      <w:r w:rsidRPr="00184B6D">
        <w:rPr>
          <w:szCs w:val="20"/>
        </w:rPr>
        <w:t xml:space="preserve">For full details of the method, see </w:t>
      </w:r>
      <w:r>
        <w:rPr>
          <w:szCs w:val="20"/>
        </w:rPr>
        <w:t>A</w:t>
      </w:r>
      <w:r w:rsidRPr="00184B6D">
        <w:rPr>
          <w:szCs w:val="20"/>
        </w:rPr>
        <w:t>ppendix</w:t>
      </w:r>
      <w:r>
        <w:rPr>
          <w:szCs w:val="20"/>
        </w:rPr>
        <w:t xml:space="preserve"> A</w:t>
      </w:r>
      <w:r w:rsidRPr="00184B6D">
        <w:rPr>
          <w:szCs w:val="20"/>
        </w:rPr>
        <w:t>.</w:t>
      </w:r>
    </w:p>
    <w:p w14:paraId="4ED92A86" w14:textId="77777777" w:rsidR="009C46C8" w:rsidRPr="00184B6D" w:rsidRDefault="009C46C8" w:rsidP="009C46C8">
      <w:pPr>
        <w:pStyle w:val="Heading3"/>
        <w:ind w:right="-1078"/>
      </w:pPr>
      <w:r w:rsidRPr="00184B6D">
        <w:t>What?</w:t>
      </w:r>
    </w:p>
    <w:p w14:paraId="7C4139CE" w14:textId="77777777" w:rsidR="009C46C8" w:rsidRDefault="009C46C8" w:rsidP="009C46C8">
      <w:pPr>
        <w:ind w:right="-1078"/>
        <w:rPr>
          <w:szCs w:val="20"/>
        </w:rPr>
      </w:pPr>
      <w:r w:rsidRPr="00184B6D">
        <w:rPr>
          <w:szCs w:val="20"/>
        </w:rPr>
        <w:t xml:space="preserve">There were two </w:t>
      </w:r>
      <w:r>
        <w:rPr>
          <w:szCs w:val="20"/>
        </w:rPr>
        <w:t>modules within</w:t>
      </w:r>
      <w:r w:rsidRPr="00184B6D">
        <w:rPr>
          <w:szCs w:val="20"/>
        </w:rPr>
        <w:t xml:space="preserve"> the survey. The first comprised questions regarding </w:t>
      </w:r>
      <w:r>
        <w:rPr>
          <w:szCs w:val="20"/>
        </w:rPr>
        <w:t>beliefs</w:t>
      </w:r>
      <w:r w:rsidRPr="00184B6D">
        <w:rPr>
          <w:szCs w:val="20"/>
        </w:rPr>
        <w:t>,</w:t>
      </w:r>
      <w:r>
        <w:rPr>
          <w:szCs w:val="20"/>
        </w:rPr>
        <w:t xml:space="preserve"> intentions and</w:t>
      </w:r>
      <w:r w:rsidRPr="00184B6D">
        <w:rPr>
          <w:szCs w:val="20"/>
        </w:rPr>
        <w:t xml:space="preserve"> behaviours in relation t</w:t>
      </w:r>
      <w:r>
        <w:rPr>
          <w:szCs w:val="20"/>
        </w:rPr>
        <w:t>o people with personal lived experienced of mental ill-health</w:t>
      </w:r>
      <w:r w:rsidRPr="00184B6D">
        <w:rPr>
          <w:szCs w:val="20"/>
        </w:rPr>
        <w:t xml:space="preserve">. This </w:t>
      </w:r>
      <w:r>
        <w:rPr>
          <w:szCs w:val="20"/>
        </w:rPr>
        <w:t>module</w:t>
      </w:r>
      <w:r w:rsidRPr="00184B6D">
        <w:rPr>
          <w:szCs w:val="20"/>
        </w:rPr>
        <w:t xml:space="preserve"> was completed by all respondents. </w:t>
      </w:r>
    </w:p>
    <w:p w14:paraId="6D539FF3" w14:textId="77777777" w:rsidR="009C46C8" w:rsidRPr="00184B6D" w:rsidRDefault="009C46C8" w:rsidP="009C46C8">
      <w:pPr>
        <w:ind w:right="-1078"/>
        <w:rPr>
          <w:szCs w:val="20"/>
        </w:rPr>
      </w:pPr>
      <w:r w:rsidRPr="00184B6D">
        <w:rPr>
          <w:szCs w:val="20"/>
        </w:rPr>
        <w:t xml:space="preserve">A second </w:t>
      </w:r>
      <w:r>
        <w:rPr>
          <w:szCs w:val="20"/>
        </w:rPr>
        <w:t>module</w:t>
      </w:r>
      <w:r w:rsidRPr="00184B6D">
        <w:rPr>
          <w:szCs w:val="20"/>
        </w:rPr>
        <w:t xml:space="preserve"> was completed by </w:t>
      </w:r>
      <w:r>
        <w:rPr>
          <w:szCs w:val="20"/>
        </w:rPr>
        <w:t>people</w:t>
      </w:r>
      <w:r w:rsidRPr="00184B6D">
        <w:rPr>
          <w:szCs w:val="20"/>
        </w:rPr>
        <w:t xml:space="preserve"> who identified as having experi</w:t>
      </w:r>
      <w:r>
        <w:rPr>
          <w:szCs w:val="20"/>
        </w:rPr>
        <w:t>enced a mental health problem</w:t>
      </w:r>
      <w:r w:rsidRPr="00184B6D">
        <w:rPr>
          <w:szCs w:val="20"/>
        </w:rPr>
        <w:t xml:space="preserve"> in the prior 12 months. This second </w:t>
      </w:r>
      <w:r>
        <w:rPr>
          <w:szCs w:val="20"/>
        </w:rPr>
        <w:t>module</w:t>
      </w:r>
      <w:r w:rsidRPr="00184B6D">
        <w:rPr>
          <w:szCs w:val="20"/>
        </w:rPr>
        <w:t xml:space="preserve"> asked questions about </w:t>
      </w:r>
      <w:r>
        <w:rPr>
          <w:szCs w:val="20"/>
        </w:rPr>
        <w:t>the respondent’s</w:t>
      </w:r>
      <w:r w:rsidRPr="00184B6D">
        <w:rPr>
          <w:szCs w:val="20"/>
        </w:rPr>
        <w:t xml:space="preserve"> personal experiences of mental </w:t>
      </w:r>
      <w:r>
        <w:rPr>
          <w:szCs w:val="20"/>
        </w:rPr>
        <w:t>health-related</w:t>
      </w:r>
      <w:r w:rsidRPr="00184B6D">
        <w:rPr>
          <w:szCs w:val="20"/>
        </w:rPr>
        <w:t xml:space="preserve"> stigma and discrimination.</w:t>
      </w:r>
      <w:r>
        <w:rPr>
          <w:szCs w:val="20"/>
        </w:rPr>
        <w:t xml:space="preserve"> A small group of people who reported experiencing </w:t>
      </w:r>
      <w:r w:rsidRPr="00184B6D">
        <w:rPr>
          <w:szCs w:val="20"/>
        </w:rPr>
        <w:t xml:space="preserve">mental </w:t>
      </w:r>
      <w:r>
        <w:rPr>
          <w:szCs w:val="20"/>
        </w:rPr>
        <w:t>health-related</w:t>
      </w:r>
      <w:r w:rsidRPr="00184B6D">
        <w:rPr>
          <w:szCs w:val="20"/>
        </w:rPr>
        <w:t xml:space="preserve"> </w:t>
      </w:r>
      <w:r>
        <w:rPr>
          <w:szCs w:val="20"/>
        </w:rPr>
        <w:t>stigma and discrimination in the last 12 months despite their personal lived experience occurring more than 12 months ago were also asked to complete this module.</w:t>
      </w:r>
    </w:p>
    <w:p w14:paraId="3C2C20E4" w14:textId="0B50A535" w:rsidR="009C46C8" w:rsidRDefault="009C46C8" w:rsidP="009C46C8">
      <w:pPr>
        <w:ind w:right="-1078"/>
        <w:rPr>
          <w:szCs w:val="20"/>
        </w:rPr>
      </w:pPr>
      <w:r w:rsidRPr="00184B6D">
        <w:rPr>
          <w:szCs w:val="20"/>
        </w:rPr>
        <w:t xml:space="preserve">The main findings from this survey are described across three sections </w:t>
      </w:r>
      <w:r>
        <w:rPr>
          <w:szCs w:val="20"/>
        </w:rPr>
        <w:t xml:space="preserve">in this report </w:t>
      </w:r>
      <w:r w:rsidRPr="00184B6D">
        <w:rPr>
          <w:szCs w:val="20"/>
        </w:rPr>
        <w:t xml:space="preserve">that correspond to the structure of </w:t>
      </w:r>
      <w:r>
        <w:rPr>
          <w:szCs w:val="20"/>
        </w:rPr>
        <w:t>T</w:t>
      </w:r>
      <w:r w:rsidRPr="00184B6D">
        <w:rPr>
          <w:szCs w:val="20"/>
        </w:rPr>
        <w:t>he Strategy (public</w:t>
      </w:r>
      <w:r>
        <w:rPr>
          <w:szCs w:val="20"/>
        </w:rPr>
        <w:t xml:space="preserve"> stigma</w:t>
      </w:r>
      <w:r w:rsidRPr="00184B6D">
        <w:rPr>
          <w:szCs w:val="20"/>
        </w:rPr>
        <w:t>,</w:t>
      </w:r>
      <w:r>
        <w:rPr>
          <w:szCs w:val="20"/>
        </w:rPr>
        <w:t xml:space="preserve"> structural stigma and self-stigma). The </w:t>
      </w:r>
      <w:r w:rsidRPr="00184B6D">
        <w:rPr>
          <w:szCs w:val="20"/>
        </w:rPr>
        <w:t xml:space="preserve">full set of questions and </w:t>
      </w:r>
      <w:r>
        <w:rPr>
          <w:szCs w:val="20"/>
        </w:rPr>
        <w:t>tables comprising item-level response-proportions are</w:t>
      </w:r>
      <w:r w:rsidRPr="00184B6D">
        <w:rPr>
          <w:szCs w:val="20"/>
        </w:rPr>
        <w:t xml:space="preserve"> included in </w:t>
      </w:r>
      <w:r>
        <w:rPr>
          <w:szCs w:val="20"/>
        </w:rPr>
        <w:t>S</w:t>
      </w:r>
      <w:r w:rsidRPr="00184B6D">
        <w:rPr>
          <w:szCs w:val="20"/>
        </w:rPr>
        <w:t xml:space="preserve">upplementary </w:t>
      </w:r>
      <w:r>
        <w:rPr>
          <w:szCs w:val="20"/>
        </w:rPr>
        <w:t>M</w:t>
      </w:r>
      <w:r w:rsidRPr="00184B6D">
        <w:rPr>
          <w:szCs w:val="20"/>
        </w:rPr>
        <w:t>aterial</w:t>
      </w:r>
      <w:r>
        <w:rPr>
          <w:szCs w:val="20"/>
        </w:rPr>
        <w:t xml:space="preserve"> to this report</w:t>
      </w:r>
      <w:r w:rsidR="00AF0F56">
        <w:rPr>
          <w:szCs w:val="20"/>
        </w:rPr>
        <w:t>.</w:t>
      </w:r>
      <w:r>
        <w:rPr>
          <w:szCs w:val="20"/>
        </w:rPr>
        <w:t xml:space="preserve"> </w:t>
      </w:r>
    </w:p>
    <w:p w14:paraId="03F6AF29" w14:textId="77777777" w:rsidR="009C46C8" w:rsidRDefault="009C46C8" w:rsidP="009C46C8">
      <w:pPr>
        <w:ind w:right="-1078"/>
        <w:rPr>
          <w:szCs w:val="20"/>
        </w:rPr>
      </w:pPr>
      <w:r>
        <w:t>Note, all differences between sub-groups (such as demographic groups) included in this report are statistically significant at the conventional threshold (p&lt;.05) unless stated otherwise.</w:t>
      </w:r>
    </w:p>
    <w:p w14:paraId="297647F3" w14:textId="77777777" w:rsidR="00162880" w:rsidRPr="008F6258" w:rsidRDefault="00162880" w:rsidP="00162880">
      <w:pPr>
        <w:pStyle w:val="Heading2"/>
        <w:ind w:right="-1078"/>
      </w:pPr>
      <w:r>
        <w:t>Language matters</w:t>
      </w:r>
    </w:p>
    <w:p w14:paraId="39B2F68A" w14:textId="77777777" w:rsidR="00162880" w:rsidRDefault="00162880" w:rsidP="00162880">
      <w:pPr>
        <w:ind w:right="-1078"/>
      </w:pPr>
      <w:r w:rsidRPr="00D06011">
        <w:t>We acknowledge that individuals make sense of their experiences in different ways, that individuals have different preferences for how they would like their experiences described</w:t>
      </w:r>
      <w:r>
        <w:t>,</w:t>
      </w:r>
      <w:r w:rsidRPr="00D06011">
        <w:t xml:space="preserve"> and that not having these preferences respected can itself be stigmatising. </w:t>
      </w:r>
      <w:r>
        <w:t xml:space="preserve">We </w:t>
      </w:r>
      <w:r>
        <w:lastRenderedPageBreak/>
        <w:t>also recognise that language can have negative impacts and/or divide people in the way it is used and understood, particularly when it is used to stigmatise or label.</w:t>
      </w:r>
    </w:p>
    <w:p w14:paraId="21A8EDFE" w14:textId="58C3391A" w:rsidR="00162880" w:rsidRPr="00DF06E8" w:rsidRDefault="00AF0F56" w:rsidP="00162880">
      <w:pPr>
        <w:ind w:right="-1078"/>
      </w:pPr>
      <w:r>
        <w:t>C</w:t>
      </w:r>
      <w:r w:rsidR="00162880">
        <w:t>onsistent with the Strategy,</w:t>
      </w:r>
      <w:r>
        <w:t xml:space="preserve"> </w:t>
      </w:r>
      <w:r w:rsidR="00162880">
        <w:t>w</w:t>
      </w:r>
      <w:r w:rsidR="00162880" w:rsidRPr="00D06011">
        <w:t xml:space="preserve">e have tried to </w:t>
      </w:r>
      <w:r>
        <w:t>use</w:t>
      </w:r>
      <w:r w:rsidR="00162880" w:rsidRPr="00D06011">
        <w:t xml:space="preserve"> terms </w:t>
      </w:r>
      <w:r>
        <w:t xml:space="preserve">in this report </w:t>
      </w:r>
      <w:r w:rsidR="00162880" w:rsidRPr="00D06011">
        <w:t xml:space="preserve">that are meaningful to a wide range of people. </w:t>
      </w:r>
      <w:r w:rsidR="00162880">
        <w:t xml:space="preserve">We acknowledge that </w:t>
      </w:r>
      <w:r w:rsidR="00162880" w:rsidRPr="00DF06E8">
        <w:t xml:space="preserve">the language </w:t>
      </w:r>
      <w:r w:rsidR="00162880">
        <w:t>used</w:t>
      </w:r>
      <w:r w:rsidR="00162880" w:rsidRPr="00DF06E8">
        <w:t xml:space="preserve"> is ultimately imperfect to describe </w:t>
      </w:r>
      <w:r w:rsidR="00162880">
        <w:t>the inherently complex</w:t>
      </w:r>
      <w:r w:rsidR="00162880" w:rsidRPr="00DF06E8">
        <w:t xml:space="preserve"> lived experience of stigma and discrimination</w:t>
      </w:r>
      <w:r w:rsidR="00162880">
        <w:t>.</w:t>
      </w:r>
    </w:p>
    <w:p w14:paraId="68BEE54A" w14:textId="0447B355" w:rsidR="00162880" w:rsidRPr="00236B3F" w:rsidRDefault="00162880" w:rsidP="00162880">
      <w:pPr>
        <w:pStyle w:val="Heading3"/>
        <w:ind w:right="-1078"/>
        <w:rPr>
          <w:lang w:eastAsia="en-GB"/>
        </w:rPr>
      </w:pPr>
      <w:r w:rsidRPr="4B8A0EAA">
        <w:rPr>
          <w:lang w:eastAsia="en-GB"/>
        </w:rPr>
        <w:t xml:space="preserve">Key terms used in </w:t>
      </w:r>
      <w:r w:rsidR="00DC3D98">
        <w:rPr>
          <w:lang w:eastAsia="en-GB"/>
        </w:rPr>
        <w:t>this document</w:t>
      </w:r>
    </w:p>
    <w:p w14:paraId="7E6F34AD" w14:textId="728DA882" w:rsidR="00162880" w:rsidRDefault="00162880" w:rsidP="00162880">
      <w:pPr>
        <w:ind w:right="-1078"/>
      </w:pPr>
      <w:r w:rsidRPr="00B77DDC">
        <w:rPr>
          <w:lang w:eastAsia="en-GB"/>
        </w:rPr>
        <w:t xml:space="preserve">Common terms used throughout this document are defined in </w:t>
      </w:r>
      <w:r>
        <w:rPr>
          <w:lang w:eastAsia="en-GB"/>
        </w:rPr>
        <w:t xml:space="preserve">the glossary </w:t>
      </w:r>
      <w:r w:rsidR="009C46C8">
        <w:rPr>
          <w:lang w:eastAsia="en-GB"/>
        </w:rPr>
        <w:t>in Appendix B</w:t>
      </w:r>
      <w:r w:rsidRPr="00E47F0A">
        <w:rPr>
          <w:lang w:eastAsia="en-GB"/>
        </w:rPr>
        <w:t>.</w:t>
      </w:r>
      <w:r w:rsidRPr="00B77DDC">
        <w:rPr>
          <w:lang w:eastAsia="en-GB"/>
        </w:rPr>
        <w:t xml:space="preserve"> </w:t>
      </w:r>
      <w:r>
        <w:t>In this</w:t>
      </w:r>
      <w:r w:rsidRPr="00B77DDC">
        <w:t xml:space="preserve"> </w:t>
      </w:r>
      <w:r w:rsidR="009C46C8">
        <w:t>document</w:t>
      </w:r>
      <w:r w:rsidRPr="00B77DDC">
        <w:t xml:space="preserve">, each of these terms is used in the context of, or relating to, people with a lived or living experience of </w:t>
      </w:r>
      <w:r>
        <w:t xml:space="preserve">psychological distress, </w:t>
      </w:r>
      <w:r w:rsidRPr="00B77DDC">
        <w:t>mental ill-health</w:t>
      </w:r>
      <w:r>
        <w:t>, trauma, suicidality and alcohol and other drug issues,</w:t>
      </w:r>
      <w:r w:rsidRPr="00B77DDC">
        <w:t xml:space="preserve"> and their families, friends, unpaid carers and support people.</w:t>
      </w:r>
    </w:p>
    <w:p w14:paraId="0B44C72A" w14:textId="3131970D" w:rsidR="00162880" w:rsidRDefault="00162880" w:rsidP="00162880">
      <w:pPr>
        <w:ind w:right="-1078"/>
      </w:pPr>
      <w:r w:rsidRPr="4B8A0EAA">
        <w:t xml:space="preserve">To aid readability, throughout the </w:t>
      </w:r>
      <w:r>
        <w:t>report</w:t>
      </w:r>
      <w:r w:rsidRPr="4B8A0EAA">
        <w:t xml:space="preserve"> we have used the phrase </w:t>
      </w:r>
      <w:r w:rsidRPr="00CA5950">
        <w:rPr>
          <w:b/>
          <w:bCs/>
        </w:rPr>
        <w:t>“people with personal lived experience”</w:t>
      </w:r>
      <w:r w:rsidRPr="4B8A0EAA">
        <w:t xml:space="preserve"> to describe people with a lived or living experience of psychological distress, mental ill-health, trauma, suicidality and </w:t>
      </w:r>
      <w:r>
        <w:t>alcohol and other drug issues</w:t>
      </w:r>
      <w:r w:rsidRPr="4B8A0EAA">
        <w:t xml:space="preserve">. </w:t>
      </w:r>
      <w:r w:rsidR="00D96AE8">
        <w:t xml:space="preserve">To refer to specific instances of personal lived experience, we use the phrase </w:t>
      </w:r>
      <w:r w:rsidR="00D96AE8" w:rsidRPr="00D96AE8">
        <w:rPr>
          <w:b/>
        </w:rPr>
        <w:t>“mental health problem”</w:t>
      </w:r>
      <w:r w:rsidR="00D96AE8" w:rsidRPr="00D96AE8">
        <w:t>.</w:t>
      </w:r>
      <w:r w:rsidR="00D96AE8">
        <w:t xml:space="preserve"> </w:t>
      </w:r>
      <w:r w:rsidRPr="4B8A0EAA">
        <w:t xml:space="preserve">We recognise that there is diversity in personal experiences of mental health and wellbeing, noting that mental health is experienced on a spectrum and across a lifetime, and definitions of mental health may be different for different people at different times. </w:t>
      </w:r>
    </w:p>
    <w:p w14:paraId="6899428A" w14:textId="7AF09DC1" w:rsidR="00162880" w:rsidRDefault="00162880" w:rsidP="00162880">
      <w:pPr>
        <w:ind w:right="-1078"/>
      </w:pPr>
      <w:r w:rsidRPr="4B8A0EAA">
        <w:t xml:space="preserve">We use the term </w:t>
      </w:r>
      <w:r w:rsidRPr="00CA5950">
        <w:rPr>
          <w:b/>
          <w:bCs/>
        </w:rPr>
        <w:t>“support people”</w:t>
      </w:r>
      <w:r w:rsidRPr="4B8A0EAA">
        <w:t xml:space="preserve"> </w:t>
      </w:r>
      <w:r w:rsidR="00AF0F56">
        <w:t xml:space="preserve">to </w:t>
      </w:r>
      <w:r w:rsidRPr="4B8A0EAA">
        <w:t>describe families, friends, unpaid carers and anyone whose primary relationship with the person concerned is a personal, supporting and caring one.</w:t>
      </w:r>
    </w:p>
    <w:p w14:paraId="767B87FA" w14:textId="5324CDBD" w:rsidR="00162880" w:rsidRDefault="00162880" w:rsidP="00687E97">
      <w:pPr>
        <w:spacing w:after="360"/>
        <w:ind w:right="-1077"/>
      </w:pPr>
      <w:r w:rsidRPr="4B8A0EAA">
        <w:t xml:space="preserve">We recognise the diversity of ways that people and communities understand and conceive of mental health. In particular, we recognise that the term </w:t>
      </w:r>
      <w:r w:rsidRPr="4B8A0EAA">
        <w:rPr>
          <w:rFonts w:cs="Arial"/>
        </w:rPr>
        <w:t xml:space="preserve">‘mental health’ does not fully describe the experiences of many Aboriginal and Torres Strait Islander people. </w:t>
      </w:r>
      <w:r w:rsidRPr="4B8A0EAA">
        <w:rPr>
          <w:rFonts w:cs="Arial"/>
          <w:color w:val="000000" w:themeColor="text1"/>
        </w:rPr>
        <w:t xml:space="preserve">The term </w:t>
      </w:r>
      <w:r w:rsidRPr="00CA5950">
        <w:rPr>
          <w:rFonts w:cs="Arial"/>
          <w:b/>
          <w:bCs/>
          <w:color w:val="000000" w:themeColor="text1"/>
        </w:rPr>
        <w:t>“social and emotional wellbeing”</w:t>
      </w:r>
      <w:r w:rsidRPr="4B8A0EAA">
        <w:rPr>
          <w:rFonts w:cs="Arial"/>
          <w:color w:val="000000" w:themeColor="text1"/>
        </w:rPr>
        <w:t xml:space="preserve"> is used by many Aboriginal and Torres Strait Islander people to describe their social, emotional, spiritual, and cultural wellbeing. It acknowledges the importance of connection to community, family, land, sea, culture, and spirituality on their wellbeing.</w:t>
      </w:r>
    </w:p>
    <w:p w14:paraId="7C1C78CE" w14:textId="77777777" w:rsidR="00162880" w:rsidRPr="00315C83" w:rsidRDefault="00162880" w:rsidP="00162880">
      <w:pPr>
        <w:pStyle w:val="EmphasisPanelBody"/>
        <w:ind w:left="284" w:right="-794"/>
        <w:rPr>
          <w:b/>
        </w:rPr>
      </w:pPr>
      <w:r>
        <w:rPr>
          <w:b/>
        </w:rPr>
        <w:t>Content warning</w:t>
      </w:r>
    </w:p>
    <w:p w14:paraId="0122D27B" w14:textId="10639059" w:rsidR="00162880" w:rsidRPr="00162880" w:rsidRDefault="00162880" w:rsidP="00162880">
      <w:pPr>
        <w:pStyle w:val="EmphasisPanelBody"/>
        <w:ind w:left="284" w:right="-794"/>
      </w:pPr>
      <w:r>
        <w:t xml:space="preserve">Due to the topic of this survey, this report contains frequent references to ideas that some people may find confronting. </w:t>
      </w:r>
      <w:r>
        <w:br w:type="page"/>
      </w:r>
    </w:p>
    <w:p w14:paraId="0D4019E1" w14:textId="7FBA6335" w:rsidR="004B4BC0" w:rsidRPr="00F546B9" w:rsidRDefault="00316690" w:rsidP="0056196F">
      <w:pPr>
        <w:pStyle w:val="Heading2"/>
        <w:ind w:right="-1078"/>
      </w:pPr>
      <w:r>
        <w:lastRenderedPageBreak/>
        <w:t>Key findings</w:t>
      </w:r>
    </w:p>
    <w:p w14:paraId="0F9E758E" w14:textId="290DBC05" w:rsidR="00FF13F8" w:rsidRPr="00FF13F8" w:rsidRDefault="001F04F1" w:rsidP="00284288">
      <w:pPr>
        <w:ind w:right="-1078"/>
        <w:rPr>
          <w:rFonts w:cstheme="minorHAnsi"/>
        </w:rPr>
      </w:pPr>
      <w:r>
        <w:rPr>
          <w:rFonts w:cstheme="minorHAnsi"/>
        </w:rPr>
        <w:t>Based on</w:t>
      </w:r>
      <w:r w:rsidR="00213C0F">
        <w:rPr>
          <w:rFonts w:cstheme="minorHAnsi"/>
        </w:rPr>
        <w:t xml:space="preserve"> </w:t>
      </w:r>
      <w:r w:rsidR="00C86D51">
        <w:rPr>
          <w:rFonts w:cstheme="minorHAnsi"/>
        </w:rPr>
        <w:t>our</w:t>
      </w:r>
      <w:r w:rsidR="00213C0F">
        <w:rPr>
          <w:rFonts w:cstheme="minorHAnsi"/>
        </w:rPr>
        <w:t xml:space="preserve"> survey, w</w:t>
      </w:r>
      <w:r w:rsidR="00BE7599">
        <w:rPr>
          <w:rFonts w:cstheme="minorHAnsi"/>
        </w:rPr>
        <w:t xml:space="preserve">e </w:t>
      </w:r>
      <w:r w:rsidR="003C3267">
        <w:rPr>
          <w:rFonts w:cstheme="minorHAnsi"/>
        </w:rPr>
        <w:t>estimate over four million Australians experience</w:t>
      </w:r>
      <w:r>
        <w:rPr>
          <w:rFonts w:cstheme="minorHAnsi"/>
        </w:rPr>
        <w:t>d</w:t>
      </w:r>
      <w:r w:rsidR="003C3267">
        <w:rPr>
          <w:rFonts w:cstheme="minorHAnsi"/>
        </w:rPr>
        <w:t xml:space="preserve"> </w:t>
      </w:r>
      <w:r w:rsidR="00FC5F35">
        <w:rPr>
          <w:rFonts w:cstheme="minorHAnsi"/>
        </w:rPr>
        <w:t xml:space="preserve">mental </w:t>
      </w:r>
      <w:r w:rsidR="00D71C8B">
        <w:rPr>
          <w:rFonts w:cstheme="minorHAnsi"/>
        </w:rPr>
        <w:t>health</w:t>
      </w:r>
      <w:r w:rsidR="00FC5F35">
        <w:rPr>
          <w:rFonts w:cstheme="minorHAnsi"/>
        </w:rPr>
        <w:t>-related</w:t>
      </w:r>
      <w:r w:rsidR="00D71C8B">
        <w:rPr>
          <w:rFonts w:cstheme="minorHAnsi"/>
        </w:rPr>
        <w:t xml:space="preserve"> </w:t>
      </w:r>
      <w:r w:rsidR="003C3267">
        <w:rPr>
          <w:rFonts w:cstheme="minorHAnsi"/>
        </w:rPr>
        <w:t xml:space="preserve">stigma and discrimination </w:t>
      </w:r>
      <w:r w:rsidR="00BE7599">
        <w:rPr>
          <w:rFonts w:cstheme="minorHAnsi"/>
        </w:rPr>
        <w:t xml:space="preserve">in </w:t>
      </w:r>
      <w:r>
        <w:rPr>
          <w:rFonts w:cstheme="minorHAnsi"/>
        </w:rPr>
        <w:t>the prior</w:t>
      </w:r>
      <w:r w:rsidR="00BE7599">
        <w:rPr>
          <w:rFonts w:cstheme="minorHAnsi"/>
        </w:rPr>
        <w:t xml:space="preserve"> 12</w:t>
      </w:r>
      <w:r>
        <w:rPr>
          <w:rFonts w:cstheme="minorHAnsi"/>
        </w:rPr>
        <w:t xml:space="preserve"> </w:t>
      </w:r>
      <w:r w:rsidR="00BE7599">
        <w:rPr>
          <w:rFonts w:cstheme="minorHAnsi"/>
        </w:rPr>
        <w:t>month</w:t>
      </w:r>
      <w:r>
        <w:rPr>
          <w:rFonts w:cstheme="minorHAnsi"/>
        </w:rPr>
        <w:t>s</w:t>
      </w:r>
      <w:r w:rsidR="003C3267">
        <w:rPr>
          <w:rFonts w:cstheme="minorHAnsi"/>
        </w:rPr>
        <w:t xml:space="preserve">. </w:t>
      </w:r>
      <w:r w:rsidR="00FF13F8" w:rsidRPr="00FF13F8">
        <w:rPr>
          <w:rFonts w:cstheme="minorHAnsi"/>
        </w:rPr>
        <w:t>Most commonly, this c</w:t>
      </w:r>
      <w:r>
        <w:rPr>
          <w:rFonts w:cstheme="minorHAnsi"/>
        </w:rPr>
        <w:t>ame</w:t>
      </w:r>
      <w:r w:rsidR="00FF13F8" w:rsidRPr="00FF13F8">
        <w:rPr>
          <w:rFonts w:cstheme="minorHAnsi"/>
        </w:rPr>
        <w:t xml:space="preserve"> from people close to them</w:t>
      </w:r>
      <w:r>
        <w:rPr>
          <w:rFonts w:cstheme="minorHAnsi"/>
        </w:rPr>
        <w:t>. We found</w:t>
      </w:r>
      <w:r w:rsidR="00FF13F8" w:rsidRPr="00FF13F8">
        <w:rPr>
          <w:rFonts w:cstheme="minorHAnsi"/>
        </w:rPr>
        <w:t xml:space="preserve"> one in three</w:t>
      </w:r>
      <w:r w:rsidR="003C3267">
        <w:rPr>
          <w:rFonts w:cstheme="minorHAnsi"/>
        </w:rPr>
        <w:t xml:space="preserve"> people </w:t>
      </w:r>
      <w:r w:rsidR="006071F9">
        <w:rPr>
          <w:rFonts w:cstheme="minorHAnsi"/>
        </w:rPr>
        <w:t>with recent personal lived experience</w:t>
      </w:r>
      <w:r w:rsidR="003C3267">
        <w:rPr>
          <w:rFonts w:cstheme="minorHAnsi"/>
        </w:rPr>
        <w:t xml:space="preserve"> </w:t>
      </w:r>
      <w:r w:rsidR="00FF13F8" w:rsidRPr="00FF13F8">
        <w:rPr>
          <w:rFonts w:cstheme="minorHAnsi"/>
        </w:rPr>
        <w:t>report</w:t>
      </w:r>
      <w:r>
        <w:rPr>
          <w:rFonts w:cstheme="minorHAnsi"/>
        </w:rPr>
        <w:t>ed</w:t>
      </w:r>
      <w:r w:rsidR="00FF13F8" w:rsidRPr="00FF13F8">
        <w:rPr>
          <w:rFonts w:cstheme="minorHAnsi"/>
        </w:rPr>
        <w:t xml:space="preserve"> unfair treatment by family and friends, and one in four report</w:t>
      </w:r>
      <w:r>
        <w:rPr>
          <w:rFonts w:cstheme="minorHAnsi"/>
        </w:rPr>
        <w:t>ed</w:t>
      </w:r>
      <w:r w:rsidR="00FF13F8" w:rsidRPr="00FF13F8">
        <w:rPr>
          <w:rFonts w:cstheme="minorHAnsi"/>
        </w:rPr>
        <w:t xml:space="preserve"> unfair treatment by their spouse or partner. Experiences of discrimination in the workplace </w:t>
      </w:r>
      <w:r>
        <w:rPr>
          <w:rFonts w:cstheme="minorHAnsi"/>
        </w:rPr>
        <w:t>we</w:t>
      </w:r>
      <w:r w:rsidR="00BE7599">
        <w:rPr>
          <w:rFonts w:cstheme="minorHAnsi"/>
        </w:rPr>
        <w:t>re</w:t>
      </w:r>
      <w:r w:rsidR="00FF13F8" w:rsidRPr="00FF13F8">
        <w:rPr>
          <w:rFonts w:cstheme="minorHAnsi"/>
        </w:rPr>
        <w:t xml:space="preserve"> also common</w:t>
      </w:r>
      <w:r>
        <w:rPr>
          <w:rFonts w:cstheme="minorHAnsi"/>
        </w:rPr>
        <w:t>, with o</w:t>
      </w:r>
      <w:r w:rsidR="00FF13F8" w:rsidRPr="00FF13F8">
        <w:rPr>
          <w:rFonts w:cstheme="minorHAnsi"/>
        </w:rPr>
        <w:t>ne in three</w:t>
      </w:r>
      <w:r w:rsidR="008C4F7D">
        <w:rPr>
          <w:rFonts w:cstheme="minorHAnsi"/>
        </w:rPr>
        <w:t xml:space="preserve"> people</w:t>
      </w:r>
      <w:r w:rsidR="00FF13F8" w:rsidRPr="00FF13F8">
        <w:rPr>
          <w:rFonts w:cstheme="minorHAnsi"/>
        </w:rPr>
        <w:t xml:space="preserve"> reporting unfair treatment in the workplace.</w:t>
      </w:r>
    </w:p>
    <w:p w14:paraId="4D109457" w14:textId="369D4680" w:rsidR="00FF13F8" w:rsidRPr="00FF13F8" w:rsidRDefault="00FF13F8" w:rsidP="00284288">
      <w:pPr>
        <w:ind w:right="-1078"/>
        <w:rPr>
          <w:rFonts w:cstheme="minorHAnsi"/>
        </w:rPr>
      </w:pPr>
      <w:r w:rsidRPr="00FF13F8">
        <w:rPr>
          <w:rFonts w:cstheme="minorHAnsi"/>
        </w:rPr>
        <w:t xml:space="preserve">People </w:t>
      </w:r>
      <w:r w:rsidR="00AF0F56">
        <w:rPr>
          <w:rFonts w:cstheme="minorHAnsi"/>
        </w:rPr>
        <w:t>who experience</w:t>
      </w:r>
      <w:r w:rsidRPr="00FF13F8">
        <w:rPr>
          <w:rFonts w:cstheme="minorHAnsi"/>
        </w:rPr>
        <w:t xml:space="preserve"> more complex </w:t>
      </w:r>
      <w:r w:rsidR="009C7435">
        <w:rPr>
          <w:rFonts w:cstheme="minorHAnsi"/>
        </w:rPr>
        <w:t>mental health problems</w:t>
      </w:r>
      <w:r w:rsidR="009C7435" w:rsidRPr="00FF13F8">
        <w:rPr>
          <w:rFonts w:cstheme="minorHAnsi"/>
        </w:rPr>
        <w:t xml:space="preserve"> </w:t>
      </w:r>
      <w:r w:rsidRPr="00FF13F8">
        <w:rPr>
          <w:rFonts w:cstheme="minorHAnsi"/>
        </w:rPr>
        <w:t xml:space="preserve">such as schizophrenia </w:t>
      </w:r>
      <w:r w:rsidR="001F04F1">
        <w:rPr>
          <w:rFonts w:cstheme="minorHAnsi"/>
        </w:rPr>
        <w:t>were</w:t>
      </w:r>
      <w:r w:rsidR="001F04F1" w:rsidRPr="00FF13F8">
        <w:rPr>
          <w:rFonts w:cstheme="minorHAnsi"/>
        </w:rPr>
        <w:t xml:space="preserve"> </w:t>
      </w:r>
      <w:r w:rsidRPr="00FF13F8">
        <w:rPr>
          <w:rFonts w:cstheme="minorHAnsi"/>
        </w:rPr>
        <w:t xml:space="preserve">disproportionately affected by stigma and discrimination, with </w:t>
      </w:r>
      <w:r w:rsidR="000F4656">
        <w:rPr>
          <w:rFonts w:cstheme="minorHAnsi"/>
        </w:rPr>
        <w:t>nine</w:t>
      </w:r>
      <w:r w:rsidRPr="00FF13F8">
        <w:rPr>
          <w:rFonts w:cstheme="minorHAnsi"/>
        </w:rPr>
        <w:t xml:space="preserve"> out of </w:t>
      </w:r>
      <w:r w:rsidR="000F4656">
        <w:rPr>
          <w:rFonts w:cstheme="minorHAnsi"/>
        </w:rPr>
        <w:t>ten</w:t>
      </w:r>
      <w:r w:rsidRPr="00FF13F8">
        <w:rPr>
          <w:rFonts w:cstheme="minorHAnsi"/>
        </w:rPr>
        <w:t xml:space="preserve"> reporting any kind of discrimination and </w:t>
      </w:r>
      <w:r w:rsidR="000F4656">
        <w:rPr>
          <w:rFonts w:cstheme="minorHAnsi"/>
        </w:rPr>
        <w:t>eight</w:t>
      </w:r>
      <w:r w:rsidRPr="00B856E2">
        <w:rPr>
          <w:rFonts w:cstheme="minorHAnsi"/>
        </w:rPr>
        <w:t xml:space="preserve"> out </w:t>
      </w:r>
      <w:r w:rsidR="000F4656">
        <w:rPr>
          <w:rFonts w:cstheme="minorHAnsi"/>
        </w:rPr>
        <w:t>ten</w:t>
      </w:r>
      <w:r w:rsidRPr="00B856E2">
        <w:rPr>
          <w:rFonts w:cstheme="minorHAnsi"/>
        </w:rPr>
        <w:t xml:space="preserve"> facing difficulties in finding a jo</w:t>
      </w:r>
      <w:r w:rsidRPr="00FF13F8">
        <w:rPr>
          <w:rFonts w:cstheme="minorHAnsi"/>
        </w:rPr>
        <w:t>b.</w:t>
      </w:r>
    </w:p>
    <w:p w14:paraId="10179996" w14:textId="181C34AF" w:rsidR="00FF13F8" w:rsidRPr="00FF13F8" w:rsidRDefault="00FF13F8" w:rsidP="00284288">
      <w:pPr>
        <w:ind w:right="-1078"/>
        <w:rPr>
          <w:rFonts w:cstheme="minorHAnsi"/>
        </w:rPr>
      </w:pPr>
      <w:r w:rsidRPr="00FF13F8">
        <w:rPr>
          <w:rFonts w:cstheme="minorHAnsi"/>
        </w:rPr>
        <w:t xml:space="preserve">Experiences of discrimination can have detrimental consequences. </w:t>
      </w:r>
      <w:r w:rsidR="00BE7599">
        <w:rPr>
          <w:rFonts w:cstheme="minorHAnsi"/>
        </w:rPr>
        <w:t>We</w:t>
      </w:r>
      <w:r w:rsidRPr="00FF13F8">
        <w:rPr>
          <w:rFonts w:cstheme="minorHAnsi"/>
        </w:rPr>
        <w:t xml:space="preserve"> found people with discriminatory experiences were more than twice as likely to report they had </w:t>
      </w:r>
      <w:r w:rsidR="00554753">
        <w:rPr>
          <w:rFonts w:cstheme="minorHAnsi"/>
        </w:rPr>
        <w:t>avoided</w:t>
      </w:r>
      <w:r w:rsidRPr="00FF13F8">
        <w:rPr>
          <w:rFonts w:cstheme="minorHAnsi"/>
        </w:rPr>
        <w:t xml:space="preserve"> acces</w:t>
      </w:r>
      <w:r w:rsidR="00554753">
        <w:rPr>
          <w:rFonts w:cstheme="minorHAnsi"/>
        </w:rPr>
        <w:t>sing</w:t>
      </w:r>
      <w:r w:rsidRPr="00FF13F8">
        <w:rPr>
          <w:rFonts w:cstheme="minorHAnsi"/>
        </w:rPr>
        <w:t xml:space="preserve"> healthcare</w:t>
      </w:r>
      <w:r w:rsidR="00554753">
        <w:rPr>
          <w:rFonts w:cstheme="minorHAnsi"/>
        </w:rPr>
        <w:t xml:space="preserve"> at some point</w:t>
      </w:r>
      <w:r w:rsidRPr="00FF13F8">
        <w:rPr>
          <w:rFonts w:cstheme="minorHAnsi"/>
        </w:rPr>
        <w:t xml:space="preserve"> in the last 12 months because of how they anticipated people might respond to their mental health problem</w:t>
      </w:r>
      <w:r w:rsidR="006D3B2E">
        <w:rPr>
          <w:rFonts w:cstheme="minorHAnsi"/>
        </w:rPr>
        <w:t xml:space="preserve">. </w:t>
      </w:r>
      <w:r w:rsidR="00C84510">
        <w:rPr>
          <w:rFonts w:cstheme="minorHAnsi"/>
        </w:rPr>
        <w:t>They</w:t>
      </w:r>
      <w:r w:rsidR="006D3B2E">
        <w:rPr>
          <w:rFonts w:cstheme="minorHAnsi"/>
        </w:rPr>
        <w:t xml:space="preserve"> were also</w:t>
      </w:r>
      <w:r w:rsidRPr="00FF13F8">
        <w:rPr>
          <w:rFonts w:cstheme="minorHAnsi"/>
        </w:rPr>
        <w:t xml:space="preserve"> three times more likely to have </w:t>
      </w:r>
      <w:r w:rsidR="00554753">
        <w:rPr>
          <w:rFonts w:cstheme="minorHAnsi"/>
        </w:rPr>
        <w:t>decided not to</w:t>
      </w:r>
      <w:r w:rsidRPr="00FF13F8">
        <w:rPr>
          <w:rFonts w:cstheme="minorHAnsi"/>
        </w:rPr>
        <w:t xml:space="preserve"> apply for </w:t>
      </w:r>
      <w:r w:rsidR="00A42339">
        <w:rPr>
          <w:rFonts w:cstheme="minorHAnsi"/>
        </w:rPr>
        <w:t>employment</w:t>
      </w:r>
      <w:r w:rsidRPr="00FF13F8">
        <w:rPr>
          <w:rFonts w:cstheme="minorHAnsi"/>
        </w:rPr>
        <w:t xml:space="preserve"> opportunities.</w:t>
      </w:r>
    </w:p>
    <w:p w14:paraId="4FE39F05" w14:textId="4F18BC2E" w:rsidR="00FE347A" w:rsidRPr="00FF13F8" w:rsidRDefault="00FE347A" w:rsidP="00FE347A">
      <w:pPr>
        <w:ind w:right="-1078"/>
        <w:rPr>
          <w:rFonts w:cstheme="minorHAnsi"/>
        </w:rPr>
      </w:pPr>
      <w:r w:rsidRPr="00FF13F8">
        <w:rPr>
          <w:rFonts w:cstheme="minorHAnsi"/>
        </w:rPr>
        <w:t>Positive reactions from family and friends can have a buffering effect on self-stigma. For the one in six people who</w:t>
      </w:r>
      <w:r>
        <w:rPr>
          <w:rFonts w:cstheme="minorHAnsi"/>
        </w:rPr>
        <w:t>se families treated them a lot more positively in response to their mental health problem, there w</w:t>
      </w:r>
      <w:r w:rsidR="000922C7">
        <w:rPr>
          <w:rFonts w:cstheme="minorHAnsi"/>
        </w:rPr>
        <w:t>ere</w:t>
      </w:r>
      <w:r>
        <w:rPr>
          <w:rFonts w:cstheme="minorHAnsi"/>
        </w:rPr>
        <w:t xml:space="preserve"> more frequent reports of feeling satisfied</w:t>
      </w:r>
      <w:r w:rsidRPr="00FF13F8">
        <w:rPr>
          <w:rFonts w:cstheme="minorHAnsi"/>
        </w:rPr>
        <w:t xml:space="preserve"> with life </w:t>
      </w:r>
      <w:r>
        <w:rPr>
          <w:rFonts w:cstheme="minorHAnsi"/>
        </w:rPr>
        <w:t xml:space="preserve">and that </w:t>
      </w:r>
      <w:r w:rsidRPr="00FF13F8">
        <w:rPr>
          <w:rFonts w:cstheme="minorHAnsi"/>
        </w:rPr>
        <w:t xml:space="preserve">having had </w:t>
      </w:r>
      <w:r>
        <w:rPr>
          <w:rFonts w:cstheme="minorHAnsi"/>
        </w:rPr>
        <w:t xml:space="preserve">a </w:t>
      </w:r>
      <w:r w:rsidRPr="00FF13F8">
        <w:rPr>
          <w:rFonts w:cstheme="minorHAnsi"/>
        </w:rPr>
        <w:t>mental health problem</w:t>
      </w:r>
      <w:r>
        <w:rPr>
          <w:rFonts w:cstheme="minorHAnsi"/>
        </w:rPr>
        <w:t xml:space="preserve"> ha</w:t>
      </w:r>
      <w:r w:rsidR="000922C7">
        <w:rPr>
          <w:rFonts w:cstheme="minorHAnsi"/>
        </w:rPr>
        <w:t>d</w:t>
      </w:r>
      <w:r>
        <w:rPr>
          <w:rFonts w:cstheme="minorHAnsi"/>
        </w:rPr>
        <w:t xml:space="preserve"> </w:t>
      </w:r>
      <w:r w:rsidRPr="00FF13F8">
        <w:rPr>
          <w:rFonts w:cstheme="minorHAnsi"/>
        </w:rPr>
        <w:t xml:space="preserve">made them a stronger person. However, </w:t>
      </w:r>
      <w:r>
        <w:rPr>
          <w:rFonts w:cstheme="minorHAnsi"/>
        </w:rPr>
        <w:t>the opposite is also true. O</w:t>
      </w:r>
      <w:r w:rsidRPr="00FF13F8">
        <w:rPr>
          <w:rFonts w:cstheme="minorHAnsi"/>
        </w:rPr>
        <w:t xml:space="preserve">ver half the people who </w:t>
      </w:r>
      <w:r>
        <w:rPr>
          <w:rFonts w:cstheme="minorHAnsi"/>
        </w:rPr>
        <w:t>report</w:t>
      </w:r>
      <w:r w:rsidR="00F12CB5">
        <w:rPr>
          <w:rFonts w:cstheme="minorHAnsi"/>
        </w:rPr>
        <w:t>ed</w:t>
      </w:r>
      <w:r>
        <w:rPr>
          <w:rFonts w:cstheme="minorHAnsi"/>
        </w:rPr>
        <w:t xml:space="preserve"> experiencing unfair treatment due to their mental health problem agree</w:t>
      </w:r>
      <w:r w:rsidR="00F12CB5">
        <w:rPr>
          <w:rFonts w:cstheme="minorHAnsi"/>
        </w:rPr>
        <w:t>d</w:t>
      </w:r>
      <w:r w:rsidRPr="00FF13F8">
        <w:rPr>
          <w:rFonts w:cstheme="minorHAnsi"/>
        </w:rPr>
        <w:t xml:space="preserve"> with the statement, ‘I feel like a burden to other people’.</w:t>
      </w:r>
    </w:p>
    <w:p w14:paraId="6631A99B" w14:textId="2D78CC7F" w:rsidR="00FF13F8" w:rsidRDefault="00A0399B" w:rsidP="00284288">
      <w:pPr>
        <w:ind w:right="-1078"/>
        <w:rPr>
          <w:rFonts w:cstheme="minorHAnsi"/>
        </w:rPr>
      </w:pPr>
      <w:r>
        <w:rPr>
          <w:rFonts w:cstheme="minorHAnsi"/>
        </w:rPr>
        <w:t xml:space="preserve">We assessed the </w:t>
      </w:r>
      <w:r w:rsidR="001112F5">
        <w:rPr>
          <w:rFonts w:cstheme="minorHAnsi"/>
        </w:rPr>
        <w:t>beliefs</w:t>
      </w:r>
      <w:r>
        <w:rPr>
          <w:rFonts w:cstheme="minorHAnsi"/>
        </w:rPr>
        <w:t xml:space="preserve"> and intentions of the general population towards people with </w:t>
      </w:r>
      <w:r w:rsidR="00C2214A">
        <w:rPr>
          <w:rFonts w:cstheme="minorHAnsi"/>
        </w:rPr>
        <w:t xml:space="preserve">personal </w:t>
      </w:r>
      <w:r w:rsidR="0001488C">
        <w:rPr>
          <w:rFonts w:cstheme="minorHAnsi"/>
        </w:rPr>
        <w:t>lived experience</w:t>
      </w:r>
      <w:r>
        <w:rPr>
          <w:rFonts w:cstheme="minorHAnsi"/>
        </w:rPr>
        <w:t xml:space="preserve">. We found the stigmatising </w:t>
      </w:r>
      <w:r w:rsidR="001112F5">
        <w:rPr>
          <w:rFonts w:cstheme="minorHAnsi"/>
        </w:rPr>
        <w:t>beliefs</w:t>
      </w:r>
      <w:r>
        <w:rPr>
          <w:rFonts w:cstheme="minorHAnsi"/>
        </w:rPr>
        <w:t xml:space="preserve"> and intentions they expressed were largely consistent with the experiences described by people with </w:t>
      </w:r>
      <w:r w:rsidR="00C2214A">
        <w:rPr>
          <w:rFonts w:cstheme="minorHAnsi"/>
        </w:rPr>
        <w:t xml:space="preserve">personal </w:t>
      </w:r>
      <w:r w:rsidR="0001488C">
        <w:rPr>
          <w:rFonts w:cstheme="minorHAnsi"/>
        </w:rPr>
        <w:t>lived experience</w:t>
      </w:r>
      <w:r>
        <w:rPr>
          <w:rFonts w:cstheme="minorHAnsi"/>
        </w:rPr>
        <w:t>.</w:t>
      </w:r>
      <w:r w:rsidR="00FF13F8" w:rsidRPr="00FF13F8">
        <w:rPr>
          <w:rFonts w:cstheme="minorHAnsi"/>
        </w:rPr>
        <w:t xml:space="preserve"> Stigmatising </w:t>
      </w:r>
      <w:r w:rsidR="001112F5">
        <w:rPr>
          <w:rFonts w:cstheme="minorHAnsi"/>
        </w:rPr>
        <w:t>beliefs</w:t>
      </w:r>
      <w:r w:rsidR="00FF13F8" w:rsidRPr="00FF13F8">
        <w:rPr>
          <w:rFonts w:cstheme="minorHAnsi"/>
        </w:rPr>
        <w:t xml:space="preserve"> and the desire to be socially distant from </w:t>
      </w:r>
      <w:r w:rsidR="00BE7599" w:rsidRPr="00FF13F8">
        <w:rPr>
          <w:rFonts w:cstheme="minorHAnsi"/>
        </w:rPr>
        <w:t xml:space="preserve">people with </w:t>
      </w:r>
      <w:r w:rsidR="00C2214A">
        <w:rPr>
          <w:rFonts w:cstheme="minorHAnsi"/>
        </w:rPr>
        <w:t xml:space="preserve">personal </w:t>
      </w:r>
      <w:r w:rsidR="0001488C">
        <w:rPr>
          <w:rFonts w:cstheme="minorHAnsi"/>
        </w:rPr>
        <w:t xml:space="preserve">lived experience </w:t>
      </w:r>
      <w:r w:rsidR="000922C7">
        <w:rPr>
          <w:rFonts w:cstheme="minorHAnsi"/>
        </w:rPr>
        <w:t>were</w:t>
      </w:r>
      <w:r w:rsidR="00FF13F8" w:rsidRPr="00FF13F8">
        <w:rPr>
          <w:rFonts w:cstheme="minorHAnsi"/>
        </w:rPr>
        <w:t xml:space="preserve"> disproportionately directed at people </w:t>
      </w:r>
      <w:r w:rsidR="00AF0F56">
        <w:rPr>
          <w:rFonts w:cstheme="minorHAnsi"/>
        </w:rPr>
        <w:t>experiencing</w:t>
      </w:r>
      <w:r w:rsidR="00FF13F8" w:rsidRPr="00FF13F8">
        <w:rPr>
          <w:rFonts w:cstheme="minorHAnsi"/>
        </w:rPr>
        <w:t xml:space="preserve"> more complex </w:t>
      </w:r>
      <w:r w:rsidR="009C7435">
        <w:rPr>
          <w:rFonts w:cstheme="minorHAnsi"/>
        </w:rPr>
        <w:t>mental health problems</w:t>
      </w:r>
      <w:r w:rsidR="00FF13F8" w:rsidRPr="00FF13F8">
        <w:rPr>
          <w:rFonts w:cstheme="minorHAnsi"/>
        </w:rPr>
        <w:t>, such as schizophrenia. For example, two out of three people sa</w:t>
      </w:r>
      <w:r w:rsidR="00F12CB5">
        <w:rPr>
          <w:rFonts w:cstheme="minorHAnsi"/>
        </w:rPr>
        <w:t>id</w:t>
      </w:r>
      <w:r w:rsidR="00FF13F8" w:rsidRPr="00FF13F8">
        <w:rPr>
          <w:rFonts w:cstheme="minorHAnsi"/>
        </w:rPr>
        <w:t xml:space="preserve"> they wouldn’t be willing to work closely with someone with long-term schizophrenia. The rates for less stigmatised </w:t>
      </w:r>
      <w:r w:rsidR="009C7435">
        <w:rPr>
          <w:rFonts w:cstheme="minorHAnsi"/>
        </w:rPr>
        <w:t>mental health problems</w:t>
      </w:r>
      <w:r w:rsidR="009C7435" w:rsidRPr="00FF13F8">
        <w:rPr>
          <w:rFonts w:cstheme="minorHAnsi"/>
        </w:rPr>
        <w:t xml:space="preserve"> </w:t>
      </w:r>
      <w:r w:rsidR="006C7417">
        <w:rPr>
          <w:rFonts w:cstheme="minorHAnsi"/>
        </w:rPr>
        <w:t>were still high. F</w:t>
      </w:r>
      <w:r w:rsidR="00FF13F8" w:rsidRPr="00FF13F8">
        <w:rPr>
          <w:rFonts w:cstheme="minorHAnsi"/>
        </w:rPr>
        <w:t>or example</w:t>
      </w:r>
      <w:r w:rsidR="006C7417">
        <w:rPr>
          <w:rFonts w:cstheme="minorHAnsi"/>
        </w:rPr>
        <w:t>,</w:t>
      </w:r>
      <w:r w:rsidR="00FF13F8" w:rsidRPr="00FF13F8">
        <w:rPr>
          <w:rFonts w:cstheme="minorHAnsi"/>
        </w:rPr>
        <w:t xml:space="preserve"> just over a quarter of people </w:t>
      </w:r>
      <w:r w:rsidR="001D6306">
        <w:rPr>
          <w:rFonts w:cstheme="minorHAnsi"/>
        </w:rPr>
        <w:t>sa</w:t>
      </w:r>
      <w:r w:rsidR="00F12CB5">
        <w:rPr>
          <w:rFonts w:cstheme="minorHAnsi"/>
        </w:rPr>
        <w:t>id</w:t>
      </w:r>
      <w:r w:rsidR="001D6306" w:rsidRPr="00FF13F8">
        <w:rPr>
          <w:rFonts w:cstheme="minorHAnsi"/>
        </w:rPr>
        <w:t xml:space="preserve"> </w:t>
      </w:r>
      <w:r w:rsidR="00FF13F8" w:rsidRPr="00FF13F8">
        <w:rPr>
          <w:rFonts w:cstheme="minorHAnsi"/>
        </w:rPr>
        <w:t>they wouldn’t want to work closely with someone with depression.</w:t>
      </w:r>
    </w:p>
    <w:p w14:paraId="55DAAB7C" w14:textId="33802071" w:rsidR="00A20EA1" w:rsidRPr="00FF13F8" w:rsidRDefault="00A20EA1" w:rsidP="00284288">
      <w:pPr>
        <w:ind w:right="-1078"/>
        <w:rPr>
          <w:rFonts w:cstheme="minorHAnsi"/>
        </w:rPr>
      </w:pPr>
      <w:r w:rsidRPr="00FF13F8">
        <w:rPr>
          <w:rFonts w:cstheme="minorHAnsi"/>
        </w:rPr>
        <w:t xml:space="preserve">Experiences of stigma and discrimination were </w:t>
      </w:r>
      <w:r w:rsidRPr="00EF1E8F">
        <w:rPr>
          <w:rFonts w:cstheme="minorHAnsi"/>
        </w:rPr>
        <w:t xml:space="preserve">more common among females, younger people, </w:t>
      </w:r>
      <w:r w:rsidRPr="00FF13F8">
        <w:rPr>
          <w:rFonts w:cstheme="minorHAnsi"/>
        </w:rPr>
        <w:t>and people who identify as LGBT</w:t>
      </w:r>
      <w:r w:rsidR="00F855D7">
        <w:rPr>
          <w:rFonts w:cstheme="minorHAnsi"/>
        </w:rPr>
        <w:t>I</w:t>
      </w:r>
      <w:r w:rsidR="00DC3E04">
        <w:rPr>
          <w:rFonts w:cstheme="minorHAnsi"/>
        </w:rPr>
        <w:t>Q</w:t>
      </w:r>
      <w:r w:rsidR="00F855D7">
        <w:rPr>
          <w:rFonts w:cstheme="minorHAnsi"/>
        </w:rPr>
        <w:t>A+</w:t>
      </w:r>
      <w:r w:rsidRPr="00FF13F8">
        <w:rPr>
          <w:rFonts w:cstheme="minorHAnsi"/>
        </w:rPr>
        <w:t xml:space="preserve">. Expressing </w:t>
      </w:r>
      <w:r w:rsidR="00B010EA">
        <w:rPr>
          <w:rFonts w:cstheme="minorHAnsi"/>
        </w:rPr>
        <w:t>public</w:t>
      </w:r>
      <w:r w:rsidRPr="00FF13F8">
        <w:rPr>
          <w:rFonts w:cstheme="minorHAnsi"/>
        </w:rPr>
        <w:t xml:space="preserve"> stigma was also more common among young people, as well as males and people with a </w:t>
      </w:r>
      <w:r w:rsidR="0042476C">
        <w:t>culturally and linguistically diverse (</w:t>
      </w:r>
      <w:r w:rsidRPr="00FF13F8">
        <w:rPr>
          <w:rFonts w:cstheme="minorHAnsi"/>
        </w:rPr>
        <w:t>CALD</w:t>
      </w:r>
      <w:r w:rsidR="0042476C">
        <w:rPr>
          <w:rFonts w:cstheme="minorHAnsi"/>
        </w:rPr>
        <w:t xml:space="preserve">) </w:t>
      </w:r>
      <w:r w:rsidRPr="00FF13F8">
        <w:rPr>
          <w:rFonts w:cstheme="minorHAnsi"/>
        </w:rPr>
        <w:t xml:space="preserve">background. </w:t>
      </w:r>
    </w:p>
    <w:p w14:paraId="4C350732" w14:textId="37570340" w:rsidR="008F6258" w:rsidRDefault="00FF13F8" w:rsidP="00783C3B">
      <w:pPr>
        <w:ind w:right="-1078"/>
        <w:rPr>
          <w:rFonts w:asciiTheme="majorHAnsi" w:hAnsiTheme="majorHAnsi"/>
          <w:sz w:val="72"/>
          <w:szCs w:val="44"/>
        </w:rPr>
      </w:pPr>
      <w:r w:rsidRPr="00FF13F8">
        <w:rPr>
          <w:rFonts w:cstheme="minorHAnsi"/>
        </w:rPr>
        <w:t xml:space="preserve">Encouragingly, the majority of respondents did not express stigmatising </w:t>
      </w:r>
      <w:r w:rsidR="001112F5">
        <w:rPr>
          <w:rFonts w:cstheme="minorHAnsi"/>
        </w:rPr>
        <w:t>beliefs</w:t>
      </w:r>
      <w:r w:rsidR="00906164">
        <w:rPr>
          <w:rFonts w:cstheme="minorHAnsi"/>
        </w:rPr>
        <w:t xml:space="preserve"> and</w:t>
      </w:r>
      <w:r w:rsidRPr="00FF13F8">
        <w:rPr>
          <w:rFonts w:cstheme="minorHAnsi"/>
        </w:rPr>
        <w:t xml:space="preserve"> support</w:t>
      </w:r>
      <w:r w:rsidR="00F12CB5">
        <w:rPr>
          <w:rFonts w:cstheme="minorHAnsi"/>
        </w:rPr>
        <w:t>ed</w:t>
      </w:r>
      <w:r w:rsidRPr="00FF13F8">
        <w:rPr>
          <w:rFonts w:cstheme="minorHAnsi"/>
        </w:rPr>
        <w:t xml:space="preserve"> action to address</w:t>
      </w:r>
      <w:r w:rsidR="00FC5F35">
        <w:rPr>
          <w:rFonts w:cstheme="minorHAnsi"/>
        </w:rPr>
        <w:t xml:space="preserve"> mental </w:t>
      </w:r>
      <w:r w:rsidR="00200329">
        <w:rPr>
          <w:rFonts w:cstheme="minorHAnsi"/>
        </w:rPr>
        <w:t>health</w:t>
      </w:r>
      <w:r w:rsidR="00FC5F35">
        <w:rPr>
          <w:rFonts w:cstheme="minorHAnsi"/>
        </w:rPr>
        <w:t>-related</w:t>
      </w:r>
      <w:r w:rsidR="00200329">
        <w:rPr>
          <w:rFonts w:cstheme="minorHAnsi"/>
        </w:rPr>
        <w:t xml:space="preserve"> </w:t>
      </w:r>
      <w:r w:rsidRPr="00FF13F8">
        <w:rPr>
          <w:rFonts w:cstheme="minorHAnsi"/>
        </w:rPr>
        <w:t>stigma an</w:t>
      </w:r>
      <w:r w:rsidR="000C6F25">
        <w:rPr>
          <w:rFonts w:cstheme="minorHAnsi"/>
        </w:rPr>
        <w:t>d discrimination. F</w:t>
      </w:r>
      <w:r w:rsidRPr="00FF13F8">
        <w:rPr>
          <w:rFonts w:cstheme="minorHAnsi"/>
        </w:rPr>
        <w:t xml:space="preserve">our out of five </w:t>
      </w:r>
      <w:r w:rsidR="00442EEA">
        <w:rPr>
          <w:rFonts w:cstheme="minorHAnsi"/>
        </w:rPr>
        <w:t>respondents</w:t>
      </w:r>
      <w:r w:rsidRPr="00FF13F8">
        <w:rPr>
          <w:rFonts w:cstheme="minorHAnsi"/>
        </w:rPr>
        <w:t xml:space="preserve"> agree</w:t>
      </w:r>
      <w:r w:rsidR="00442EEA">
        <w:rPr>
          <w:rFonts w:cstheme="minorHAnsi"/>
        </w:rPr>
        <w:t>d</w:t>
      </w:r>
      <w:r w:rsidRPr="00FF13F8">
        <w:rPr>
          <w:rFonts w:cstheme="minorHAnsi"/>
        </w:rPr>
        <w:t xml:space="preserve"> more needs to be done to </w:t>
      </w:r>
      <w:r w:rsidRPr="00FF13F8">
        <w:rPr>
          <w:rFonts w:cstheme="minorHAnsi"/>
          <w:color w:val="000000"/>
        </w:rPr>
        <w:t xml:space="preserve">eliminate discrimination towards people </w:t>
      </w:r>
      <w:r w:rsidR="0001488C">
        <w:rPr>
          <w:rFonts w:cstheme="minorHAnsi"/>
          <w:color w:val="000000"/>
        </w:rPr>
        <w:t>with</w:t>
      </w:r>
      <w:r w:rsidR="00C2214A">
        <w:rPr>
          <w:rFonts w:cstheme="minorHAnsi"/>
          <w:color w:val="000000"/>
        </w:rPr>
        <w:t xml:space="preserve"> personal</w:t>
      </w:r>
      <w:r w:rsidR="0001488C">
        <w:rPr>
          <w:rFonts w:cstheme="minorHAnsi"/>
          <w:color w:val="000000"/>
        </w:rPr>
        <w:t xml:space="preserve"> </w:t>
      </w:r>
      <w:r w:rsidR="0001488C">
        <w:rPr>
          <w:rFonts w:cstheme="minorHAnsi"/>
        </w:rPr>
        <w:t>lived experience</w:t>
      </w:r>
      <w:r w:rsidRPr="00FF13F8">
        <w:rPr>
          <w:rFonts w:cstheme="minorHAnsi"/>
          <w:color w:val="000000"/>
        </w:rPr>
        <w:t>.</w:t>
      </w:r>
      <w:r w:rsidRPr="00FF13F8">
        <w:rPr>
          <w:rFonts w:cstheme="minorHAnsi"/>
        </w:rPr>
        <w:t xml:space="preserve"> </w:t>
      </w:r>
      <w:r w:rsidR="008F6258">
        <w:br w:type="page"/>
      </w:r>
    </w:p>
    <w:p w14:paraId="16CA27E8" w14:textId="5948F768" w:rsidR="00081366" w:rsidRPr="0073375B" w:rsidRDefault="00184B6D" w:rsidP="001656C6">
      <w:pPr>
        <w:pStyle w:val="Heading2"/>
        <w:ind w:right="-1078"/>
      </w:pPr>
      <w:r>
        <w:lastRenderedPageBreak/>
        <w:t>Findings</w:t>
      </w:r>
    </w:p>
    <w:p w14:paraId="1BC18050" w14:textId="2F485E08" w:rsidR="00E03F6C" w:rsidRPr="003D28CA" w:rsidRDefault="00E03F6C" w:rsidP="00563D76">
      <w:pPr>
        <w:pStyle w:val="Heading3"/>
        <w:spacing w:after="360"/>
        <w:ind w:right="-1077"/>
        <w:rPr>
          <w:color w:val="auto"/>
          <w:sz w:val="28"/>
          <w:u w:val="single" w:color="20B9A3" w:themeColor="accent1"/>
          <w:lang w:val="en-US"/>
        </w:rPr>
      </w:pPr>
      <w:r w:rsidRPr="003D28CA">
        <w:rPr>
          <w:color w:val="auto"/>
          <w:sz w:val="28"/>
          <w:u w:val="single" w:color="20B9A3" w:themeColor="accent1"/>
          <w:lang w:val="en-US"/>
        </w:rPr>
        <w:t xml:space="preserve">Public stigma and </w:t>
      </w:r>
      <w:r w:rsidR="002A275D" w:rsidRPr="003D28CA">
        <w:rPr>
          <w:color w:val="auto"/>
          <w:sz w:val="28"/>
          <w:u w:val="single" w:color="20B9A3" w:themeColor="accent1"/>
          <w:lang w:val="en-US"/>
        </w:rPr>
        <w:t xml:space="preserve">experiences of </w:t>
      </w:r>
      <w:r w:rsidRPr="003D28CA">
        <w:rPr>
          <w:color w:val="auto"/>
          <w:sz w:val="28"/>
          <w:u w:val="single" w:color="20B9A3" w:themeColor="accent1"/>
          <w:lang w:val="en-US"/>
        </w:rPr>
        <w:t>discrimination</w:t>
      </w:r>
    </w:p>
    <w:p w14:paraId="4138FC75" w14:textId="12045846" w:rsidR="002E7BF6" w:rsidRDefault="003F0197" w:rsidP="00284288">
      <w:pPr>
        <w:keepNext/>
        <w:ind w:right="-1078"/>
      </w:pPr>
      <w:r>
        <w:t>A</w:t>
      </w:r>
      <w:r w:rsidR="00E03F6C">
        <w:t>t the beginning o</w:t>
      </w:r>
      <w:r>
        <w:t>f the survey, we asked</w:t>
      </w:r>
      <w:r w:rsidR="00E03F6C">
        <w:t xml:space="preserve"> all </w:t>
      </w:r>
      <w:r w:rsidR="00C008BD">
        <w:t>respondents</w:t>
      </w:r>
      <w:r>
        <w:t xml:space="preserve"> to read two short vignettes. E</w:t>
      </w:r>
      <w:r w:rsidR="00E03F6C">
        <w:t xml:space="preserve">ach described a person experiencing symptoms of a mental health </w:t>
      </w:r>
      <w:r w:rsidR="009C7435">
        <w:t>problem</w:t>
      </w:r>
      <w:r w:rsidR="002E7BF6">
        <w:t>.</w:t>
      </w:r>
      <w:r w:rsidR="00C84510">
        <w:t xml:space="preserve"> Following this, we asked respondents </w:t>
      </w:r>
      <w:r w:rsidR="00E526BC">
        <w:t xml:space="preserve">whether they would be willing to engage socially with the person </w:t>
      </w:r>
      <w:r w:rsidR="00B034A4">
        <w:t xml:space="preserve">in a range of different activities </w:t>
      </w:r>
      <w:r w:rsidR="00E526BC">
        <w:t xml:space="preserve">(their intentions) and whether they agreed with various stigmatising statements about the person (their beliefs). </w:t>
      </w:r>
    </w:p>
    <w:p w14:paraId="1B235DFB" w14:textId="6BC99180" w:rsidR="00E03F6C" w:rsidRDefault="00563D76" w:rsidP="003E1458">
      <w:pPr>
        <w:pStyle w:val="EmphasisPanelBody"/>
        <w:ind w:left="284" w:right="-794"/>
      </w:pPr>
      <w:r w:rsidRPr="00783C3B">
        <w:rPr>
          <w:b/>
        </w:rPr>
        <w:t>Box 1</w:t>
      </w:r>
      <w:r>
        <w:t xml:space="preserve">. </w:t>
      </w:r>
      <w:r w:rsidR="00E03F6C">
        <w:t>The vignettes</w:t>
      </w:r>
    </w:p>
    <w:p w14:paraId="6A9C420B" w14:textId="77777777" w:rsidR="00F53C3E" w:rsidRDefault="00563D76" w:rsidP="00F53C3E">
      <w:pPr>
        <w:pStyle w:val="EmphasisPanelBody"/>
        <w:ind w:left="284" w:right="-794"/>
      </w:pPr>
      <w:r w:rsidRPr="003E1458">
        <w:t>There were</w:t>
      </w:r>
      <w:r w:rsidR="00E03F6C" w:rsidRPr="003E1458">
        <w:t xml:space="preserve"> </w:t>
      </w:r>
      <w:r w:rsidRPr="003E1458">
        <w:t>eight</w:t>
      </w:r>
      <w:r w:rsidR="00E03F6C" w:rsidRPr="003E1458">
        <w:t xml:space="preserve"> different vignettes, each describing a different mental health </w:t>
      </w:r>
      <w:r w:rsidR="009C7435">
        <w:t>problem</w:t>
      </w:r>
      <w:r w:rsidR="00F53C3E">
        <w:t xml:space="preserve">: </w:t>
      </w:r>
    </w:p>
    <w:p w14:paraId="430AF525" w14:textId="43755726" w:rsidR="00E03F6C" w:rsidRPr="00D706B7" w:rsidRDefault="00C86D51" w:rsidP="00F53C3E">
      <w:pPr>
        <w:pStyle w:val="EmphasisPanelBody"/>
        <w:ind w:left="284" w:right="-794"/>
      </w:pPr>
      <w:r>
        <w:t xml:space="preserve">  </w:t>
      </w:r>
      <w:r w:rsidR="00F53C3E">
        <w:t>Early schizophrenia</w:t>
      </w:r>
      <w:r w:rsidR="00F53C3E">
        <w:tab/>
      </w:r>
      <w:r w:rsidR="00F53C3E">
        <w:tab/>
      </w:r>
      <w:r w:rsidR="00F53C3E" w:rsidRPr="00D706B7">
        <w:t>Depression</w:t>
      </w:r>
      <w:r w:rsidR="00F53C3E">
        <w:tab/>
        <w:t>Non-suicidal self-injury</w:t>
      </w:r>
      <w:r>
        <w:tab/>
      </w:r>
      <w:r>
        <w:tab/>
      </w:r>
      <w:r w:rsidRPr="00D706B7">
        <w:t>Bipolar disorder</w:t>
      </w:r>
    </w:p>
    <w:p w14:paraId="782015AD" w14:textId="34F254DB" w:rsidR="00E03F6C" w:rsidRPr="00D706B7" w:rsidRDefault="00C86D51" w:rsidP="00F53C3E">
      <w:pPr>
        <w:pStyle w:val="EmphasisPanelBody"/>
        <w:ind w:left="284" w:right="-794"/>
      </w:pPr>
      <w:r>
        <w:t xml:space="preserve">  </w:t>
      </w:r>
      <w:r w:rsidR="00F53C3E" w:rsidRPr="00D706B7">
        <w:t>Long-term schizophrenia</w:t>
      </w:r>
      <w:r>
        <w:tab/>
      </w:r>
      <w:r w:rsidRPr="00D706B7">
        <w:t>Social phobia</w:t>
      </w:r>
      <w:r w:rsidR="00F53C3E">
        <w:tab/>
      </w:r>
      <w:r w:rsidR="00F53C3E" w:rsidRPr="00D706B7">
        <w:t>Bor</w:t>
      </w:r>
      <w:r w:rsidR="00F53C3E">
        <w:t>derline personality disorder</w:t>
      </w:r>
      <w:r w:rsidR="00F53C3E">
        <w:tab/>
      </w:r>
      <w:r>
        <w:t>Eating disorder</w:t>
      </w:r>
    </w:p>
    <w:p w14:paraId="792872FE" w14:textId="77777777" w:rsidR="00F53C3E" w:rsidRDefault="00E03F6C" w:rsidP="00F53C3E">
      <w:pPr>
        <w:pStyle w:val="EmphasisPanelBody"/>
        <w:ind w:left="284" w:right="-794"/>
      </w:pPr>
      <w:r>
        <w:t xml:space="preserve">Each </w:t>
      </w:r>
      <w:r w:rsidR="004D5144">
        <w:t>respondent</w:t>
      </w:r>
      <w:r>
        <w:t xml:space="preserve"> was shown and responded to questions relating to two vignettes. All </w:t>
      </w:r>
      <w:r w:rsidR="00377927">
        <w:t xml:space="preserve">respondents </w:t>
      </w:r>
      <w:r>
        <w:t xml:space="preserve">were shown the </w:t>
      </w:r>
      <w:r w:rsidR="000458B3">
        <w:t>e</w:t>
      </w:r>
      <w:r>
        <w:t xml:space="preserve">arly </w:t>
      </w:r>
      <w:r w:rsidR="002D6115">
        <w:t>s</w:t>
      </w:r>
      <w:r>
        <w:t>chizophrenia vignette</w:t>
      </w:r>
      <w:r w:rsidR="00F53C3E">
        <w:t xml:space="preserve"> (below)</w:t>
      </w:r>
      <w:r>
        <w:t xml:space="preserve">. The other was selected at random from among the seven other </w:t>
      </w:r>
      <w:r w:rsidR="009C7435">
        <w:t>vignettes</w:t>
      </w:r>
      <w:r>
        <w:t xml:space="preserve">. See </w:t>
      </w:r>
      <w:r w:rsidR="002D6115">
        <w:t>S</w:t>
      </w:r>
      <w:r w:rsidR="003E7156">
        <w:t xml:space="preserve">upplementary </w:t>
      </w:r>
      <w:r w:rsidR="002D6115">
        <w:t>M</w:t>
      </w:r>
      <w:r w:rsidR="003E7156">
        <w:t>aterial</w:t>
      </w:r>
      <w:r>
        <w:t xml:space="preserve"> for the text used in </w:t>
      </w:r>
      <w:r w:rsidR="00F53C3E">
        <w:t>these</w:t>
      </w:r>
      <w:r>
        <w:t xml:space="preserve"> vignette</w:t>
      </w:r>
      <w:r w:rsidR="00F53C3E">
        <w:t>s</w:t>
      </w:r>
      <w:r>
        <w:t>.</w:t>
      </w:r>
    </w:p>
    <w:p w14:paraId="6E2D09D7" w14:textId="584D59C3" w:rsidR="00F53C3E" w:rsidRPr="00F53C3E" w:rsidRDefault="00F53C3E" w:rsidP="00F53C3E">
      <w:pPr>
        <w:pStyle w:val="EmphasisPanelBody"/>
        <w:ind w:left="284" w:right="-794"/>
        <w:rPr>
          <w:i/>
        </w:rPr>
      </w:pPr>
      <w:r w:rsidRPr="00F53C3E">
        <w:rPr>
          <w:i/>
        </w:rPr>
        <w:t>“Please read the following statement about a person with a health problem. They are not a real person, but there are people who have had experiences like them. If you happen to know someone who resembles them in any way, that is just by chance.</w:t>
      </w:r>
    </w:p>
    <w:p w14:paraId="28565540" w14:textId="3005D33D" w:rsidR="00F53C3E" w:rsidRPr="00F53C3E" w:rsidRDefault="00F53C3E" w:rsidP="00F53C3E">
      <w:pPr>
        <w:pStyle w:val="EmphasisPanelBody"/>
        <w:ind w:left="284" w:right="-794"/>
        <w:rPr>
          <w:i/>
        </w:rPr>
      </w:pPr>
      <w:r w:rsidRPr="00F53C3E">
        <w:rPr>
          <w:i/>
        </w:rPr>
        <w:t>The person is 24 years old. Since finishing school, they have had a few temporary jobs but they are currently unemployed. Over the last six months, they have stopped seeing friends and they have begun locking themselves in their bedroom. They often walk about their bedroom through the night. When alone, they sometimes shout and argue as if someone else is there. They are afraid to leave home because they think the neighbour is spying on them. They do not take recreational drugs.”</w:t>
      </w:r>
    </w:p>
    <w:p w14:paraId="676DBC5C" w14:textId="52734B03" w:rsidR="00725D9F" w:rsidRPr="003D28CA" w:rsidRDefault="009C7435" w:rsidP="003D28CA">
      <w:pPr>
        <w:pStyle w:val="Heading4"/>
        <w:spacing w:after="360"/>
        <w:ind w:right="-1077"/>
        <w:rPr>
          <w:color w:val="auto"/>
          <w:u w:val="single" w:color="20B9A3" w:themeColor="accent1"/>
          <w:lang w:eastAsia="en-GB"/>
        </w:rPr>
      </w:pPr>
      <w:r w:rsidRPr="003D28CA">
        <w:rPr>
          <w:color w:val="auto"/>
          <w:u w:val="single" w:color="20B9A3" w:themeColor="accent1"/>
          <w:lang w:eastAsia="en-GB"/>
        </w:rPr>
        <w:t>Intentions</w:t>
      </w:r>
    </w:p>
    <w:p w14:paraId="0367BBC7" w14:textId="3255AB4D" w:rsidR="003E4945" w:rsidRPr="00BD57E4" w:rsidRDefault="003E4945" w:rsidP="00725D9F">
      <w:pPr>
        <w:pBdr>
          <w:top w:val="single" w:sz="24" w:space="1" w:color="20B9A3" w:themeColor="accent1"/>
          <w:bottom w:val="single" w:sz="24" w:space="1" w:color="20B9A3" w:themeColor="accent1"/>
        </w:pBdr>
        <w:spacing w:after="0"/>
        <w:ind w:right="-1077"/>
        <w:rPr>
          <w:b/>
          <w:i/>
        </w:rPr>
      </w:pPr>
      <w:r w:rsidRPr="00BD57E4">
        <w:rPr>
          <w:b/>
          <w:i/>
        </w:rPr>
        <w:t>Respondents</w:t>
      </w:r>
    </w:p>
    <w:p w14:paraId="1B998882" w14:textId="07FF1FD5" w:rsidR="003E4945" w:rsidRPr="00BD57E4" w:rsidRDefault="003E4945" w:rsidP="00725D9F">
      <w:pPr>
        <w:pBdr>
          <w:top w:val="single" w:sz="24" w:space="1" w:color="20B9A3" w:themeColor="accent1"/>
          <w:bottom w:val="single" w:sz="24" w:space="1" w:color="20B9A3" w:themeColor="accent1"/>
        </w:pBdr>
        <w:spacing w:after="0"/>
        <w:ind w:right="-1077"/>
        <w:rPr>
          <w:i/>
        </w:rPr>
      </w:pPr>
      <w:r w:rsidRPr="00BD57E4">
        <w:rPr>
          <w:i/>
        </w:rPr>
        <w:t>Australian residents aged 18+</w:t>
      </w:r>
    </w:p>
    <w:p w14:paraId="6174E4ED" w14:textId="7368FF87" w:rsidR="003E4945" w:rsidRPr="00BD57E4" w:rsidRDefault="003E4945" w:rsidP="00725D9F">
      <w:pPr>
        <w:pBdr>
          <w:top w:val="single" w:sz="24" w:space="1" w:color="20B9A3" w:themeColor="accent1"/>
          <w:bottom w:val="single" w:sz="24" w:space="1" w:color="20B9A3" w:themeColor="accent1"/>
        </w:pBdr>
        <w:spacing w:after="0"/>
        <w:ind w:right="-1077"/>
        <w:jc w:val="right"/>
        <w:rPr>
          <w:b/>
          <w:i/>
        </w:rPr>
      </w:pPr>
      <w:r w:rsidRPr="00BD57E4">
        <w:rPr>
          <w:b/>
          <w:i/>
        </w:rPr>
        <w:t>100% of total sample</w:t>
      </w:r>
    </w:p>
    <w:p w14:paraId="4321FA28" w14:textId="77777777" w:rsidR="00C76081" w:rsidRDefault="00B034A4" w:rsidP="00687E97">
      <w:pPr>
        <w:spacing w:before="240"/>
        <w:ind w:right="-1078"/>
        <w:sectPr w:rsidR="00C76081" w:rsidSect="00454DCC">
          <w:headerReference w:type="default" r:id="rId18"/>
          <w:footerReference w:type="default" r:id="rId19"/>
          <w:footnotePr>
            <w:numFmt w:val="chicago"/>
            <w:numRestart w:val="eachPage"/>
          </w:footnotePr>
          <w:type w:val="continuous"/>
          <w:pgSz w:w="11906" w:h="16838" w:code="9"/>
          <w:pgMar w:top="2041" w:right="2381" w:bottom="1247" w:left="1247" w:header="720" w:footer="851" w:gutter="0"/>
          <w:cols w:space="708"/>
          <w:docGrid w:linePitch="360"/>
        </w:sectPr>
      </w:pPr>
      <w:r>
        <w:t>Across the different vignettes and activities, w</w:t>
      </w:r>
      <w:r w:rsidR="00E03F6C">
        <w:t xml:space="preserve">e </w:t>
      </w:r>
      <w:r>
        <w:t xml:space="preserve">observed a high degree of variability in people’s willingness to engage socially. </w:t>
      </w:r>
      <w:r w:rsidR="00E03F6C">
        <w:t>R</w:t>
      </w:r>
      <w:r w:rsidR="00E03F6C" w:rsidRPr="007F194A">
        <w:t>espondents showed the high</w:t>
      </w:r>
      <w:r w:rsidR="00E03F6C">
        <w:t>est degree of reluctance to engage socially</w:t>
      </w:r>
      <w:r w:rsidR="00E03F6C" w:rsidRPr="007F194A">
        <w:t xml:space="preserve"> with </w:t>
      </w:r>
      <w:r w:rsidR="00E03F6C">
        <w:t>a</w:t>
      </w:r>
      <w:r w:rsidR="00E03F6C" w:rsidRPr="007F194A">
        <w:t xml:space="preserve"> person </w:t>
      </w:r>
      <w:r w:rsidR="00E03F6C">
        <w:t>experiencing</w:t>
      </w:r>
      <w:r w:rsidR="00E03F6C" w:rsidRPr="007F194A">
        <w:t xml:space="preserve"> long-term schizophrenia</w:t>
      </w:r>
      <w:r w:rsidR="00E03F6C">
        <w:t xml:space="preserve"> and the least regarding social phobia. As shown in </w:t>
      </w:r>
      <w:r w:rsidR="00D27279">
        <w:t>T</w:t>
      </w:r>
      <w:r w:rsidR="00E03F6C">
        <w:t>able 1, 62</w:t>
      </w:r>
      <w:r w:rsidR="00D27279">
        <w:t> </w:t>
      </w:r>
      <w:r w:rsidR="00E03F6C">
        <w:t xml:space="preserve">percent of </w:t>
      </w:r>
      <w:r w:rsidR="00C008BD">
        <w:t>respondents</w:t>
      </w:r>
      <w:r w:rsidR="003E1458">
        <w:t xml:space="preserve"> reported</w:t>
      </w:r>
      <w:r w:rsidR="00E03F6C">
        <w:t xml:space="preserve"> being either ‘definitely not willing’ or ‘probably not willing’ to make friends with a person experiencing long-term schizophrenia. Whereas the same figure for social phobia was 14 percent</w:t>
      </w:r>
      <w:r w:rsidR="00E03F6C" w:rsidRPr="007F194A">
        <w:t xml:space="preserve">. </w:t>
      </w:r>
    </w:p>
    <w:p w14:paraId="09009183" w14:textId="2B228055" w:rsidR="00E03F6C" w:rsidRDefault="00E03F6C" w:rsidP="00556063">
      <w:pPr>
        <w:keepNext/>
        <w:keepLines/>
        <w:ind w:right="-1078"/>
      </w:pPr>
      <w:r w:rsidRPr="00783C3B">
        <w:rPr>
          <w:b/>
        </w:rPr>
        <w:lastRenderedPageBreak/>
        <w:t xml:space="preserve">Table </w:t>
      </w:r>
      <w:r w:rsidR="00602B69" w:rsidRPr="00783C3B">
        <w:rPr>
          <w:b/>
        </w:rPr>
        <w:t>1</w:t>
      </w:r>
      <w:r w:rsidR="00602B69">
        <w:t>.</w:t>
      </w:r>
      <w:r w:rsidRPr="007F194A">
        <w:t xml:space="preserve"> </w:t>
      </w:r>
      <w:r w:rsidR="009F1F30">
        <w:t>Proportion</w:t>
      </w:r>
      <w:r>
        <w:t xml:space="preserve"> </w:t>
      </w:r>
      <w:r w:rsidR="003E7156">
        <w:t xml:space="preserve">of respondents </w:t>
      </w:r>
      <w:r>
        <w:t>unwilling to engage in the activity with the person described in the vignette</w:t>
      </w:r>
    </w:p>
    <w:tbl>
      <w:tblPr>
        <w:tblW w:w="14175" w:type="dxa"/>
        <w:tblLook w:val="04A0" w:firstRow="1" w:lastRow="0" w:firstColumn="1" w:lastColumn="0" w:noHBand="0" w:noVBand="1"/>
        <w:tblCaption w:val="Table 1. Proportion of respondents unwilling to engage in the activity with the person described in the vignette"/>
        <w:tblDescription w:val="Table 1 depicts the proportion of respondents unwilling to engage in the activity with the person described in the vignette. There are two trends across the table. One, respondents were more unwilling to engage in social activities with people with mental health conditions listed further to the left in the table. Two, respondents were more unwilling to engage in social activities listed further down the table in relation to all people regardless of the type of mental health condition."/>
      </w:tblPr>
      <w:tblGrid>
        <w:gridCol w:w="3119"/>
        <w:gridCol w:w="1408"/>
        <w:gridCol w:w="1745"/>
        <w:gridCol w:w="1550"/>
        <w:gridCol w:w="1151"/>
        <w:gridCol w:w="1321"/>
        <w:gridCol w:w="1142"/>
        <w:gridCol w:w="1464"/>
        <w:gridCol w:w="1275"/>
      </w:tblGrid>
      <w:tr w:rsidR="00C76081" w:rsidRPr="00515BCF" w14:paraId="083914C9" w14:textId="77777777" w:rsidTr="00C76081">
        <w:trPr>
          <w:trHeight w:val="300"/>
          <w:tblHeader/>
        </w:trPr>
        <w:tc>
          <w:tcPr>
            <w:tcW w:w="3119" w:type="dxa"/>
            <w:tcBorders>
              <w:top w:val="single" w:sz="4" w:space="0" w:color="auto"/>
              <w:bottom w:val="single" w:sz="4" w:space="0" w:color="auto"/>
            </w:tcBorders>
            <w:shd w:val="clear" w:color="auto" w:fill="105C51" w:themeFill="accent1" w:themeFillShade="80"/>
            <w:vAlign w:val="center"/>
          </w:tcPr>
          <w:p w14:paraId="3DDE5219" w14:textId="5D433942" w:rsidR="00C76081" w:rsidRPr="00783C3B" w:rsidRDefault="00C76081" w:rsidP="00C76081">
            <w:pPr>
              <w:keepNext/>
              <w:keepLines/>
              <w:jc w:val="center"/>
              <w:rPr>
                <w:rFonts w:cstheme="minorHAnsi"/>
                <w:b/>
                <w:color w:val="FFFFFF" w:themeColor="background1"/>
                <w:kern w:val="24"/>
                <w:sz w:val="17"/>
                <w:szCs w:val="17"/>
              </w:rPr>
            </w:pPr>
            <w:r>
              <w:rPr>
                <w:rFonts w:cstheme="minorHAnsi"/>
                <w:b/>
                <w:color w:val="FFFFFF" w:themeColor="background1"/>
                <w:kern w:val="24"/>
                <w:sz w:val="17"/>
                <w:szCs w:val="17"/>
              </w:rPr>
              <w:t>Activity</w:t>
            </w:r>
          </w:p>
        </w:tc>
        <w:tc>
          <w:tcPr>
            <w:tcW w:w="1408" w:type="dxa"/>
            <w:tcBorders>
              <w:top w:val="single" w:sz="4" w:space="0" w:color="auto"/>
              <w:bottom w:val="single" w:sz="4" w:space="0" w:color="auto"/>
            </w:tcBorders>
            <w:shd w:val="clear" w:color="auto" w:fill="105C51" w:themeFill="accent1" w:themeFillShade="80"/>
            <w:vAlign w:val="center"/>
            <w:hideMark/>
          </w:tcPr>
          <w:p w14:paraId="7726E616" w14:textId="479BC4EB"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Long</w:t>
            </w:r>
            <w:r>
              <w:rPr>
                <w:rFonts w:cstheme="minorHAnsi"/>
                <w:b/>
                <w:color w:val="FFFFFF" w:themeColor="background1"/>
                <w:kern w:val="24"/>
                <w:sz w:val="17"/>
                <w:szCs w:val="17"/>
              </w:rPr>
              <w:t>-</w:t>
            </w:r>
            <w:r w:rsidRPr="00783C3B">
              <w:rPr>
                <w:rFonts w:cstheme="minorHAnsi"/>
                <w:b/>
                <w:color w:val="FFFFFF" w:themeColor="background1"/>
                <w:kern w:val="24"/>
                <w:sz w:val="17"/>
                <w:szCs w:val="17"/>
              </w:rPr>
              <w:t>term Schizophrenia</w:t>
            </w:r>
          </w:p>
        </w:tc>
        <w:tc>
          <w:tcPr>
            <w:tcW w:w="0" w:type="auto"/>
            <w:tcBorders>
              <w:top w:val="single" w:sz="4" w:space="0" w:color="auto"/>
              <w:bottom w:val="single" w:sz="4" w:space="0" w:color="auto"/>
            </w:tcBorders>
            <w:shd w:val="clear" w:color="auto" w:fill="105C51" w:themeFill="accent1" w:themeFillShade="80"/>
            <w:vAlign w:val="center"/>
            <w:hideMark/>
          </w:tcPr>
          <w:p w14:paraId="2A55C897" w14:textId="77777777"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Borderline Personality Disorder</w:t>
            </w:r>
          </w:p>
        </w:tc>
        <w:tc>
          <w:tcPr>
            <w:tcW w:w="0" w:type="auto"/>
            <w:tcBorders>
              <w:top w:val="single" w:sz="4" w:space="0" w:color="auto"/>
              <w:bottom w:val="single" w:sz="4" w:space="0" w:color="auto"/>
            </w:tcBorders>
            <w:shd w:val="clear" w:color="auto" w:fill="105C51" w:themeFill="accent1" w:themeFillShade="80"/>
            <w:vAlign w:val="center"/>
            <w:hideMark/>
          </w:tcPr>
          <w:p w14:paraId="37FD003A" w14:textId="77777777"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Early Schizophrenia</w:t>
            </w:r>
          </w:p>
        </w:tc>
        <w:tc>
          <w:tcPr>
            <w:tcW w:w="0" w:type="auto"/>
            <w:tcBorders>
              <w:top w:val="single" w:sz="4" w:space="0" w:color="auto"/>
              <w:bottom w:val="single" w:sz="4" w:space="0" w:color="auto"/>
            </w:tcBorders>
            <w:shd w:val="clear" w:color="auto" w:fill="105C51" w:themeFill="accent1" w:themeFillShade="80"/>
            <w:vAlign w:val="center"/>
            <w:hideMark/>
          </w:tcPr>
          <w:p w14:paraId="7FFE93D2" w14:textId="77777777"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Bipolar Disorder</w:t>
            </w:r>
          </w:p>
        </w:tc>
        <w:tc>
          <w:tcPr>
            <w:tcW w:w="0" w:type="auto"/>
            <w:tcBorders>
              <w:top w:val="single" w:sz="4" w:space="0" w:color="auto"/>
              <w:bottom w:val="single" w:sz="4" w:space="0" w:color="auto"/>
            </w:tcBorders>
            <w:shd w:val="clear" w:color="auto" w:fill="105C51" w:themeFill="accent1" w:themeFillShade="80"/>
            <w:vAlign w:val="center"/>
            <w:hideMark/>
          </w:tcPr>
          <w:p w14:paraId="6479EEED" w14:textId="0C3EC9F3"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 xml:space="preserve">Non-suicidal </w:t>
            </w:r>
            <w:r>
              <w:rPr>
                <w:rFonts w:cstheme="minorHAnsi"/>
                <w:b/>
                <w:color w:val="FFFFFF" w:themeColor="background1"/>
                <w:kern w:val="24"/>
                <w:sz w:val="17"/>
                <w:szCs w:val="17"/>
              </w:rPr>
              <w:t>S</w:t>
            </w:r>
            <w:r w:rsidRPr="00783C3B">
              <w:rPr>
                <w:rFonts w:cstheme="minorHAnsi"/>
                <w:b/>
                <w:color w:val="FFFFFF" w:themeColor="background1"/>
                <w:kern w:val="24"/>
                <w:sz w:val="17"/>
                <w:szCs w:val="17"/>
              </w:rPr>
              <w:t>elf-injury</w:t>
            </w:r>
          </w:p>
        </w:tc>
        <w:tc>
          <w:tcPr>
            <w:tcW w:w="0" w:type="auto"/>
            <w:tcBorders>
              <w:top w:val="single" w:sz="4" w:space="0" w:color="auto"/>
              <w:bottom w:val="single" w:sz="4" w:space="0" w:color="auto"/>
            </w:tcBorders>
            <w:shd w:val="clear" w:color="auto" w:fill="105C51" w:themeFill="accent1" w:themeFillShade="80"/>
            <w:vAlign w:val="center"/>
            <w:hideMark/>
          </w:tcPr>
          <w:p w14:paraId="34CFDBE1" w14:textId="77777777"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Depression</w:t>
            </w:r>
          </w:p>
        </w:tc>
        <w:tc>
          <w:tcPr>
            <w:tcW w:w="1464" w:type="dxa"/>
            <w:tcBorders>
              <w:top w:val="single" w:sz="4" w:space="0" w:color="auto"/>
              <w:bottom w:val="single" w:sz="4" w:space="0" w:color="auto"/>
            </w:tcBorders>
            <w:shd w:val="clear" w:color="auto" w:fill="105C51" w:themeFill="accent1" w:themeFillShade="80"/>
            <w:vAlign w:val="center"/>
            <w:hideMark/>
          </w:tcPr>
          <w:p w14:paraId="25332227" w14:textId="77777777"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Eating Disorder</w:t>
            </w:r>
          </w:p>
        </w:tc>
        <w:tc>
          <w:tcPr>
            <w:tcW w:w="1275" w:type="dxa"/>
            <w:tcBorders>
              <w:top w:val="single" w:sz="4" w:space="0" w:color="auto"/>
              <w:bottom w:val="single" w:sz="4" w:space="0" w:color="auto"/>
            </w:tcBorders>
            <w:shd w:val="clear" w:color="auto" w:fill="105C51" w:themeFill="accent1" w:themeFillShade="80"/>
            <w:vAlign w:val="center"/>
            <w:hideMark/>
          </w:tcPr>
          <w:p w14:paraId="35B1FCB9" w14:textId="7BC838E2" w:rsidR="00C76081" w:rsidRPr="00783C3B" w:rsidRDefault="00C76081" w:rsidP="00C76081">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 xml:space="preserve">Social </w:t>
            </w:r>
            <w:r>
              <w:rPr>
                <w:rFonts w:cstheme="minorHAnsi"/>
                <w:b/>
                <w:color w:val="FFFFFF" w:themeColor="background1"/>
                <w:kern w:val="24"/>
                <w:sz w:val="17"/>
                <w:szCs w:val="17"/>
              </w:rPr>
              <w:t>P</w:t>
            </w:r>
            <w:r w:rsidRPr="00783C3B">
              <w:rPr>
                <w:rFonts w:cstheme="minorHAnsi"/>
                <w:b/>
                <w:color w:val="FFFFFF" w:themeColor="background1"/>
                <w:kern w:val="24"/>
                <w:sz w:val="17"/>
                <w:szCs w:val="17"/>
              </w:rPr>
              <w:t>hobia</w:t>
            </w:r>
          </w:p>
        </w:tc>
      </w:tr>
      <w:tr w:rsidR="00C76081" w:rsidRPr="007F194A" w14:paraId="7013EF11" w14:textId="77777777" w:rsidTr="00A9010D">
        <w:trPr>
          <w:trHeight w:val="794"/>
        </w:trPr>
        <w:tc>
          <w:tcPr>
            <w:tcW w:w="3119" w:type="dxa"/>
            <w:shd w:val="clear" w:color="auto" w:fill="auto"/>
            <w:vAlign w:val="center"/>
          </w:tcPr>
          <w:p w14:paraId="5CB690E3" w14:textId="2EEFC049" w:rsidR="00C76081" w:rsidRPr="009F1F30" w:rsidRDefault="00C76081" w:rsidP="00C76081">
            <w:pPr>
              <w:keepNext/>
              <w:keepLines/>
              <w:spacing w:after="0"/>
              <w:ind w:right="-109"/>
              <w:rPr>
                <w:rFonts w:cstheme="minorHAnsi"/>
                <w:color w:val="000000"/>
                <w:szCs w:val="20"/>
              </w:rPr>
            </w:pPr>
            <w:r w:rsidRPr="00C73641">
              <w:t>Move next door to</w:t>
            </w:r>
            <w:r>
              <w:t xml:space="preserve"> someone with this problem</w:t>
            </w:r>
          </w:p>
        </w:tc>
        <w:tc>
          <w:tcPr>
            <w:tcW w:w="1408" w:type="dxa"/>
            <w:shd w:val="clear" w:color="000000" w:fill="FAA1A3"/>
            <w:vAlign w:val="center"/>
            <w:hideMark/>
          </w:tcPr>
          <w:p w14:paraId="58DF1E46" w14:textId="22561D81"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64%</w:t>
            </w:r>
          </w:p>
        </w:tc>
        <w:tc>
          <w:tcPr>
            <w:tcW w:w="0" w:type="auto"/>
            <w:shd w:val="clear" w:color="000000" w:fill="FAA4A7"/>
            <w:vAlign w:val="center"/>
            <w:hideMark/>
          </w:tcPr>
          <w:p w14:paraId="02994B0F"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62%</w:t>
            </w:r>
          </w:p>
        </w:tc>
        <w:tc>
          <w:tcPr>
            <w:tcW w:w="0" w:type="auto"/>
            <w:shd w:val="clear" w:color="000000" w:fill="FAB1B4"/>
            <w:vAlign w:val="center"/>
            <w:hideMark/>
          </w:tcPr>
          <w:p w14:paraId="4DE139F1"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55%</w:t>
            </w:r>
          </w:p>
        </w:tc>
        <w:tc>
          <w:tcPr>
            <w:tcW w:w="0" w:type="auto"/>
            <w:shd w:val="clear" w:color="000000" w:fill="FBCBCE"/>
            <w:vAlign w:val="center"/>
            <w:hideMark/>
          </w:tcPr>
          <w:p w14:paraId="5478B4EF"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41%</w:t>
            </w:r>
          </w:p>
        </w:tc>
        <w:tc>
          <w:tcPr>
            <w:tcW w:w="0" w:type="auto"/>
            <w:shd w:val="clear" w:color="000000" w:fill="FBCFD1"/>
            <w:vAlign w:val="center"/>
            <w:hideMark/>
          </w:tcPr>
          <w:p w14:paraId="35C21243"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39%</w:t>
            </w:r>
          </w:p>
        </w:tc>
        <w:tc>
          <w:tcPr>
            <w:tcW w:w="0" w:type="auto"/>
            <w:shd w:val="clear" w:color="000000" w:fill="FBD8DA"/>
            <w:vAlign w:val="center"/>
            <w:hideMark/>
          </w:tcPr>
          <w:p w14:paraId="71435B38"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34%</w:t>
            </w:r>
          </w:p>
        </w:tc>
        <w:tc>
          <w:tcPr>
            <w:tcW w:w="1464" w:type="dxa"/>
            <w:shd w:val="clear" w:color="000000" w:fill="FCE6E9"/>
            <w:vAlign w:val="center"/>
            <w:hideMark/>
          </w:tcPr>
          <w:p w14:paraId="400F6D1A"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26%</w:t>
            </w:r>
          </w:p>
        </w:tc>
        <w:tc>
          <w:tcPr>
            <w:tcW w:w="1275" w:type="dxa"/>
            <w:shd w:val="clear" w:color="000000" w:fill="FCF1F4"/>
            <w:vAlign w:val="center"/>
            <w:hideMark/>
          </w:tcPr>
          <w:p w14:paraId="2AD95EBB"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20%</w:t>
            </w:r>
          </w:p>
        </w:tc>
      </w:tr>
      <w:tr w:rsidR="00C76081" w:rsidRPr="007F194A" w14:paraId="007B27FD" w14:textId="77777777" w:rsidTr="00A9010D">
        <w:trPr>
          <w:trHeight w:val="715"/>
        </w:trPr>
        <w:tc>
          <w:tcPr>
            <w:tcW w:w="3119" w:type="dxa"/>
            <w:shd w:val="clear" w:color="auto" w:fill="auto"/>
            <w:vAlign w:val="center"/>
          </w:tcPr>
          <w:p w14:paraId="52D3BFF6" w14:textId="2F4EBC70" w:rsidR="00C76081" w:rsidRPr="009F1F30" w:rsidRDefault="00C76081" w:rsidP="00C76081">
            <w:pPr>
              <w:keepNext/>
              <w:keepLines/>
              <w:spacing w:after="0"/>
              <w:ind w:right="-109"/>
              <w:rPr>
                <w:rFonts w:cstheme="minorHAnsi"/>
                <w:color w:val="000000"/>
                <w:szCs w:val="20"/>
              </w:rPr>
            </w:pPr>
            <w:r w:rsidRPr="00C73641">
              <w:t xml:space="preserve">Spend </w:t>
            </w:r>
            <w:r>
              <w:t xml:space="preserve">an </w:t>
            </w:r>
            <w:r w:rsidRPr="00C73641">
              <w:t>evening socialising</w:t>
            </w:r>
            <w:r>
              <w:t xml:space="preserve"> with someone with this problem</w:t>
            </w:r>
          </w:p>
        </w:tc>
        <w:tc>
          <w:tcPr>
            <w:tcW w:w="1408" w:type="dxa"/>
            <w:shd w:val="clear" w:color="000000" w:fill="FAA2A5"/>
            <w:vAlign w:val="center"/>
            <w:hideMark/>
          </w:tcPr>
          <w:p w14:paraId="4532EE8A" w14:textId="2A7E857C"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63%</w:t>
            </w:r>
          </w:p>
        </w:tc>
        <w:tc>
          <w:tcPr>
            <w:tcW w:w="0" w:type="auto"/>
            <w:shd w:val="clear" w:color="000000" w:fill="FAB1B4"/>
            <w:vAlign w:val="center"/>
            <w:hideMark/>
          </w:tcPr>
          <w:p w14:paraId="4DF5FAE6"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55%</w:t>
            </w:r>
          </w:p>
        </w:tc>
        <w:tc>
          <w:tcPr>
            <w:tcW w:w="0" w:type="auto"/>
            <w:shd w:val="clear" w:color="000000" w:fill="FBC7CA"/>
            <w:vAlign w:val="center"/>
            <w:hideMark/>
          </w:tcPr>
          <w:p w14:paraId="70A7306E"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43%</w:t>
            </w:r>
          </w:p>
        </w:tc>
        <w:tc>
          <w:tcPr>
            <w:tcW w:w="0" w:type="auto"/>
            <w:shd w:val="clear" w:color="000000" w:fill="FBD2D5"/>
            <w:vAlign w:val="center"/>
            <w:hideMark/>
          </w:tcPr>
          <w:p w14:paraId="58F9D4DC"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37%</w:t>
            </w:r>
          </w:p>
        </w:tc>
        <w:tc>
          <w:tcPr>
            <w:tcW w:w="0" w:type="auto"/>
            <w:shd w:val="clear" w:color="000000" w:fill="FCE1E4"/>
            <w:vAlign w:val="center"/>
            <w:hideMark/>
          </w:tcPr>
          <w:p w14:paraId="0367E127"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29%</w:t>
            </w:r>
          </w:p>
        </w:tc>
        <w:tc>
          <w:tcPr>
            <w:tcW w:w="0" w:type="auto"/>
            <w:shd w:val="clear" w:color="000000" w:fill="FCE8EB"/>
            <w:vAlign w:val="center"/>
            <w:hideMark/>
          </w:tcPr>
          <w:p w14:paraId="433557DB"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25%</w:t>
            </w:r>
          </w:p>
        </w:tc>
        <w:tc>
          <w:tcPr>
            <w:tcW w:w="1464" w:type="dxa"/>
            <w:shd w:val="clear" w:color="000000" w:fill="FCEEF1"/>
            <w:vAlign w:val="center"/>
            <w:hideMark/>
          </w:tcPr>
          <w:p w14:paraId="7078395C"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22%</w:t>
            </w:r>
          </w:p>
        </w:tc>
        <w:tc>
          <w:tcPr>
            <w:tcW w:w="1275" w:type="dxa"/>
            <w:shd w:val="clear" w:color="000000" w:fill="FCFBFE"/>
            <w:vAlign w:val="center"/>
            <w:hideMark/>
          </w:tcPr>
          <w:p w14:paraId="4F3D5F3B"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15%</w:t>
            </w:r>
          </w:p>
        </w:tc>
      </w:tr>
      <w:tr w:rsidR="00C76081" w:rsidRPr="007F194A" w14:paraId="6B17620C" w14:textId="77777777" w:rsidTr="00A9010D">
        <w:trPr>
          <w:trHeight w:val="697"/>
        </w:trPr>
        <w:tc>
          <w:tcPr>
            <w:tcW w:w="3119" w:type="dxa"/>
            <w:shd w:val="clear" w:color="auto" w:fill="auto"/>
            <w:vAlign w:val="center"/>
          </w:tcPr>
          <w:p w14:paraId="7A65DFFB" w14:textId="229C5245" w:rsidR="00C76081" w:rsidRPr="009F1F30" w:rsidRDefault="00C76081" w:rsidP="00C76081">
            <w:pPr>
              <w:keepNext/>
              <w:keepLines/>
              <w:spacing w:after="0"/>
              <w:ind w:right="-109"/>
              <w:rPr>
                <w:rFonts w:cstheme="minorHAnsi"/>
                <w:color w:val="000000"/>
                <w:szCs w:val="20"/>
              </w:rPr>
            </w:pPr>
            <w:r w:rsidRPr="00C73641">
              <w:t>Make friends with</w:t>
            </w:r>
            <w:r>
              <w:t xml:space="preserve"> someone with this problem</w:t>
            </w:r>
          </w:p>
        </w:tc>
        <w:tc>
          <w:tcPr>
            <w:tcW w:w="1408" w:type="dxa"/>
            <w:shd w:val="clear" w:color="000000" w:fill="FAA4A7"/>
            <w:vAlign w:val="center"/>
            <w:hideMark/>
          </w:tcPr>
          <w:p w14:paraId="65466FC4" w14:textId="1515A4F4"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62%</w:t>
            </w:r>
          </w:p>
        </w:tc>
        <w:tc>
          <w:tcPr>
            <w:tcW w:w="0" w:type="auto"/>
            <w:shd w:val="clear" w:color="000000" w:fill="FAAAAC"/>
            <w:vAlign w:val="center"/>
            <w:hideMark/>
          </w:tcPr>
          <w:p w14:paraId="5A3A9B37"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59%</w:t>
            </w:r>
          </w:p>
        </w:tc>
        <w:tc>
          <w:tcPr>
            <w:tcW w:w="0" w:type="auto"/>
            <w:shd w:val="clear" w:color="000000" w:fill="FBC4C6"/>
            <w:vAlign w:val="center"/>
            <w:hideMark/>
          </w:tcPr>
          <w:p w14:paraId="15616972"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45%</w:t>
            </w:r>
          </w:p>
        </w:tc>
        <w:tc>
          <w:tcPr>
            <w:tcW w:w="0" w:type="auto"/>
            <w:shd w:val="clear" w:color="000000" w:fill="FBCDCF"/>
            <w:vAlign w:val="center"/>
            <w:hideMark/>
          </w:tcPr>
          <w:p w14:paraId="5516F36F"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40%</w:t>
            </w:r>
          </w:p>
        </w:tc>
        <w:tc>
          <w:tcPr>
            <w:tcW w:w="0" w:type="auto"/>
            <w:shd w:val="clear" w:color="000000" w:fill="FCDBDE"/>
            <w:vAlign w:val="center"/>
            <w:hideMark/>
          </w:tcPr>
          <w:p w14:paraId="6C85CBED"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32%</w:t>
            </w:r>
          </w:p>
        </w:tc>
        <w:tc>
          <w:tcPr>
            <w:tcW w:w="0" w:type="auto"/>
            <w:shd w:val="clear" w:color="000000" w:fill="FCE8EB"/>
            <w:vAlign w:val="center"/>
            <w:hideMark/>
          </w:tcPr>
          <w:p w14:paraId="63ED44CC"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25%</w:t>
            </w:r>
          </w:p>
        </w:tc>
        <w:tc>
          <w:tcPr>
            <w:tcW w:w="1464" w:type="dxa"/>
            <w:shd w:val="clear" w:color="000000" w:fill="FCECEF"/>
            <w:vAlign w:val="center"/>
            <w:hideMark/>
          </w:tcPr>
          <w:p w14:paraId="20753023"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23%</w:t>
            </w:r>
          </w:p>
        </w:tc>
        <w:tc>
          <w:tcPr>
            <w:tcW w:w="1275" w:type="dxa"/>
            <w:shd w:val="clear" w:color="000000" w:fill="FCFCFF"/>
            <w:vAlign w:val="center"/>
            <w:hideMark/>
          </w:tcPr>
          <w:p w14:paraId="4AC46304"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14%</w:t>
            </w:r>
          </w:p>
        </w:tc>
      </w:tr>
      <w:tr w:rsidR="00C76081" w:rsidRPr="007F194A" w14:paraId="407708A9" w14:textId="77777777" w:rsidTr="00A9010D">
        <w:trPr>
          <w:trHeight w:val="708"/>
        </w:trPr>
        <w:tc>
          <w:tcPr>
            <w:tcW w:w="3119" w:type="dxa"/>
            <w:shd w:val="clear" w:color="auto" w:fill="auto"/>
            <w:vAlign w:val="center"/>
          </w:tcPr>
          <w:p w14:paraId="140E0039" w14:textId="2244F3CE" w:rsidR="00C76081" w:rsidRPr="009F1F30" w:rsidRDefault="00C76081" w:rsidP="00C76081">
            <w:pPr>
              <w:keepNext/>
              <w:keepLines/>
              <w:spacing w:after="0"/>
              <w:ind w:right="-109"/>
              <w:rPr>
                <w:rFonts w:cstheme="minorHAnsi"/>
                <w:color w:val="000000"/>
                <w:szCs w:val="20"/>
              </w:rPr>
            </w:pPr>
            <w:r w:rsidRPr="00C73641">
              <w:t>Work closely with</w:t>
            </w:r>
            <w:r>
              <w:t xml:space="preserve"> someone with this problem</w:t>
            </w:r>
          </w:p>
        </w:tc>
        <w:tc>
          <w:tcPr>
            <w:tcW w:w="1408" w:type="dxa"/>
            <w:shd w:val="clear" w:color="000000" w:fill="FA9D9F"/>
            <w:vAlign w:val="center"/>
            <w:hideMark/>
          </w:tcPr>
          <w:p w14:paraId="1763E0CA" w14:textId="40D059B3"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66%</w:t>
            </w:r>
          </w:p>
        </w:tc>
        <w:tc>
          <w:tcPr>
            <w:tcW w:w="0" w:type="auto"/>
            <w:shd w:val="clear" w:color="000000" w:fill="FAA6A9"/>
            <w:vAlign w:val="center"/>
            <w:hideMark/>
          </w:tcPr>
          <w:p w14:paraId="6DB370D5"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61%</w:t>
            </w:r>
          </w:p>
        </w:tc>
        <w:tc>
          <w:tcPr>
            <w:tcW w:w="0" w:type="auto"/>
            <w:shd w:val="clear" w:color="000000" w:fill="FBBEC1"/>
            <w:vAlign w:val="center"/>
            <w:hideMark/>
          </w:tcPr>
          <w:p w14:paraId="17FC9836"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48%</w:t>
            </w:r>
          </w:p>
        </w:tc>
        <w:tc>
          <w:tcPr>
            <w:tcW w:w="0" w:type="auto"/>
            <w:shd w:val="clear" w:color="000000" w:fill="FBC0C2"/>
            <w:vAlign w:val="center"/>
            <w:hideMark/>
          </w:tcPr>
          <w:p w14:paraId="50681AC5"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47%</w:t>
            </w:r>
          </w:p>
        </w:tc>
        <w:tc>
          <w:tcPr>
            <w:tcW w:w="0" w:type="auto"/>
            <w:shd w:val="clear" w:color="000000" w:fill="FBD6D9"/>
            <w:vAlign w:val="center"/>
            <w:hideMark/>
          </w:tcPr>
          <w:p w14:paraId="44D7D886"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35%</w:t>
            </w:r>
          </w:p>
        </w:tc>
        <w:tc>
          <w:tcPr>
            <w:tcW w:w="0" w:type="auto"/>
            <w:shd w:val="clear" w:color="000000" w:fill="FCE1E4"/>
            <w:vAlign w:val="center"/>
            <w:hideMark/>
          </w:tcPr>
          <w:p w14:paraId="279A682B"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29%</w:t>
            </w:r>
          </w:p>
        </w:tc>
        <w:tc>
          <w:tcPr>
            <w:tcW w:w="1464" w:type="dxa"/>
            <w:shd w:val="clear" w:color="000000" w:fill="FCE8EB"/>
            <w:vAlign w:val="center"/>
            <w:hideMark/>
          </w:tcPr>
          <w:p w14:paraId="699B0B24"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25%</w:t>
            </w:r>
          </w:p>
        </w:tc>
        <w:tc>
          <w:tcPr>
            <w:tcW w:w="1275" w:type="dxa"/>
            <w:shd w:val="clear" w:color="000000" w:fill="FCF5F8"/>
            <w:vAlign w:val="center"/>
            <w:hideMark/>
          </w:tcPr>
          <w:p w14:paraId="7C0755E4"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18%</w:t>
            </w:r>
          </w:p>
        </w:tc>
      </w:tr>
      <w:tr w:rsidR="00C76081" w:rsidRPr="007F194A" w14:paraId="766BEEEE" w14:textId="77777777" w:rsidTr="00A9010D">
        <w:trPr>
          <w:trHeight w:val="860"/>
        </w:trPr>
        <w:tc>
          <w:tcPr>
            <w:tcW w:w="3119" w:type="dxa"/>
            <w:shd w:val="clear" w:color="auto" w:fill="auto"/>
            <w:vAlign w:val="center"/>
          </w:tcPr>
          <w:p w14:paraId="1505C466" w14:textId="24044252" w:rsidR="00C76081" w:rsidRPr="009F1F30" w:rsidRDefault="00C76081" w:rsidP="00C76081">
            <w:pPr>
              <w:keepNext/>
              <w:keepLines/>
              <w:spacing w:after="0"/>
              <w:ind w:right="-109"/>
              <w:rPr>
                <w:rFonts w:cstheme="minorHAnsi"/>
                <w:color w:val="000000"/>
                <w:szCs w:val="20"/>
              </w:rPr>
            </w:pPr>
            <w:r w:rsidRPr="00C73641">
              <w:t xml:space="preserve">Have </w:t>
            </w:r>
            <w:r>
              <w:t>someone with this problem</w:t>
            </w:r>
            <w:r w:rsidRPr="00C73641">
              <w:t xml:space="preserve"> marry in to family</w:t>
            </w:r>
          </w:p>
        </w:tc>
        <w:tc>
          <w:tcPr>
            <w:tcW w:w="1408" w:type="dxa"/>
            <w:shd w:val="clear" w:color="000000" w:fill="F97C7E"/>
            <w:vAlign w:val="center"/>
            <w:hideMark/>
          </w:tcPr>
          <w:p w14:paraId="16CC09D2" w14:textId="61F1D1AD"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84%</w:t>
            </w:r>
          </w:p>
        </w:tc>
        <w:tc>
          <w:tcPr>
            <w:tcW w:w="0" w:type="auto"/>
            <w:shd w:val="clear" w:color="000000" w:fill="F98082"/>
            <w:vAlign w:val="center"/>
            <w:hideMark/>
          </w:tcPr>
          <w:p w14:paraId="2CA1726A"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82%</w:t>
            </w:r>
          </w:p>
        </w:tc>
        <w:tc>
          <w:tcPr>
            <w:tcW w:w="0" w:type="auto"/>
            <w:shd w:val="clear" w:color="000000" w:fill="FA9496"/>
            <w:vAlign w:val="center"/>
            <w:hideMark/>
          </w:tcPr>
          <w:p w14:paraId="48AF1E08"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71%</w:t>
            </w:r>
          </w:p>
        </w:tc>
        <w:tc>
          <w:tcPr>
            <w:tcW w:w="0" w:type="auto"/>
            <w:shd w:val="clear" w:color="000000" w:fill="FAA2A5"/>
            <w:vAlign w:val="center"/>
            <w:hideMark/>
          </w:tcPr>
          <w:p w14:paraId="011FE45D"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63%</w:t>
            </w:r>
          </w:p>
        </w:tc>
        <w:tc>
          <w:tcPr>
            <w:tcW w:w="0" w:type="auto"/>
            <w:shd w:val="clear" w:color="000000" w:fill="FAA6A9"/>
            <w:vAlign w:val="center"/>
            <w:hideMark/>
          </w:tcPr>
          <w:p w14:paraId="3F8873E4"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61%</w:t>
            </w:r>
          </w:p>
        </w:tc>
        <w:tc>
          <w:tcPr>
            <w:tcW w:w="0" w:type="auto"/>
            <w:shd w:val="clear" w:color="000000" w:fill="FBB7B9"/>
            <w:vAlign w:val="center"/>
            <w:hideMark/>
          </w:tcPr>
          <w:p w14:paraId="70D2BCD4"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52%</w:t>
            </w:r>
          </w:p>
        </w:tc>
        <w:tc>
          <w:tcPr>
            <w:tcW w:w="1464" w:type="dxa"/>
            <w:shd w:val="clear" w:color="000000" w:fill="FBC9CC"/>
            <w:vAlign w:val="center"/>
            <w:hideMark/>
          </w:tcPr>
          <w:p w14:paraId="5FA315DD"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42%</w:t>
            </w:r>
          </w:p>
        </w:tc>
        <w:tc>
          <w:tcPr>
            <w:tcW w:w="1275" w:type="dxa"/>
            <w:shd w:val="clear" w:color="000000" w:fill="FCE1E4"/>
            <w:vAlign w:val="center"/>
            <w:hideMark/>
          </w:tcPr>
          <w:p w14:paraId="0E8A9B13"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29%</w:t>
            </w:r>
          </w:p>
        </w:tc>
      </w:tr>
      <w:tr w:rsidR="00C76081" w:rsidRPr="007F194A" w14:paraId="7207F5A0" w14:textId="77777777" w:rsidTr="00A9010D">
        <w:trPr>
          <w:trHeight w:val="560"/>
        </w:trPr>
        <w:tc>
          <w:tcPr>
            <w:tcW w:w="3119" w:type="dxa"/>
            <w:tcBorders>
              <w:bottom w:val="single" w:sz="4" w:space="0" w:color="auto"/>
            </w:tcBorders>
            <w:shd w:val="clear" w:color="auto" w:fill="auto"/>
            <w:vAlign w:val="center"/>
          </w:tcPr>
          <w:p w14:paraId="7DF2136E" w14:textId="525089EF" w:rsidR="00C76081" w:rsidRPr="009F1F30" w:rsidRDefault="00C76081" w:rsidP="00C76081">
            <w:pPr>
              <w:keepNext/>
              <w:keepLines/>
              <w:spacing w:after="0"/>
              <w:ind w:right="-109"/>
              <w:rPr>
                <w:rFonts w:cstheme="minorHAnsi"/>
                <w:color w:val="000000"/>
                <w:szCs w:val="20"/>
              </w:rPr>
            </w:pPr>
            <w:r w:rsidRPr="00C73641">
              <w:t xml:space="preserve">Have them look after </w:t>
            </w:r>
            <w:r>
              <w:t>your children</w:t>
            </w:r>
          </w:p>
        </w:tc>
        <w:tc>
          <w:tcPr>
            <w:tcW w:w="1408" w:type="dxa"/>
            <w:tcBorders>
              <w:bottom w:val="single" w:sz="4" w:space="0" w:color="auto"/>
            </w:tcBorders>
            <w:shd w:val="clear" w:color="000000" w:fill="F8696B"/>
            <w:vAlign w:val="center"/>
            <w:hideMark/>
          </w:tcPr>
          <w:p w14:paraId="71A35E92" w14:textId="1D0FB07B"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94%</w:t>
            </w:r>
          </w:p>
        </w:tc>
        <w:tc>
          <w:tcPr>
            <w:tcW w:w="0" w:type="auto"/>
            <w:tcBorders>
              <w:bottom w:val="single" w:sz="4" w:space="0" w:color="auto"/>
            </w:tcBorders>
            <w:shd w:val="clear" w:color="000000" w:fill="F96F71"/>
            <w:vAlign w:val="center"/>
            <w:hideMark/>
          </w:tcPr>
          <w:p w14:paraId="236FF14A"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91%</w:t>
            </w:r>
          </w:p>
        </w:tc>
        <w:tc>
          <w:tcPr>
            <w:tcW w:w="0" w:type="auto"/>
            <w:tcBorders>
              <w:bottom w:val="single" w:sz="4" w:space="0" w:color="auto"/>
            </w:tcBorders>
            <w:shd w:val="clear" w:color="000000" w:fill="F97173"/>
            <w:vAlign w:val="center"/>
            <w:hideMark/>
          </w:tcPr>
          <w:p w14:paraId="18886D3E"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90%</w:t>
            </w:r>
          </w:p>
        </w:tc>
        <w:tc>
          <w:tcPr>
            <w:tcW w:w="0" w:type="auto"/>
            <w:tcBorders>
              <w:bottom w:val="single" w:sz="4" w:space="0" w:color="auto"/>
            </w:tcBorders>
            <w:shd w:val="clear" w:color="000000" w:fill="F98184"/>
            <w:vAlign w:val="center"/>
            <w:hideMark/>
          </w:tcPr>
          <w:p w14:paraId="44D39055"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81%</w:t>
            </w:r>
          </w:p>
        </w:tc>
        <w:tc>
          <w:tcPr>
            <w:tcW w:w="0" w:type="auto"/>
            <w:tcBorders>
              <w:bottom w:val="single" w:sz="4" w:space="0" w:color="auto"/>
            </w:tcBorders>
            <w:shd w:val="clear" w:color="000000" w:fill="F98184"/>
            <w:vAlign w:val="center"/>
            <w:hideMark/>
          </w:tcPr>
          <w:p w14:paraId="0354D830"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81%</w:t>
            </w:r>
          </w:p>
        </w:tc>
        <w:tc>
          <w:tcPr>
            <w:tcW w:w="0" w:type="auto"/>
            <w:tcBorders>
              <w:bottom w:val="single" w:sz="4" w:space="0" w:color="auto"/>
            </w:tcBorders>
            <w:shd w:val="clear" w:color="000000" w:fill="F9898B"/>
            <w:vAlign w:val="center"/>
            <w:hideMark/>
          </w:tcPr>
          <w:p w14:paraId="68F64B9A"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77%</w:t>
            </w:r>
          </w:p>
        </w:tc>
        <w:tc>
          <w:tcPr>
            <w:tcW w:w="1464" w:type="dxa"/>
            <w:tcBorders>
              <w:bottom w:val="single" w:sz="4" w:space="0" w:color="auto"/>
            </w:tcBorders>
            <w:shd w:val="clear" w:color="000000" w:fill="FAACAE"/>
            <w:vAlign w:val="center"/>
            <w:hideMark/>
          </w:tcPr>
          <w:p w14:paraId="4BBF4C8E" w14:textId="7777777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58%</w:t>
            </w:r>
          </w:p>
        </w:tc>
        <w:tc>
          <w:tcPr>
            <w:tcW w:w="1275" w:type="dxa"/>
            <w:tcBorders>
              <w:bottom w:val="single" w:sz="4" w:space="0" w:color="auto"/>
            </w:tcBorders>
            <w:shd w:val="clear" w:color="000000" w:fill="FBCDCF"/>
            <w:vAlign w:val="center"/>
            <w:hideMark/>
          </w:tcPr>
          <w:p w14:paraId="04E8CCDD" w14:textId="27CAF397" w:rsidR="00C76081" w:rsidRPr="009F1F30" w:rsidRDefault="00C76081" w:rsidP="00556063">
            <w:pPr>
              <w:keepNext/>
              <w:keepLines/>
              <w:spacing w:after="0"/>
              <w:jc w:val="center"/>
              <w:rPr>
                <w:rFonts w:cstheme="minorHAnsi"/>
                <w:color w:val="000000"/>
                <w:szCs w:val="20"/>
              </w:rPr>
            </w:pPr>
            <w:r w:rsidRPr="009F1F30">
              <w:rPr>
                <w:rFonts w:cstheme="minorHAnsi"/>
                <w:color w:val="000000"/>
                <w:szCs w:val="20"/>
              </w:rPr>
              <w:t>40%</w:t>
            </w:r>
          </w:p>
        </w:tc>
      </w:tr>
    </w:tbl>
    <w:p w14:paraId="7FDE8881" w14:textId="77777777" w:rsidR="00C76081" w:rsidRDefault="00E03F6C" w:rsidP="00556063">
      <w:pPr>
        <w:keepNext/>
        <w:keepLines/>
        <w:ind w:right="-1078"/>
        <w:rPr>
          <w:i/>
        </w:rPr>
        <w:sectPr w:rsidR="00C76081" w:rsidSect="00C76081">
          <w:footerReference w:type="default" r:id="rId20"/>
          <w:footnotePr>
            <w:numFmt w:val="chicago"/>
            <w:numRestart w:val="eachPage"/>
          </w:footnotePr>
          <w:pgSz w:w="16838" w:h="11906" w:orient="landscape" w:code="9"/>
          <w:pgMar w:top="1247" w:right="2041" w:bottom="2381" w:left="1247" w:header="720" w:footer="851" w:gutter="0"/>
          <w:cols w:space="708"/>
          <w:docGrid w:linePitch="360"/>
        </w:sectPr>
      </w:pPr>
      <w:r w:rsidRPr="009C7435">
        <w:rPr>
          <w:i/>
        </w:rPr>
        <w:t>Note</w:t>
      </w:r>
      <w:r w:rsidRPr="00E53245">
        <w:rPr>
          <w:i/>
        </w:rPr>
        <w:t xml:space="preserve">: </w:t>
      </w:r>
      <w:r w:rsidR="00EE792D">
        <w:rPr>
          <w:i/>
        </w:rPr>
        <w:t>Each</w:t>
      </w:r>
      <w:r w:rsidRPr="00E53245">
        <w:rPr>
          <w:i/>
        </w:rPr>
        <w:t xml:space="preserve"> proportion includes people who reported being ‘definitely not’ or ‘probably not’ willing.</w:t>
      </w:r>
      <w:r w:rsidR="0095362C">
        <w:rPr>
          <w:i/>
        </w:rPr>
        <w:t xml:space="preserve"> Item ‘Have them look after your children’ excludes people who responded ‘Not applicable’.</w:t>
      </w:r>
    </w:p>
    <w:p w14:paraId="59DE3073" w14:textId="1850AEC7" w:rsidR="004415B2" w:rsidRPr="00725D9F" w:rsidRDefault="004415B2" w:rsidP="00783C3B">
      <w:pPr>
        <w:pStyle w:val="Heading4"/>
        <w:spacing w:after="360"/>
        <w:ind w:right="-1077"/>
        <w:rPr>
          <w:color w:val="auto"/>
          <w:u w:val="single" w:color="20B9A3" w:themeColor="accent1"/>
          <w:lang w:eastAsia="en-GB"/>
        </w:rPr>
      </w:pPr>
      <w:r w:rsidRPr="00725D9F">
        <w:rPr>
          <w:color w:val="auto"/>
          <w:u w:val="single" w:color="20B9A3" w:themeColor="accent1"/>
          <w:lang w:eastAsia="en-GB"/>
        </w:rPr>
        <w:lastRenderedPageBreak/>
        <w:t>Beliefs</w:t>
      </w:r>
    </w:p>
    <w:p w14:paraId="2C86E845" w14:textId="77777777" w:rsidR="003D28CA" w:rsidRPr="004F7DF6" w:rsidRDefault="003D28CA" w:rsidP="004F7DF6">
      <w:pPr>
        <w:pBdr>
          <w:top w:val="single" w:sz="24" w:space="1" w:color="20B9A3" w:themeColor="accent1"/>
          <w:bottom w:val="single" w:sz="24" w:space="1" w:color="20B9A3" w:themeColor="accent1"/>
        </w:pBdr>
        <w:spacing w:after="0"/>
        <w:ind w:right="-1077"/>
        <w:rPr>
          <w:b/>
          <w:i/>
        </w:rPr>
      </w:pPr>
      <w:r w:rsidRPr="004F7DF6">
        <w:rPr>
          <w:b/>
          <w:i/>
        </w:rPr>
        <w:t>Respondents</w:t>
      </w:r>
    </w:p>
    <w:p w14:paraId="4E897B3A" w14:textId="77777777" w:rsidR="003D28CA" w:rsidRPr="004F7DF6" w:rsidRDefault="003D28CA" w:rsidP="004F7DF6">
      <w:pPr>
        <w:pBdr>
          <w:top w:val="single" w:sz="24" w:space="1" w:color="20B9A3" w:themeColor="accent1"/>
          <w:bottom w:val="single" w:sz="24" w:space="1" w:color="20B9A3" w:themeColor="accent1"/>
        </w:pBdr>
        <w:spacing w:after="0"/>
        <w:ind w:right="-1077"/>
        <w:rPr>
          <w:i/>
        </w:rPr>
      </w:pPr>
      <w:r w:rsidRPr="004F7DF6">
        <w:rPr>
          <w:i/>
        </w:rPr>
        <w:t>Australian residents aged 18+</w:t>
      </w:r>
    </w:p>
    <w:p w14:paraId="0B4949F3" w14:textId="77777777" w:rsidR="003D28CA" w:rsidRPr="004F7DF6" w:rsidRDefault="003D28CA" w:rsidP="004F7DF6">
      <w:pPr>
        <w:pBdr>
          <w:top w:val="single" w:sz="24" w:space="1" w:color="20B9A3" w:themeColor="accent1"/>
          <w:bottom w:val="single" w:sz="24" w:space="1" w:color="20B9A3" w:themeColor="accent1"/>
        </w:pBdr>
        <w:spacing w:after="0"/>
        <w:ind w:right="-1077"/>
        <w:jc w:val="right"/>
        <w:rPr>
          <w:b/>
          <w:i/>
        </w:rPr>
      </w:pPr>
      <w:r w:rsidRPr="004F7DF6">
        <w:rPr>
          <w:b/>
          <w:i/>
        </w:rPr>
        <w:t>100% of total sample</w:t>
      </w:r>
    </w:p>
    <w:p w14:paraId="4E2B5BD2" w14:textId="5095A2DE" w:rsidR="00E03F6C" w:rsidRDefault="00E03F6C" w:rsidP="00687E97">
      <w:pPr>
        <w:spacing w:before="240"/>
        <w:ind w:right="-1078"/>
      </w:pPr>
      <w:r w:rsidRPr="007F194A">
        <w:t xml:space="preserve">To understand what </w:t>
      </w:r>
      <w:r>
        <w:t>beliefs were associated with</w:t>
      </w:r>
      <w:r w:rsidRPr="007F194A">
        <w:t xml:space="preserve"> these </w:t>
      </w:r>
      <w:r>
        <w:t>discriminatory</w:t>
      </w:r>
      <w:r w:rsidRPr="007F194A">
        <w:t xml:space="preserve"> </w:t>
      </w:r>
      <w:r w:rsidR="00B010EA">
        <w:t>intentions</w:t>
      </w:r>
      <w:r w:rsidRPr="007F194A">
        <w:t xml:space="preserve">, the survey </w:t>
      </w:r>
      <w:r>
        <w:t xml:space="preserve">followed up the question about social engagement with a series of statements </w:t>
      </w:r>
      <w:r w:rsidR="000135DA">
        <w:t xml:space="preserve">comprising stigmatising beliefs </w:t>
      </w:r>
      <w:r>
        <w:t xml:space="preserve">and asked </w:t>
      </w:r>
      <w:r w:rsidR="00C008BD">
        <w:t>respondents</w:t>
      </w:r>
      <w:r>
        <w:t xml:space="preserve"> to rate their level of agreement or disagreement with them. These statements were drawn from previous research o</w:t>
      </w:r>
      <w:r w:rsidR="008D18DD">
        <w:t>n</w:t>
      </w:r>
      <w:r>
        <w:t xml:space="preserve"> stigma</w:t>
      </w:r>
      <w:r w:rsidR="000135DA">
        <w:t xml:space="preserve"> (see </w:t>
      </w:r>
      <w:r w:rsidR="00694D16">
        <w:t>A</w:t>
      </w:r>
      <w:r w:rsidR="000135DA">
        <w:t>ppendix</w:t>
      </w:r>
      <w:r w:rsidR="00694D16">
        <w:t xml:space="preserve"> </w:t>
      </w:r>
      <w:r w:rsidR="000135DA">
        <w:t>for details). They assessed a range of stigmatising beliefs such as perceptions of dangerousness and perceptions of personal responsibility</w:t>
      </w:r>
      <w:r>
        <w:t xml:space="preserve">. </w:t>
      </w:r>
    </w:p>
    <w:p w14:paraId="3085132A" w14:textId="55A78BF1" w:rsidR="007664B2" w:rsidRDefault="00E03F6C" w:rsidP="00284288">
      <w:pPr>
        <w:ind w:right="-1078"/>
      </w:pPr>
      <w:r>
        <w:t xml:space="preserve">We found </w:t>
      </w:r>
      <w:r w:rsidR="002C5213">
        <w:t>respondents</w:t>
      </w:r>
      <w:r>
        <w:t xml:space="preserve"> were less likely to agree with statements characteris</w:t>
      </w:r>
      <w:r w:rsidR="00D27279">
        <w:t>ing</w:t>
      </w:r>
      <w:r>
        <w:t xml:space="preserve"> any of the </w:t>
      </w:r>
      <w:r w:rsidR="009C7435">
        <w:t xml:space="preserve">mental health problems </w:t>
      </w:r>
      <w:r>
        <w:t xml:space="preserve">as a personal failing; for example, that it ‘is their own fault’ and it ‘is not a real medical illness’. </w:t>
      </w:r>
      <w:r w:rsidR="00EF4A3B">
        <w:t xml:space="preserve">As shown in </w:t>
      </w:r>
      <w:r w:rsidR="00D27279">
        <w:t>T</w:t>
      </w:r>
      <w:r w:rsidR="00EF4A3B">
        <w:t xml:space="preserve">able 2, these statements were endorsed by 4 to 14 percent of </w:t>
      </w:r>
      <w:r w:rsidR="00C008BD">
        <w:t>respondents</w:t>
      </w:r>
      <w:r w:rsidR="00EF4A3B">
        <w:t xml:space="preserve">.  </w:t>
      </w:r>
    </w:p>
    <w:p w14:paraId="1FEE7DE6" w14:textId="687F2F0B" w:rsidR="007664B2" w:rsidRDefault="003E7156" w:rsidP="00284288">
      <w:pPr>
        <w:ind w:right="-1078"/>
      </w:pPr>
      <w:r>
        <w:t>Respondents</w:t>
      </w:r>
      <w:r w:rsidR="00E03F6C">
        <w:t xml:space="preserve"> were more likely to agree with statements that characterised any of the </w:t>
      </w:r>
      <w:r w:rsidR="009C7435">
        <w:t xml:space="preserve">mental health problems </w:t>
      </w:r>
      <w:r w:rsidR="00E03F6C">
        <w:t xml:space="preserve">as something out of a person’s control; for example, that the person was ‘unpredictable’ and they ‘feel pity’ for the person. </w:t>
      </w:r>
      <w:r w:rsidR="00EF4A3B">
        <w:t xml:space="preserve">These statements were endorsed by 15 to 74 percent of </w:t>
      </w:r>
      <w:r w:rsidR="00C008BD">
        <w:t>respondents</w:t>
      </w:r>
      <w:r w:rsidR="00EF4A3B">
        <w:t xml:space="preserve">. </w:t>
      </w:r>
    </w:p>
    <w:p w14:paraId="706E6638" w14:textId="020BF624" w:rsidR="00E03F6C" w:rsidRPr="007F194A" w:rsidRDefault="002C5213" w:rsidP="00284288">
      <w:pPr>
        <w:ind w:right="-1078"/>
      </w:pPr>
      <w:r>
        <w:t>I</w:t>
      </w:r>
      <w:r w:rsidR="00E03F6C">
        <w:t xml:space="preserve">t was also common for </w:t>
      </w:r>
      <w:r w:rsidR="00C008BD">
        <w:t>respondents</w:t>
      </w:r>
      <w:r w:rsidR="00E03F6C">
        <w:t xml:space="preserve"> to agree with statements characterising </w:t>
      </w:r>
      <w:r>
        <w:t xml:space="preserve">people experiencing schizophrenia </w:t>
      </w:r>
      <w:r w:rsidR="00E03F6C">
        <w:t>as ‘dang</w:t>
      </w:r>
      <w:r>
        <w:t>erous’ and that they should be</w:t>
      </w:r>
      <w:r w:rsidR="00E03F6C">
        <w:t xml:space="preserve"> ‘forced into treatment’ against their will. </w:t>
      </w:r>
    </w:p>
    <w:p w14:paraId="7D1F989E" w14:textId="77777777" w:rsidR="00C76081" w:rsidRDefault="00C76081" w:rsidP="00835A0F">
      <w:pPr>
        <w:keepNext/>
        <w:keepLines/>
        <w:ind w:right="-1078"/>
        <w:rPr>
          <w:b/>
        </w:rPr>
        <w:sectPr w:rsidR="00C76081" w:rsidSect="00C76081">
          <w:footerReference w:type="default" r:id="rId21"/>
          <w:footnotePr>
            <w:numFmt w:val="chicago"/>
            <w:numRestart w:val="eachPage"/>
          </w:footnotePr>
          <w:pgSz w:w="11906" w:h="16838" w:code="9"/>
          <w:pgMar w:top="2041" w:right="2381" w:bottom="1247" w:left="1247" w:header="720" w:footer="851" w:gutter="0"/>
          <w:cols w:space="708"/>
          <w:docGrid w:linePitch="360"/>
        </w:sectPr>
      </w:pPr>
    </w:p>
    <w:p w14:paraId="01874D81" w14:textId="75A95B47" w:rsidR="00E03F6C" w:rsidRPr="00835A0F" w:rsidRDefault="00E03F6C" w:rsidP="00835A0F">
      <w:pPr>
        <w:keepNext/>
        <w:keepLines/>
        <w:ind w:right="-1078"/>
      </w:pPr>
      <w:r w:rsidRPr="00783C3B">
        <w:rPr>
          <w:b/>
        </w:rPr>
        <w:lastRenderedPageBreak/>
        <w:t xml:space="preserve">Table </w:t>
      </w:r>
      <w:r w:rsidR="00602B69" w:rsidRPr="00783C3B">
        <w:rPr>
          <w:b/>
        </w:rPr>
        <w:t>2</w:t>
      </w:r>
      <w:r w:rsidR="00602B69">
        <w:t>.</w:t>
      </w:r>
      <w:r w:rsidRPr="00835A0F">
        <w:t xml:space="preserve"> Proportion </w:t>
      </w:r>
      <w:r w:rsidR="0069206C">
        <w:t xml:space="preserve">of respondents </w:t>
      </w:r>
      <w:r w:rsidRPr="00835A0F">
        <w:t xml:space="preserve">agreeing with each </w:t>
      </w:r>
      <w:r w:rsidR="00B010EA">
        <w:t>public</w:t>
      </w:r>
      <w:r w:rsidRPr="00835A0F">
        <w:t xml:space="preserve"> stigma statement</w:t>
      </w:r>
    </w:p>
    <w:tbl>
      <w:tblPr>
        <w:tblW w:w="14327" w:type="dxa"/>
        <w:tblInd w:w="-10" w:type="dxa"/>
        <w:tblLayout w:type="fixed"/>
        <w:tblLook w:val="04A0" w:firstRow="1" w:lastRow="0" w:firstColumn="1" w:lastColumn="0" w:noHBand="0" w:noVBand="1"/>
        <w:tblCaption w:val="Table 2. Proportion of respondents agreeing with each public stigma statement"/>
        <w:tblDescription w:val="Table 2 depicts the proportion of respondents agreeing with each public stigma statement. There are two trends across the table. One, respondents were more likely to agree with statements listed at the bottom of the table. Two, for statements listed towards the bottom of the table, respondents were more likely to agree with them in relation to people with mental health conditions listed towards the left of the table."/>
      </w:tblPr>
      <w:tblGrid>
        <w:gridCol w:w="4121"/>
        <w:gridCol w:w="1235"/>
        <w:gridCol w:w="1455"/>
        <w:gridCol w:w="1469"/>
        <w:gridCol w:w="1040"/>
        <w:gridCol w:w="1098"/>
        <w:gridCol w:w="1358"/>
        <w:gridCol w:w="1275"/>
        <w:gridCol w:w="1276"/>
      </w:tblGrid>
      <w:tr w:rsidR="00C76081" w:rsidRPr="00515BCF" w14:paraId="3202679C" w14:textId="77777777" w:rsidTr="00A9010D">
        <w:trPr>
          <w:trHeight w:val="300"/>
          <w:tblHeader/>
        </w:trPr>
        <w:tc>
          <w:tcPr>
            <w:tcW w:w="4121" w:type="dxa"/>
            <w:tcBorders>
              <w:top w:val="single" w:sz="4" w:space="0" w:color="auto"/>
              <w:bottom w:val="single" w:sz="4" w:space="0" w:color="auto"/>
            </w:tcBorders>
            <w:shd w:val="clear" w:color="auto" w:fill="105C51" w:themeFill="accent1" w:themeFillShade="80"/>
            <w:vAlign w:val="center"/>
          </w:tcPr>
          <w:p w14:paraId="60BEDDA9" w14:textId="5DFE7B39" w:rsidR="00C76081" w:rsidRPr="00783C3B" w:rsidRDefault="00C76081" w:rsidP="00A9010D">
            <w:pPr>
              <w:keepNext/>
              <w:keepLines/>
              <w:jc w:val="center"/>
              <w:rPr>
                <w:rFonts w:cstheme="minorHAnsi"/>
                <w:b/>
                <w:color w:val="FFFFFF" w:themeColor="background1"/>
                <w:kern w:val="24"/>
                <w:sz w:val="17"/>
                <w:szCs w:val="17"/>
              </w:rPr>
            </w:pPr>
            <w:r>
              <w:rPr>
                <w:rFonts w:cstheme="minorHAnsi"/>
                <w:b/>
                <w:color w:val="FFFFFF" w:themeColor="background1"/>
                <w:kern w:val="24"/>
                <w:sz w:val="17"/>
                <w:szCs w:val="17"/>
              </w:rPr>
              <w:t>Statement</w:t>
            </w:r>
          </w:p>
        </w:tc>
        <w:tc>
          <w:tcPr>
            <w:tcW w:w="1235" w:type="dxa"/>
            <w:tcBorders>
              <w:top w:val="single" w:sz="4" w:space="0" w:color="auto"/>
              <w:bottom w:val="single" w:sz="4" w:space="0" w:color="auto"/>
            </w:tcBorders>
            <w:shd w:val="clear" w:color="auto" w:fill="105C51" w:themeFill="accent1" w:themeFillShade="80"/>
            <w:vAlign w:val="center"/>
            <w:hideMark/>
          </w:tcPr>
          <w:p w14:paraId="18D9FFAA" w14:textId="7C5B970E"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Long</w:t>
            </w:r>
            <w:r>
              <w:rPr>
                <w:rFonts w:cstheme="minorHAnsi"/>
                <w:b/>
                <w:color w:val="FFFFFF" w:themeColor="background1"/>
                <w:kern w:val="24"/>
                <w:sz w:val="17"/>
                <w:szCs w:val="17"/>
              </w:rPr>
              <w:t>-</w:t>
            </w:r>
            <w:r w:rsidRPr="00783C3B">
              <w:rPr>
                <w:rFonts w:cstheme="minorHAnsi"/>
                <w:b/>
                <w:color w:val="FFFFFF" w:themeColor="background1"/>
                <w:kern w:val="24"/>
                <w:sz w:val="17"/>
                <w:szCs w:val="17"/>
              </w:rPr>
              <w:t>term Schizophrenia</w:t>
            </w:r>
          </w:p>
        </w:tc>
        <w:tc>
          <w:tcPr>
            <w:tcW w:w="1455" w:type="dxa"/>
            <w:tcBorders>
              <w:top w:val="single" w:sz="4" w:space="0" w:color="auto"/>
              <w:bottom w:val="single" w:sz="4" w:space="0" w:color="auto"/>
            </w:tcBorders>
            <w:shd w:val="clear" w:color="auto" w:fill="105C51" w:themeFill="accent1" w:themeFillShade="80"/>
            <w:vAlign w:val="center"/>
            <w:hideMark/>
          </w:tcPr>
          <w:p w14:paraId="7E31DA92" w14:textId="77777777"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Borderline Personality Disorder</w:t>
            </w:r>
          </w:p>
        </w:tc>
        <w:tc>
          <w:tcPr>
            <w:tcW w:w="1469" w:type="dxa"/>
            <w:tcBorders>
              <w:top w:val="single" w:sz="4" w:space="0" w:color="auto"/>
              <w:bottom w:val="single" w:sz="4" w:space="0" w:color="auto"/>
            </w:tcBorders>
            <w:shd w:val="clear" w:color="auto" w:fill="105C51" w:themeFill="accent1" w:themeFillShade="80"/>
            <w:vAlign w:val="center"/>
            <w:hideMark/>
          </w:tcPr>
          <w:p w14:paraId="599B0D9F" w14:textId="77777777"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Early Schizophrenia</w:t>
            </w:r>
          </w:p>
        </w:tc>
        <w:tc>
          <w:tcPr>
            <w:tcW w:w="1040" w:type="dxa"/>
            <w:tcBorders>
              <w:top w:val="single" w:sz="4" w:space="0" w:color="auto"/>
              <w:bottom w:val="single" w:sz="4" w:space="0" w:color="auto"/>
            </w:tcBorders>
            <w:shd w:val="clear" w:color="auto" w:fill="105C51" w:themeFill="accent1" w:themeFillShade="80"/>
            <w:vAlign w:val="center"/>
            <w:hideMark/>
          </w:tcPr>
          <w:p w14:paraId="2C666CE5" w14:textId="77777777"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Bipolar Disorder</w:t>
            </w:r>
          </w:p>
        </w:tc>
        <w:tc>
          <w:tcPr>
            <w:tcW w:w="1098" w:type="dxa"/>
            <w:tcBorders>
              <w:top w:val="single" w:sz="4" w:space="0" w:color="auto"/>
              <w:bottom w:val="single" w:sz="4" w:space="0" w:color="auto"/>
            </w:tcBorders>
            <w:shd w:val="clear" w:color="auto" w:fill="105C51" w:themeFill="accent1" w:themeFillShade="80"/>
            <w:vAlign w:val="center"/>
            <w:hideMark/>
          </w:tcPr>
          <w:p w14:paraId="706C68C0" w14:textId="17400C38"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 xml:space="preserve">Non-suicidal </w:t>
            </w:r>
            <w:r>
              <w:rPr>
                <w:rFonts w:cstheme="minorHAnsi"/>
                <w:b/>
                <w:color w:val="FFFFFF" w:themeColor="background1"/>
                <w:kern w:val="24"/>
                <w:sz w:val="17"/>
                <w:szCs w:val="17"/>
              </w:rPr>
              <w:t>S</w:t>
            </w:r>
            <w:r w:rsidRPr="00783C3B">
              <w:rPr>
                <w:rFonts w:cstheme="minorHAnsi"/>
                <w:b/>
                <w:color w:val="FFFFFF" w:themeColor="background1"/>
                <w:kern w:val="24"/>
                <w:sz w:val="17"/>
                <w:szCs w:val="17"/>
              </w:rPr>
              <w:t>elf-injury</w:t>
            </w:r>
          </w:p>
        </w:tc>
        <w:tc>
          <w:tcPr>
            <w:tcW w:w="1358" w:type="dxa"/>
            <w:tcBorders>
              <w:top w:val="single" w:sz="4" w:space="0" w:color="auto"/>
              <w:bottom w:val="single" w:sz="4" w:space="0" w:color="auto"/>
            </w:tcBorders>
            <w:shd w:val="clear" w:color="auto" w:fill="105C51" w:themeFill="accent1" w:themeFillShade="80"/>
            <w:vAlign w:val="center"/>
            <w:hideMark/>
          </w:tcPr>
          <w:p w14:paraId="09FB8C9B" w14:textId="77777777"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Depression</w:t>
            </w:r>
          </w:p>
        </w:tc>
        <w:tc>
          <w:tcPr>
            <w:tcW w:w="1275" w:type="dxa"/>
            <w:tcBorders>
              <w:top w:val="single" w:sz="4" w:space="0" w:color="auto"/>
              <w:bottom w:val="single" w:sz="4" w:space="0" w:color="auto"/>
            </w:tcBorders>
            <w:shd w:val="clear" w:color="auto" w:fill="105C51" w:themeFill="accent1" w:themeFillShade="80"/>
            <w:vAlign w:val="center"/>
            <w:hideMark/>
          </w:tcPr>
          <w:p w14:paraId="124DDDB8" w14:textId="77777777"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Eating Disorder</w:t>
            </w:r>
          </w:p>
        </w:tc>
        <w:tc>
          <w:tcPr>
            <w:tcW w:w="1276" w:type="dxa"/>
            <w:tcBorders>
              <w:top w:val="single" w:sz="4" w:space="0" w:color="auto"/>
              <w:bottom w:val="single" w:sz="4" w:space="0" w:color="auto"/>
            </w:tcBorders>
            <w:shd w:val="clear" w:color="auto" w:fill="105C51" w:themeFill="accent1" w:themeFillShade="80"/>
            <w:vAlign w:val="center"/>
            <w:hideMark/>
          </w:tcPr>
          <w:p w14:paraId="503F934A" w14:textId="2D980011" w:rsidR="00C76081" w:rsidRPr="00783C3B" w:rsidRDefault="00C76081" w:rsidP="00A9010D">
            <w:pPr>
              <w:keepNext/>
              <w:keepLines/>
              <w:jc w:val="center"/>
              <w:rPr>
                <w:rFonts w:cstheme="minorHAnsi"/>
                <w:b/>
                <w:color w:val="FFFFFF" w:themeColor="background1"/>
                <w:sz w:val="17"/>
                <w:szCs w:val="17"/>
              </w:rPr>
            </w:pPr>
            <w:r w:rsidRPr="00783C3B">
              <w:rPr>
                <w:rFonts w:cstheme="minorHAnsi"/>
                <w:b/>
                <w:color w:val="FFFFFF" w:themeColor="background1"/>
                <w:kern w:val="24"/>
                <w:sz w:val="17"/>
                <w:szCs w:val="17"/>
              </w:rPr>
              <w:t xml:space="preserve">Social </w:t>
            </w:r>
            <w:r>
              <w:rPr>
                <w:rFonts w:cstheme="minorHAnsi"/>
                <w:b/>
                <w:color w:val="FFFFFF" w:themeColor="background1"/>
                <w:kern w:val="24"/>
                <w:sz w:val="17"/>
                <w:szCs w:val="17"/>
              </w:rPr>
              <w:t>P</w:t>
            </w:r>
            <w:r w:rsidRPr="00783C3B">
              <w:rPr>
                <w:rFonts w:cstheme="minorHAnsi"/>
                <w:b/>
                <w:color w:val="FFFFFF" w:themeColor="background1"/>
                <w:kern w:val="24"/>
                <w:sz w:val="17"/>
                <w:szCs w:val="17"/>
              </w:rPr>
              <w:t>hobia</w:t>
            </w:r>
          </w:p>
        </w:tc>
      </w:tr>
      <w:tr w:rsidR="00C76081" w:rsidRPr="00A216CC" w14:paraId="62D8B2C8" w14:textId="77777777" w:rsidTr="00A9010D">
        <w:trPr>
          <w:trHeight w:val="682"/>
        </w:trPr>
        <w:tc>
          <w:tcPr>
            <w:tcW w:w="4121" w:type="dxa"/>
            <w:tcBorders>
              <w:left w:val="nil"/>
              <w:right w:val="nil"/>
            </w:tcBorders>
            <w:shd w:val="clear" w:color="auto" w:fill="auto"/>
            <w:vAlign w:val="center"/>
          </w:tcPr>
          <w:p w14:paraId="55736CF1" w14:textId="188BB443" w:rsidR="00C76081" w:rsidRPr="00A216CC" w:rsidRDefault="00C76081" w:rsidP="00A9010D">
            <w:pPr>
              <w:keepNext/>
              <w:keepLines/>
              <w:spacing w:after="0"/>
              <w:rPr>
                <w:rFonts w:cstheme="minorHAnsi"/>
                <w:color w:val="000000"/>
                <w:szCs w:val="20"/>
              </w:rPr>
            </w:pPr>
            <w:r w:rsidRPr="00C73641">
              <w:t>It is their own fault that people with this problem are in this condition</w:t>
            </w:r>
          </w:p>
        </w:tc>
        <w:tc>
          <w:tcPr>
            <w:tcW w:w="1235" w:type="dxa"/>
            <w:tcBorders>
              <w:left w:val="nil"/>
              <w:right w:val="nil"/>
            </w:tcBorders>
            <w:shd w:val="clear" w:color="000000" w:fill="FCFBFE"/>
            <w:vAlign w:val="center"/>
          </w:tcPr>
          <w:p w14:paraId="2CBBAC31" w14:textId="2493CEDB"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4%</w:t>
            </w:r>
          </w:p>
        </w:tc>
        <w:tc>
          <w:tcPr>
            <w:tcW w:w="1455" w:type="dxa"/>
            <w:tcBorders>
              <w:left w:val="nil"/>
              <w:right w:val="nil"/>
            </w:tcBorders>
            <w:shd w:val="clear" w:color="000000" w:fill="FCF2F5"/>
            <w:vAlign w:val="center"/>
          </w:tcPr>
          <w:p w14:paraId="36C99690" w14:textId="6B5C07F1"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8%</w:t>
            </w:r>
          </w:p>
        </w:tc>
        <w:tc>
          <w:tcPr>
            <w:tcW w:w="1469" w:type="dxa"/>
            <w:tcBorders>
              <w:left w:val="nil"/>
              <w:right w:val="nil"/>
            </w:tcBorders>
            <w:shd w:val="clear" w:color="000000" w:fill="FCF8FB"/>
            <w:vAlign w:val="center"/>
          </w:tcPr>
          <w:p w14:paraId="6EA1E614" w14:textId="39298EF1"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5%</w:t>
            </w:r>
          </w:p>
        </w:tc>
        <w:tc>
          <w:tcPr>
            <w:tcW w:w="1040" w:type="dxa"/>
            <w:tcBorders>
              <w:left w:val="nil"/>
              <w:right w:val="nil"/>
            </w:tcBorders>
            <w:shd w:val="clear" w:color="000000" w:fill="FCF3F6"/>
            <w:vAlign w:val="center"/>
          </w:tcPr>
          <w:p w14:paraId="54049050" w14:textId="3F7F4419"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8%</w:t>
            </w:r>
          </w:p>
        </w:tc>
        <w:tc>
          <w:tcPr>
            <w:tcW w:w="1098" w:type="dxa"/>
            <w:tcBorders>
              <w:left w:val="nil"/>
              <w:right w:val="nil"/>
            </w:tcBorders>
            <w:shd w:val="clear" w:color="000000" w:fill="FCF7FA"/>
            <w:vAlign w:val="center"/>
          </w:tcPr>
          <w:p w14:paraId="4E21416D" w14:textId="73D0A0EE"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c>
          <w:tcPr>
            <w:tcW w:w="1358" w:type="dxa"/>
            <w:tcBorders>
              <w:left w:val="nil"/>
              <w:right w:val="nil"/>
            </w:tcBorders>
            <w:shd w:val="clear" w:color="000000" w:fill="FCF7FA"/>
            <w:vAlign w:val="center"/>
          </w:tcPr>
          <w:p w14:paraId="6CD7CFCE" w14:textId="05E47CCA"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c>
          <w:tcPr>
            <w:tcW w:w="1275" w:type="dxa"/>
            <w:tcBorders>
              <w:left w:val="nil"/>
              <w:right w:val="nil"/>
            </w:tcBorders>
            <w:shd w:val="clear" w:color="000000" w:fill="FCEDEF"/>
            <w:vAlign w:val="center"/>
          </w:tcPr>
          <w:p w14:paraId="2E4C108B" w14:textId="2C047AB2"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11%</w:t>
            </w:r>
          </w:p>
        </w:tc>
        <w:tc>
          <w:tcPr>
            <w:tcW w:w="1276" w:type="dxa"/>
            <w:tcBorders>
              <w:left w:val="nil"/>
              <w:right w:val="nil"/>
            </w:tcBorders>
            <w:shd w:val="clear" w:color="000000" w:fill="FCF6F9"/>
            <w:vAlign w:val="center"/>
          </w:tcPr>
          <w:p w14:paraId="37235DF8" w14:textId="351EB647"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r>
      <w:tr w:rsidR="00C76081" w:rsidRPr="00A216CC" w14:paraId="674020CD" w14:textId="77777777" w:rsidTr="00A9010D">
        <w:trPr>
          <w:trHeight w:val="418"/>
        </w:trPr>
        <w:tc>
          <w:tcPr>
            <w:tcW w:w="4121" w:type="dxa"/>
            <w:tcBorders>
              <w:left w:val="nil"/>
              <w:right w:val="nil"/>
            </w:tcBorders>
            <w:shd w:val="clear" w:color="auto" w:fill="auto"/>
            <w:vAlign w:val="center"/>
          </w:tcPr>
          <w:p w14:paraId="7C4226C3" w14:textId="1339E0E5" w:rsidR="00C76081" w:rsidRPr="00A216CC" w:rsidRDefault="00C76081" w:rsidP="00A9010D">
            <w:pPr>
              <w:keepNext/>
              <w:keepLines/>
              <w:spacing w:after="0"/>
              <w:rPr>
                <w:rFonts w:cstheme="minorHAnsi"/>
                <w:color w:val="000000"/>
                <w:szCs w:val="20"/>
              </w:rPr>
            </w:pPr>
            <w:r w:rsidRPr="00C73641">
              <w:t>This problem is not a real medical illness</w:t>
            </w:r>
          </w:p>
        </w:tc>
        <w:tc>
          <w:tcPr>
            <w:tcW w:w="1235" w:type="dxa"/>
            <w:tcBorders>
              <w:left w:val="nil"/>
              <w:right w:val="nil"/>
            </w:tcBorders>
            <w:shd w:val="clear" w:color="000000" w:fill="FCF7FA"/>
            <w:vAlign w:val="center"/>
          </w:tcPr>
          <w:p w14:paraId="67C499C3" w14:textId="7EA0DCC3"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c>
          <w:tcPr>
            <w:tcW w:w="1455" w:type="dxa"/>
            <w:tcBorders>
              <w:left w:val="nil"/>
              <w:right w:val="nil"/>
            </w:tcBorders>
            <w:shd w:val="clear" w:color="000000" w:fill="FCEFF1"/>
            <w:vAlign w:val="center"/>
          </w:tcPr>
          <w:p w14:paraId="7C4BBC0E" w14:textId="21D05BA1"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469" w:type="dxa"/>
            <w:tcBorders>
              <w:left w:val="nil"/>
              <w:right w:val="nil"/>
            </w:tcBorders>
            <w:shd w:val="clear" w:color="000000" w:fill="FCF3F6"/>
            <w:vAlign w:val="center"/>
          </w:tcPr>
          <w:p w14:paraId="007A6CB6" w14:textId="33D8ED56"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040" w:type="dxa"/>
            <w:tcBorders>
              <w:left w:val="nil"/>
              <w:right w:val="nil"/>
            </w:tcBorders>
            <w:shd w:val="clear" w:color="000000" w:fill="FCEEF1"/>
            <w:vAlign w:val="center"/>
          </w:tcPr>
          <w:p w14:paraId="73A92CE6" w14:textId="708FA5AA"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098" w:type="dxa"/>
            <w:tcBorders>
              <w:left w:val="nil"/>
              <w:right w:val="nil"/>
            </w:tcBorders>
            <w:shd w:val="clear" w:color="000000" w:fill="FCF4F7"/>
            <w:vAlign w:val="center"/>
          </w:tcPr>
          <w:p w14:paraId="3C2C68E5" w14:textId="37ACA640"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358" w:type="dxa"/>
            <w:tcBorders>
              <w:left w:val="nil"/>
              <w:right w:val="nil"/>
            </w:tcBorders>
            <w:shd w:val="clear" w:color="000000" w:fill="FCF4F7"/>
            <w:vAlign w:val="center"/>
          </w:tcPr>
          <w:p w14:paraId="0EC0E971" w14:textId="4EF13D54"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275" w:type="dxa"/>
            <w:tcBorders>
              <w:left w:val="nil"/>
              <w:right w:val="nil"/>
            </w:tcBorders>
            <w:shd w:val="clear" w:color="000000" w:fill="FCECEF"/>
            <w:vAlign w:val="center"/>
          </w:tcPr>
          <w:p w14:paraId="19C85C22" w14:textId="52084E20"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11%</w:t>
            </w:r>
          </w:p>
        </w:tc>
        <w:tc>
          <w:tcPr>
            <w:tcW w:w="1276" w:type="dxa"/>
            <w:tcBorders>
              <w:left w:val="nil"/>
              <w:right w:val="nil"/>
            </w:tcBorders>
            <w:shd w:val="clear" w:color="000000" w:fill="FCE7E9"/>
            <w:vAlign w:val="center"/>
          </w:tcPr>
          <w:p w14:paraId="36835427" w14:textId="4ECFAB7C"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14%</w:t>
            </w:r>
          </w:p>
        </w:tc>
      </w:tr>
      <w:tr w:rsidR="00C76081" w:rsidRPr="00A216CC" w14:paraId="44E6E591" w14:textId="77777777" w:rsidTr="00A9010D">
        <w:trPr>
          <w:trHeight w:val="707"/>
        </w:trPr>
        <w:tc>
          <w:tcPr>
            <w:tcW w:w="4121" w:type="dxa"/>
            <w:tcBorders>
              <w:left w:val="nil"/>
              <w:right w:val="nil"/>
            </w:tcBorders>
            <w:shd w:val="clear" w:color="auto" w:fill="auto"/>
            <w:vAlign w:val="center"/>
          </w:tcPr>
          <w:p w14:paraId="44139A36" w14:textId="6AF70829" w:rsidR="00C76081" w:rsidRPr="00A216CC" w:rsidRDefault="00C76081" w:rsidP="00A9010D">
            <w:pPr>
              <w:keepNext/>
              <w:keepLines/>
              <w:spacing w:after="0"/>
              <w:rPr>
                <w:rFonts w:cstheme="minorHAnsi"/>
                <w:color w:val="000000"/>
                <w:szCs w:val="20"/>
              </w:rPr>
            </w:pPr>
            <w:r w:rsidRPr="00C73641">
              <w:t>People with this problem will never recover enough to have good quality of life</w:t>
            </w:r>
          </w:p>
        </w:tc>
        <w:tc>
          <w:tcPr>
            <w:tcW w:w="1235" w:type="dxa"/>
            <w:tcBorders>
              <w:left w:val="nil"/>
              <w:right w:val="nil"/>
            </w:tcBorders>
            <w:shd w:val="clear" w:color="000000" w:fill="FCE6E9"/>
            <w:vAlign w:val="center"/>
          </w:tcPr>
          <w:p w14:paraId="2388EFFA" w14:textId="40E248E7"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14%</w:t>
            </w:r>
          </w:p>
        </w:tc>
        <w:tc>
          <w:tcPr>
            <w:tcW w:w="1455" w:type="dxa"/>
            <w:tcBorders>
              <w:left w:val="nil"/>
              <w:right w:val="nil"/>
            </w:tcBorders>
            <w:shd w:val="clear" w:color="000000" w:fill="FCEEF1"/>
            <w:vAlign w:val="center"/>
          </w:tcPr>
          <w:p w14:paraId="576B071C" w14:textId="1B4CDF7D"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469" w:type="dxa"/>
            <w:tcBorders>
              <w:left w:val="nil"/>
              <w:right w:val="nil"/>
            </w:tcBorders>
            <w:shd w:val="clear" w:color="000000" w:fill="FCF1F4"/>
            <w:vAlign w:val="center"/>
          </w:tcPr>
          <w:p w14:paraId="3FFCAD57" w14:textId="3216D5B0"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9%</w:t>
            </w:r>
          </w:p>
        </w:tc>
        <w:tc>
          <w:tcPr>
            <w:tcW w:w="1040" w:type="dxa"/>
            <w:tcBorders>
              <w:left w:val="nil"/>
              <w:right w:val="nil"/>
            </w:tcBorders>
            <w:shd w:val="clear" w:color="000000" w:fill="FCF4F7"/>
            <w:vAlign w:val="center"/>
          </w:tcPr>
          <w:p w14:paraId="5B92B939" w14:textId="640621DC"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098" w:type="dxa"/>
            <w:tcBorders>
              <w:left w:val="nil"/>
              <w:right w:val="nil"/>
            </w:tcBorders>
            <w:shd w:val="clear" w:color="000000" w:fill="FCF4F7"/>
            <w:vAlign w:val="center"/>
          </w:tcPr>
          <w:p w14:paraId="26D898A6" w14:textId="7B03E6D4"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358" w:type="dxa"/>
            <w:tcBorders>
              <w:left w:val="nil"/>
              <w:right w:val="nil"/>
            </w:tcBorders>
            <w:shd w:val="clear" w:color="000000" w:fill="FCF7FA"/>
            <w:vAlign w:val="center"/>
          </w:tcPr>
          <w:p w14:paraId="5E64E315" w14:textId="30E757EB"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5%</w:t>
            </w:r>
          </w:p>
        </w:tc>
        <w:tc>
          <w:tcPr>
            <w:tcW w:w="1275" w:type="dxa"/>
            <w:tcBorders>
              <w:left w:val="nil"/>
              <w:right w:val="nil"/>
            </w:tcBorders>
            <w:shd w:val="clear" w:color="000000" w:fill="FCF9FC"/>
            <w:vAlign w:val="center"/>
          </w:tcPr>
          <w:p w14:paraId="5F68811B" w14:textId="37348DB2"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5%</w:t>
            </w:r>
          </w:p>
        </w:tc>
        <w:tc>
          <w:tcPr>
            <w:tcW w:w="1276" w:type="dxa"/>
            <w:tcBorders>
              <w:left w:val="nil"/>
              <w:right w:val="nil"/>
            </w:tcBorders>
            <w:shd w:val="clear" w:color="000000" w:fill="FCF5F8"/>
            <w:vAlign w:val="center"/>
          </w:tcPr>
          <w:p w14:paraId="472DD8E7" w14:textId="2D906B7A"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r>
      <w:tr w:rsidR="00C76081" w:rsidRPr="00A216CC" w14:paraId="5B1D4301" w14:textId="77777777" w:rsidTr="00A9010D">
        <w:trPr>
          <w:trHeight w:val="575"/>
        </w:trPr>
        <w:tc>
          <w:tcPr>
            <w:tcW w:w="4121" w:type="dxa"/>
            <w:tcBorders>
              <w:left w:val="nil"/>
              <w:right w:val="nil"/>
            </w:tcBorders>
            <w:shd w:val="clear" w:color="auto" w:fill="auto"/>
            <w:vAlign w:val="center"/>
          </w:tcPr>
          <w:p w14:paraId="4AC58064" w14:textId="72F8C19C" w:rsidR="00C76081" w:rsidRPr="00A216CC" w:rsidRDefault="00C76081" w:rsidP="00A9010D">
            <w:pPr>
              <w:keepNext/>
              <w:keepLines/>
              <w:spacing w:after="0"/>
              <w:rPr>
                <w:rFonts w:cstheme="minorHAnsi"/>
                <w:color w:val="000000"/>
                <w:szCs w:val="20"/>
              </w:rPr>
            </w:pPr>
            <w:r w:rsidRPr="00C73641">
              <w:t>This problem is a sign of personal weakness</w:t>
            </w:r>
          </w:p>
        </w:tc>
        <w:tc>
          <w:tcPr>
            <w:tcW w:w="1235" w:type="dxa"/>
            <w:tcBorders>
              <w:left w:val="nil"/>
              <w:right w:val="nil"/>
            </w:tcBorders>
            <w:shd w:val="clear" w:color="000000" w:fill="FCF1F4"/>
            <w:vAlign w:val="center"/>
          </w:tcPr>
          <w:p w14:paraId="71F16A32" w14:textId="3E512A03"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9%</w:t>
            </w:r>
          </w:p>
        </w:tc>
        <w:tc>
          <w:tcPr>
            <w:tcW w:w="1455" w:type="dxa"/>
            <w:tcBorders>
              <w:left w:val="nil"/>
              <w:right w:val="nil"/>
            </w:tcBorders>
            <w:shd w:val="clear" w:color="000000" w:fill="FCE6E9"/>
            <w:vAlign w:val="center"/>
          </w:tcPr>
          <w:p w14:paraId="5583EA43" w14:textId="51686009"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14%</w:t>
            </w:r>
          </w:p>
        </w:tc>
        <w:tc>
          <w:tcPr>
            <w:tcW w:w="1469" w:type="dxa"/>
            <w:tcBorders>
              <w:left w:val="nil"/>
              <w:right w:val="nil"/>
            </w:tcBorders>
            <w:shd w:val="clear" w:color="000000" w:fill="FCEEF1"/>
            <w:vAlign w:val="center"/>
          </w:tcPr>
          <w:p w14:paraId="40BEEDF9" w14:textId="26AFD30D"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040" w:type="dxa"/>
            <w:tcBorders>
              <w:left w:val="nil"/>
              <w:right w:val="nil"/>
            </w:tcBorders>
            <w:shd w:val="clear" w:color="000000" w:fill="FCEFF2"/>
            <w:vAlign w:val="center"/>
          </w:tcPr>
          <w:p w14:paraId="77BC36EE" w14:textId="39262075"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9%</w:t>
            </w:r>
          </w:p>
        </w:tc>
        <w:tc>
          <w:tcPr>
            <w:tcW w:w="1098" w:type="dxa"/>
            <w:tcBorders>
              <w:left w:val="nil"/>
              <w:right w:val="nil"/>
            </w:tcBorders>
            <w:shd w:val="clear" w:color="000000" w:fill="FCE6E8"/>
            <w:vAlign w:val="center"/>
          </w:tcPr>
          <w:p w14:paraId="0A9441A0" w14:textId="5AC34CB6"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14%</w:t>
            </w:r>
          </w:p>
        </w:tc>
        <w:tc>
          <w:tcPr>
            <w:tcW w:w="1358" w:type="dxa"/>
            <w:tcBorders>
              <w:left w:val="nil"/>
              <w:right w:val="nil"/>
            </w:tcBorders>
            <w:shd w:val="clear" w:color="000000" w:fill="FCF0F3"/>
            <w:vAlign w:val="center"/>
          </w:tcPr>
          <w:p w14:paraId="74A63FA9" w14:textId="14C8AC8F"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9%</w:t>
            </w:r>
          </w:p>
        </w:tc>
        <w:tc>
          <w:tcPr>
            <w:tcW w:w="1275" w:type="dxa"/>
            <w:tcBorders>
              <w:left w:val="nil"/>
              <w:right w:val="nil"/>
            </w:tcBorders>
            <w:shd w:val="clear" w:color="000000" w:fill="FCE9EC"/>
            <w:vAlign w:val="center"/>
          </w:tcPr>
          <w:p w14:paraId="28E51A80" w14:textId="528440D3"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12%</w:t>
            </w:r>
          </w:p>
        </w:tc>
        <w:tc>
          <w:tcPr>
            <w:tcW w:w="1276" w:type="dxa"/>
            <w:tcBorders>
              <w:left w:val="nil"/>
              <w:right w:val="nil"/>
            </w:tcBorders>
            <w:shd w:val="clear" w:color="000000" w:fill="FCE7EA"/>
            <w:vAlign w:val="center"/>
          </w:tcPr>
          <w:p w14:paraId="78366DBF" w14:textId="3FB21C84"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13%</w:t>
            </w:r>
          </w:p>
        </w:tc>
      </w:tr>
      <w:tr w:rsidR="00C76081" w:rsidRPr="00A216CC" w14:paraId="639ABA96" w14:textId="77777777" w:rsidTr="00A9010D">
        <w:trPr>
          <w:trHeight w:val="705"/>
        </w:trPr>
        <w:tc>
          <w:tcPr>
            <w:tcW w:w="4121" w:type="dxa"/>
            <w:tcBorders>
              <w:left w:val="nil"/>
              <w:right w:val="nil"/>
            </w:tcBorders>
            <w:shd w:val="clear" w:color="auto" w:fill="auto"/>
            <w:vAlign w:val="center"/>
          </w:tcPr>
          <w:p w14:paraId="313A5354" w14:textId="53E3495B" w:rsidR="00C76081" w:rsidRPr="00A216CC" w:rsidRDefault="00C76081" w:rsidP="00A9010D">
            <w:pPr>
              <w:keepNext/>
              <w:keepLines/>
              <w:spacing w:after="0"/>
              <w:rPr>
                <w:rFonts w:cstheme="minorHAnsi"/>
                <w:color w:val="000000"/>
                <w:szCs w:val="20"/>
              </w:rPr>
            </w:pPr>
            <w:r w:rsidRPr="00C73641">
              <w:t>People with this problem could snap out of it if they wanted</w:t>
            </w:r>
          </w:p>
        </w:tc>
        <w:tc>
          <w:tcPr>
            <w:tcW w:w="1235" w:type="dxa"/>
            <w:tcBorders>
              <w:left w:val="nil"/>
              <w:right w:val="nil"/>
            </w:tcBorders>
            <w:shd w:val="clear" w:color="000000" w:fill="FCEFF2"/>
            <w:vAlign w:val="center"/>
            <w:hideMark/>
          </w:tcPr>
          <w:p w14:paraId="596EE533" w14:textId="265F4DD9"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455" w:type="dxa"/>
            <w:tcBorders>
              <w:left w:val="nil"/>
              <w:right w:val="nil"/>
            </w:tcBorders>
            <w:shd w:val="clear" w:color="000000" w:fill="FCE1E4"/>
            <w:vAlign w:val="center"/>
            <w:hideMark/>
          </w:tcPr>
          <w:p w14:paraId="0E5BB5F7" w14:textId="0758DD97"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16%</w:t>
            </w:r>
          </w:p>
        </w:tc>
        <w:tc>
          <w:tcPr>
            <w:tcW w:w="1469" w:type="dxa"/>
            <w:tcBorders>
              <w:left w:val="nil"/>
              <w:right w:val="nil"/>
            </w:tcBorders>
            <w:shd w:val="clear" w:color="000000" w:fill="FCEDF0"/>
            <w:vAlign w:val="center"/>
            <w:hideMark/>
          </w:tcPr>
          <w:p w14:paraId="6F606F70" w14:textId="774763B4"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040" w:type="dxa"/>
            <w:tcBorders>
              <w:left w:val="nil"/>
              <w:right w:val="nil"/>
            </w:tcBorders>
            <w:shd w:val="clear" w:color="000000" w:fill="FCEEF1"/>
            <w:vAlign w:val="center"/>
            <w:hideMark/>
          </w:tcPr>
          <w:p w14:paraId="61A00A0E" w14:textId="20414347"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098" w:type="dxa"/>
            <w:tcBorders>
              <w:left w:val="nil"/>
              <w:right w:val="nil"/>
            </w:tcBorders>
            <w:shd w:val="clear" w:color="000000" w:fill="FCECEF"/>
            <w:vAlign w:val="center"/>
            <w:hideMark/>
          </w:tcPr>
          <w:p w14:paraId="53AEAA5B" w14:textId="6ABCE161"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11%</w:t>
            </w:r>
          </w:p>
        </w:tc>
        <w:tc>
          <w:tcPr>
            <w:tcW w:w="1358" w:type="dxa"/>
            <w:tcBorders>
              <w:left w:val="nil"/>
              <w:right w:val="nil"/>
            </w:tcBorders>
            <w:shd w:val="clear" w:color="000000" w:fill="FCEEF1"/>
            <w:vAlign w:val="center"/>
            <w:hideMark/>
          </w:tcPr>
          <w:p w14:paraId="6ECA34C8" w14:textId="2796BFFB"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10%</w:t>
            </w:r>
          </w:p>
        </w:tc>
        <w:tc>
          <w:tcPr>
            <w:tcW w:w="1275" w:type="dxa"/>
            <w:tcBorders>
              <w:left w:val="nil"/>
              <w:right w:val="nil"/>
            </w:tcBorders>
            <w:shd w:val="clear" w:color="000000" w:fill="FCE2E5"/>
            <w:vAlign w:val="center"/>
            <w:hideMark/>
          </w:tcPr>
          <w:p w14:paraId="5E57C0AF" w14:textId="58E806D2"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16%</w:t>
            </w:r>
          </w:p>
        </w:tc>
        <w:tc>
          <w:tcPr>
            <w:tcW w:w="1276" w:type="dxa"/>
            <w:tcBorders>
              <w:left w:val="nil"/>
              <w:right w:val="nil"/>
            </w:tcBorders>
            <w:shd w:val="clear" w:color="000000" w:fill="FCECEF"/>
            <w:vAlign w:val="center"/>
            <w:hideMark/>
          </w:tcPr>
          <w:p w14:paraId="6787E64B" w14:textId="233D004D"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11%</w:t>
            </w:r>
          </w:p>
        </w:tc>
      </w:tr>
      <w:tr w:rsidR="00C76081" w:rsidRPr="00A216CC" w14:paraId="17CED259" w14:textId="77777777" w:rsidTr="00A9010D">
        <w:trPr>
          <w:trHeight w:val="402"/>
        </w:trPr>
        <w:tc>
          <w:tcPr>
            <w:tcW w:w="4121" w:type="dxa"/>
            <w:tcBorders>
              <w:left w:val="nil"/>
              <w:right w:val="nil"/>
            </w:tcBorders>
            <w:shd w:val="clear" w:color="auto" w:fill="auto"/>
            <w:vAlign w:val="center"/>
          </w:tcPr>
          <w:p w14:paraId="6AC14786" w14:textId="2A04F444" w:rsidR="00C76081" w:rsidRPr="00A216CC" w:rsidRDefault="00C76081" w:rsidP="00A9010D">
            <w:pPr>
              <w:keepNext/>
              <w:keepLines/>
              <w:spacing w:after="0"/>
              <w:rPr>
                <w:rFonts w:cstheme="minorHAnsi"/>
                <w:color w:val="000000"/>
                <w:szCs w:val="20"/>
              </w:rPr>
            </w:pPr>
            <w:r w:rsidRPr="00C73641">
              <w:t>People with this problem are dangerous</w:t>
            </w:r>
          </w:p>
        </w:tc>
        <w:tc>
          <w:tcPr>
            <w:tcW w:w="1235" w:type="dxa"/>
            <w:tcBorders>
              <w:left w:val="nil"/>
              <w:right w:val="nil"/>
            </w:tcBorders>
            <w:shd w:val="clear" w:color="000000" w:fill="FBC2C4"/>
            <w:vAlign w:val="center"/>
            <w:hideMark/>
          </w:tcPr>
          <w:p w14:paraId="64DB8F39" w14:textId="3380AEDE"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31%</w:t>
            </w:r>
          </w:p>
        </w:tc>
        <w:tc>
          <w:tcPr>
            <w:tcW w:w="1455" w:type="dxa"/>
            <w:tcBorders>
              <w:left w:val="nil"/>
              <w:right w:val="nil"/>
            </w:tcBorders>
            <w:shd w:val="clear" w:color="000000" w:fill="FAA8AA"/>
            <w:vAlign w:val="center"/>
            <w:hideMark/>
          </w:tcPr>
          <w:p w14:paraId="561262A2" w14:textId="71135ADD"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44%</w:t>
            </w:r>
          </w:p>
        </w:tc>
        <w:tc>
          <w:tcPr>
            <w:tcW w:w="1469" w:type="dxa"/>
            <w:tcBorders>
              <w:left w:val="nil"/>
              <w:right w:val="nil"/>
            </w:tcBorders>
            <w:shd w:val="clear" w:color="000000" w:fill="FBCACD"/>
            <w:vAlign w:val="center"/>
            <w:hideMark/>
          </w:tcPr>
          <w:p w14:paraId="1A5ED465" w14:textId="06970F99"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27%</w:t>
            </w:r>
          </w:p>
        </w:tc>
        <w:tc>
          <w:tcPr>
            <w:tcW w:w="1040" w:type="dxa"/>
            <w:tcBorders>
              <w:left w:val="nil"/>
              <w:right w:val="nil"/>
            </w:tcBorders>
            <w:shd w:val="clear" w:color="000000" w:fill="FCDBDE"/>
            <w:vAlign w:val="center"/>
            <w:hideMark/>
          </w:tcPr>
          <w:p w14:paraId="4306DD9D" w14:textId="24F330DB"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19%</w:t>
            </w:r>
          </w:p>
        </w:tc>
        <w:tc>
          <w:tcPr>
            <w:tcW w:w="1098" w:type="dxa"/>
            <w:tcBorders>
              <w:left w:val="nil"/>
              <w:right w:val="nil"/>
            </w:tcBorders>
            <w:shd w:val="clear" w:color="000000" w:fill="FCD8DB"/>
            <w:vAlign w:val="center"/>
            <w:hideMark/>
          </w:tcPr>
          <w:p w14:paraId="7970AF57" w14:textId="1C458E75"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20%</w:t>
            </w:r>
          </w:p>
        </w:tc>
        <w:tc>
          <w:tcPr>
            <w:tcW w:w="1358" w:type="dxa"/>
            <w:tcBorders>
              <w:left w:val="nil"/>
              <w:right w:val="nil"/>
            </w:tcBorders>
            <w:shd w:val="clear" w:color="000000" w:fill="FCF3F6"/>
            <w:vAlign w:val="center"/>
            <w:hideMark/>
          </w:tcPr>
          <w:p w14:paraId="73039E9A" w14:textId="733C7B01"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8%</w:t>
            </w:r>
          </w:p>
        </w:tc>
        <w:tc>
          <w:tcPr>
            <w:tcW w:w="1275" w:type="dxa"/>
            <w:tcBorders>
              <w:left w:val="nil"/>
              <w:right w:val="nil"/>
            </w:tcBorders>
            <w:shd w:val="clear" w:color="000000" w:fill="FCF6F9"/>
            <w:vAlign w:val="center"/>
            <w:hideMark/>
          </w:tcPr>
          <w:p w14:paraId="6CE87FD7" w14:textId="47240114"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c>
          <w:tcPr>
            <w:tcW w:w="1276" w:type="dxa"/>
            <w:tcBorders>
              <w:left w:val="nil"/>
              <w:right w:val="nil"/>
            </w:tcBorders>
            <w:shd w:val="clear" w:color="000000" w:fill="FCF6F9"/>
            <w:vAlign w:val="center"/>
            <w:hideMark/>
          </w:tcPr>
          <w:p w14:paraId="2E7D4BB9" w14:textId="7BEA5A5F"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r>
      <w:tr w:rsidR="00C76081" w:rsidRPr="00A216CC" w14:paraId="3D007E27" w14:textId="77777777" w:rsidTr="00A9010D">
        <w:trPr>
          <w:trHeight w:val="436"/>
        </w:trPr>
        <w:tc>
          <w:tcPr>
            <w:tcW w:w="4121" w:type="dxa"/>
            <w:tcBorders>
              <w:left w:val="nil"/>
              <w:right w:val="nil"/>
            </w:tcBorders>
            <w:shd w:val="clear" w:color="auto" w:fill="auto"/>
            <w:vAlign w:val="center"/>
          </w:tcPr>
          <w:p w14:paraId="3C981404" w14:textId="562CE076" w:rsidR="00C76081" w:rsidRPr="00A216CC" w:rsidRDefault="00C76081" w:rsidP="00A9010D">
            <w:pPr>
              <w:keepNext/>
              <w:keepLines/>
              <w:spacing w:after="0"/>
              <w:rPr>
                <w:rFonts w:cstheme="minorHAnsi"/>
                <w:color w:val="000000"/>
                <w:szCs w:val="20"/>
              </w:rPr>
            </w:pPr>
            <w:r w:rsidRPr="00C73641">
              <w:t>I feel scared of people with this problem</w:t>
            </w:r>
          </w:p>
        </w:tc>
        <w:tc>
          <w:tcPr>
            <w:tcW w:w="1235" w:type="dxa"/>
            <w:tcBorders>
              <w:left w:val="nil"/>
              <w:right w:val="nil"/>
            </w:tcBorders>
            <w:shd w:val="clear" w:color="000000" w:fill="FBB8BB"/>
            <w:vAlign w:val="center"/>
            <w:hideMark/>
          </w:tcPr>
          <w:p w14:paraId="1E65F6B9" w14:textId="4EC6D2F6"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36%</w:t>
            </w:r>
          </w:p>
        </w:tc>
        <w:tc>
          <w:tcPr>
            <w:tcW w:w="1455" w:type="dxa"/>
            <w:tcBorders>
              <w:left w:val="nil"/>
              <w:right w:val="nil"/>
            </w:tcBorders>
            <w:shd w:val="clear" w:color="000000" w:fill="FAB0B3"/>
            <w:vAlign w:val="center"/>
            <w:hideMark/>
          </w:tcPr>
          <w:p w14:paraId="48B6DBD7" w14:textId="06AF31F2"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40%</w:t>
            </w:r>
          </w:p>
        </w:tc>
        <w:tc>
          <w:tcPr>
            <w:tcW w:w="1469" w:type="dxa"/>
            <w:tcBorders>
              <w:left w:val="nil"/>
              <w:right w:val="nil"/>
            </w:tcBorders>
            <w:shd w:val="clear" w:color="000000" w:fill="FBC6C8"/>
            <w:vAlign w:val="center"/>
            <w:hideMark/>
          </w:tcPr>
          <w:p w14:paraId="2A1CAFA2" w14:textId="6489962C"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29%</w:t>
            </w:r>
          </w:p>
        </w:tc>
        <w:tc>
          <w:tcPr>
            <w:tcW w:w="1040" w:type="dxa"/>
            <w:tcBorders>
              <w:left w:val="nil"/>
              <w:right w:val="nil"/>
            </w:tcBorders>
            <w:shd w:val="clear" w:color="000000" w:fill="FCDEE1"/>
            <w:vAlign w:val="center"/>
            <w:hideMark/>
          </w:tcPr>
          <w:p w14:paraId="298A9C3D" w14:textId="461151EC"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18%</w:t>
            </w:r>
          </w:p>
        </w:tc>
        <w:tc>
          <w:tcPr>
            <w:tcW w:w="1098" w:type="dxa"/>
            <w:tcBorders>
              <w:left w:val="nil"/>
              <w:right w:val="nil"/>
            </w:tcBorders>
            <w:shd w:val="clear" w:color="000000" w:fill="FCDADC"/>
            <w:vAlign w:val="center"/>
            <w:hideMark/>
          </w:tcPr>
          <w:p w14:paraId="4598A774" w14:textId="5EF1702D"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20%</w:t>
            </w:r>
          </w:p>
        </w:tc>
        <w:tc>
          <w:tcPr>
            <w:tcW w:w="1358" w:type="dxa"/>
            <w:tcBorders>
              <w:left w:val="nil"/>
              <w:right w:val="nil"/>
            </w:tcBorders>
            <w:shd w:val="clear" w:color="000000" w:fill="FCF3F6"/>
            <w:vAlign w:val="center"/>
            <w:hideMark/>
          </w:tcPr>
          <w:p w14:paraId="0C5CD813" w14:textId="3844C59B"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7%</w:t>
            </w:r>
          </w:p>
        </w:tc>
        <w:tc>
          <w:tcPr>
            <w:tcW w:w="1275" w:type="dxa"/>
            <w:tcBorders>
              <w:left w:val="nil"/>
              <w:right w:val="nil"/>
            </w:tcBorders>
            <w:shd w:val="clear" w:color="000000" w:fill="FCF2F5"/>
            <w:vAlign w:val="center"/>
            <w:hideMark/>
          </w:tcPr>
          <w:p w14:paraId="60D9F697" w14:textId="3FA3FF57"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8%</w:t>
            </w:r>
          </w:p>
        </w:tc>
        <w:tc>
          <w:tcPr>
            <w:tcW w:w="1276" w:type="dxa"/>
            <w:tcBorders>
              <w:left w:val="nil"/>
              <w:right w:val="nil"/>
            </w:tcBorders>
            <w:shd w:val="clear" w:color="000000" w:fill="FCF6F9"/>
            <w:vAlign w:val="center"/>
            <w:hideMark/>
          </w:tcPr>
          <w:p w14:paraId="24D5E6B5" w14:textId="174ED450" w:rsidR="00C76081" w:rsidRPr="00A216CC" w:rsidRDefault="00C76081" w:rsidP="00C73641">
            <w:pPr>
              <w:keepNext/>
              <w:keepLines/>
              <w:spacing w:after="0"/>
              <w:jc w:val="center"/>
              <w:rPr>
                <w:rFonts w:cstheme="minorHAnsi"/>
                <w:color w:val="000000"/>
                <w:szCs w:val="20"/>
              </w:rPr>
            </w:pPr>
            <w:r w:rsidRPr="00A216CC">
              <w:rPr>
                <w:rFonts w:cstheme="minorHAnsi"/>
                <w:color w:val="000000"/>
                <w:szCs w:val="20"/>
              </w:rPr>
              <w:t>6%</w:t>
            </w:r>
          </w:p>
        </w:tc>
      </w:tr>
      <w:tr w:rsidR="00C76081" w:rsidRPr="00A216CC" w14:paraId="0AE70832" w14:textId="77777777" w:rsidTr="00A9010D">
        <w:trPr>
          <w:trHeight w:val="840"/>
        </w:trPr>
        <w:tc>
          <w:tcPr>
            <w:tcW w:w="4121" w:type="dxa"/>
            <w:tcBorders>
              <w:left w:val="nil"/>
              <w:right w:val="nil"/>
            </w:tcBorders>
            <w:shd w:val="clear" w:color="auto" w:fill="auto"/>
            <w:vAlign w:val="center"/>
          </w:tcPr>
          <w:p w14:paraId="3D15BB07" w14:textId="1C9C4F95" w:rsidR="00C76081" w:rsidRPr="00A216CC" w:rsidRDefault="00C76081" w:rsidP="00A9010D">
            <w:pPr>
              <w:keepNext/>
              <w:keepLines/>
              <w:spacing w:after="0"/>
              <w:rPr>
                <w:rFonts w:cstheme="minorHAnsi"/>
                <w:color w:val="000000"/>
                <w:szCs w:val="20"/>
              </w:rPr>
            </w:pPr>
            <w:r w:rsidRPr="00C73641">
              <w:t>People with this problem should be forced into treatment with their doctor even if they don’t want to</w:t>
            </w:r>
          </w:p>
        </w:tc>
        <w:tc>
          <w:tcPr>
            <w:tcW w:w="1235" w:type="dxa"/>
            <w:tcBorders>
              <w:left w:val="nil"/>
              <w:right w:val="nil"/>
            </w:tcBorders>
            <w:shd w:val="clear" w:color="000000" w:fill="FBB7BA"/>
            <w:vAlign w:val="center"/>
            <w:hideMark/>
          </w:tcPr>
          <w:p w14:paraId="33D72805" w14:textId="7A12C4D3"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36%</w:t>
            </w:r>
          </w:p>
        </w:tc>
        <w:tc>
          <w:tcPr>
            <w:tcW w:w="1455" w:type="dxa"/>
            <w:tcBorders>
              <w:left w:val="nil"/>
              <w:right w:val="nil"/>
            </w:tcBorders>
            <w:shd w:val="clear" w:color="000000" w:fill="FBC5C8"/>
            <w:vAlign w:val="center"/>
            <w:hideMark/>
          </w:tcPr>
          <w:p w14:paraId="60272972" w14:textId="2470B5FC"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30%</w:t>
            </w:r>
          </w:p>
        </w:tc>
        <w:tc>
          <w:tcPr>
            <w:tcW w:w="1469" w:type="dxa"/>
            <w:tcBorders>
              <w:left w:val="nil"/>
              <w:right w:val="nil"/>
            </w:tcBorders>
            <w:shd w:val="clear" w:color="000000" w:fill="FBBFC2"/>
            <w:vAlign w:val="center"/>
            <w:hideMark/>
          </w:tcPr>
          <w:p w14:paraId="596DEE41" w14:textId="59E9704B"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32%</w:t>
            </w:r>
          </w:p>
        </w:tc>
        <w:tc>
          <w:tcPr>
            <w:tcW w:w="1040" w:type="dxa"/>
            <w:tcBorders>
              <w:left w:val="nil"/>
              <w:right w:val="nil"/>
            </w:tcBorders>
            <w:shd w:val="clear" w:color="000000" w:fill="FBD6D9"/>
            <w:vAlign w:val="center"/>
            <w:hideMark/>
          </w:tcPr>
          <w:p w14:paraId="695A0668" w14:textId="0AAB7532"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21%</w:t>
            </w:r>
          </w:p>
        </w:tc>
        <w:tc>
          <w:tcPr>
            <w:tcW w:w="1098" w:type="dxa"/>
            <w:tcBorders>
              <w:left w:val="nil"/>
              <w:right w:val="nil"/>
            </w:tcBorders>
            <w:shd w:val="clear" w:color="000000" w:fill="FBBDC0"/>
            <w:vAlign w:val="center"/>
            <w:hideMark/>
          </w:tcPr>
          <w:p w14:paraId="3DB4B8F8" w14:textId="3319FFBB"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34%</w:t>
            </w:r>
          </w:p>
        </w:tc>
        <w:tc>
          <w:tcPr>
            <w:tcW w:w="1358" w:type="dxa"/>
            <w:tcBorders>
              <w:left w:val="nil"/>
              <w:right w:val="nil"/>
            </w:tcBorders>
            <w:shd w:val="clear" w:color="000000" w:fill="FCDBDE"/>
            <w:vAlign w:val="center"/>
            <w:hideMark/>
          </w:tcPr>
          <w:p w14:paraId="5928DF3A" w14:textId="1C5F30E1"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19%</w:t>
            </w:r>
          </w:p>
        </w:tc>
        <w:tc>
          <w:tcPr>
            <w:tcW w:w="1275" w:type="dxa"/>
            <w:tcBorders>
              <w:left w:val="nil"/>
              <w:right w:val="nil"/>
            </w:tcBorders>
            <w:shd w:val="clear" w:color="000000" w:fill="FBD2D5"/>
            <w:vAlign w:val="center"/>
            <w:hideMark/>
          </w:tcPr>
          <w:p w14:paraId="1008ABCF" w14:textId="3E50C403"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23%</w:t>
            </w:r>
          </w:p>
        </w:tc>
        <w:tc>
          <w:tcPr>
            <w:tcW w:w="1276" w:type="dxa"/>
            <w:tcBorders>
              <w:left w:val="nil"/>
              <w:right w:val="nil"/>
            </w:tcBorders>
            <w:shd w:val="clear" w:color="000000" w:fill="FCECEF"/>
            <w:vAlign w:val="center"/>
            <w:hideMark/>
          </w:tcPr>
          <w:p w14:paraId="37B3E1B7" w14:textId="319C0572"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11%</w:t>
            </w:r>
          </w:p>
        </w:tc>
      </w:tr>
      <w:tr w:rsidR="00C76081" w:rsidRPr="00A216CC" w14:paraId="1F946CBC" w14:textId="77777777" w:rsidTr="00A9010D">
        <w:trPr>
          <w:trHeight w:val="568"/>
        </w:trPr>
        <w:tc>
          <w:tcPr>
            <w:tcW w:w="4121" w:type="dxa"/>
            <w:tcBorders>
              <w:left w:val="nil"/>
              <w:right w:val="nil"/>
            </w:tcBorders>
            <w:shd w:val="clear" w:color="auto" w:fill="auto"/>
            <w:vAlign w:val="center"/>
          </w:tcPr>
          <w:p w14:paraId="2418C184" w14:textId="30212FD2" w:rsidR="00C76081" w:rsidRPr="00A216CC" w:rsidRDefault="00C76081" w:rsidP="00A9010D">
            <w:pPr>
              <w:keepNext/>
              <w:keepLines/>
              <w:spacing w:after="0"/>
              <w:rPr>
                <w:rFonts w:cstheme="minorHAnsi"/>
                <w:color w:val="000000"/>
                <w:szCs w:val="20"/>
              </w:rPr>
            </w:pPr>
            <w:r w:rsidRPr="00C73641">
              <w:t>People with this problem are unpredictable</w:t>
            </w:r>
          </w:p>
        </w:tc>
        <w:tc>
          <w:tcPr>
            <w:tcW w:w="1235" w:type="dxa"/>
            <w:tcBorders>
              <w:left w:val="nil"/>
              <w:right w:val="nil"/>
            </w:tcBorders>
            <w:shd w:val="clear" w:color="000000" w:fill="F97476"/>
            <w:vAlign w:val="center"/>
            <w:hideMark/>
          </w:tcPr>
          <w:p w14:paraId="723EB961" w14:textId="3374D4E9"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68%</w:t>
            </w:r>
          </w:p>
        </w:tc>
        <w:tc>
          <w:tcPr>
            <w:tcW w:w="1455" w:type="dxa"/>
            <w:tcBorders>
              <w:left w:val="nil"/>
              <w:right w:val="nil"/>
            </w:tcBorders>
            <w:shd w:val="clear" w:color="000000" w:fill="F8696B"/>
            <w:vAlign w:val="center"/>
            <w:hideMark/>
          </w:tcPr>
          <w:p w14:paraId="6B5AB1A0" w14:textId="114F4814"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74%</w:t>
            </w:r>
          </w:p>
        </w:tc>
        <w:tc>
          <w:tcPr>
            <w:tcW w:w="1469" w:type="dxa"/>
            <w:tcBorders>
              <w:left w:val="nil"/>
              <w:right w:val="nil"/>
            </w:tcBorders>
            <w:shd w:val="clear" w:color="000000" w:fill="F98284"/>
            <w:vAlign w:val="center"/>
            <w:hideMark/>
          </w:tcPr>
          <w:p w14:paraId="115D3CD7" w14:textId="1F879078"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62%</w:t>
            </w:r>
          </w:p>
        </w:tc>
        <w:tc>
          <w:tcPr>
            <w:tcW w:w="1040" w:type="dxa"/>
            <w:tcBorders>
              <w:left w:val="nil"/>
              <w:right w:val="nil"/>
            </w:tcBorders>
            <w:shd w:val="clear" w:color="000000" w:fill="F97678"/>
            <w:vAlign w:val="center"/>
            <w:hideMark/>
          </w:tcPr>
          <w:p w14:paraId="40F3C55E" w14:textId="4B5F16A8"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67%</w:t>
            </w:r>
          </w:p>
        </w:tc>
        <w:tc>
          <w:tcPr>
            <w:tcW w:w="1098" w:type="dxa"/>
            <w:tcBorders>
              <w:left w:val="nil"/>
              <w:right w:val="nil"/>
            </w:tcBorders>
            <w:shd w:val="clear" w:color="000000" w:fill="FAA7AA"/>
            <w:vAlign w:val="center"/>
            <w:hideMark/>
          </w:tcPr>
          <w:p w14:paraId="62E78901" w14:textId="692760E7"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44%</w:t>
            </w:r>
          </w:p>
        </w:tc>
        <w:tc>
          <w:tcPr>
            <w:tcW w:w="1358" w:type="dxa"/>
            <w:tcBorders>
              <w:left w:val="nil"/>
              <w:right w:val="nil"/>
            </w:tcBorders>
            <w:shd w:val="clear" w:color="000000" w:fill="FBC6C9"/>
            <w:vAlign w:val="center"/>
            <w:hideMark/>
          </w:tcPr>
          <w:p w14:paraId="677FCDBE" w14:textId="4DEFC4B1"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29%</w:t>
            </w:r>
          </w:p>
        </w:tc>
        <w:tc>
          <w:tcPr>
            <w:tcW w:w="1275" w:type="dxa"/>
            <w:tcBorders>
              <w:left w:val="nil"/>
              <w:right w:val="nil"/>
            </w:tcBorders>
            <w:shd w:val="clear" w:color="000000" w:fill="FCE3E6"/>
            <w:vAlign w:val="center"/>
            <w:hideMark/>
          </w:tcPr>
          <w:p w14:paraId="2D04DED2" w14:textId="44131E0A"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15%</w:t>
            </w:r>
          </w:p>
        </w:tc>
        <w:tc>
          <w:tcPr>
            <w:tcW w:w="1276" w:type="dxa"/>
            <w:tcBorders>
              <w:left w:val="nil"/>
              <w:right w:val="nil"/>
            </w:tcBorders>
            <w:shd w:val="clear" w:color="000000" w:fill="FCE2E5"/>
            <w:vAlign w:val="center"/>
            <w:hideMark/>
          </w:tcPr>
          <w:p w14:paraId="2EE4EE3D" w14:textId="0382E453"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16%</w:t>
            </w:r>
          </w:p>
        </w:tc>
      </w:tr>
      <w:tr w:rsidR="00C76081" w:rsidRPr="00A216CC" w14:paraId="10673494" w14:textId="77777777" w:rsidTr="00A9010D">
        <w:trPr>
          <w:trHeight w:val="434"/>
        </w:trPr>
        <w:tc>
          <w:tcPr>
            <w:tcW w:w="4121" w:type="dxa"/>
            <w:tcBorders>
              <w:left w:val="nil"/>
              <w:bottom w:val="single" w:sz="4" w:space="0" w:color="auto"/>
              <w:right w:val="nil"/>
            </w:tcBorders>
            <w:shd w:val="clear" w:color="auto" w:fill="auto"/>
            <w:vAlign w:val="center"/>
          </w:tcPr>
          <w:p w14:paraId="6825FF35" w14:textId="4C3F88A8" w:rsidR="00C76081" w:rsidRPr="00A216CC" w:rsidRDefault="00C76081" w:rsidP="00A9010D">
            <w:pPr>
              <w:keepNext/>
              <w:keepLines/>
              <w:spacing w:after="0"/>
              <w:rPr>
                <w:rFonts w:cstheme="minorHAnsi"/>
                <w:color w:val="000000"/>
                <w:szCs w:val="20"/>
              </w:rPr>
            </w:pPr>
            <w:r w:rsidRPr="00C73641">
              <w:t>I feel pity for people with this problem</w:t>
            </w:r>
          </w:p>
        </w:tc>
        <w:tc>
          <w:tcPr>
            <w:tcW w:w="1235" w:type="dxa"/>
            <w:tcBorders>
              <w:left w:val="nil"/>
              <w:bottom w:val="single" w:sz="4" w:space="0" w:color="auto"/>
              <w:right w:val="nil"/>
            </w:tcBorders>
            <w:shd w:val="clear" w:color="000000" w:fill="F97678"/>
            <w:vAlign w:val="center"/>
            <w:hideMark/>
          </w:tcPr>
          <w:p w14:paraId="4AC91BEE" w14:textId="4B2511BB"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68%</w:t>
            </w:r>
          </w:p>
        </w:tc>
        <w:tc>
          <w:tcPr>
            <w:tcW w:w="1455" w:type="dxa"/>
            <w:tcBorders>
              <w:left w:val="nil"/>
              <w:bottom w:val="single" w:sz="4" w:space="0" w:color="auto"/>
              <w:right w:val="nil"/>
            </w:tcBorders>
            <w:shd w:val="clear" w:color="000000" w:fill="F98D8F"/>
            <w:vAlign w:val="center"/>
            <w:hideMark/>
          </w:tcPr>
          <w:p w14:paraId="204167FC" w14:textId="107AAB93"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57%</w:t>
            </w:r>
          </w:p>
        </w:tc>
        <w:tc>
          <w:tcPr>
            <w:tcW w:w="1469" w:type="dxa"/>
            <w:tcBorders>
              <w:left w:val="nil"/>
              <w:bottom w:val="single" w:sz="4" w:space="0" w:color="auto"/>
              <w:right w:val="nil"/>
            </w:tcBorders>
            <w:shd w:val="clear" w:color="000000" w:fill="F98082"/>
            <w:vAlign w:val="center"/>
            <w:hideMark/>
          </w:tcPr>
          <w:p w14:paraId="083EDEF4" w14:textId="32DACB37"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63%</w:t>
            </w:r>
          </w:p>
        </w:tc>
        <w:tc>
          <w:tcPr>
            <w:tcW w:w="1040" w:type="dxa"/>
            <w:tcBorders>
              <w:left w:val="nil"/>
              <w:bottom w:val="single" w:sz="4" w:space="0" w:color="auto"/>
              <w:right w:val="nil"/>
            </w:tcBorders>
            <w:shd w:val="clear" w:color="000000" w:fill="FA9C9F"/>
            <w:vAlign w:val="center"/>
            <w:hideMark/>
          </w:tcPr>
          <w:p w14:paraId="6EFBF727" w14:textId="7BBD40EB"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49%</w:t>
            </w:r>
          </w:p>
        </w:tc>
        <w:tc>
          <w:tcPr>
            <w:tcW w:w="1098" w:type="dxa"/>
            <w:tcBorders>
              <w:left w:val="nil"/>
              <w:bottom w:val="single" w:sz="4" w:space="0" w:color="auto"/>
              <w:right w:val="nil"/>
            </w:tcBorders>
            <w:shd w:val="clear" w:color="000000" w:fill="F97F81"/>
            <w:vAlign w:val="center"/>
            <w:hideMark/>
          </w:tcPr>
          <w:p w14:paraId="53457C11" w14:textId="420D0691"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63%</w:t>
            </w:r>
          </w:p>
        </w:tc>
        <w:tc>
          <w:tcPr>
            <w:tcW w:w="1358" w:type="dxa"/>
            <w:tcBorders>
              <w:left w:val="nil"/>
              <w:bottom w:val="single" w:sz="4" w:space="0" w:color="auto"/>
              <w:right w:val="nil"/>
            </w:tcBorders>
            <w:shd w:val="clear" w:color="000000" w:fill="F9898B"/>
            <w:vAlign w:val="center"/>
            <w:hideMark/>
          </w:tcPr>
          <w:p w14:paraId="2BB57D68" w14:textId="0E529C7B"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59%</w:t>
            </w:r>
          </w:p>
        </w:tc>
        <w:tc>
          <w:tcPr>
            <w:tcW w:w="1275" w:type="dxa"/>
            <w:tcBorders>
              <w:left w:val="nil"/>
              <w:bottom w:val="single" w:sz="4" w:space="0" w:color="auto"/>
              <w:right w:val="nil"/>
            </w:tcBorders>
            <w:shd w:val="clear" w:color="000000" w:fill="F98E90"/>
            <w:vAlign w:val="center"/>
            <w:hideMark/>
          </w:tcPr>
          <w:p w14:paraId="6C98C177" w14:textId="33153C79"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56%</w:t>
            </w:r>
          </w:p>
        </w:tc>
        <w:tc>
          <w:tcPr>
            <w:tcW w:w="1276" w:type="dxa"/>
            <w:tcBorders>
              <w:left w:val="nil"/>
              <w:bottom w:val="single" w:sz="4" w:space="0" w:color="auto"/>
              <w:right w:val="nil"/>
            </w:tcBorders>
            <w:shd w:val="clear" w:color="000000" w:fill="FA9799"/>
            <w:vAlign w:val="center"/>
            <w:hideMark/>
          </w:tcPr>
          <w:p w14:paraId="3B42E565" w14:textId="1CCEC177" w:rsidR="00C76081" w:rsidRPr="00A216CC" w:rsidRDefault="00C76081" w:rsidP="00C76081">
            <w:pPr>
              <w:keepNext/>
              <w:keepLines/>
              <w:spacing w:after="0"/>
              <w:jc w:val="center"/>
              <w:rPr>
                <w:rFonts w:cstheme="minorHAnsi"/>
                <w:color w:val="000000"/>
                <w:szCs w:val="20"/>
              </w:rPr>
            </w:pPr>
            <w:r w:rsidRPr="00A216CC">
              <w:rPr>
                <w:rFonts w:cstheme="minorHAnsi"/>
                <w:color w:val="000000"/>
                <w:szCs w:val="20"/>
              </w:rPr>
              <w:t>52%</w:t>
            </w:r>
          </w:p>
        </w:tc>
      </w:tr>
    </w:tbl>
    <w:p w14:paraId="322DF746" w14:textId="77777777" w:rsidR="00C76081" w:rsidRDefault="00A216CC" w:rsidP="00C73641">
      <w:pPr>
        <w:keepNext/>
        <w:keepLines/>
        <w:ind w:right="-1078"/>
        <w:rPr>
          <w:i/>
          <w:szCs w:val="20"/>
        </w:rPr>
        <w:sectPr w:rsidR="00C76081" w:rsidSect="00C76081">
          <w:footerReference w:type="default" r:id="rId22"/>
          <w:footnotePr>
            <w:numFmt w:val="chicago"/>
            <w:numRestart w:val="eachPage"/>
          </w:footnotePr>
          <w:pgSz w:w="16838" w:h="11906" w:orient="landscape" w:code="9"/>
          <w:pgMar w:top="1247" w:right="2041" w:bottom="2381" w:left="1247" w:header="720" w:footer="851" w:gutter="0"/>
          <w:cols w:space="708"/>
          <w:docGrid w:linePitch="360"/>
        </w:sectPr>
      </w:pPr>
      <w:r w:rsidRPr="00A216CC">
        <w:rPr>
          <w:i/>
          <w:szCs w:val="20"/>
        </w:rPr>
        <w:t xml:space="preserve">Note: </w:t>
      </w:r>
      <w:r w:rsidR="00835A0F">
        <w:rPr>
          <w:i/>
          <w:szCs w:val="20"/>
        </w:rPr>
        <w:t>Each</w:t>
      </w:r>
      <w:r w:rsidR="00E03F6C" w:rsidRPr="00A216CC">
        <w:rPr>
          <w:i/>
          <w:szCs w:val="20"/>
        </w:rPr>
        <w:t xml:space="preserve"> p</w:t>
      </w:r>
      <w:r w:rsidRPr="00A216CC">
        <w:rPr>
          <w:i/>
          <w:szCs w:val="20"/>
        </w:rPr>
        <w:t xml:space="preserve">roportion includes </w:t>
      </w:r>
      <w:r w:rsidR="00E03F6C" w:rsidRPr="00A216CC">
        <w:rPr>
          <w:i/>
          <w:szCs w:val="20"/>
        </w:rPr>
        <w:t xml:space="preserve">people who responded either ‘strongly agree’ or ‘agree’ to the statement in relation the mental health </w:t>
      </w:r>
      <w:r w:rsidR="009C7435">
        <w:rPr>
          <w:i/>
          <w:szCs w:val="20"/>
        </w:rPr>
        <w:t>problem</w:t>
      </w:r>
      <w:r w:rsidR="009C7435" w:rsidRPr="00A216CC">
        <w:rPr>
          <w:i/>
          <w:szCs w:val="20"/>
        </w:rPr>
        <w:t xml:space="preserve"> </w:t>
      </w:r>
      <w:r w:rsidR="00E03F6C" w:rsidRPr="00A216CC">
        <w:rPr>
          <w:i/>
          <w:szCs w:val="20"/>
        </w:rPr>
        <w:t>listed in the column.</w:t>
      </w:r>
    </w:p>
    <w:p w14:paraId="0BF538FE" w14:textId="4B5C1E54" w:rsidR="004415B2" w:rsidRDefault="005A4891" w:rsidP="004415B2">
      <w:pPr>
        <w:pStyle w:val="Heading4"/>
        <w:spacing w:after="360"/>
        <w:ind w:right="-1077"/>
        <w:rPr>
          <w:color w:val="auto"/>
          <w:u w:val="single" w:color="20B9A3" w:themeColor="accent1"/>
          <w:lang w:eastAsia="en-GB"/>
        </w:rPr>
      </w:pPr>
      <w:r w:rsidRPr="003D28CA">
        <w:rPr>
          <w:color w:val="auto"/>
          <w:u w:val="single" w:color="20B9A3" w:themeColor="accent1"/>
          <w:lang w:eastAsia="en-GB"/>
        </w:rPr>
        <w:lastRenderedPageBreak/>
        <w:t>B</w:t>
      </w:r>
      <w:r w:rsidR="004415B2" w:rsidRPr="003D28CA">
        <w:rPr>
          <w:color w:val="auto"/>
          <w:u w:val="single" w:color="20B9A3" w:themeColor="accent1"/>
          <w:lang w:eastAsia="en-GB"/>
        </w:rPr>
        <w:t>ehaviour</w:t>
      </w:r>
    </w:p>
    <w:p w14:paraId="533A3AB8" w14:textId="77777777" w:rsidR="003D28CA" w:rsidRPr="004F7DF6" w:rsidRDefault="003D28CA" w:rsidP="003D28CA">
      <w:pPr>
        <w:pBdr>
          <w:top w:val="single" w:sz="24" w:space="1" w:color="20B9A3" w:themeColor="accent1"/>
          <w:bottom w:val="single" w:sz="24" w:space="1" w:color="20B9A3" w:themeColor="accent1"/>
        </w:pBdr>
        <w:spacing w:after="0"/>
        <w:ind w:right="-1077"/>
        <w:rPr>
          <w:b/>
          <w:i/>
        </w:rPr>
      </w:pPr>
      <w:r w:rsidRPr="004F7DF6">
        <w:rPr>
          <w:b/>
          <w:i/>
        </w:rPr>
        <w:t>Respondents</w:t>
      </w:r>
    </w:p>
    <w:p w14:paraId="7BEB9A07" w14:textId="525ADBF0" w:rsidR="003D28CA" w:rsidRPr="004F7DF6" w:rsidRDefault="003D28CA" w:rsidP="003D28CA">
      <w:pPr>
        <w:pBdr>
          <w:top w:val="single" w:sz="24" w:space="1" w:color="20B9A3" w:themeColor="accent1"/>
          <w:bottom w:val="single" w:sz="24" w:space="1" w:color="20B9A3" w:themeColor="accent1"/>
        </w:pBdr>
        <w:spacing w:after="0"/>
        <w:ind w:right="-1077"/>
        <w:rPr>
          <w:i/>
        </w:rPr>
      </w:pPr>
      <w:r w:rsidRPr="004F7DF6">
        <w:rPr>
          <w:i/>
        </w:rPr>
        <w:t>People who know someone with personal lived experience</w:t>
      </w:r>
    </w:p>
    <w:p w14:paraId="1881020B" w14:textId="1E8262FC" w:rsidR="003D28CA" w:rsidRPr="004F7DF6" w:rsidRDefault="003D28CA" w:rsidP="003D28CA">
      <w:pPr>
        <w:pBdr>
          <w:top w:val="single" w:sz="24" w:space="1" w:color="20B9A3" w:themeColor="accent1"/>
          <w:bottom w:val="single" w:sz="24" w:space="1" w:color="20B9A3" w:themeColor="accent1"/>
        </w:pBdr>
        <w:spacing w:after="0"/>
        <w:ind w:right="-1077"/>
        <w:jc w:val="right"/>
        <w:rPr>
          <w:b/>
          <w:i/>
        </w:rPr>
      </w:pPr>
      <w:r w:rsidRPr="004F7DF6">
        <w:rPr>
          <w:b/>
          <w:i/>
        </w:rPr>
        <w:t>80% of total sample</w:t>
      </w:r>
    </w:p>
    <w:p w14:paraId="7CAABF9B" w14:textId="15BA00CF" w:rsidR="004C11D7" w:rsidRDefault="00E03F6C" w:rsidP="00687E97">
      <w:pPr>
        <w:spacing w:before="240"/>
        <w:ind w:right="-1078"/>
      </w:pPr>
      <w:r>
        <w:t xml:space="preserve">The above questions were about public stigma towards </w:t>
      </w:r>
      <w:r w:rsidR="00C008BD">
        <w:t>a hypothetical person</w:t>
      </w:r>
      <w:r>
        <w:t xml:space="preserve">. For the group of </w:t>
      </w:r>
      <w:r w:rsidR="00C008BD">
        <w:t>respondents</w:t>
      </w:r>
      <w:r>
        <w:t xml:space="preserve"> </w:t>
      </w:r>
      <w:r w:rsidR="00D27279">
        <w:t>who</w:t>
      </w:r>
      <w:r>
        <w:t xml:space="preserve"> personally know someone </w:t>
      </w:r>
      <w:r w:rsidR="00A10519">
        <w:t>with personal lived experience</w:t>
      </w:r>
      <w:r>
        <w:t xml:space="preserve">, we asked how they reacted towards that person. First, we asked all </w:t>
      </w:r>
      <w:r w:rsidR="00C008BD">
        <w:t>respondents</w:t>
      </w:r>
      <w:r>
        <w:t xml:space="preserve"> to report whether they know someone in each of seven different relationship categories. </w:t>
      </w:r>
    </w:p>
    <w:p w14:paraId="184776B4" w14:textId="1530C2D7" w:rsidR="00E03F6C" w:rsidRDefault="00E03F6C" w:rsidP="00F83E18">
      <w:pPr>
        <w:ind w:right="-1078"/>
      </w:pPr>
      <w:r w:rsidRPr="007F194A">
        <w:t xml:space="preserve">Of </w:t>
      </w:r>
      <w:r>
        <w:t xml:space="preserve">all </w:t>
      </w:r>
      <w:r w:rsidR="00C008BD">
        <w:t>respondents</w:t>
      </w:r>
      <w:r w:rsidRPr="007F194A">
        <w:t xml:space="preserve"> who completed the survey, 80 percent</w:t>
      </w:r>
      <w:r w:rsidRPr="007F194A" w:rsidDel="00D76BD1">
        <w:t xml:space="preserve"> </w:t>
      </w:r>
      <w:r w:rsidRPr="007F194A">
        <w:t xml:space="preserve">reported personally knowing </w:t>
      </w:r>
      <w:r>
        <w:t xml:space="preserve">at least one person </w:t>
      </w:r>
      <w:r w:rsidR="00A10519">
        <w:t>with personal lived experience</w:t>
      </w:r>
      <w:r w:rsidRPr="007F194A">
        <w:t xml:space="preserve">. </w:t>
      </w:r>
      <w:r>
        <w:t xml:space="preserve">As shown in </w:t>
      </w:r>
      <w:r w:rsidR="00D27279">
        <w:t>T</w:t>
      </w:r>
      <w:r>
        <w:t>able 3, i</w:t>
      </w:r>
      <w:r w:rsidRPr="007F194A">
        <w:t>t was most common for people</w:t>
      </w:r>
      <w:r>
        <w:t xml:space="preserve"> to report knowing a friend (60 percent</w:t>
      </w:r>
      <w:r w:rsidRPr="007F194A">
        <w:t>). It was uncommon however to report only knowing a friend, with 95</w:t>
      </w:r>
      <w:r w:rsidR="00CE40AB">
        <w:t> </w:t>
      </w:r>
      <w:r w:rsidRPr="007F194A">
        <w:t>percent</w:t>
      </w:r>
      <w:r w:rsidRPr="007F194A" w:rsidDel="00D76BD1">
        <w:t xml:space="preserve"> </w:t>
      </w:r>
      <w:r w:rsidRPr="007F194A">
        <w:t xml:space="preserve">of this group reporting they also knew someone in one of the other relationship categories. </w:t>
      </w:r>
      <w:r>
        <w:t>More than h</w:t>
      </w:r>
      <w:r w:rsidRPr="007F194A">
        <w:t xml:space="preserve">alf of the entire sample </w:t>
      </w:r>
      <w:r>
        <w:t>(56</w:t>
      </w:r>
      <w:r w:rsidR="00D27279">
        <w:t> </w:t>
      </w:r>
      <w:r>
        <w:t xml:space="preserve">percent) </w:t>
      </w:r>
      <w:r w:rsidRPr="007F194A">
        <w:t>reported knowing someone from at least three different relationship categories and 17</w:t>
      </w:r>
      <w:r w:rsidR="00D27279">
        <w:t> </w:t>
      </w:r>
      <w:r w:rsidRPr="007F194A">
        <w:t>percent</w:t>
      </w:r>
      <w:r w:rsidRPr="007F194A" w:rsidDel="00D76BD1">
        <w:t xml:space="preserve"> </w:t>
      </w:r>
      <w:r w:rsidRPr="007F194A">
        <w:t>knew someone from at least six</w:t>
      </w:r>
      <w:r w:rsidR="00D27279">
        <w:t xml:space="preserve"> categories</w:t>
      </w:r>
      <w:r w:rsidRPr="007F194A">
        <w:t>.</w:t>
      </w:r>
    </w:p>
    <w:p w14:paraId="0BFEC355" w14:textId="0451C60C" w:rsidR="001B0262" w:rsidRDefault="001B0262" w:rsidP="001B0262">
      <w:pPr>
        <w:ind w:right="-1078"/>
      </w:pPr>
      <w:r w:rsidRPr="00783C3B">
        <w:rPr>
          <w:b/>
        </w:rPr>
        <w:t xml:space="preserve">Table </w:t>
      </w:r>
      <w:r w:rsidR="00602B69" w:rsidRPr="00783C3B">
        <w:rPr>
          <w:b/>
        </w:rPr>
        <w:t>3</w:t>
      </w:r>
      <w:r w:rsidR="00602B69">
        <w:t>.</w:t>
      </w:r>
      <w:r>
        <w:t xml:space="preserve"> </w:t>
      </w:r>
      <w:r w:rsidRPr="007F194A">
        <w:t xml:space="preserve">Proportion </w:t>
      </w:r>
      <w:r w:rsidR="00CE40AB">
        <w:t xml:space="preserve">of respondents </w:t>
      </w:r>
      <w:r w:rsidR="00C02AF6">
        <w:t xml:space="preserve">reporting they know someone </w:t>
      </w:r>
      <w:r w:rsidRPr="007F194A">
        <w:t xml:space="preserve">with </w:t>
      </w:r>
      <w:r w:rsidR="00A10519">
        <w:t>personal lived experience</w:t>
      </w:r>
      <w:r w:rsidR="00835A0F">
        <w:t>,</w:t>
      </w:r>
      <w:r w:rsidRPr="007F194A">
        <w:t xml:space="preserve"> </w:t>
      </w:r>
      <w:r>
        <w:t>by</w:t>
      </w:r>
      <w:r w:rsidRPr="007F194A">
        <w:t xml:space="preserve"> relationship categor</w:t>
      </w:r>
      <w:r>
        <w:t>y</w:t>
      </w:r>
    </w:p>
    <w:tbl>
      <w:tblPr>
        <w:tblStyle w:val="DefaultTable"/>
        <w:tblW w:w="9356" w:type="dxa"/>
        <w:tblLook w:val="04A0" w:firstRow="1" w:lastRow="0" w:firstColumn="1" w:lastColumn="0" w:noHBand="0" w:noVBand="1"/>
        <w:tblCaption w:val="Table 3 Proportion of respondents reporting they know someone with a personal lived experience, by relationship category "/>
        <w:tblDescription w:val="A table showing the porportion of respondents reporting they know someone with personal lived experience, by relationship category. 60% of respondents know a friend who has a lived experienced, and 55% of respondents know an acquaintance with a personal lived experience. Of all respondents, 49% know an immediate family member, and 49% know an extended family member with a personal lived experience. 40% of respondents know a college or employee with a personal lived experience, and 26% of respondents reported they know an intimate partner has a personal lived experience. 22% of respondents identified they know a client, patient, or student with a personal lived experience. "/>
      </w:tblPr>
      <w:tblGrid>
        <w:gridCol w:w="8364"/>
        <w:gridCol w:w="992"/>
      </w:tblGrid>
      <w:tr w:rsidR="001B0262" w:rsidRPr="00783C3B" w14:paraId="3FD2186B" w14:textId="77777777" w:rsidTr="00322774">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8364" w:type="dxa"/>
          </w:tcPr>
          <w:p w14:paraId="47984B67" w14:textId="77777777" w:rsidR="001B0262" w:rsidRPr="002D06BE" w:rsidRDefault="001B0262">
            <w:pPr>
              <w:pStyle w:val="SRCQn"/>
              <w:ind w:left="0" w:right="-1078" w:firstLine="0"/>
              <w:rPr>
                <w:rFonts w:asciiTheme="minorHAnsi" w:hAnsiTheme="minorHAnsi" w:cstheme="minorHAnsi"/>
                <w:sz w:val="20"/>
              </w:rPr>
            </w:pPr>
            <w:r w:rsidRPr="002D06BE">
              <w:rPr>
                <w:rFonts w:asciiTheme="minorHAnsi" w:hAnsiTheme="minorHAnsi" w:cstheme="minorHAnsi"/>
              </w:rPr>
              <w:t>Relationship category</w:t>
            </w:r>
          </w:p>
        </w:tc>
        <w:tc>
          <w:tcPr>
            <w:tcW w:w="992" w:type="dxa"/>
          </w:tcPr>
          <w:p w14:paraId="389178BF" w14:textId="77777777" w:rsidR="001B0262" w:rsidRPr="002D06BE" w:rsidRDefault="001B0262">
            <w:pPr>
              <w:pStyle w:val="SRCQn"/>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2D06BE">
              <w:rPr>
                <w:rFonts w:asciiTheme="minorHAnsi" w:hAnsiTheme="minorHAnsi" w:cstheme="minorHAnsi"/>
              </w:rPr>
              <w:t>Yes</w:t>
            </w:r>
          </w:p>
        </w:tc>
      </w:tr>
      <w:tr w:rsidR="00BE1426" w:rsidRPr="007F194A" w14:paraId="35E2A5D2"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5C7567A7" w14:textId="798C19EC" w:rsidR="00BE1426" w:rsidRPr="002D06BE" w:rsidRDefault="00BE1426" w:rsidP="00BE1426">
            <w:pPr>
              <w:pStyle w:val="SRCQn"/>
              <w:ind w:left="0" w:right="-1078" w:firstLine="0"/>
              <w:rPr>
                <w:rFonts w:asciiTheme="minorHAnsi" w:hAnsiTheme="minorHAnsi" w:cstheme="minorHAnsi"/>
              </w:rPr>
            </w:pPr>
            <w:r w:rsidRPr="002D06BE">
              <w:rPr>
                <w:rFonts w:asciiTheme="minorHAnsi" w:hAnsiTheme="minorHAnsi" w:cstheme="minorHAnsi"/>
              </w:rPr>
              <w:t>Friend</w:t>
            </w:r>
          </w:p>
        </w:tc>
        <w:tc>
          <w:tcPr>
            <w:tcW w:w="992" w:type="dxa"/>
          </w:tcPr>
          <w:p w14:paraId="1F164F08" w14:textId="77AB1686" w:rsidR="00BE1426" w:rsidRPr="002D06BE" w:rsidRDefault="00BE1426" w:rsidP="00BE1426">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60%</w:t>
            </w:r>
          </w:p>
        </w:tc>
      </w:tr>
      <w:tr w:rsidR="001B0262" w:rsidRPr="007F194A" w14:paraId="5A28F546"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79FFA353" w14:textId="77777777" w:rsidR="001B0262" w:rsidRPr="002D06BE" w:rsidRDefault="001B0262" w:rsidP="00835A0F">
            <w:pPr>
              <w:pStyle w:val="SRCQn"/>
              <w:ind w:left="0" w:right="-1078" w:firstLine="0"/>
              <w:rPr>
                <w:rFonts w:asciiTheme="minorHAnsi" w:hAnsiTheme="minorHAnsi" w:cstheme="minorHAnsi"/>
              </w:rPr>
            </w:pPr>
            <w:r w:rsidRPr="002D06BE">
              <w:rPr>
                <w:rFonts w:asciiTheme="minorHAnsi" w:hAnsiTheme="minorHAnsi" w:cstheme="minorHAnsi"/>
              </w:rPr>
              <w:t>Acquaintance</w:t>
            </w:r>
          </w:p>
        </w:tc>
        <w:tc>
          <w:tcPr>
            <w:tcW w:w="992" w:type="dxa"/>
          </w:tcPr>
          <w:p w14:paraId="5F299AEA" w14:textId="77777777" w:rsidR="001B0262" w:rsidRPr="002D06BE" w:rsidRDefault="001B0262" w:rsidP="00835A0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55%</w:t>
            </w:r>
          </w:p>
        </w:tc>
      </w:tr>
      <w:tr w:rsidR="00BE1426" w:rsidRPr="007F194A" w14:paraId="242B30CE"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4AF7DD19" w14:textId="76B6CCCF" w:rsidR="00BE1426" w:rsidRPr="002D06BE" w:rsidRDefault="00BE1426" w:rsidP="00BE1426">
            <w:pPr>
              <w:pStyle w:val="SRCQn"/>
              <w:ind w:left="0" w:right="-1078" w:firstLine="0"/>
              <w:rPr>
                <w:rFonts w:asciiTheme="minorHAnsi" w:hAnsiTheme="minorHAnsi" w:cstheme="minorHAnsi"/>
              </w:rPr>
            </w:pPr>
            <w:r w:rsidRPr="002D06BE">
              <w:rPr>
                <w:rFonts w:asciiTheme="minorHAnsi" w:hAnsiTheme="minorHAnsi" w:cstheme="minorHAnsi"/>
              </w:rPr>
              <w:t>Immediate family</w:t>
            </w:r>
          </w:p>
        </w:tc>
        <w:tc>
          <w:tcPr>
            <w:tcW w:w="992" w:type="dxa"/>
          </w:tcPr>
          <w:p w14:paraId="21E9DF60" w14:textId="192F8AED" w:rsidR="00BE1426" w:rsidRPr="002D06BE" w:rsidRDefault="00BE1426" w:rsidP="00BE1426">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49%</w:t>
            </w:r>
          </w:p>
        </w:tc>
      </w:tr>
      <w:tr w:rsidR="00BE1426" w:rsidRPr="007F194A" w14:paraId="75A2A566"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162D165A" w14:textId="3DC50348" w:rsidR="00BE1426" w:rsidRPr="002D06BE" w:rsidRDefault="00BE1426" w:rsidP="00BE1426">
            <w:pPr>
              <w:pStyle w:val="SRCQn"/>
              <w:ind w:left="0" w:right="-1078" w:firstLine="0"/>
              <w:rPr>
                <w:rFonts w:asciiTheme="minorHAnsi" w:hAnsiTheme="minorHAnsi" w:cstheme="minorHAnsi"/>
              </w:rPr>
            </w:pPr>
            <w:r w:rsidRPr="002D06BE">
              <w:rPr>
                <w:rFonts w:asciiTheme="minorHAnsi" w:hAnsiTheme="minorHAnsi" w:cstheme="minorHAnsi"/>
              </w:rPr>
              <w:t>Extended family</w:t>
            </w:r>
          </w:p>
        </w:tc>
        <w:tc>
          <w:tcPr>
            <w:tcW w:w="992" w:type="dxa"/>
          </w:tcPr>
          <w:p w14:paraId="5ABF3D61" w14:textId="184FF85E" w:rsidR="00BE1426" w:rsidRPr="002D06BE" w:rsidRDefault="00BE1426" w:rsidP="00BE1426">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49%</w:t>
            </w:r>
          </w:p>
        </w:tc>
      </w:tr>
      <w:tr w:rsidR="001B0262" w:rsidRPr="007F194A" w14:paraId="6B8C3603"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70565857" w14:textId="77777777" w:rsidR="001B0262" w:rsidRPr="002D06BE" w:rsidRDefault="001B0262" w:rsidP="00835A0F">
            <w:pPr>
              <w:pStyle w:val="SRCQn"/>
              <w:ind w:left="0" w:right="-1078" w:firstLine="0"/>
              <w:rPr>
                <w:rFonts w:asciiTheme="minorHAnsi" w:hAnsiTheme="minorHAnsi" w:cstheme="minorHAnsi"/>
              </w:rPr>
            </w:pPr>
            <w:r w:rsidRPr="002D06BE">
              <w:rPr>
                <w:rFonts w:asciiTheme="minorHAnsi" w:hAnsiTheme="minorHAnsi" w:cstheme="minorHAnsi"/>
              </w:rPr>
              <w:t>Colleague / employee</w:t>
            </w:r>
          </w:p>
        </w:tc>
        <w:tc>
          <w:tcPr>
            <w:tcW w:w="992" w:type="dxa"/>
          </w:tcPr>
          <w:p w14:paraId="3B88009C" w14:textId="77777777" w:rsidR="001B0262" w:rsidRPr="002D06BE" w:rsidRDefault="001B0262" w:rsidP="00835A0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40%</w:t>
            </w:r>
          </w:p>
        </w:tc>
      </w:tr>
      <w:tr w:rsidR="00BE1426" w:rsidRPr="007F194A" w14:paraId="230C3F84"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6DB9A157" w14:textId="64F4DAAF" w:rsidR="00BE1426" w:rsidRPr="002D06BE" w:rsidRDefault="00BE1426" w:rsidP="00BE1426">
            <w:pPr>
              <w:pStyle w:val="SRCQn"/>
              <w:ind w:left="0" w:right="-1078" w:firstLine="0"/>
              <w:rPr>
                <w:rFonts w:asciiTheme="minorHAnsi" w:hAnsiTheme="minorHAnsi" w:cstheme="minorHAnsi"/>
              </w:rPr>
            </w:pPr>
            <w:r w:rsidRPr="002D06BE">
              <w:rPr>
                <w:rFonts w:asciiTheme="minorHAnsi" w:hAnsiTheme="minorHAnsi" w:cstheme="minorHAnsi"/>
              </w:rPr>
              <w:t>Intimate partner</w:t>
            </w:r>
          </w:p>
        </w:tc>
        <w:tc>
          <w:tcPr>
            <w:tcW w:w="992" w:type="dxa"/>
          </w:tcPr>
          <w:p w14:paraId="056F89F5" w14:textId="17F9CB31" w:rsidR="00BE1426" w:rsidRPr="002D06BE" w:rsidRDefault="00BE1426" w:rsidP="00BE1426">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26%</w:t>
            </w:r>
          </w:p>
        </w:tc>
      </w:tr>
      <w:tr w:rsidR="001B0262" w:rsidRPr="007F194A" w14:paraId="15BCABD0" w14:textId="77777777" w:rsidTr="002D06BE">
        <w:trPr>
          <w:trHeight w:val="264"/>
        </w:trPr>
        <w:tc>
          <w:tcPr>
            <w:cnfStyle w:val="001000000000" w:firstRow="0" w:lastRow="0" w:firstColumn="1" w:lastColumn="0" w:oddVBand="0" w:evenVBand="0" w:oddHBand="0" w:evenHBand="0" w:firstRowFirstColumn="0" w:firstRowLastColumn="0" w:lastRowFirstColumn="0" w:lastRowLastColumn="0"/>
            <w:tcW w:w="8364" w:type="dxa"/>
          </w:tcPr>
          <w:p w14:paraId="7D010D05" w14:textId="77777777" w:rsidR="001B0262" w:rsidRPr="002D06BE" w:rsidRDefault="001B0262" w:rsidP="00835A0F">
            <w:pPr>
              <w:pStyle w:val="SRCQn"/>
              <w:ind w:left="0" w:right="-1078" w:firstLine="0"/>
              <w:rPr>
                <w:rFonts w:asciiTheme="minorHAnsi" w:hAnsiTheme="minorHAnsi" w:cstheme="minorHAnsi"/>
              </w:rPr>
            </w:pPr>
            <w:r w:rsidRPr="002D06BE">
              <w:rPr>
                <w:rFonts w:asciiTheme="minorHAnsi" w:hAnsiTheme="minorHAnsi" w:cstheme="minorHAnsi"/>
              </w:rPr>
              <w:t>Client / patient / student</w:t>
            </w:r>
          </w:p>
        </w:tc>
        <w:tc>
          <w:tcPr>
            <w:tcW w:w="992" w:type="dxa"/>
          </w:tcPr>
          <w:p w14:paraId="2C5D6371" w14:textId="77777777" w:rsidR="001B0262" w:rsidRPr="002D06BE" w:rsidRDefault="001B0262" w:rsidP="00835A0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22%</w:t>
            </w:r>
          </w:p>
        </w:tc>
      </w:tr>
    </w:tbl>
    <w:p w14:paraId="38BE3013" w14:textId="4F68826A" w:rsidR="007741D0" w:rsidRDefault="00E03F6C" w:rsidP="00687E97">
      <w:pPr>
        <w:spacing w:before="240"/>
        <w:ind w:right="-1078"/>
      </w:pPr>
      <w:r w:rsidRPr="007F194A">
        <w:t>Of all the people who knew someone, 72 percent</w:t>
      </w:r>
      <w:r w:rsidRPr="007F194A" w:rsidDel="00D76BD1">
        <w:t xml:space="preserve"> </w:t>
      </w:r>
      <w:r w:rsidRPr="007F194A">
        <w:t xml:space="preserve">said at least one of these relationships was with a person who had experienced </w:t>
      </w:r>
      <w:r w:rsidR="00A10519">
        <w:t>mental ill-health</w:t>
      </w:r>
      <w:r w:rsidRPr="007F194A">
        <w:t xml:space="preserve"> in the last 12 months. The survey asked them</w:t>
      </w:r>
      <w:r>
        <w:t xml:space="preserve"> to think about their experience with one such person and to tell us about how they reacted to them. </w:t>
      </w:r>
    </w:p>
    <w:p w14:paraId="08A19C1B" w14:textId="4A29479C" w:rsidR="00E03F6C" w:rsidRDefault="00EF4A3B" w:rsidP="00284288">
      <w:pPr>
        <w:ind w:right="-1078"/>
      </w:pPr>
      <w:r>
        <w:t>As shown in Table 4, t</w:t>
      </w:r>
      <w:r w:rsidR="00E03F6C">
        <w:t xml:space="preserve">he majority </w:t>
      </w:r>
      <w:r w:rsidR="002E632B">
        <w:t xml:space="preserve">reported positive intentions and behaviours. For example, </w:t>
      </w:r>
      <w:r w:rsidR="00E03F6C">
        <w:t>75 percent</w:t>
      </w:r>
      <w:r w:rsidR="002E632B">
        <w:t xml:space="preserve"> </w:t>
      </w:r>
      <w:r w:rsidR="00E03F6C" w:rsidRPr="007F194A">
        <w:t xml:space="preserve">reported they had </w:t>
      </w:r>
      <w:r w:rsidR="00E03F6C">
        <w:t xml:space="preserve">wanted to be understanding and to show support. </w:t>
      </w:r>
      <w:r w:rsidR="002E632B">
        <w:t xml:space="preserve">However, fewer people reported going to the effort of spending more time with them than they normally would (31 percent). </w:t>
      </w:r>
      <w:r w:rsidR="00E03F6C" w:rsidRPr="007F194A">
        <w:t xml:space="preserve">A minority </w:t>
      </w:r>
      <w:r w:rsidR="002E632B">
        <w:t>group were not supportive. Twelve</w:t>
      </w:r>
      <w:r w:rsidR="00E03F6C">
        <w:t xml:space="preserve"> percent</w:t>
      </w:r>
      <w:r w:rsidR="00E03F6C" w:rsidRPr="007F194A">
        <w:t xml:space="preserve"> of </w:t>
      </w:r>
      <w:r w:rsidR="002E632B">
        <w:t>respondents</w:t>
      </w:r>
      <w:r w:rsidR="002E632B" w:rsidRPr="007F194A">
        <w:t xml:space="preserve"> </w:t>
      </w:r>
      <w:r w:rsidR="00E03F6C" w:rsidRPr="007F194A">
        <w:t>reported they felt sceptical about the person’s mental health problem and 5 percent</w:t>
      </w:r>
      <w:r w:rsidR="00E03F6C" w:rsidRPr="007F194A" w:rsidDel="00D76BD1">
        <w:t xml:space="preserve"> </w:t>
      </w:r>
      <w:r w:rsidR="00E03F6C" w:rsidRPr="007F194A">
        <w:t>expressed this scepticism to the person.</w:t>
      </w:r>
    </w:p>
    <w:p w14:paraId="3AEE5A93" w14:textId="3B806DCD" w:rsidR="00E03F6C" w:rsidRDefault="00E03F6C" w:rsidP="00D730B6">
      <w:pPr>
        <w:keepNext/>
        <w:keepLines/>
        <w:ind w:right="-1078"/>
      </w:pPr>
      <w:r w:rsidRPr="00783C3B">
        <w:rPr>
          <w:b/>
        </w:rPr>
        <w:lastRenderedPageBreak/>
        <w:t xml:space="preserve">Table </w:t>
      </w:r>
      <w:r w:rsidR="00602B69" w:rsidRPr="00783C3B">
        <w:rPr>
          <w:b/>
        </w:rPr>
        <w:t>4</w:t>
      </w:r>
      <w:r w:rsidR="00602B69">
        <w:t>.</w:t>
      </w:r>
      <w:r w:rsidRPr="007F194A">
        <w:t xml:space="preserve"> Proportion</w:t>
      </w:r>
      <w:r w:rsidR="00CE40AB">
        <w:t xml:space="preserve"> of respondents</w:t>
      </w:r>
      <w:r w:rsidRPr="007F194A">
        <w:t xml:space="preserve"> reporting </w:t>
      </w:r>
      <w:r>
        <w:t xml:space="preserve">how they </w:t>
      </w:r>
      <w:r w:rsidR="00A42339">
        <w:t>reacted</w:t>
      </w:r>
      <w:r w:rsidR="00835A0F">
        <w:t xml:space="preserve"> to a person they know </w:t>
      </w:r>
      <w:r w:rsidR="00DB683B">
        <w:t>with recent personal lived experience</w:t>
      </w:r>
    </w:p>
    <w:tbl>
      <w:tblPr>
        <w:tblStyle w:val="DefaultTable"/>
        <w:tblW w:w="9356" w:type="dxa"/>
        <w:tblLook w:val="04A0" w:firstRow="1" w:lastRow="0" w:firstColumn="1" w:lastColumn="0" w:noHBand="0" w:noVBand="1"/>
        <w:tblCaption w:val="Table 4. Proportion of respondents reporting how they reacted to a person they know with recent personal lived experience"/>
        <w:tblDescription w:val="Table 4 demonstartes the proportion of respondents reporting how they reacted to a person they know with recent personal lived experience. 75% of resondents wanted to be understanding and show support; 72% of respondents look to find ways to be supportive, for example, by listening to the person they know with a recent personal lived experience. 31% of respondents want to spend more time than they typically would with a person with recent personal lived experience. 12% of respondents delt skepticlal about the persons mental health problem, and 5% of respondents would express scepticism about their mental health problem to a person with recent personal lived experience. 7% of respondents spent less time with the person with a recent personal lived experience, and 3% of respondents would avoid them altogether. "/>
      </w:tblPr>
      <w:tblGrid>
        <w:gridCol w:w="8364"/>
        <w:gridCol w:w="992"/>
      </w:tblGrid>
      <w:tr w:rsidR="00526FB6" w:rsidRPr="007F194A" w14:paraId="303AE36C" w14:textId="77777777" w:rsidTr="003227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64" w:type="dxa"/>
          </w:tcPr>
          <w:p w14:paraId="0A8B1BBD" w14:textId="77777777" w:rsidR="00526FB6" w:rsidRPr="002D06BE" w:rsidRDefault="00526FB6" w:rsidP="00D730B6">
            <w:pPr>
              <w:pStyle w:val="SRCQn"/>
              <w:keepNext/>
              <w:keepLines/>
              <w:ind w:left="0" w:right="-1078" w:firstLine="0"/>
              <w:rPr>
                <w:rFonts w:asciiTheme="minorHAnsi" w:hAnsiTheme="minorHAnsi" w:cstheme="minorHAnsi"/>
                <w:b w:val="0"/>
                <w:sz w:val="20"/>
              </w:rPr>
            </w:pPr>
            <w:r w:rsidRPr="002D06BE">
              <w:rPr>
                <w:rFonts w:asciiTheme="minorHAnsi" w:hAnsiTheme="minorHAnsi" w:cstheme="minorHAnsi"/>
              </w:rPr>
              <w:t>Response</w:t>
            </w:r>
          </w:p>
        </w:tc>
        <w:tc>
          <w:tcPr>
            <w:tcW w:w="992" w:type="dxa"/>
          </w:tcPr>
          <w:p w14:paraId="15B3DD3B" w14:textId="77777777" w:rsidR="00526FB6" w:rsidRPr="002D06BE" w:rsidRDefault="00526FB6" w:rsidP="00D730B6">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Yes</w:t>
            </w:r>
          </w:p>
        </w:tc>
      </w:tr>
      <w:tr w:rsidR="00CE508B" w:rsidRPr="007F194A" w14:paraId="24C37916"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680F9861" w14:textId="5CA72D4D" w:rsidR="00CE508B" w:rsidRPr="002D06BE" w:rsidRDefault="00CE508B"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wanted to be understanding and show my support</w:t>
            </w:r>
          </w:p>
        </w:tc>
        <w:tc>
          <w:tcPr>
            <w:tcW w:w="992" w:type="dxa"/>
          </w:tcPr>
          <w:p w14:paraId="39559F0D" w14:textId="7AD87255"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75%</w:t>
            </w:r>
          </w:p>
        </w:tc>
      </w:tr>
      <w:tr w:rsidR="00CE508B" w:rsidRPr="007F194A" w14:paraId="1AC3FB65"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4BC9391E" w14:textId="049247C8" w:rsidR="00CE508B" w:rsidRPr="002D06BE" w:rsidRDefault="00CE508B"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found ways to be supportive (e.g. listened to them)</w:t>
            </w:r>
          </w:p>
        </w:tc>
        <w:tc>
          <w:tcPr>
            <w:tcW w:w="992" w:type="dxa"/>
          </w:tcPr>
          <w:p w14:paraId="01A10EDE" w14:textId="4AE9C0B2"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72%</w:t>
            </w:r>
          </w:p>
        </w:tc>
      </w:tr>
      <w:tr w:rsidR="00CE508B" w:rsidRPr="007F194A" w14:paraId="65DCB3BB" w14:textId="77777777" w:rsidTr="0056196F">
        <w:trPr>
          <w:trHeight w:val="243"/>
        </w:trPr>
        <w:tc>
          <w:tcPr>
            <w:cnfStyle w:val="001000000000" w:firstRow="0" w:lastRow="0" w:firstColumn="1" w:lastColumn="0" w:oddVBand="0" w:evenVBand="0" w:oddHBand="0" w:evenHBand="0" w:firstRowFirstColumn="0" w:firstRowLastColumn="0" w:lastRowFirstColumn="0" w:lastRowLastColumn="0"/>
            <w:tcW w:w="8364" w:type="dxa"/>
          </w:tcPr>
          <w:p w14:paraId="514C3460" w14:textId="21564776" w:rsidR="00CE508B" w:rsidRPr="002D06BE" w:rsidRDefault="00CE508B"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spent more time with them than I normally would</w:t>
            </w:r>
          </w:p>
        </w:tc>
        <w:tc>
          <w:tcPr>
            <w:tcW w:w="992" w:type="dxa"/>
          </w:tcPr>
          <w:p w14:paraId="7382394A" w14:textId="06004A1F"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31%</w:t>
            </w:r>
          </w:p>
        </w:tc>
      </w:tr>
      <w:tr w:rsidR="00CE508B" w:rsidRPr="007F194A" w14:paraId="3DBB69EA"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5EE803D8" w14:textId="23B8F4FC" w:rsidR="00CE508B" w:rsidRPr="002D06BE" w:rsidRDefault="00CE508B"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 xml:space="preserve">I felt sceptical about their mental health problem </w:t>
            </w:r>
          </w:p>
        </w:tc>
        <w:tc>
          <w:tcPr>
            <w:tcW w:w="992" w:type="dxa"/>
          </w:tcPr>
          <w:p w14:paraId="05E8596D" w14:textId="099B2C2F"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12%</w:t>
            </w:r>
          </w:p>
        </w:tc>
      </w:tr>
      <w:tr w:rsidR="00CE508B" w:rsidRPr="007F194A" w14:paraId="63176A02"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59DAFC24" w14:textId="20FAC93D" w:rsidR="00CE508B" w:rsidRPr="002D06BE" w:rsidRDefault="00CE508B"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expressed scepticism about their mental health problem to them</w:t>
            </w:r>
          </w:p>
        </w:tc>
        <w:tc>
          <w:tcPr>
            <w:tcW w:w="992" w:type="dxa"/>
          </w:tcPr>
          <w:p w14:paraId="4107CB84" w14:textId="5006EB8C"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w:t>
            </w:r>
          </w:p>
        </w:tc>
      </w:tr>
      <w:tr w:rsidR="00526FB6" w:rsidRPr="007F194A" w14:paraId="6A3C4081"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144AAD84" w14:textId="77777777" w:rsidR="00526FB6" w:rsidRPr="002D06BE" w:rsidRDefault="00526FB6"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spent less time with them than I normally would</w:t>
            </w:r>
          </w:p>
        </w:tc>
        <w:tc>
          <w:tcPr>
            <w:tcW w:w="992" w:type="dxa"/>
          </w:tcPr>
          <w:p w14:paraId="0FEF4BD1" w14:textId="77777777" w:rsidR="00526FB6" w:rsidRPr="002D06BE" w:rsidRDefault="00526FB6"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7%</w:t>
            </w:r>
          </w:p>
        </w:tc>
      </w:tr>
      <w:tr w:rsidR="00526FB6" w:rsidRPr="007F194A" w14:paraId="082FBF12" w14:textId="77777777" w:rsidTr="0056196F">
        <w:tc>
          <w:tcPr>
            <w:cnfStyle w:val="001000000000" w:firstRow="0" w:lastRow="0" w:firstColumn="1" w:lastColumn="0" w:oddVBand="0" w:evenVBand="0" w:oddHBand="0" w:evenHBand="0" w:firstRowFirstColumn="0" w:firstRowLastColumn="0" w:lastRowFirstColumn="0" w:lastRowLastColumn="0"/>
            <w:tcW w:w="8364" w:type="dxa"/>
          </w:tcPr>
          <w:p w14:paraId="24837BD1" w14:textId="77777777" w:rsidR="00526FB6" w:rsidRPr="002D06BE" w:rsidRDefault="00526FB6" w:rsidP="00D730B6">
            <w:pPr>
              <w:pStyle w:val="SRCQn"/>
              <w:keepNext/>
              <w:keepLines/>
              <w:ind w:left="0" w:right="-108" w:firstLine="0"/>
              <w:rPr>
                <w:rFonts w:asciiTheme="minorHAnsi" w:hAnsiTheme="minorHAnsi" w:cstheme="minorHAnsi"/>
              </w:rPr>
            </w:pPr>
            <w:r w:rsidRPr="002D06BE">
              <w:rPr>
                <w:rFonts w:asciiTheme="minorHAnsi" w:hAnsiTheme="minorHAnsi" w:cstheme="minorHAnsi"/>
              </w:rPr>
              <w:t>I avoided them altogether</w:t>
            </w:r>
          </w:p>
        </w:tc>
        <w:tc>
          <w:tcPr>
            <w:tcW w:w="992" w:type="dxa"/>
          </w:tcPr>
          <w:p w14:paraId="6331CA6E" w14:textId="77777777" w:rsidR="00526FB6" w:rsidRPr="002D06BE" w:rsidRDefault="00526FB6"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p>
        </w:tc>
      </w:tr>
    </w:tbl>
    <w:p w14:paraId="3F5EDF20" w14:textId="77777777" w:rsidR="00526FB6" w:rsidRPr="0056196F" w:rsidRDefault="00526FB6" w:rsidP="00D730B6">
      <w:pPr>
        <w:keepNext/>
        <w:keepLines/>
        <w:ind w:right="-1078"/>
        <w:rPr>
          <w:i/>
          <w:szCs w:val="20"/>
        </w:rPr>
      </w:pPr>
      <w:r w:rsidRPr="0056196F">
        <w:rPr>
          <w:i/>
          <w:szCs w:val="20"/>
        </w:rPr>
        <w:t xml:space="preserve">Note: Column sums to greater than 100 percent because respondents were asked to select all that apply. </w:t>
      </w:r>
    </w:p>
    <w:p w14:paraId="6368779A" w14:textId="76C0D407" w:rsidR="00FF04E5" w:rsidRPr="003D28CA" w:rsidRDefault="0028264F" w:rsidP="00687E97">
      <w:pPr>
        <w:pStyle w:val="Heading4"/>
        <w:spacing w:before="360" w:after="360"/>
        <w:ind w:right="-1077"/>
        <w:rPr>
          <w:color w:val="auto"/>
          <w:u w:val="single" w:color="20B9A3" w:themeColor="accent1"/>
          <w:lang w:eastAsia="en-GB"/>
        </w:rPr>
      </w:pPr>
      <w:r w:rsidRPr="003D28CA">
        <w:rPr>
          <w:color w:val="auto"/>
          <w:u w:val="single" w:color="20B9A3" w:themeColor="accent1"/>
          <w:lang w:eastAsia="en-GB"/>
        </w:rPr>
        <w:t>People with personal lived experience</w:t>
      </w:r>
    </w:p>
    <w:p w14:paraId="6EF4ADEB" w14:textId="77777777" w:rsidR="002B156C" w:rsidRPr="004F7DF6" w:rsidRDefault="002B156C" w:rsidP="002B156C">
      <w:pPr>
        <w:pBdr>
          <w:top w:val="single" w:sz="24" w:space="1" w:color="20B9A3" w:themeColor="accent1"/>
          <w:bottom w:val="single" w:sz="24" w:space="1" w:color="20B9A3" w:themeColor="accent1"/>
        </w:pBdr>
        <w:spacing w:after="0"/>
        <w:ind w:right="-1077"/>
        <w:rPr>
          <w:b/>
          <w:i/>
        </w:rPr>
      </w:pPr>
      <w:r w:rsidRPr="004F7DF6">
        <w:rPr>
          <w:b/>
          <w:i/>
        </w:rPr>
        <w:t>Respondents</w:t>
      </w:r>
    </w:p>
    <w:p w14:paraId="3BC0FD2B" w14:textId="3109D946" w:rsidR="002B156C" w:rsidRPr="004F7DF6" w:rsidRDefault="002B156C" w:rsidP="002B156C">
      <w:pPr>
        <w:pBdr>
          <w:top w:val="single" w:sz="24" w:space="1" w:color="20B9A3" w:themeColor="accent1"/>
          <w:bottom w:val="single" w:sz="24" w:space="1" w:color="20B9A3" w:themeColor="accent1"/>
        </w:pBdr>
        <w:spacing w:after="0"/>
        <w:ind w:right="-1077"/>
        <w:rPr>
          <w:i/>
        </w:rPr>
      </w:pPr>
      <w:r w:rsidRPr="004F7DF6">
        <w:rPr>
          <w:i/>
        </w:rPr>
        <w:t>People with personal lived experience</w:t>
      </w:r>
    </w:p>
    <w:p w14:paraId="75BD2A91" w14:textId="3603399D" w:rsidR="002B156C" w:rsidRPr="004F7DF6" w:rsidRDefault="002B156C" w:rsidP="002B156C">
      <w:pPr>
        <w:pBdr>
          <w:top w:val="single" w:sz="24" w:space="1" w:color="20B9A3" w:themeColor="accent1"/>
          <w:bottom w:val="single" w:sz="24" w:space="1" w:color="20B9A3" w:themeColor="accent1"/>
        </w:pBdr>
        <w:spacing w:after="0"/>
        <w:ind w:right="-1077"/>
        <w:jc w:val="right"/>
        <w:rPr>
          <w:b/>
          <w:i/>
        </w:rPr>
      </w:pPr>
      <w:r w:rsidRPr="004F7DF6">
        <w:rPr>
          <w:b/>
          <w:i/>
        </w:rPr>
        <w:t>53% of total sample</w:t>
      </w:r>
    </w:p>
    <w:p w14:paraId="4559E0DB" w14:textId="1FE6D1EE" w:rsidR="00A34F29" w:rsidRDefault="00E03F6C" w:rsidP="00687E97">
      <w:pPr>
        <w:spacing w:before="240"/>
        <w:ind w:right="-1078"/>
      </w:pPr>
      <w:r>
        <w:t>In order to assess public s</w:t>
      </w:r>
      <w:r w:rsidR="00876F12">
        <w:t xml:space="preserve">tigma from the perspective of the </w:t>
      </w:r>
      <w:r>
        <w:t xml:space="preserve">person </w:t>
      </w:r>
      <w:r w:rsidR="00876F12">
        <w:t>affected by</w:t>
      </w:r>
      <w:r w:rsidR="003E7156">
        <w:t xml:space="preserve"> </w:t>
      </w:r>
      <w:r>
        <w:t xml:space="preserve">discriminatory behaviour, we asked </w:t>
      </w:r>
      <w:r w:rsidR="00C008BD">
        <w:t>respondents</w:t>
      </w:r>
      <w:r>
        <w:t xml:space="preserve"> to identify whether they had personally experienced </w:t>
      </w:r>
      <w:r w:rsidR="00BA555E">
        <w:t>a mental health problem</w:t>
      </w:r>
      <w:r w:rsidR="00377927">
        <w:t xml:space="preserve"> (see the Glossary regarding how this was defined in the survey for respondents)</w:t>
      </w:r>
      <w:r>
        <w:t xml:space="preserve">. </w:t>
      </w:r>
    </w:p>
    <w:p w14:paraId="07430CE4" w14:textId="77777777" w:rsidR="00A34F29" w:rsidRDefault="00E03F6C" w:rsidP="00284288">
      <w:pPr>
        <w:ind w:right="-1078"/>
      </w:pPr>
      <w:r w:rsidRPr="007F194A">
        <w:t xml:space="preserve">Of the 7,873 adults who completed the survey, </w:t>
      </w:r>
      <w:r w:rsidR="00BE1426">
        <w:t xml:space="preserve">35 percent reported experiencing a mental health problem in the last 12 months. A further 18 percent reported </w:t>
      </w:r>
      <w:r>
        <w:t>having experienced</w:t>
      </w:r>
      <w:r w:rsidRPr="007F194A">
        <w:t xml:space="preserve"> a mental health problem </w:t>
      </w:r>
      <w:r>
        <w:t>at some point in their life</w:t>
      </w:r>
      <w:r w:rsidR="00BE1426">
        <w:t xml:space="preserve"> but not in the last 12 months. We asked this group if they had had ongoing </w:t>
      </w:r>
      <w:r w:rsidR="00E354C7">
        <w:t>experiences</w:t>
      </w:r>
      <w:r w:rsidR="00BE1426">
        <w:t xml:space="preserve"> of stigma and discrimination</w:t>
      </w:r>
      <w:r w:rsidR="00E354C7">
        <w:t xml:space="preserve"> in the last 12 months</w:t>
      </w:r>
      <w:r w:rsidR="00BE1426">
        <w:t xml:space="preserve"> despite their mental health problem occurring more than 12 months ago</w:t>
      </w:r>
      <w:r>
        <w:t>.</w:t>
      </w:r>
      <w:r w:rsidR="00BE1426">
        <w:t xml:space="preserve"> A small group (1 percent of the total sample) reported this was the case. </w:t>
      </w:r>
    </w:p>
    <w:p w14:paraId="1477F30D" w14:textId="4A0F9329" w:rsidR="00E03F6C" w:rsidRDefault="00BE1426" w:rsidP="00284288">
      <w:pPr>
        <w:ind w:right="-1078"/>
      </w:pPr>
      <w:r>
        <w:t xml:space="preserve">As shown in Figure 1, we then </w:t>
      </w:r>
      <w:r w:rsidR="00E354C7">
        <w:t xml:space="preserve">only asked subsequent questions </w:t>
      </w:r>
      <w:r w:rsidR="00E03F6C">
        <w:t>of people who reported experiencing a mental health problem in the last 12 months (</w:t>
      </w:r>
      <w:r w:rsidR="00E03F6C" w:rsidRPr="007F194A">
        <w:t>35 percent</w:t>
      </w:r>
      <w:r w:rsidR="00E03F6C">
        <w:t xml:space="preserve">) and </w:t>
      </w:r>
      <w:r w:rsidR="00E354C7">
        <w:t>the</w:t>
      </w:r>
      <w:r w:rsidR="002637A9">
        <w:t xml:space="preserve"> </w:t>
      </w:r>
      <w:r w:rsidR="00E03F6C">
        <w:t xml:space="preserve">small group </w:t>
      </w:r>
      <w:r w:rsidR="00E354C7">
        <w:t>with</w:t>
      </w:r>
      <w:r w:rsidR="00E03F6C">
        <w:t xml:space="preserve"> ongoing experiences of</w:t>
      </w:r>
      <w:r w:rsidR="00E354C7">
        <w:t xml:space="preserve"> stigma and</w:t>
      </w:r>
      <w:r w:rsidR="00E03F6C">
        <w:t xml:space="preserve"> discrimination</w:t>
      </w:r>
      <w:r w:rsidR="00E354C7">
        <w:t xml:space="preserve"> (1 percent). </w:t>
      </w:r>
      <w:r w:rsidR="00E03F6C" w:rsidRPr="007F194A">
        <w:t>The following sections pertain to this combined group (36</w:t>
      </w:r>
      <w:r w:rsidR="00B66750">
        <w:t> </w:t>
      </w:r>
      <w:r w:rsidR="00353F97">
        <w:t>percent</w:t>
      </w:r>
      <w:r w:rsidR="00E03F6C" w:rsidRPr="007F194A">
        <w:t xml:space="preserve"> of the total population), </w:t>
      </w:r>
      <w:r w:rsidR="0028264F">
        <w:t>who are</w:t>
      </w:r>
      <w:r w:rsidR="00E03F6C" w:rsidRPr="007F194A">
        <w:t xml:space="preserve"> referred to</w:t>
      </w:r>
      <w:r w:rsidR="0028264F">
        <w:t xml:space="preserve"> hereafter</w:t>
      </w:r>
      <w:r w:rsidR="00E03F6C" w:rsidRPr="007F194A">
        <w:t xml:space="preserve"> as people with recent </w:t>
      </w:r>
      <w:r w:rsidR="0028264F">
        <w:t>personal lived experience</w:t>
      </w:r>
      <w:r w:rsidR="00E03F6C" w:rsidRPr="007F194A">
        <w:t xml:space="preserve">. </w:t>
      </w:r>
      <w:r w:rsidR="003E7156">
        <w:t>W</w:t>
      </w:r>
      <w:r w:rsidR="00E03F6C">
        <w:t xml:space="preserve">e </w:t>
      </w:r>
      <w:r w:rsidR="003E7156">
        <w:t xml:space="preserve">also </w:t>
      </w:r>
      <w:r w:rsidR="00E03F6C">
        <w:t xml:space="preserve">note </w:t>
      </w:r>
      <w:r w:rsidR="00E03F6C" w:rsidRPr="007F194A">
        <w:t xml:space="preserve">all references to experiences of stigma and or discrimination </w:t>
      </w:r>
      <w:r w:rsidR="00E03F6C">
        <w:t>have</w:t>
      </w:r>
      <w:r w:rsidR="00E03F6C" w:rsidRPr="007F194A">
        <w:t xml:space="preserve"> the past 12</w:t>
      </w:r>
      <w:r w:rsidR="00B66750">
        <w:t> </w:t>
      </w:r>
      <w:r w:rsidR="00E03F6C" w:rsidRPr="007F194A">
        <w:t>months as their timeframe.</w:t>
      </w:r>
    </w:p>
    <w:p w14:paraId="17819F1E" w14:textId="0A8370F7" w:rsidR="00E03F6C" w:rsidRDefault="00602B69" w:rsidP="00D730B6">
      <w:pPr>
        <w:keepNext/>
        <w:keepLines/>
        <w:ind w:right="-1077"/>
      </w:pPr>
      <w:r w:rsidRPr="00783C3B">
        <w:rPr>
          <w:b/>
        </w:rPr>
        <w:lastRenderedPageBreak/>
        <w:t>Figure</w:t>
      </w:r>
      <w:r w:rsidR="00E03F6C" w:rsidRPr="00783C3B">
        <w:rPr>
          <w:b/>
        </w:rPr>
        <w:t xml:space="preserve"> </w:t>
      </w:r>
      <w:r w:rsidRPr="00783C3B">
        <w:rPr>
          <w:b/>
        </w:rPr>
        <w:t>1</w:t>
      </w:r>
      <w:r>
        <w:t>.</w:t>
      </w:r>
      <w:r w:rsidR="00E03F6C" w:rsidRPr="007F194A">
        <w:t xml:space="preserve"> Proportion</w:t>
      </w:r>
      <w:r w:rsidR="00835A0F">
        <w:t xml:space="preserve"> </w:t>
      </w:r>
      <w:r w:rsidR="00C02AF6">
        <w:t xml:space="preserve">of all </w:t>
      </w:r>
      <w:r w:rsidR="00C008BD">
        <w:t>respondents</w:t>
      </w:r>
      <w:r w:rsidR="00C02AF6">
        <w:t xml:space="preserve"> reporting </w:t>
      </w:r>
      <w:r w:rsidR="00835A0F">
        <w:t xml:space="preserve">personal </w:t>
      </w:r>
      <w:r w:rsidR="0028264F">
        <w:t xml:space="preserve">lived </w:t>
      </w:r>
      <w:r w:rsidR="00E03F6C">
        <w:t>exper</w:t>
      </w:r>
      <w:r w:rsidR="0028264F">
        <w:t>ience</w:t>
      </w:r>
    </w:p>
    <w:p w14:paraId="61822738" w14:textId="6578BF9E" w:rsidR="00C86D51" w:rsidRDefault="00E354C7" w:rsidP="00D730B6">
      <w:pPr>
        <w:keepNext/>
        <w:keepLines/>
        <w:ind w:right="-1077"/>
        <w:jc w:val="center"/>
      </w:pPr>
      <w:r>
        <w:rPr>
          <w:noProof/>
        </w:rPr>
        <w:drawing>
          <wp:inline distT="0" distB="0" distL="0" distR="0" wp14:anchorId="552D1CE5" wp14:editId="2151B708">
            <wp:extent cx="4572000" cy="2743200"/>
            <wp:effectExtent l="0" t="0" r="0" b="0"/>
            <wp:docPr id="294" name="Chart 294" descr="A bar graph showing the proportion of all respondents reporting personal lived experience. Of all respondents, 35% &#10;people reported experiencing a mental health problem in the last 12 months, and a further 18% of respondents have experienced a mental health problem at some point in their life, but not in the past 12 months.  47% of respondents have never had a personal lived experience. The 35% of respondents who reported a personal lived experience in the last 12 months, and a small group (1%) with ongoing experiences of stigma and discrimination where shown subsequent qestions about mental health-related stigma and discrimination. " title="Figure 1 proportion of all respondents reporting personal lived experien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1E5C62" w14:textId="0478822D" w:rsidR="004422D4" w:rsidRPr="00EF004E" w:rsidRDefault="00D71C8B" w:rsidP="00D730B6">
      <w:pPr>
        <w:keepNext/>
        <w:keepLines/>
        <w:ind w:right="-1077"/>
        <w:rPr>
          <w:i/>
          <w:szCs w:val="20"/>
        </w:rPr>
      </w:pPr>
      <w:r w:rsidRPr="00EF004E">
        <w:rPr>
          <w:i/>
          <w:szCs w:val="20"/>
        </w:rPr>
        <w:t xml:space="preserve">Note: only the groups marked with light shading were shown subsequent questions about mental </w:t>
      </w:r>
      <w:r w:rsidR="00FC5F35">
        <w:rPr>
          <w:i/>
          <w:szCs w:val="20"/>
        </w:rPr>
        <w:t>health-related</w:t>
      </w:r>
      <w:r w:rsidRPr="00EF004E">
        <w:rPr>
          <w:i/>
          <w:szCs w:val="20"/>
        </w:rPr>
        <w:t xml:space="preserve"> stigma and discrimination.</w:t>
      </w:r>
    </w:p>
    <w:p w14:paraId="3B03EC8A" w14:textId="19087508" w:rsidR="004422D4" w:rsidRPr="003D28CA" w:rsidRDefault="002E632B" w:rsidP="002D06BE">
      <w:pPr>
        <w:pStyle w:val="Heading4"/>
        <w:spacing w:after="360"/>
        <w:ind w:right="-1077"/>
        <w:rPr>
          <w:u w:val="single" w:color="20B9A3" w:themeColor="accent1"/>
          <w:lang w:eastAsia="en-GB"/>
        </w:rPr>
      </w:pPr>
      <w:r w:rsidRPr="003D28CA">
        <w:rPr>
          <w:color w:val="auto"/>
          <w:u w:val="single" w:color="20B9A3" w:themeColor="accent1"/>
          <w:lang w:eastAsia="en-GB"/>
        </w:rPr>
        <w:t>Experiences of discrimination in private life domains</w:t>
      </w:r>
    </w:p>
    <w:p w14:paraId="7C1969D2" w14:textId="77777777"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w:t>
      </w:r>
    </w:p>
    <w:p w14:paraId="75FD9F5D" w14:textId="77777777"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Participants with recent personal lived experience</w:t>
      </w:r>
    </w:p>
    <w:p w14:paraId="1DD79937" w14:textId="77777777" w:rsidR="00E1743C" w:rsidRPr="004F7DF6" w:rsidRDefault="00E1743C" w:rsidP="00E1743C">
      <w:pPr>
        <w:pBdr>
          <w:top w:val="single" w:sz="24" w:space="1" w:color="20B9A3" w:themeColor="accent1"/>
          <w:bottom w:val="single" w:sz="24" w:space="1" w:color="20B9A3" w:themeColor="accent1"/>
        </w:pBdr>
        <w:spacing w:after="0"/>
        <w:ind w:right="-1077"/>
        <w:jc w:val="right"/>
        <w:rPr>
          <w:b/>
          <w:i/>
        </w:rPr>
      </w:pPr>
      <w:r w:rsidRPr="004F7DF6">
        <w:rPr>
          <w:b/>
          <w:i/>
        </w:rPr>
        <w:t>36% of total sample</w:t>
      </w:r>
    </w:p>
    <w:p w14:paraId="1A2F3946" w14:textId="7CC48A40" w:rsidR="00E03F6C" w:rsidRDefault="00E03F6C" w:rsidP="00687E97">
      <w:pPr>
        <w:spacing w:before="240"/>
        <w:ind w:right="-1078"/>
      </w:pPr>
      <w:r>
        <w:t xml:space="preserve">We asked </w:t>
      </w:r>
      <w:r w:rsidR="003E7156">
        <w:t>respondents</w:t>
      </w:r>
      <w:r>
        <w:t xml:space="preserve"> whether they had</w:t>
      </w:r>
      <w:r w:rsidRPr="007F194A">
        <w:t xml:space="preserve"> been treated unfairly because of their mental health problem</w:t>
      </w:r>
      <w:r>
        <w:t xml:space="preserve">. </w:t>
      </w:r>
      <w:r w:rsidR="004B77DE">
        <w:t xml:space="preserve">We </w:t>
      </w:r>
      <w:r>
        <w:t xml:space="preserve">asked </w:t>
      </w:r>
      <w:r w:rsidR="003E7156">
        <w:t>them</w:t>
      </w:r>
      <w:r>
        <w:t xml:space="preserve"> to report their experiences in</w:t>
      </w:r>
      <w:r w:rsidRPr="007F194A">
        <w:t xml:space="preserve"> 12 different life domains</w:t>
      </w:r>
      <w:r w:rsidR="004B77DE">
        <w:t xml:space="preserve"> and, as shown in Box 2, </w:t>
      </w:r>
      <w:r>
        <w:t>only to report events that happened during the last 12 months</w:t>
      </w:r>
      <w:r w:rsidRPr="007F194A">
        <w:t xml:space="preserve">. Sixty three percent reported experiencing </w:t>
      </w:r>
      <w:r>
        <w:t>at least one instance</w:t>
      </w:r>
      <w:r w:rsidRPr="007F194A">
        <w:t xml:space="preserve"> of</w:t>
      </w:r>
      <w:r>
        <w:t xml:space="preserve"> unfair treatment</w:t>
      </w:r>
      <w:r w:rsidRPr="007F194A">
        <w:t>.</w:t>
      </w:r>
      <w:r w:rsidR="00B61BC1">
        <w:t xml:space="preserve"> Given there are approximately 20 million</w:t>
      </w:r>
      <w:r w:rsidR="008F56B7">
        <w:rPr>
          <w:rStyle w:val="FootnoteReference"/>
        </w:rPr>
        <w:footnoteReference w:id="2"/>
      </w:r>
      <w:r w:rsidR="00B61BC1">
        <w:t xml:space="preserve"> adult residents in Australia, </w:t>
      </w:r>
      <w:r w:rsidR="00DD1EC0">
        <w:t>this equates to approximately</w:t>
      </w:r>
      <w:r w:rsidR="00B61BC1">
        <w:t xml:space="preserve"> 4.5 million people</w:t>
      </w:r>
      <w:r w:rsidR="00DD1EC0">
        <w:t>,</w:t>
      </w:r>
      <w:r w:rsidR="00B61BC1">
        <w:t xml:space="preserve"> </w:t>
      </w:r>
      <w:r w:rsidR="00DD1EC0">
        <w:t>who in their experience, have been discriminated against at some point in the prior 12 months because of their</w:t>
      </w:r>
      <w:r w:rsidR="00B61BC1">
        <w:t xml:space="preserve"> </w:t>
      </w:r>
      <w:r w:rsidR="006C7417">
        <w:t>personal lived experience</w:t>
      </w:r>
      <w:r w:rsidR="00B61BC1">
        <w:t xml:space="preserve">. </w:t>
      </w:r>
    </w:p>
    <w:p w14:paraId="4B72464D" w14:textId="4F8AEEFD" w:rsidR="00835A0F" w:rsidRDefault="00E03F6C" w:rsidP="006927A7">
      <w:pPr>
        <w:pStyle w:val="EmphasisPanelBody"/>
        <w:ind w:left="284" w:right="-794"/>
      </w:pPr>
      <w:r w:rsidRPr="00783C3B">
        <w:rPr>
          <w:b/>
        </w:rPr>
        <w:t xml:space="preserve">Box </w:t>
      </w:r>
      <w:r w:rsidR="00377927">
        <w:rPr>
          <w:b/>
        </w:rPr>
        <w:t>2</w:t>
      </w:r>
      <w:r w:rsidR="00835A0F">
        <w:t>. ‘Unfair treatment’</w:t>
      </w:r>
    </w:p>
    <w:p w14:paraId="7B700056" w14:textId="42FD18A8" w:rsidR="00E03F6C" w:rsidRDefault="00835A0F" w:rsidP="006927A7">
      <w:pPr>
        <w:pStyle w:val="EmphasisPanelBody"/>
        <w:ind w:left="284" w:right="-794"/>
      </w:pPr>
      <w:r>
        <w:t>T</w:t>
      </w:r>
      <w:r w:rsidR="00E03F6C">
        <w:t xml:space="preserve">o </w:t>
      </w:r>
      <w:r>
        <w:t xml:space="preserve">be clear what we meant by </w:t>
      </w:r>
      <w:r w:rsidR="006927A7">
        <w:t>‘</w:t>
      </w:r>
      <w:r>
        <w:t>unfair treatment</w:t>
      </w:r>
      <w:r w:rsidR="006927A7">
        <w:t>’</w:t>
      </w:r>
      <w:r w:rsidR="00E03F6C">
        <w:t xml:space="preserve">, we </w:t>
      </w:r>
      <w:r w:rsidR="006927A7">
        <w:t>supplied the following text in the survey:</w:t>
      </w:r>
    </w:p>
    <w:p w14:paraId="655587AD" w14:textId="1857293B" w:rsidR="00E03F6C" w:rsidRPr="00717B15" w:rsidRDefault="00835A0F" w:rsidP="006927A7">
      <w:pPr>
        <w:pStyle w:val="EmphasisPanelBody"/>
        <w:ind w:left="284" w:right="-794"/>
        <w:rPr>
          <w:i/>
        </w:rPr>
      </w:pPr>
      <w:r>
        <w:rPr>
          <w:i/>
        </w:rPr>
        <w:t>“</w:t>
      </w:r>
      <w:r w:rsidR="00E03F6C" w:rsidRPr="00717B15">
        <w:rPr>
          <w:i/>
        </w:rPr>
        <w:t xml:space="preserve">In this section, we ask about times when you have </w:t>
      </w:r>
      <w:r w:rsidR="00E03F6C" w:rsidRPr="00717B15">
        <w:rPr>
          <w:b/>
          <w:i/>
        </w:rPr>
        <w:t>been</w:t>
      </w:r>
      <w:r w:rsidR="00E03F6C" w:rsidRPr="00717B15">
        <w:rPr>
          <w:i/>
        </w:rPr>
        <w:t xml:space="preserve"> </w:t>
      </w:r>
      <w:r w:rsidR="00E03F6C" w:rsidRPr="00717B15">
        <w:rPr>
          <w:b/>
          <w:i/>
        </w:rPr>
        <w:t>treated unfairly because of the mental health problems you have experienced</w:t>
      </w:r>
      <w:r w:rsidR="001B0262">
        <w:rPr>
          <w:i/>
        </w:rPr>
        <w:t>.</w:t>
      </w:r>
    </w:p>
    <w:p w14:paraId="1D42D91B" w14:textId="4258E21D" w:rsidR="00E03F6C" w:rsidRPr="00717B15" w:rsidRDefault="00E03F6C" w:rsidP="006927A7">
      <w:pPr>
        <w:pStyle w:val="EmphasisPanelBody"/>
        <w:ind w:left="284" w:right="-794"/>
        <w:rPr>
          <w:i/>
        </w:rPr>
      </w:pPr>
      <w:r w:rsidRPr="00717B15">
        <w:rPr>
          <w:i/>
        </w:rPr>
        <w:t xml:space="preserve">For each question, please only report events that have </w:t>
      </w:r>
      <w:r w:rsidRPr="00717B15">
        <w:rPr>
          <w:b/>
          <w:bCs/>
          <w:i/>
        </w:rPr>
        <w:t>happened during the last 12 months</w:t>
      </w:r>
      <w:r w:rsidRPr="00717B15">
        <w:rPr>
          <w:i/>
        </w:rPr>
        <w:t>.</w:t>
      </w:r>
      <w:r w:rsidR="00835A0F">
        <w:rPr>
          <w:i/>
        </w:rPr>
        <w:t>”</w:t>
      </w:r>
    </w:p>
    <w:p w14:paraId="3B3FA223" w14:textId="1697B588" w:rsidR="00547D6B" w:rsidRDefault="00E03F6C" w:rsidP="00783C3B">
      <w:pPr>
        <w:keepNext/>
        <w:ind w:right="-1078"/>
      </w:pPr>
      <w:r>
        <w:lastRenderedPageBreak/>
        <w:t xml:space="preserve">We found it was most common for </w:t>
      </w:r>
      <w:r w:rsidR="00C008BD">
        <w:t>respondents</w:t>
      </w:r>
      <w:r>
        <w:t xml:space="preserve"> to report experiences of</w:t>
      </w:r>
      <w:r w:rsidRPr="007F194A">
        <w:t xml:space="preserve"> unfair </w:t>
      </w:r>
      <w:r>
        <w:t>treatment by their family (36 percent) followed by</w:t>
      </w:r>
      <w:r w:rsidRPr="007F194A">
        <w:t xml:space="preserve"> friends (31</w:t>
      </w:r>
      <w:r>
        <w:t xml:space="preserve"> percent</w:t>
      </w:r>
      <w:r w:rsidRPr="007F194A">
        <w:t>) and spouse (26</w:t>
      </w:r>
      <w:r>
        <w:t xml:space="preserve"> percent</w:t>
      </w:r>
      <w:r w:rsidRPr="007F194A">
        <w:t>).</w:t>
      </w:r>
      <w:r w:rsidR="00EF4A3B">
        <w:t xml:space="preserve"> As shown in Figure 2, i</w:t>
      </w:r>
      <w:r>
        <w:t xml:space="preserve">t was less common for </w:t>
      </w:r>
      <w:r w:rsidR="00C008BD">
        <w:t>respondents</w:t>
      </w:r>
      <w:r>
        <w:t xml:space="preserve"> to report unfair treatment by people in their neighbourhood (16 percent)</w:t>
      </w:r>
      <w:r w:rsidR="00EF4A3B">
        <w:t>.</w:t>
      </w:r>
    </w:p>
    <w:p w14:paraId="39299B65" w14:textId="2ACD3B70" w:rsidR="004B77DE" w:rsidRDefault="00563D76" w:rsidP="004B77DE">
      <w:pPr>
        <w:ind w:right="-1078"/>
      </w:pPr>
      <w:r w:rsidRPr="00783C3B">
        <w:rPr>
          <w:b/>
        </w:rPr>
        <w:t xml:space="preserve">Figure </w:t>
      </w:r>
      <w:r w:rsidR="00602B69" w:rsidRPr="00783C3B">
        <w:rPr>
          <w:b/>
        </w:rPr>
        <w:t>2</w:t>
      </w:r>
      <w:r w:rsidR="00602B69">
        <w:t>.</w:t>
      </w:r>
      <w:r w:rsidR="00CB3880">
        <w:t xml:space="preserve"> Proportion </w:t>
      </w:r>
      <w:r w:rsidR="00C02AF6">
        <w:t xml:space="preserve">of people with </w:t>
      </w:r>
      <w:r w:rsidR="00214FD3">
        <w:t>recent</w:t>
      </w:r>
      <w:r w:rsidR="00C02AF6">
        <w:t xml:space="preserve"> </w:t>
      </w:r>
      <w:r w:rsidR="006071F9">
        <w:t xml:space="preserve">personal lived experience </w:t>
      </w:r>
      <w:r w:rsidR="00CB3880">
        <w:t xml:space="preserve">reporting unfair treatment </w:t>
      </w:r>
      <w:r w:rsidR="00E03F6C" w:rsidRPr="00547D6B">
        <w:t xml:space="preserve">by family, friends, </w:t>
      </w:r>
      <w:r w:rsidR="00CB3880">
        <w:t xml:space="preserve">partner and </w:t>
      </w:r>
      <w:r w:rsidR="00E03F6C" w:rsidRPr="00547D6B">
        <w:t>people in neighbourhood</w:t>
      </w:r>
      <w:r w:rsidR="00E802C9" w:rsidRPr="00783C3B">
        <w:rPr>
          <w:b/>
          <w:noProof/>
        </w:rPr>
        <w:drawing>
          <wp:inline distT="0" distB="0" distL="0" distR="0" wp14:anchorId="1E6E0CA9" wp14:editId="3E552696">
            <wp:extent cx="5765800" cy="1609090"/>
            <wp:effectExtent l="0" t="0" r="6350" b="0"/>
            <wp:docPr id="5" name="Chart 5" descr="Figure 2 is a bar graph showing the results in the proportion of people with recent personal lived experience reporting unfair treatment by family, friends, partner and people in neighbourhood. 36% of respondents reported they experienced unfair treatment by their family, and 31% of respondents experienced unfair treatment by friends (including making friends and dating). 26% of respondents with recent personal lived experiences reported unfair treatment by their spouse or partner, and 16% reported unfair treatment by people in their neighbourhood.  " title="Figure 2. Proportion of people with recent personal lived experience reporting unfair treatment by family, friends, partner and people in neighbourhood"/>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4CCBA9" w14:textId="77777777" w:rsidR="00D730B6" w:rsidRDefault="00E03F6C" w:rsidP="00D730B6">
      <w:pPr>
        <w:ind w:right="-1078"/>
      </w:pPr>
      <w:r w:rsidRPr="007F194A">
        <w:t xml:space="preserve">To understand </w:t>
      </w:r>
      <w:r>
        <w:t xml:space="preserve">more about these issues, we followed up with a question about what had happened. We asked </w:t>
      </w:r>
      <w:r w:rsidR="00C008BD">
        <w:t>respondents</w:t>
      </w:r>
      <w:r>
        <w:t xml:space="preserve"> to report on how they perceive they were treated unfairly. In each of the above life domains, t</w:t>
      </w:r>
      <w:r w:rsidRPr="007F194A">
        <w:t xml:space="preserve">he most common </w:t>
      </w:r>
      <w:r>
        <w:t>response selected was</w:t>
      </w:r>
      <w:r w:rsidRPr="007F194A">
        <w:t xml:space="preserve"> </w:t>
      </w:r>
      <w:r>
        <w:t xml:space="preserve">about </w:t>
      </w:r>
      <w:r w:rsidRPr="007F194A">
        <w:t>not being shown sympathy or understanding</w:t>
      </w:r>
      <w:r w:rsidR="00404F1C">
        <w:t>.</w:t>
      </w:r>
      <w:r w:rsidR="004B77DE">
        <w:t xml:space="preserve"> </w:t>
      </w:r>
      <w:r w:rsidR="00404F1C">
        <w:t>T</w:t>
      </w:r>
      <w:r>
        <w:t>his was endorsed by 64 percent of people who reported being treated unfairly</w:t>
      </w:r>
      <w:r w:rsidRPr="007F194A">
        <w:t xml:space="preserve"> by family</w:t>
      </w:r>
      <w:r>
        <w:t xml:space="preserve">, 62 percent of people who reported being treated unfairly by their </w:t>
      </w:r>
      <w:r w:rsidRPr="007F194A">
        <w:t>spouse</w:t>
      </w:r>
      <w:r>
        <w:t>,</w:t>
      </w:r>
      <w:r w:rsidRPr="007F194A">
        <w:t xml:space="preserve"> and </w:t>
      </w:r>
      <w:r>
        <w:t xml:space="preserve">57 percent of people who reported being treated unfairly by </w:t>
      </w:r>
      <w:r w:rsidRPr="007F194A">
        <w:t>friend</w:t>
      </w:r>
      <w:r>
        <w:t>s</w:t>
      </w:r>
      <w:r w:rsidRPr="007F194A">
        <w:t xml:space="preserve">. </w:t>
      </w:r>
    </w:p>
    <w:p w14:paraId="16352B3B" w14:textId="77777777" w:rsidR="00D730B6" w:rsidRDefault="00E03F6C" w:rsidP="00D730B6">
      <w:pPr>
        <w:ind w:right="-1078"/>
      </w:pPr>
      <w:r w:rsidRPr="007F194A">
        <w:t xml:space="preserve">In each of these </w:t>
      </w:r>
      <w:r>
        <w:t xml:space="preserve">three </w:t>
      </w:r>
      <w:r w:rsidRPr="007F194A">
        <w:t>life domains</w:t>
      </w:r>
      <w:r>
        <w:t xml:space="preserve"> (family, spouse and friends)</w:t>
      </w:r>
      <w:r w:rsidRPr="007F194A">
        <w:t>, more than half of the respondents also reported people being dismissive of the problem; and just over half (51</w:t>
      </w:r>
      <w:r w:rsidR="009A3A81">
        <w:t xml:space="preserve"> percent</w:t>
      </w:r>
      <w:r w:rsidRPr="007F194A">
        <w:t>) reported friends avoided or cut contact with them.</w:t>
      </w:r>
      <w:r w:rsidR="00404F1C">
        <w:t xml:space="preserve"> </w:t>
      </w:r>
    </w:p>
    <w:p w14:paraId="1AA47B34" w14:textId="31BB16C8" w:rsidR="00E03F6C" w:rsidRPr="00321B30" w:rsidRDefault="00E03F6C" w:rsidP="00D730B6">
      <w:pPr>
        <w:keepNext/>
        <w:keepLines/>
        <w:ind w:right="-1078"/>
      </w:pPr>
      <w:r w:rsidRPr="00783C3B">
        <w:rPr>
          <w:b/>
        </w:rPr>
        <w:t xml:space="preserve">Table </w:t>
      </w:r>
      <w:r w:rsidR="00602B69" w:rsidRPr="00783C3B">
        <w:rPr>
          <w:b/>
        </w:rPr>
        <w:t>5</w:t>
      </w:r>
      <w:r w:rsidR="00602B69">
        <w:t>.</w:t>
      </w:r>
      <w:r w:rsidRPr="00321B30">
        <w:t xml:space="preserve"> </w:t>
      </w:r>
      <w:r w:rsidR="006927A7">
        <w:t xml:space="preserve">Nature of </w:t>
      </w:r>
      <w:r w:rsidR="00377927">
        <w:t xml:space="preserve">reported </w:t>
      </w:r>
      <w:r w:rsidR="006927A7">
        <w:t xml:space="preserve">unfair treatment by </w:t>
      </w:r>
      <w:r w:rsidR="00C02AF6">
        <w:t>family</w:t>
      </w:r>
      <w:r w:rsidR="00726CED">
        <w:t>, friends and partner</w:t>
      </w:r>
    </w:p>
    <w:tbl>
      <w:tblPr>
        <w:tblStyle w:val="DefaultTable"/>
        <w:tblW w:w="9356" w:type="dxa"/>
        <w:tblLook w:val="04A0" w:firstRow="1" w:lastRow="0" w:firstColumn="1" w:lastColumn="0" w:noHBand="0" w:noVBand="1"/>
        <w:tblCaption w:val="Table 5. Nature of reported unfair treatment by family, friends and partner"/>
        <w:tblDescription w:val="Table 5 depicts how respondents percieved they were treated unfairly. The most common response selected was about not being understood or shown sympathy, where 64% of respondents felt this was about their family, 57% from friends, and 62% by their partner. 56% of respondents felt their family was dismissive of the problem, 51% of respondents felt their friends were dismissive fo the problem, and 54% felt their partner was dismissive of the problem. Under the category of feeling avoided or like the respondent was cut out of contact, 26% was felt from family, 51% felt this from friends, and 18% felt this was about their partner. Under the category of feeling judgement, 50% of respondents reported feeling this was by family, 49% felt this from friends, and 40% felt this from their partner. Under the category of feeling insulted, 27% of respondents reported feeling insulted by family, 21% felt this from friends, and 33% felt this from their partner. 28% of respondents reported they felt their family was angry at them, 20% felt this from friends, and 34% felt this from their partner. 1% of respondents felt their family and friends treated them unfairly in a manner not listed, and 3% felt their partner treated them unfairly in another way. 1% of respondents felt their family and friends treated them unfairly in a manner they were unsure how to categorise, or would prefer not to say, and 3% felt their partner treated them unfairly in a manner they were unsure how to categorise, or would prefer not to say"/>
      </w:tblPr>
      <w:tblGrid>
        <w:gridCol w:w="4536"/>
        <w:gridCol w:w="1606"/>
        <w:gridCol w:w="1607"/>
        <w:gridCol w:w="1607"/>
      </w:tblGrid>
      <w:tr w:rsidR="00726CED" w14:paraId="67912FDF" w14:textId="616FA04A" w:rsidTr="00322774">
        <w:trPr>
          <w:cnfStyle w:val="100000000000" w:firstRow="1" w:lastRow="0" w:firstColumn="0" w:lastColumn="0" w:oddVBand="0" w:evenVBand="0" w:oddHBand="0" w:evenHBand="0" w:firstRowFirstColumn="0" w:firstRowLastColumn="0" w:lastRowFirstColumn="0" w:lastRowLastColumn="0"/>
          <w:trHeight w:val="254"/>
          <w:tblHeader/>
        </w:trPr>
        <w:tc>
          <w:tcPr>
            <w:cnfStyle w:val="001000000000" w:firstRow="0" w:lastRow="0" w:firstColumn="1" w:lastColumn="0" w:oddVBand="0" w:evenVBand="0" w:oddHBand="0" w:evenHBand="0" w:firstRowFirstColumn="0" w:firstRowLastColumn="0" w:lastRowFirstColumn="0" w:lastRowLastColumn="0"/>
            <w:tcW w:w="4536" w:type="dxa"/>
          </w:tcPr>
          <w:p w14:paraId="33173F0D" w14:textId="69ED0574" w:rsidR="00726CED" w:rsidRPr="002D06BE" w:rsidRDefault="00726CED" w:rsidP="00D730B6">
            <w:pPr>
              <w:pStyle w:val="SRCQn"/>
              <w:keepNext/>
              <w:keepLines/>
              <w:ind w:left="0" w:right="-1078" w:firstLine="0"/>
              <w:rPr>
                <w:rFonts w:asciiTheme="minorHAnsi" w:hAnsiTheme="minorHAnsi" w:cstheme="minorHAnsi"/>
                <w:b w:val="0"/>
                <w:sz w:val="20"/>
              </w:rPr>
            </w:pPr>
            <w:r w:rsidRPr="002D06BE">
              <w:rPr>
                <w:rFonts w:asciiTheme="minorHAnsi" w:hAnsiTheme="minorHAnsi" w:cstheme="minorHAnsi"/>
              </w:rPr>
              <w:t>Nature of unfair treatment</w:t>
            </w:r>
          </w:p>
        </w:tc>
        <w:tc>
          <w:tcPr>
            <w:tcW w:w="1606" w:type="dxa"/>
          </w:tcPr>
          <w:p w14:paraId="1DDAA24D" w14:textId="7314C555" w:rsidR="00726CED" w:rsidRPr="002D06BE" w:rsidRDefault="00726CED" w:rsidP="00D730B6">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By family</w:t>
            </w:r>
          </w:p>
        </w:tc>
        <w:tc>
          <w:tcPr>
            <w:tcW w:w="1607" w:type="dxa"/>
          </w:tcPr>
          <w:p w14:paraId="4F02C9A0" w14:textId="542497AF" w:rsidR="00726CED" w:rsidRPr="002D06BE" w:rsidRDefault="00726CED" w:rsidP="00D730B6">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By friends</w:t>
            </w:r>
          </w:p>
        </w:tc>
        <w:tc>
          <w:tcPr>
            <w:tcW w:w="1607" w:type="dxa"/>
          </w:tcPr>
          <w:p w14:paraId="1265301F" w14:textId="520C3704" w:rsidR="00726CED" w:rsidRPr="002D06BE" w:rsidRDefault="00726CED" w:rsidP="00D730B6">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By partner</w:t>
            </w:r>
          </w:p>
        </w:tc>
      </w:tr>
      <w:tr w:rsidR="00CE508B" w14:paraId="11F61906" w14:textId="01995C2D" w:rsidTr="000879B5">
        <w:trPr>
          <w:trHeight w:val="261"/>
        </w:trPr>
        <w:tc>
          <w:tcPr>
            <w:cnfStyle w:val="001000000000" w:firstRow="0" w:lastRow="0" w:firstColumn="1" w:lastColumn="0" w:oddVBand="0" w:evenVBand="0" w:oddHBand="0" w:evenHBand="0" w:firstRowFirstColumn="0" w:firstRowLastColumn="0" w:lastRowFirstColumn="0" w:lastRowLastColumn="0"/>
            <w:tcW w:w="4536" w:type="dxa"/>
          </w:tcPr>
          <w:p w14:paraId="30952BF0" w14:textId="2AD740F8" w:rsidR="00CE508B" w:rsidRPr="002D06BE" w:rsidRDefault="00CE508B" w:rsidP="00D730B6">
            <w:pPr>
              <w:pStyle w:val="SRCQn"/>
              <w:keepNext/>
              <w:keepLines/>
              <w:ind w:left="0" w:right="32" w:firstLine="0"/>
              <w:rPr>
                <w:rFonts w:asciiTheme="minorHAnsi" w:hAnsiTheme="minorHAnsi" w:cstheme="minorHAnsi"/>
              </w:rPr>
            </w:pPr>
            <w:r w:rsidRPr="002D06BE">
              <w:rPr>
                <w:rFonts w:asciiTheme="minorHAnsi" w:hAnsiTheme="minorHAnsi" w:cstheme="minorHAnsi"/>
              </w:rPr>
              <w:t>They were not understanding and sympathetic</w:t>
            </w:r>
          </w:p>
        </w:tc>
        <w:tc>
          <w:tcPr>
            <w:tcW w:w="1606" w:type="dxa"/>
          </w:tcPr>
          <w:p w14:paraId="65C35739" w14:textId="31CB1A4C"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64%</w:t>
            </w:r>
          </w:p>
        </w:tc>
        <w:tc>
          <w:tcPr>
            <w:tcW w:w="1607" w:type="dxa"/>
          </w:tcPr>
          <w:p w14:paraId="6C97D356" w14:textId="30F31457"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57%</w:t>
            </w:r>
          </w:p>
        </w:tc>
        <w:tc>
          <w:tcPr>
            <w:tcW w:w="1607" w:type="dxa"/>
          </w:tcPr>
          <w:p w14:paraId="7371E46A" w14:textId="78602245"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62%</w:t>
            </w:r>
          </w:p>
        </w:tc>
      </w:tr>
      <w:tr w:rsidR="00726CED" w14:paraId="214BAAF3" w14:textId="6992A6B9" w:rsidTr="000879B5">
        <w:trPr>
          <w:trHeight w:val="234"/>
        </w:trPr>
        <w:tc>
          <w:tcPr>
            <w:cnfStyle w:val="001000000000" w:firstRow="0" w:lastRow="0" w:firstColumn="1" w:lastColumn="0" w:oddVBand="0" w:evenVBand="0" w:oddHBand="0" w:evenHBand="0" w:firstRowFirstColumn="0" w:firstRowLastColumn="0" w:lastRowFirstColumn="0" w:lastRowLastColumn="0"/>
            <w:tcW w:w="4536" w:type="dxa"/>
          </w:tcPr>
          <w:p w14:paraId="47E67E4A" w14:textId="78C14AD2" w:rsidR="00726CED" w:rsidRPr="002D06BE" w:rsidRDefault="00726CED" w:rsidP="00D730B6">
            <w:pPr>
              <w:pStyle w:val="SRCQn"/>
              <w:keepNext/>
              <w:keepLines/>
              <w:ind w:left="0" w:right="-960" w:firstLine="0"/>
              <w:rPr>
                <w:rFonts w:asciiTheme="minorHAnsi" w:hAnsiTheme="minorHAnsi" w:cstheme="minorHAnsi"/>
              </w:rPr>
            </w:pPr>
            <w:r w:rsidRPr="002D06BE">
              <w:rPr>
                <w:rFonts w:asciiTheme="minorHAnsi" w:hAnsiTheme="minorHAnsi" w:cstheme="minorHAnsi"/>
              </w:rPr>
              <w:t>They were dismissive of the problem</w:t>
            </w:r>
          </w:p>
        </w:tc>
        <w:tc>
          <w:tcPr>
            <w:tcW w:w="1606" w:type="dxa"/>
          </w:tcPr>
          <w:p w14:paraId="7087B585" w14:textId="741F4E9C"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56%</w:t>
            </w:r>
          </w:p>
        </w:tc>
        <w:tc>
          <w:tcPr>
            <w:tcW w:w="1607" w:type="dxa"/>
          </w:tcPr>
          <w:p w14:paraId="7E94DE18" w14:textId="5A35C511"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51%</w:t>
            </w:r>
          </w:p>
        </w:tc>
        <w:tc>
          <w:tcPr>
            <w:tcW w:w="1607" w:type="dxa"/>
          </w:tcPr>
          <w:p w14:paraId="3A12E877" w14:textId="75CFDBED"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54%</w:t>
            </w:r>
          </w:p>
        </w:tc>
      </w:tr>
      <w:tr w:rsidR="00CE508B" w14:paraId="17C448C3" w14:textId="0BC404EA" w:rsidTr="000879B5">
        <w:trPr>
          <w:trHeight w:val="231"/>
        </w:trPr>
        <w:tc>
          <w:tcPr>
            <w:cnfStyle w:val="001000000000" w:firstRow="0" w:lastRow="0" w:firstColumn="1" w:lastColumn="0" w:oddVBand="0" w:evenVBand="0" w:oddHBand="0" w:evenHBand="0" w:firstRowFirstColumn="0" w:firstRowLastColumn="0" w:lastRowFirstColumn="0" w:lastRowLastColumn="0"/>
            <w:tcW w:w="4536" w:type="dxa"/>
          </w:tcPr>
          <w:p w14:paraId="6EE9FB06" w14:textId="45862500" w:rsidR="00CE508B" w:rsidRPr="002D06BE" w:rsidRDefault="00CE508B" w:rsidP="00D730B6">
            <w:pPr>
              <w:pStyle w:val="SRCQn"/>
              <w:keepNext/>
              <w:keepLines/>
              <w:ind w:left="0" w:right="-114" w:firstLine="0"/>
              <w:rPr>
                <w:rFonts w:asciiTheme="minorHAnsi" w:hAnsiTheme="minorHAnsi" w:cstheme="minorHAnsi"/>
              </w:rPr>
            </w:pPr>
            <w:r w:rsidRPr="002D06BE">
              <w:rPr>
                <w:rFonts w:asciiTheme="minorHAnsi" w:hAnsiTheme="minorHAnsi" w:cstheme="minorHAnsi"/>
              </w:rPr>
              <w:t xml:space="preserve">They avoided or cut contact with me </w:t>
            </w:r>
          </w:p>
        </w:tc>
        <w:tc>
          <w:tcPr>
            <w:tcW w:w="1606" w:type="dxa"/>
          </w:tcPr>
          <w:p w14:paraId="215011B6" w14:textId="464652B5"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26%</w:t>
            </w:r>
          </w:p>
        </w:tc>
        <w:tc>
          <w:tcPr>
            <w:tcW w:w="1607" w:type="dxa"/>
          </w:tcPr>
          <w:p w14:paraId="0399404C" w14:textId="12DFBE34"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51%</w:t>
            </w:r>
          </w:p>
        </w:tc>
        <w:tc>
          <w:tcPr>
            <w:tcW w:w="1607" w:type="dxa"/>
          </w:tcPr>
          <w:p w14:paraId="79FD3E06" w14:textId="2C907934" w:rsidR="00CE508B" w:rsidRPr="002D06BE" w:rsidRDefault="00CE508B"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18%</w:t>
            </w:r>
          </w:p>
        </w:tc>
      </w:tr>
      <w:tr w:rsidR="00726CED" w14:paraId="5A5F9907" w14:textId="5E836507" w:rsidTr="000879B5">
        <w:trPr>
          <w:trHeight w:val="234"/>
        </w:trPr>
        <w:tc>
          <w:tcPr>
            <w:cnfStyle w:val="001000000000" w:firstRow="0" w:lastRow="0" w:firstColumn="1" w:lastColumn="0" w:oddVBand="0" w:evenVBand="0" w:oddHBand="0" w:evenHBand="0" w:firstRowFirstColumn="0" w:firstRowLastColumn="0" w:lastRowFirstColumn="0" w:lastRowLastColumn="0"/>
            <w:tcW w:w="4536" w:type="dxa"/>
          </w:tcPr>
          <w:p w14:paraId="60282BEB" w14:textId="5CCF69B1" w:rsidR="00726CED" w:rsidRPr="002D06BE" w:rsidRDefault="00726CED" w:rsidP="00D730B6">
            <w:pPr>
              <w:pStyle w:val="SRCQn"/>
              <w:keepNext/>
              <w:keepLines/>
              <w:ind w:left="0" w:right="-1078" w:firstLine="0"/>
              <w:rPr>
                <w:rFonts w:asciiTheme="minorHAnsi" w:hAnsiTheme="minorHAnsi" w:cstheme="minorHAnsi"/>
              </w:rPr>
            </w:pPr>
            <w:r w:rsidRPr="002D06BE">
              <w:rPr>
                <w:rFonts w:asciiTheme="minorHAnsi" w:hAnsiTheme="minorHAnsi" w:cstheme="minorHAnsi"/>
              </w:rPr>
              <w:t>They were judgemental</w:t>
            </w:r>
          </w:p>
        </w:tc>
        <w:tc>
          <w:tcPr>
            <w:tcW w:w="1606" w:type="dxa"/>
          </w:tcPr>
          <w:p w14:paraId="0029B05D" w14:textId="57A3291A"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50%</w:t>
            </w:r>
          </w:p>
        </w:tc>
        <w:tc>
          <w:tcPr>
            <w:tcW w:w="1607" w:type="dxa"/>
          </w:tcPr>
          <w:p w14:paraId="03F9DA26" w14:textId="75BFC219"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49%</w:t>
            </w:r>
          </w:p>
        </w:tc>
        <w:tc>
          <w:tcPr>
            <w:tcW w:w="1607" w:type="dxa"/>
          </w:tcPr>
          <w:p w14:paraId="71C7A83B" w14:textId="63F6F13C"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40%</w:t>
            </w:r>
          </w:p>
        </w:tc>
      </w:tr>
      <w:tr w:rsidR="00726CED" w14:paraId="496C7AB1" w14:textId="5C38FBFF" w:rsidTr="000879B5">
        <w:trPr>
          <w:trHeight w:val="223"/>
        </w:trPr>
        <w:tc>
          <w:tcPr>
            <w:cnfStyle w:val="001000000000" w:firstRow="0" w:lastRow="0" w:firstColumn="1" w:lastColumn="0" w:oddVBand="0" w:evenVBand="0" w:oddHBand="0" w:evenHBand="0" w:firstRowFirstColumn="0" w:firstRowLastColumn="0" w:lastRowFirstColumn="0" w:lastRowLastColumn="0"/>
            <w:tcW w:w="4536" w:type="dxa"/>
          </w:tcPr>
          <w:p w14:paraId="207E990F" w14:textId="724E8F30" w:rsidR="00726CED" w:rsidRPr="002D06BE" w:rsidRDefault="00726CED" w:rsidP="00D730B6">
            <w:pPr>
              <w:pStyle w:val="SRCQn"/>
              <w:keepNext/>
              <w:keepLines/>
              <w:ind w:left="0" w:right="-1078" w:firstLine="0"/>
              <w:rPr>
                <w:rFonts w:asciiTheme="minorHAnsi" w:hAnsiTheme="minorHAnsi" w:cstheme="minorHAnsi"/>
              </w:rPr>
            </w:pPr>
            <w:r w:rsidRPr="002D06BE">
              <w:rPr>
                <w:rFonts w:asciiTheme="minorHAnsi" w:hAnsiTheme="minorHAnsi" w:cstheme="minorHAnsi"/>
              </w:rPr>
              <w:t>They were insulting towards me</w:t>
            </w:r>
          </w:p>
        </w:tc>
        <w:tc>
          <w:tcPr>
            <w:tcW w:w="1606" w:type="dxa"/>
          </w:tcPr>
          <w:p w14:paraId="33C28B73" w14:textId="46A29699"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27%</w:t>
            </w:r>
          </w:p>
        </w:tc>
        <w:tc>
          <w:tcPr>
            <w:tcW w:w="1607" w:type="dxa"/>
          </w:tcPr>
          <w:p w14:paraId="311C8922" w14:textId="1000329C"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21%</w:t>
            </w:r>
          </w:p>
        </w:tc>
        <w:tc>
          <w:tcPr>
            <w:tcW w:w="1607" w:type="dxa"/>
          </w:tcPr>
          <w:p w14:paraId="11285236" w14:textId="144A6BD4"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33%</w:t>
            </w:r>
          </w:p>
        </w:tc>
      </w:tr>
      <w:tr w:rsidR="00726CED" w14:paraId="0A7D2C88" w14:textId="5FA21BAC" w:rsidTr="000879B5">
        <w:trPr>
          <w:trHeight w:val="234"/>
        </w:trPr>
        <w:tc>
          <w:tcPr>
            <w:cnfStyle w:val="001000000000" w:firstRow="0" w:lastRow="0" w:firstColumn="1" w:lastColumn="0" w:oddVBand="0" w:evenVBand="0" w:oddHBand="0" w:evenHBand="0" w:firstRowFirstColumn="0" w:firstRowLastColumn="0" w:lastRowFirstColumn="0" w:lastRowLastColumn="0"/>
            <w:tcW w:w="4536" w:type="dxa"/>
          </w:tcPr>
          <w:p w14:paraId="61ABAFD1" w14:textId="45DDC023" w:rsidR="00726CED" w:rsidRPr="002D06BE" w:rsidRDefault="00726CED" w:rsidP="00D730B6">
            <w:pPr>
              <w:pStyle w:val="SRCQn"/>
              <w:keepNext/>
              <w:keepLines/>
              <w:ind w:left="0" w:right="-1078" w:firstLine="0"/>
              <w:rPr>
                <w:rFonts w:asciiTheme="minorHAnsi" w:hAnsiTheme="minorHAnsi" w:cstheme="minorHAnsi"/>
              </w:rPr>
            </w:pPr>
            <w:r w:rsidRPr="002D06BE">
              <w:rPr>
                <w:rFonts w:asciiTheme="minorHAnsi" w:hAnsiTheme="minorHAnsi" w:cstheme="minorHAnsi"/>
              </w:rPr>
              <w:t>They got angry at me</w:t>
            </w:r>
          </w:p>
        </w:tc>
        <w:tc>
          <w:tcPr>
            <w:tcW w:w="1606" w:type="dxa"/>
          </w:tcPr>
          <w:p w14:paraId="1284C4C3" w14:textId="06E40A48"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28%</w:t>
            </w:r>
          </w:p>
        </w:tc>
        <w:tc>
          <w:tcPr>
            <w:tcW w:w="1607" w:type="dxa"/>
          </w:tcPr>
          <w:p w14:paraId="3AD38421" w14:textId="404B4C2E"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20%</w:t>
            </w:r>
          </w:p>
        </w:tc>
        <w:tc>
          <w:tcPr>
            <w:tcW w:w="1607" w:type="dxa"/>
          </w:tcPr>
          <w:p w14:paraId="690C89B2" w14:textId="5E1E174E"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34%</w:t>
            </w:r>
          </w:p>
        </w:tc>
      </w:tr>
      <w:tr w:rsidR="00726CED" w14:paraId="5438363B" w14:textId="48BB8798" w:rsidTr="000879B5">
        <w:trPr>
          <w:trHeight w:val="223"/>
        </w:trPr>
        <w:tc>
          <w:tcPr>
            <w:cnfStyle w:val="001000000000" w:firstRow="0" w:lastRow="0" w:firstColumn="1" w:lastColumn="0" w:oddVBand="0" w:evenVBand="0" w:oddHBand="0" w:evenHBand="0" w:firstRowFirstColumn="0" w:firstRowLastColumn="0" w:lastRowFirstColumn="0" w:lastRowLastColumn="0"/>
            <w:tcW w:w="4536" w:type="dxa"/>
          </w:tcPr>
          <w:p w14:paraId="7F222004" w14:textId="03E87CA6" w:rsidR="00726CED" w:rsidRPr="002D06BE" w:rsidRDefault="00726CED" w:rsidP="00D730B6">
            <w:pPr>
              <w:pStyle w:val="SRCQn"/>
              <w:keepNext/>
              <w:keepLines/>
              <w:ind w:left="0" w:right="-1078" w:firstLine="0"/>
              <w:rPr>
                <w:rFonts w:asciiTheme="minorHAnsi" w:hAnsiTheme="minorHAnsi" w:cstheme="minorHAnsi"/>
              </w:rPr>
            </w:pPr>
            <w:r w:rsidRPr="002D06BE">
              <w:rPr>
                <w:rFonts w:asciiTheme="minorHAnsi" w:hAnsiTheme="minorHAnsi" w:cstheme="minorHAnsi"/>
              </w:rPr>
              <w:t>Other</w:t>
            </w:r>
          </w:p>
        </w:tc>
        <w:tc>
          <w:tcPr>
            <w:tcW w:w="1606" w:type="dxa"/>
          </w:tcPr>
          <w:p w14:paraId="5B3325A6" w14:textId="72BACC90"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w:t>
            </w:r>
          </w:p>
        </w:tc>
        <w:tc>
          <w:tcPr>
            <w:tcW w:w="1607" w:type="dxa"/>
          </w:tcPr>
          <w:p w14:paraId="32439854" w14:textId="647C8DD3"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w:t>
            </w:r>
          </w:p>
        </w:tc>
        <w:tc>
          <w:tcPr>
            <w:tcW w:w="1607" w:type="dxa"/>
          </w:tcPr>
          <w:p w14:paraId="5D4DB858" w14:textId="55FBF72E"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p>
        </w:tc>
      </w:tr>
      <w:tr w:rsidR="00726CED" w14:paraId="10985956" w14:textId="785DB125" w:rsidTr="000879B5">
        <w:trPr>
          <w:trHeight w:val="234"/>
        </w:trPr>
        <w:tc>
          <w:tcPr>
            <w:cnfStyle w:val="001000000000" w:firstRow="0" w:lastRow="0" w:firstColumn="1" w:lastColumn="0" w:oddVBand="0" w:evenVBand="0" w:oddHBand="0" w:evenHBand="0" w:firstRowFirstColumn="0" w:firstRowLastColumn="0" w:lastRowFirstColumn="0" w:lastRowLastColumn="0"/>
            <w:tcW w:w="4536" w:type="dxa"/>
          </w:tcPr>
          <w:p w14:paraId="0B8568FA" w14:textId="2168F3D0" w:rsidR="00726CED" w:rsidRPr="002D06BE" w:rsidRDefault="00726CED" w:rsidP="00D730B6">
            <w:pPr>
              <w:pStyle w:val="SRCQn"/>
              <w:keepNext/>
              <w:keepLines/>
              <w:ind w:left="0" w:right="-1078" w:firstLine="0"/>
              <w:rPr>
                <w:rFonts w:asciiTheme="minorHAnsi" w:hAnsiTheme="minorHAnsi" w:cstheme="minorHAnsi"/>
                <w:i/>
              </w:rPr>
            </w:pPr>
            <w:r w:rsidRPr="002D06BE">
              <w:rPr>
                <w:rFonts w:asciiTheme="minorHAnsi" w:hAnsiTheme="minorHAnsi" w:cstheme="minorHAnsi"/>
              </w:rPr>
              <w:t>Don’t know / Prefer not to say</w:t>
            </w:r>
          </w:p>
        </w:tc>
        <w:tc>
          <w:tcPr>
            <w:tcW w:w="1606" w:type="dxa"/>
          </w:tcPr>
          <w:p w14:paraId="1818F5BF" w14:textId="3C3043F6"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w:t>
            </w:r>
          </w:p>
        </w:tc>
        <w:tc>
          <w:tcPr>
            <w:tcW w:w="1607" w:type="dxa"/>
          </w:tcPr>
          <w:p w14:paraId="7118E7EB" w14:textId="22B3E3DC"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w:t>
            </w:r>
          </w:p>
        </w:tc>
        <w:tc>
          <w:tcPr>
            <w:tcW w:w="1607" w:type="dxa"/>
          </w:tcPr>
          <w:p w14:paraId="3D61C876" w14:textId="50DBF72F" w:rsidR="00726CED" w:rsidRPr="002D06BE" w:rsidRDefault="00726CED" w:rsidP="00D730B6">
            <w:pPr>
              <w:pStyle w:val="SRCQn"/>
              <w:keepNext/>
              <w:keepLines/>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p>
        </w:tc>
      </w:tr>
    </w:tbl>
    <w:p w14:paraId="44FF35F8" w14:textId="763D0644" w:rsidR="001125D4" w:rsidRPr="0056196F" w:rsidRDefault="001125D4" w:rsidP="00D730B6">
      <w:pPr>
        <w:keepNext/>
        <w:keepLines/>
        <w:ind w:right="-1078"/>
        <w:rPr>
          <w:i/>
          <w:szCs w:val="20"/>
        </w:rPr>
      </w:pPr>
      <w:r w:rsidRPr="0056196F">
        <w:rPr>
          <w:i/>
          <w:szCs w:val="20"/>
        </w:rPr>
        <w:t>Note: Column</w:t>
      </w:r>
      <w:r>
        <w:rPr>
          <w:i/>
          <w:szCs w:val="20"/>
        </w:rPr>
        <w:t>s sum</w:t>
      </w:r>
      <w:r w:rsidRPr="0056196F">
        <w:rPr>
          <w:i/>
          <w:szCs w:val="20"/>
        </w:rPr>
        <w:t xml:space="preserve"> to greater than 100 percent because respondents were asked to select all that apply. </w:t>
      </w:r>
    </w:p>
    <w:p w14:paraId="0C852CEC" w14:textId="77777777" w:rsidR="00D730B6" w:rsidRDefault="00D730B6">
      <w:pPr>
        <w:spacing w:after="0" w:line="240" w:lineRule="auto"/>
      </w:pPr>
      <w:r>
        <w:br w:type="page"/>
      </w:r>
    </w:p>
    <w:p w14:paraId="00844111" w14:textId="1FC610F4" w:rsidR="00D730B6" w:rsidRDefault="00EB23BA" w:rsidP="005E6652">
      <w:pPr>
        <w:keepNext/>
        <w:ind w:right="-1078"/>
      </w:pPr>
      <w:r>
        <w:lastRenderedPageBreak/>
        <w:t>W</w:t>
      </w:r>
      <w:r w:rsidR="005E6652" w:rsidRPr="005E6652">
        <w:t>e also asked</w:t>
      </w:r>
      <w:r>
        <w:t xml:space="preserve"> respondents</w:t>
      </w:r>
      <w:r w:rsidR="005E6652" w:rsidRPr="005E6652">
        <w:t xml:space="preserve"> </w:t>
      </w:r>
      <w:r w:rsidR="005E6652" w:rsidRPr="007F194A">
        <w:t>whether people had treated them more positively than they normally do</w:t>
      </w:r>
      <w:r w:rsidR="00377927">
        <w:t xml:space="preserve"> </w:t>
      </w:r>
      <w:r w:rsidR="00377927" w:rsidRPr="007F194A">
        <w:t xml:space="preserve">in response to their recent </w:t>
      </w:r>
      <w:r w:rsidR="006071F9">
        <w:t>personal lived experience</w:t>
      </w:r>
      <w:r w:rsidR="006071F9" w:rsidRPr="007F194A">
        <w:t xml:space="preserve"> </w:t>
      </w:r>
      <w:r w:rsidR="005E6652" w:rsidRPr="007F194A">
        <w:t>(</w:t>
      </w:r>
      <w:r w:rsidR="00377927">
        <w:t>See Box 3 regarding how this was framed in the survey).</w:t>
      </w:r>
      <w:r w:rsidR="005E6652" w:rsidRPr="007F194A">
        <w:t xml:space="preserve"> Just over half indicated their family or friends had treated them more positively. </w:t>
      </w:r>
    </w:p>
    <w:p w14:paraId="368A84A0" w14:textId="05DB1A17" w:rsidR="008F79C7" w:rsidRDefault="008F79C7" w:rsidP="008F79C7">
      <w:pPr>
        <w:pStyle w:val="EmphasisPanelBody"/>
        <w:ind w:left="284" w:right="-794"/>
      </w:pPr>
      <w:r w:rsidRPr="00783C3B">
        <w:rPr>
          <w:b/>
        </w:rPr>
        <w:t xml:space="preserve">Box </w:t>
      </w:r>
      <w:r w:rsidR="00377927">
        <w:rPr>
          <w:b/>
        </w:rPr>
        <w:t>3</w:t>
      </w:r>
      <w:r w:rsidR="00EB23BA">
        <w:t>. ‘M</w:t>
      </w:r>
      <w:r>
        <w:t>ore positively’</w:t>
      </w:r>
    </w:p>
    <w:p w14:paraId="44498F92" w14:textId="6C0FF70B" w:rsidR="008F79C7" w:rsidRDefault="008F79C7" w:rsidP="008F79C7">
      <w:pPr>
        <w:pStyle w:val="EmphasisPanelBody"/>
        <w:ind w:left="284" w:right="-794"/>
      </w:pPr>
      <w:r>
        <w:t>To be clear what we meant by ‘more positively’, we supplied the following text in the survey:</w:t>
      </w:r>
    </w:p>
    <w:p w14:paraId="4A939CF0" w14:textId="77777777" w:rsidR="001125D4" w:rsidRDefault="008F79C7" w:rsidP="001125D4">
      <w:pPr>
        <w:pStyle w:val="EmphasisPanelBody"/>
        <w:ind w:left="284" w:right="-794"/>
        <w:rPr>
          <w:i/>
        </w:rPr>
      </w:pPr>
      <w:r w:rsidRPr="008F79C7">
        <w:rPr>
          <w:i/>
        </w:rPr>
        <w:t>“Being treated “more positively” is relative to how you were treated by a person before they were aware of your mental health problem or compared to how they treat people who don’t have a mental health problem”</w:t>
      </w:r>
    </w:p>
    <w:p w14:paraId="349C3B84" w14:textId="77777777" w:rsidR="001125D4" w:rsidRPr="001125D4" w:rsidRDefault="001125D4" w:rsidP="001125D4">
      <w:pPr>
        <w:ind w:right="-1078"/>
      </w:pPr>
      <w:r w:rsidRPr="007F194A">
        <w:t xml:space="preserve">As shown in Table </w:t>
      </w:r>
      <w:r>
        <w:t>6</w:t>
      </w:r>
      <w:r w:rsidRPr="007F194A">
        <w:t xml:space="preserve">, this can be further broken down into those who said it was ‘a little bit’, ‘moderately’ or ‘a lot’ more positive. Around one in four reported ‘not at all’, and one in five reported the question was </w:t>
      </w:r>
      <w:r>
        <w:t>‘n</w:t>
      </w:r>
      <w:r w:rsidRPr="007F194A">
        <w:t>ot applicable</w:t>
      </w:r>
      <w:r>
        <w:t>’ to them.</w:t>
      </w:r>
    </w:p>
    <w:p w14:paraId="68A40EFE" w14:textId="2C122179" w:rsidR="001125D4" w:rsidRPr="007F194A" w:rsidRDefault="001125D4" w:rsidP="004B77DE">
      <w:pPr>
        <w:ind w:right="-1078"/>
      </w:pPr>
      <w:r w:rsidRPr="00783C3B">
        <w:rPr>
          <w:b/>
        </w:rPr>
        <w:t>Table 6</w:t>
      </w:r>
      <w:r>
        <w:t>.</w:t>
      </w:r>
      <w:r w:rsidRPr="007F194A">
        <w:t xml:space="preserve"> </w:t>
      </w:r>
      <w:r>
        <w:t xml:space="preserve">Proportion of people with recent </w:t>
      </w:r>
      <w:r w:rsidR="006071F9">
        <w:t xml:space="preserve">personal lived experience </w:t>
      </w:r>
      <w:r>
        <w:t>reporting the extent to which they were</w:t>
      </w:r>
      <w:r w:rsidRPr="007F194A">
        <w:t xml:space="preserve"> treated ‘more positively’ by family and friends</w:t>
      </w:r>
    </w:p>
    <w:tbl>
      <w:tblPr>
        <w:tblStyle w:val="DefaultTable"/>
        <w:tblW w:w="9356" w:type="dxa"/>
        <w:tblLook w:val="04A0" w:firstRow="1" w:lastRow="0" w:firstColumn="1" w:lastColumn="0" w:noHBand="0" w:noVBand="1"/>
        <w:tblCaption w:val="Table 6. Proportion of people with recent personal lived experience reporting the extent to which they were treated ‘more positively’ by family and friends"/>
        <w:tblDescription w:val="Table 6 depicts the poportion of people with recent personal lived experience reporting the extent to which they were treated ‘more positively’ by family and friends. The table is broken down into those who said it was 'a little bit', 'moderatley' or 'a lot' more positive. The table also captured the extent to which people with personal lived experience reported 'not at all' or that the question was 'not applicable' to them. When questioned if they were treated more positivley by family, including a partner or spouse, 17% of respondents said 'a lot', 17% reported 'moderatley', 23% reported 'a little', 26% reported 'not at all' and 17% answered the question was 'not appicable' to them. When questioned if they were treated more positivley by friends, 13% of respondents said 'a lot', 17% reported 'moderatley', 23% reported 'a little', 26% reported 'not at all' and 22% answered the question was 'not appicable' to them. "/>
      </w:tblPr>
      <w:tblGrid>
        <w:gridCol w:w="4253"/>
        <w:gridCol w:w="803"/>
        <w:gridCol w:w="1418"/>
        <w:gridCol w:w="988"/>
        <w:gridCol w:w="1267"/>
        <w:gridCol w:w="627"/>
      </w:tblGrid>
      <w:tr w:rsidR="001125D4" w:rsidRPr="007F194A" w14:paraId="763FB424" w14:textId="77777777" w:rsidTr="00322774">
        <w:trPr>
          <w:cnfStyle w:val="100000000000" w:firstRow="1" w:lastRow="0" w:firstColumn="0" w:lastColumn="0" w:oddVBand="0" w:evenVBand="0" w:oddHBand="0" w:evenHBand="0" w:firstRowFirstColumn="0" w:firstRowLastColumn="0" w:lastRowFirstColumn="0" w:lastRowLastColumn="0"/>
          <w:trHeight w:val="492"/>
          <w:tblHeader/>
        </w:trPr>
        <w:tc>
          <w:tcPr>
            <w:cnfStyle w:val="001000000000" w:firstRow="0" w:lastRow="0" w:firstColumn="1" w:lastColumn="0" w:oddVBand="0" w:evenVBand="0" w:oddHBand="0" w:evenHBand="0" w:firstRowFirstColumn="0" w:firstRowLastColumn="0" w:lastRowFirstColumn="0" w:lastRowLastColumn="0"/>
            <w:tcW w:w="4253" w:type="dxa"/>
          </w:tcPr>
          <w:p w14:paraId="78E01085" w14:textId="77777777" w:rsidR="001125D4" w:rsidRPr="002D06BE" w:rsidRDefault="001125D4" w:rsidP="001125D4">
            <w:pPr>
              <w:pStyle w:val="SRCQn"/>
              <w:ind w:left="0" w:firstLine="0"/>
              <w:rPr>
                <w:rFonts w:asciiTheme="minorHAnsi" w:hAnsiTheme="minorHAnsi" w:cstheme="minorHAnsi"/>
                <w:b w:val="0"/>
                <w:sz w:val="20"/>
              </w:rPr>
            </w:pPr>
            <w:r w:rsidRPr="002D06BE">
              <w:rPr>
                <w:rFonts w:asciiTheme="minorHAnsi" w:hAnsiTheme="minorHAnsi" w:cstheme="minorHAnsi"/>
              </w:rPr>
              <w:t>Domain</w:t>
            </w:r>
          </w:p>
        </w:tc>
        <w:tc>
          <w:tcPr>
            <w:tcW w:w="803" w:type="dxa"/>
          </w:tcPr>
          <w:p w14:paraId="46E6ADE2" w14:textId="77777777" w:rsidR="001125D4" w:rsidRPr="002D06BE" w:rsidRDefault="001125D4" w:rsidP="001125D4">
            <w:pPr>
              <w:pStyle w:val="SRCQn"/>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A lot</w:t>
            </w:r>
          </w:p>
        </w:tc>
        <w:tc>
          <w:tcPr>
            <w:tcW w:w="1418" w:type="dxa"/>
          </w:tcPr>
          <w:p w14:paraId="1AA9A2C7" w14:textId="77777777" w:rsidR="001125D4" w:rsidRPr="002D06BE" w:rsidRDefault="001125D4" w:rsidP="001125D4">
            <w:pPr>
              <w:pStyle w:val="SRCQn"/>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Moderately</w:t>
            </w:r>
          </w:p>
        </w:tc>
        <w:tc>
          <w:tcPr>
            <w:tcW w:w="988" w:type="dxa"/>
          </w:tcPr>
          <w:p w14:paraId="78D66071" w14:textId="77777777" w:rsidR="001125D4" w:rsidRPr="002D06BE" w:rsidRDefault="001125D4" w:rsidP="001125D4">
            <w:pPr>
              <w:pStyle w:val="SRCQn"/>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A little</w:t>
            </w:r>
          </w:p>
        </w:tc>
        <w:tc>
          <w:tcPr>
            <w:tcW w:w="1267" w:type="dxa"/>
          </w:tcPr>
          <w:p w14:paraId="533EB913" w14:textId="77777777" w:rsidR="001125D4" w:rsidRPr="002D06BE" w:rsidRDefault="001125D4" w:rsidP="001125D4">
            <w:pPr>
              <w:pStyle w:val="SRCQn"/>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Not at all</w:t>
            </w:r>
          </w:p>
        </w:tc>
        <w:tc>
          <w:tcPr>
            <w:tcW w:w="627" w:type="dxa"/>
          </w:tcPr>
          <w:p w14:paraId="284EE8A4" w14:textId="77777777" w:rsidR="001125D4" w:rsidRPr="002D06BE" w:rsidRDefault="001125D4" w:rsidP="001125D4">
            <w:pPr>
              <w:pStyle w:val="SRCQn"/>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2D06BE">
              <w:rPr>
                <w:rFonts w:asciiTheme="minorHAnsi" w:hAnsiTheme="minorHAnsi" w:cstheme="minorHAnsi"/>
              </w:rPr>
              <w:t>NA</w:t>
            </w:r>
          </w:p>
        </w:tc>
      </w:tr>
      <w:tr w:rsidR="001125D4" w:rsidRPr="007F194A" w14:paraId="5B01DB65" w14:textId="77777777" w:rsidTr="00DB416B">
        <w:trPr>
          <w:trHeight w:val="251"/>
        </w:trPr>
        <w:tc>
          <w:tcPr>
            <w:cnfStyle w:val="001000000000" w:firstRow="0" w:lastRow="0" w:firstColumn="1" w:lastColumn="0" w:oddVBand="0" w:evenVBand="0" w:oddHBand="0" w:evenHBand="0" w:firstRowFirstColumn="0" w:firstRowLastColumn="0" w:lastRowFirstColumn="0" w:lastRowLastColumn="0"/>
            <w:tcW w:w="4253" w:type="dxa"/>
          </w:tcPr>
          <w:p w14:paraId="04EEBDBF" w14:textId="77777777" w:rsidR="001125D4" w:rsidRPr="002D06BE" w:rsidRDefault="001125D4" w:rsidP="001125D4">
            <w:pPr>
              <w:pStyle w:val="SRCQn"/>
              <w:ind w:left="0" w:firstLine="0"/>
              <w:rPr>
                <w:rFonts w:asciiTheme="minorHAnsi" w:hAnsiTheme="minorHAnsi" w:cstheme="minorHAnsi"/>
              </w:rPr>
            </w:pPr>
            <w:r w:rsidRPr="002D06BE">
              <w:rPr>
                <w:rFonts w:asciiTheme="minorHAnsi" w:hAnsiTheme="minorHAnsi" w:cstheme="minorHAnsi"/>
                <w:color w:val="191919"/>
              </w:rPr>
              <w:t>Treated more positively by family, including your spouse / partner</w:t>
            </w:r>
          </w:p>
        </w:tc>
        <w:tc>
          <w:tcPr>
            <w:tcW w:w="803" w:type="dxa"/>
          </w:tcPr>
          <w:p w14:paraId="55F1F4D1"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17%</w:t>
            </w:r>
          </w:p>
        </w:tc>
        <w:tc>
          <w:tcPr>
            <w:tcW w:w="1418" w:type="dxa"/>
          </w:tcPr>
          <w:p w14:paraId="3E49EB1D"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17%</w:t>
            </w:r>
          </w:p>
        </w:tc>
        <w:tc>
          <w:tcPr>
            <w:tcW w:w="988" w:type="dxa"/>
          </w:tcPr>
          <w:p w14:paraId="34CD94AC"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23%</w:t>
            </w:r>
          </w:p>
        </w:tc>
        <w:tc>
          <w:tcPr>
            <w:tcW w:w="1267" w:type="dxa"/>
          </w:tcPr>
          <w:p w14:paraId="4DCD5BDB"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26%</w:t>
            </w:r>
          </w:p>
        </w:tc>
        <w:tc>
          <w:tcPr>
            <w:tcW w:w="627" w:type="dxa"/>
          </w:tcPr>
          <w:p w14:paraId="5A49C470"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17%</w:t>
            </w:r>
          </w:p>
        </w:tc>
      </w:tr>
      <w:tr w:rsidR="001125D4" w:rsidRPr="007F194A" w14:paraId="61070638" w14:textId="77777777" w:rsidTr="00DB416B">
        <w:trPr>
          <w:trHeight w:val="251"/>
        </w:trPr>
        <w:tc>
          <w:tcPr>
            <w:cnfStyle w:val="001000000000" w:firstRow="0" w:lastRow="0" w:firstColumn="1" w:lastColumn="0" w:oddVBand="0" w:evenVBand="0" w:oddHBand="0" w:evenHBand="0" w:firstRowFirstColumn="0" w:firstRowLastColumn="0" w:lastRowFirstColumn="0" w:lastRowLastColumn="0"/>
            <w:tcW w:w="4253" w:type="dxa"/>
          </w:tcPr>
          <w:p w14:paraId="714AA24E" w14:textId="77777777" w:rsidR="001125D4" w:rsidRPr="002D06BE" w:rsidRDefault="001125D4" w:rsidP="001125D4">
            <w:pPr>
              <w:pStyle w:val="SRCQn"/>
              <w:ind w:left="0" w:firstLine="0"/>
              <w:rPr>
                <w:rFonts w:asciiTheme="minorHAnsi" w:hAnsiTheme="minorHAnsi" w:cstheme="minorHAnsi"/>
              </w:rPr>
            </w:pPr>
            <w:r w:rsidRPr="002D06BE">
              <w:rPr>
                <w:rFonts w:asciiTheme="minorHAnsi" w:hAnsiTheme="minorHAnsi" w:cstheme="minorHAnsi"/>
                <w:color w:val="191919"/>
              </w:rPr>
              <w:t>Treated more positively by friends</w:t>
            </w:r>
          </w:p>
        </w:tc>
        <w:tc>
          <w:tcPr>
            <w:tcW w:w="803" w:type="dxa"/>
          </w:tcPr>
          <w:p w14:paraId="57418AC3"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13%</w:t>
            </w:r>
          </w:p>
        </w:tc>
        <w:tc>
          <w:tcPr>
            <w:tcW w:w="1418" w:type="dxa"/>
          </w:tcPr>
          <w:p w14:paraId="08754192"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17%</w:t>
            </w:r>
          </w:p>
        </w:tc>
        <w:tc>
          <w:tcPr>
            <w:tcW w:w="988" w:type="dxa"/>
          </w:tcPr>
          <w:p w14:paraId="156132A4"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23%</w:t>
            </w:r>
          </w:p>
        </w:tc>
        <w:tc>
          <w:tcPr>
            <w:tcW w:w="1267" w:type="dxa"/>
          </w:tcPr>
          <w:p w14:paraId="4CE084AF"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26%</w:t>
            </w:r>
          </w:p>
        </w:tc>
        <w:tc>
          <w:tcPr>
            <w:tcW w:w="627" w:type="dxa"/>
          </w:tcPr>
          <w:p w14:paraId="5C4F15DF" w14:textId="77777777" w:rsidR="001125D4" w:rsidRPr="002D06BE" w:rsidRDefault="001125D4" w:rsidP="001125D4">
            <w:pPr>
              <w:pStyle w:val="SRCQn"/>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22%</w:t>
            </w:r>
          </w:p>
        </w:tc>
      </w:tr>
    </w:tbl>
    <w:p w14:paraId="3FA89CF6" w14:textId="77777777" w:rsidR="00D730B6" w:rsidRDefault="00D730B6" w:rsidP="00D730B6">
      <w:pPr>
        <w:rPr>
          <w:rFonts w:asciiTheme="majorHAnsi" w:hAnsiTheme="majorHAnsi"/>
          <w:u w:color="20B9A3" w:themeColor="accent1"/>
          <w:lang w:eastAsia="en-GB"/>
        </w:rPr>
      </w:pPr>
      <w:r>
        <w:rPr>
          <w:u w:color="20B9A3" w:themeColor="accent1"/>
          <w:lang w:eastAsia="en-GB"/>
        </w:rPr>
        <w:br w:type="page"/>
      </w:r>
    </w:p>
    <w:p w14:paraId="6ED2B8D7" w14:textId="30301529" w:rsidR="005E6652" w:rsidRPr="003D28CA" w:rsidRDefault="00FF04E5" w:rsidP="00783C3B">
      <w:pPr>
        <w:pStyle w:val="Heading4"/>
        <w:spacing w:after="360"/>
        <w:ind w:right="-1077"/>
        <w:rPr>
          <w:color w:val="auto"/>
          <w:u w:val="single" w:color="20B9A3" w:themeColor="accent1"/>
          <w:lang w:eastAsia="en-GB"/>
        </w:rPr>
      </w:pPr>
      <w:r w:rsidRPr="003D28CA">
        <w:rPr>
          <w:color w:val="auto"/>
          <w:u w:val="single" w:color="20B9A3" w:themeColor="accent1"/>
          <w:lang w:eastAsia="en-GB"/>
        </w:rPr>
        <w:lastRenderedPageBreak/>
        <w:t>Support person experiences of stigma and discrimination</w:t>
      </w:r>
    </w:p>
    <w:p w14:paraId="07D25461" w14:textId="77777777"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w:t>
      </w:r>
    </w:p>
    <w:p w14:paraId="2AFBB135" w14:textId="5F5F1662"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Support persons</w:t>
      </w:r>
    </w:p>
    <w:p w14:paraId="14C9F8ED" w14:textId="2B02151E" w:rsidR="00E1743C" w:rsidRPr="004F7DF6" w:rsidRDefault="00E1743C" w:rsidP="00E1743C">
      <w:pPr>
        <w:pBdr>
          <w:top w:val="single" w:sz="24" w:space="1" w:color="20B9A3" w:themeColor="accent1"/>
          <w:bottom w:val="single" w:sz="24" w:space="1" w:color="20B9A3" w:themeColor="accent1"/>
        </w:pBdr>
        <w:spacing w:after="0"/>
        <w:ind w:right="-1077"/>
        <w:jc w:val="right"/>
        <w:rPr>
          <w:b/>
          <w:i/>
        </w:rPr>
      </w:pPr>
      <w:r w:rsidRPr="004F7DF6">
        <w:rPr>
          <w:b/>
          <w:i/>
        </w:rPr>
        <w:t>40% of total sample</w:t>
      </w:r>
    </w:p>
    <w:p w14:paraId="3032EB8C" w14:textId="7C6B6686" w:rsidR="00E03F6C" w:rsidRDefault="00E03F6C" w:rsidP="00687E97">
      <w:pPr>
        <w:keepNext/>
        <w:spacing w:before="240"/>
        <w:ind w:right="-1078"/>
      </w:pPr>
      <w:r>
        <w:t xml:space="preserve">Stigma and discrimination is </w:t>
      </w:r>
      <w:r w:rsidR="00CB3880">
        <w:t>often</w:t>
      </w:r>
      <w:r>
        <w:t xml:space="preserve"> thought of in relation to </w:t>
      </w:r>
      <w:r w:rsidR="00162880">
        <w:t>a</w:t>
      </w:r>
      <w:r>
        <w:t xml:space="preserve"> person </w:t>
      </w:r>
      <w:r w:rsidR="00162880">
        <w:t>with personal lived experience</w:t>
      </w:r>
      <w:r w:rsidR="00CB3880">
        <w:t xml:space="preserve">. However, </w:t>
      </w:r>
      <w:r w:rsidR="00A42339">
        <w:t xml:space="preserve">as shown in Figure 3, </w:t>
      </w:r>
      <w:r w:rsidR="00CB3880">
        <w:t xml:space="preserve">family, friends and unpaid carers who perform an </w:t>
      </w:r>
      <w:r>
        <w:t>important support role can</w:t>
      </w:r>
      <w:r w:rsidR="00D728B5">
        <w:t xml:space="preserve"> also</w:t>
      </w:r>
      <w:r>
        <w:t xml:space="preserve"> be subject to stigma </w:t>
      </w:r>
      <w:r w:rsidR="00D728B5">
        <w:t>and discrimination by association</w:t>
      </w:r>
      <w:r>
        <w:t xml:space="preserve">. To assess these people’s experiences of </w:t>
      </w:r>
      <w:r w:rsidR="007E39AC">
        <w:t xml:space="preserve">associated </w:t>
      </w:r>
      <w:r>
        <w:t xml:space="preserve">stigma, we first asked </w:t>
      </w:r>
      <w:r w:rsidR="00C008BD">
        <w:t>respondents</w:t>
      </w:r>
      <w:r>
        <w:t xml:space="preserve"> whether they identified as</w:t>
      </w:r>
      <w:r w:rsidRPr="007F194A">
        <w:t xml:space="preserve"> a support person for someone with </w:t>
      </w:r>
      <w:r w:rsidR="00162880">
        <w:t>personal lived experience</w:t>
      </w:r>
      <w:r w:rsidRPr="007F194A">
        <w:t>.</w:t>
      </w:r>
      <w:r w:rsidR="00377927">
        <w:t xml:space="preserve"> See the Glossary </w:t>
      </w:r>
      <w:r w:rsidR="00390793">
        <w:t xml:space="preserve">in Appendix B </w:t>
      </w:r>
      <w:r w:rsidR="00377927">
        <w:t>regarding how ‘support person’ was defined in the survey for respondents.</w:t>
      </w:r>
    </w:p>
    <w:p w14:paraId="2C831E92" w14:textId="2F657CEC" w:rsidR="00E03F6C" w:rsidRDefault="00C008BD" w:rsidP="00321B30">
      <w:pPr>
        <w:spacing w:before="120"/>
        <w:ind w:right="-1077"/>
      </w:pPr>
      <w:r>
        <w:t>Forty</w:t>
      </w:r>
      <w:r w:rsidR="00E03F6C" w:rsidRPr="007F194A">
        <w:t xml:space="preserve"> percent</w:t>
      </w:r>
      <w:r w:rsidR="00E03F6C" w:rsidRPr="007F194A" w:rsidDel="00D76BD1">
        <w:t xml:space="preserve"> </w:t>
      </w:r>
      <w:r w:rsidR="00E03F6C">
        <w:t xml:space="preserve">of all survey </w:t>
      </w:r>
      <w:r>
        <w:t>respondents</w:t>
      </w:r>
      <w:r w:rsidR="00E03F6C">
        <w:t xml:space="preserve"> </w:t>
      </w:r>
      <w:r w:rsidR="00E03F6C" w:rsidRPr="007F194A">
        <w:t>identified as being a support person.</w:t>
      </w:r>
      <w:r w:rsidR="00E03F6C" w:rsidRPr="00EA3884">
        <w:t xml:space="preserve"> </w:t>
      </w:r>
      <w:r w:rsidR="00E03F6C" w:rsidRPr="007F194A">
        <w:t>Of these,</w:t>
      </w:r>
      <w:r w:rsidR="00DD1EC0">
        <w:t xml:space="preserve"> the majority reported positive experiences</w:t>
      </w:r>
      <w:r w:rsidR="00E4765C">
        <w:t>.</w:t>
      </w:r>
      <w:r w:rsidR="00DD1EC0">
        <w:t xml:space="preserve"> For example, 85 percent </w:t>
      </w:r>
      <w:r w:rsidR="00E4765C" w:rsidRPr="007F194A">
        <w:t>report</w:t>
      </w:r>
      <w:r w:rsidR="00E4765C">
        <w:t>ed</w:t>
      </w:r>
      <w:r w:rsidR="00E4765C" w:rsidRPr="007F194A">
        <w:t xml:space="preserve"> feeling suppor</w:t>
      </w:r>
      <w:r w:rsidR="00E4765C">
        <w:t>ted by family and friends. However, a sizeable minority also reported negative experiences. Thirty</w:t>
      </w:r>
      <w:r w:rsidR="00E03F6C" w:rsidRPr="007F194A">
        <w:t xml:space="preserve"> percent</w:t>
      </w:r>
      <w:r w:rsidR="00E03F6C" w:rsidRPr="007F194A" w:rsidDel="00D76BD1">
        <w:t xml:space="preserve"> </w:t>
      </w:r>
      <w:r w:rsidR="00E03F6C" w:rsidRPr="007F194A">
        <w:t>reported being shunned or avoided by people</w:t>
      </w:r>
      <w:r w:rsidR="00E03F6C">
        <w:t xml:space="preserve"> who found out about their support role.</w:t>
      </w:r>
    </w:p>
    <w:p w14:paraId="3D38902B" w14:textId="20166953" w:rsidR="00E03F6C" w:rsidRPr="00CF0CA1" w:rsidRDefault="00563D76" w:rsidP="00EB23BA">
      <w:pPr>
        <w:keepNext/>
        <w:keepLines/>
        <w:ind w:right="-1078"/>
      </w:pPr>
      <w:r w:rsidRPr="00783C3B">
        <w:rPr>
          <w:b/>
        </w:rPr>
        <w:t xml:space="preserve">Figure </w:t>
      </w:r>
      <w:r w:rsidR="00602B69" w:rsidRPr="00783C3B">
        <w:rPr>
          <w:b/>
        </w:rPr>
        <w:t>3</w:t>
      </w:r>
      <w:r w:rsidR="00602B69">
        <w:t>.</w:t>
      </w:r>
      <w:r w:rsidR="006927A7">
        <w:t xml:space="preserve"> P</w:t>
      </w:r>
      <w:r w:rsidR="00E03F6C" w:rsidRPr="00CF0CA1">
        <w:t xml:space="preserve">roportion of support persons reporting discriminatory experiences </w:t>
      </w:r>
    </w:p>
    <w:p w14:paraId="1399BCEB" w14:textId="162BB427" w:rsidR="00E03F6C" w:rsidRPr="00E53245" w:rsidRDefault="009C6287" w:rsidP="00EB23BA">
      <w:pPr>
        <w:keepNext/>
        <w:keepLines/>
        <w:spacing w:before="120" w:line="240" w:lineRule="auto"/>
        <w:ind w:right="-1077"/>
        <w:rPr>
          <w:rFonts w:ascii="Arial" w:hAnsi="Arial" w:cs="Arial"/>
          <w:lang w:eastAsia="en-GB"/>
        </w:rPr>
      </w:pPr>
      <w:r>
        <w:rPr>
          <w:noProof/>
        </w:rPr>
        <w:drawing>
          <wp:inline distT="0" distB="0" distL="0" distR="0" wp14:anchorId="0AA6B135" wp14:editId="56C6111A">
            <wp:extent cx="5918200" cy="2946400"/>
            <wp:effectExtent l="0" t="0" r="6350" b="6350"/>
            <wp:docPr id="203" name="Chart 203" descr="Figure 3 depicts the proportion of support persons reporting discriminatory experiences. 85% of support persons felt understood and supported by family and friends who knew about their support role, and 82% felt they were fairly treated by those who were aware of their support role. 81% of support people felt they were valued by the person's treating team. 46% of support people avoided telling others about their role to avoid being judged, and 36% of people were worried others would view them unfavourably because of their role. 35% of support people felt they were treated unfavourably, and 30% felt they had been shunned or avoided when people found out about their support role. " title="Figure 3. Proportion of support persons reporting discriminatory experien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87FA1B" w14:textId="77777777" w:rsidR="00270F1E" w:rsidRDefault="00270F1E">
      <w:pPr>
        <w:spacing w:after="0" w:line="240" w:lineRule="auto"/>
        <w:rPr>
          <w:rFonts w:asciiTheme="majorHAnsi" w:hAnsiTheme="majorHAnsi"/>
          <w:b/>
          <w:u w:val="single" w:color="20B9A3" w:themeColor="accent1"/>
        </w:rPr>
      </w:pPr>
      <w:r>
        <w:rPr>
          <w:u w:val="single" w:color="20B9A3" w:themeColor="accent1"/>
        </w:rPr>
        <w:br w:type="page"/>
      </w:r>
    </w:p>
    <w:p w14:paraId="09C7D92C" w14:textId="5C47E0CD" w:rsidR="00E03F6C" w:rsidRPr="003D28CA" w:rsidRDefault="00E03F6C" w:rsidP="00225194">
      <w:pPr>
        <w:pStyle w:val="Heading4"/>
        <w:spacing w:after="360"/>
        <w:ind w:right="-1077"/>
        <w:rPr>
          <w:color w:val="auto"/>
          <w:u w:val="single" w:color="20B9A3" w:themeColor="accent1"/>
        </w:rPr>
      </w:pPr>
      <w:r w:rsidRPr="003D28CA">
        <w:rPr>
          <w:color w:val="auto"/>
          <w:u w:val="single" w:color="20B9A3" w:themeColor="accent1"/>
        </w:rPr>
        <w:lastRenderedPageBreak/>
        <w:t>D</w:t>
      </w:r>
      <w:r w:rsidR="00C02AF6" w:rsidRPr="003D28CA">
        <w:rPr>
          <w:color w:val="auto"/>
          <w:u w:val="single" w:color="20B9A3" w:themeColor="accent1"/>
        </w:rPr>
        <w:t>ifferences in expression of public stigma by d</w:t>
      </w:r>
      <w:r w:rsidRPr="003D28CA">
        <w:rPr>
          <w:color w:val="auto"/>
          <w:u w:val="single" w:color="20B9A3" w:themeColor="accent1"/>
        </w:rPr>
        <w:t xml:space="preserve">emographic </w:t>
      </w:r>
      <w:r w:rsidR="00C02AF6" w:rsidRPr="003D28CA">
        <w:rPr>
          <w:color w:val="auto"/>
          <w:u w:val="single" w:color="20B9A3" w:themeColor="accent1"/>
        </w:rPr>
        <w:t>group</w:t>
      </w:r>
      <w:r w:rsidR="00842C2A" w:rsidRPr="003D28CA">
        <w:rPr>
          <w:color w:val="auto"/>
          <w:u w:val="single" w:color="20B9A3" w:themeColor="accent1"/>
        </w:rPr>
        <w:t xml:space="preserve"> </w:t>
      </w:r>
    </w:p>
    <w:p w14:paraId="52E32BC6" w14:textId="7AB84D3F" w:rsidR="00E03F6C" w:rsidRDefault="00876F12" w:rsidP="00321B30">
      <w:pPr>
        <w:spacing w:before="120"/>
        <w:ind w:right="-1077"/>
      </w:pPr>
      <w:r>
        <w:t>The survey included</w:t>
      </w:r>
      <w:r w:rsidR="00E03F6C">
        <w:t xml:space="preserve"> a range of demographic questions</w:t>
      </w:r>
      <w:r>
        <w:t xml:space="preserve">. These questions allowed us </w:t>
      </w:r>
      <w:r w:rsidR="00E03F6C">
        <w:t>to identify whether there were some demographic groups who were more or less likely to express public stigma. We found</w:t>
      </w:r>
      <w:r w:rsidR="007A0E6C">
        <w:t xml:space="preserve"> </w:t>
      </w:r>
      <w:r w:rsidR="00E03F6C">
        <w:t>males, younger people and people from culturally and linguistically diverse (CALD) backgrounds were more likely to express public stigma than other groups.</w:t>
      </w:r>
    </w:p>
    <w:p w14:paraId="0E1E445D" w14:textId="14BDE1A4" w:rsidR="00E1743C" w:rsidRPr="004F7DF6" w:rsidRDefault="00E1743C" w:rsidP="00687E97">
      <w:pPr>
        <w:pBdr>
          <w:top w:val="single" w:sz="24" w:space="1" w:color="20B9A3" w:themeColor="accent1"/>
          <w:bottom w:val="single" w:sz="24" w:space="1" w:color="20B9A3" w:themeColor="accent1"/>
        </w:pBdr>
        <w:spacing w:before="240" w:after="0"/>
        <w:ind w:right="-1077"/>
        <w:rPr>
          <w:b/>
          <w:i/>
        </w:rPr>
      </w:pPr>
      <w:r w:rsidRPr="004F7DF6">
        <w:rPr>
          <w:b/>
          <w:i/>
        </w:rPr>
        <w:t>Respondents by gender</w:t>
      </w:r>
    </w:p>
    <w:p w14:paraId="3A315F6E" w14:textId="7D2A24C3"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Male</w:t>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b/>
          <w:i/>
        </w:rPr>
        <w:t>49% of total sample</w:t>
      </w:r>
    </w:p>
    <w:p w14:paraId="20CD691D" w14:textId="5F24FEBE"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Female</w:t>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004F7DF6">
        <w:rPr>
          <w:i/>
        </w:rPr>
        <w:tab/>
      </w:r>
      <w:r w:rsidRPr="004F7DF6">
        <w:rPr>
          <w:b/>
          <w:i/>
        </w:rPr>
        <w:t>51% of total sample</w:t>
      </w:r>
    </w:p>
    <w:p w14:paraId="70132D02" w14:textId="63E491A4" w:rsidR="00E03F6C" w:rsidRPr="00321B30" w:rsidRDefault="00E03F6C" w:rsidP="00687E97">
      <w:pPr>
        <w:spacing w:before="360"/>
        <w:ind w:right="-1077"/>
      </w:pPr>
      <w:r w:rsidRPr="007F194A">
        <w:t>Men</w:t>
      </w:r>
      <w:r w:rsidR="00814EA1">
        <w:t xml:space="preserve"> </w:t>
      </w:r>
      <w:r>
        <w:t>were consistently more likely to report being unwilling to engage socially with a person experiencing</w:t>
      </w:r>
      <w:r w:rsidR="009C7435">
        <w:t xml:space="preserve"> </w:t>
      </w:r>
      <w:r w:rsidR="00FC5939">
        <w:t>a mental health problem</w:t>
      </w:r>
      <w:r w:rsidR="009C7435">
        <w:t xml:space="preserve"> </w:t>
      </w:r>
      <w:r>
        <w:t xml:space="preserve">across all </w:t>
      </w:r>
      <w:r w:rsidR="009C7435">
        <w:t xml:space="preserve">eight </w:t>
      </w:r>
      <w:r>
        <w:t xml:space="preserve">mental health </w:t>
      </w:r>
      <w:r w:rsidR="009C7435">
        <w:t>problems we assessed</w:t>
      </w:r>
      <w:r>
        <w:t xml:space="preserve">. </w:t>
      </w:r>
      <w:r w:rsidR="00814EA1">
        <w:t xml:space="preserve">As shown in </w:t>
      </w:r>
      <w:r w:rsidR="005A2AEB">
        <w:t>F</w:t>
      </w:r>
      <w:r w:rsidR="00814EA1">
        <w:t>igure 4, this ranged between being a two percentage point difference for bipolar disorder</w:t>
      </w:r>
      <w:r w:rsidR="000B3A30">
        <w:rPr>
          <w:rStyle w:val="FootnoteReference"/>
        </w:rPr>
        <w:footnoteReference w:id="3"/>
      </w:r>
      <w:r w:rsidR="00814EA1">
        <w:t xml:space="preserve"> and a ten percentage point difference for depression. </w:t>
      </w:r>
    </w:p>
    <w:p w14:paraId="2AB29D04" w14:textId="2ED82BA2" w:rsidR="00E03F6C" w:rsidRPr="00CF0CA1" w:rsidRDefault="00563D76" w:rsidP="00E15919">
      <w:pPr>
        <w:keepNext/>
        <w:keepLines/>
        <w:ind w:right="-1077"/>
      </w:pPr>
      <w:r w:rsidRPr="00783C3B">
        <w:rPr>
          <w:b/>
        </w:rPr>
        <w:t xml:space="preserve">Figure </w:t>
      </w:r>
      <w:r w:rsidR="00602B69" w:rsidRPr="00783C3B">
        <w:rPr>
          <w:b/>
        </w:rPr>
        <w:t>4</w:t>
      </w:r>
      <w:r w:rsidR="00602B69">
        <w:t>.</w:t>
      </w:r>
      <w:r w:rsidR="00C02AF6">
        <w:t xml:space="preserve"> Proportion of males and</w:t>
      </w:r>
      <w:r w:rsidR="00E03F6C" w:rsidRPr="00CF0CA1">
        <w:t xml:space="preserve"> females </w:t>
      </w:r>
      <w:r w:rsidR="00C02AF6">
        <w:t xml:space="preserve">who were unwilling to </w:t>
      </w:r>
      <w:r w:rsidR="00E15919">
        <w:t>make friends</w:t>
      </w:r>
      <w:r w:rsidR="00C02AF6">
        <w:t xml:space="preserve"> with a person experiencing a mental health problem, by type of mental health </w:t>
      </w:r>
      <w:r w:rsidR="009C7435">
        <w:t>problem</w:t>
      </w:r>
      <w:r w:rsidR="00C02AF6">
        <w:t>.</w:t>
      </w:r>
    </w:p>
    <w:p w14:paraId="213E5C86" w14:textId="6D406605" w:rsidR="00E03F6C" w:rsidRPr="00EF2E3B" w:rsidRDefault="00E03F6C" w:rsidP="00E15919">
      <w:pPr>
        <w:keepNext/>
        <w:keepLines/>
        <w:spacing w:before="120" w:line="240" w:lineRule="auto"/>
        <w:ind w:right="-1077"/>
        <w:rPr>
          <w:rFonts w:ascii="Arial" w:hAnsi="Arial" w:cs="Arial"/>
          <w:i/>
          <w:iCs/>
          <w:lang w:eastAsia="en-GB"/>
        </w:rPr>
      </w:pPr>
      <w:r>
        <w:rPr>
          <w:noProof/>
        </w:rPr>
        <w:drawing>
          <wp:inline distT="0" distB="0" distL="0" distR="0" wp14:anchorId="573FB6FC" wp14:editId="5F3870DB">
            <wp:extent cx="5918200" cy="3340100"/>
            <wp:effectExtent l="0" t="0" r="6350" b="0"/>
            <wp:docPr id="8" name="Chart 8" descr="Figure 4 is a bar graph that depicts the proportion of males and females who were unwilling to make friends with a person experiencing a mental health problem, by type of mental health problem. 11% of females and 17% of males were unwillling to make friends with a person experiencing social phobia. 19% of females and 26% of males were unwillling to make friends with a person experiencing an eating disorder. 20% of females and 30% of males were unwillling to make friends with a person experiencing depression. 30% of females and 35% of males were unwillling to make friends with a person experiencing non-suicidal self harm. 39% of females and 41% of males were unwillling to make friends with a person experiencing bipolar disorder. 42% of females and 48% of males were unwillling to make friends with a person experiencing early schizpohrenia. 57% of females and 61% of males were unwillling to make friends with a person experiencing borderline personality disorder. 59% of females and 65% of males were unwillling to make friends with a person experiencing long term schizpohrenia.    " title="Figure 4. Proportion of males and females who were unwilling to make friends with a person experiencing a mental health problem, by type of mental health problem."/>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AA0358" w14:textId="77777777" w:rsidR="006D14D4" w:rsidRDefault="006D14D4" w:rsidP="00284288">
      <w:pPr>
        <w:spacing w:before="120" w:line="240" w:lineRule="auto"/>
        <w:ind w:right="-1078"/>
        <w:rPr>
          <w:lang w:eastAsia="en-GB"/>
        </w:rPr>
      </w:pPr>
    </w:p>
    <w:p w14:paraId="024D0543" w14:textId="77777777"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 by age</w:t>
      </w:r>
    </w:p>
    <w:p w14:paraId="5FCF8F43" w14:textId="3D05F987"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18-24</w:t>
      </w:r>
      <w:r w:rsidRPr="004F7DF6">
        <w:rPr>
          <w:i/>
        </w:rPr>
        <w:tab/>
      </w:r>
      <w:r w:rsidRPr="004F7DF6">
        <w:rPr>
          <w:i/>
        </w:rPr>
        <w:tab/>
      </w:r>
      <w:r w:rsidRPr="004F7DF6">
        <w:rPr>
          <w:b/>
          <w:i/>
        </w:rPr>
        <w:t>12% of total sample</w:t>
      </w:r>
      <w:r w:rsidRPr="004F7DF6">
        <w:rPr>
          <w:i/>
        </w:rPr>
        <w:tab/>
      </w:r>
      <w:r w:rsidR="004F7DF6">
        <w:rPr>
          <w:i/>
        </w:rPr>
        <w:tab/>
      </w:r>
      <w:r w:rsidR="004F7DF6">
        <w:rPr>
          <w:i/>
        </w:rPr>
        <w:tab/>
      </w:r>
      <w:r w:rsidRPr="004F7DF6">
        <w:rPr>
          <w:i/>
        </w:rPr>
        <w:tab/>
        <w:t>45-64</w:t>
      </w:r>
      <w:r w:rsidRPr="004F7DF6">
        <w:rPr>
          <w:i/>
        </w:rPr>
        <w:tab/>
      </w:r>
      <w:r w:rsidRPr="004F7DF6">
        <w:rPr>
          <w:i/>
        </w:rPr>
        <w:tab/>
      </w:r>
      <w:r w:rsidRPr="004F7DF6">
        <w:rPr>
          <w:b/>
          <w:i/>
        </w:rPr>
        <w:t>31% of total sample</w:t>
      </w:r>
    </w:p>
    <w:p w14:paraId="38B7F8D3" w14:textId="28977920"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25-44</w:t>
      </w:r>
      <w:r w:rsidRPr="004F7DF6">
        <w:rPr>
          <w:i/>
        </w:rPr>
        <w:tab/>
      </w:r>
      <w:r w:rsidRPr="004F7DF6">
        <w:rPr>
          <w:i/>
        </w:rPr>
        <w:tab/>
      </w:r>
      <w:r w:rsidRPr="004F7DF6">
        <w:rPr>
          <w:b/>
          <w:i/>
        </w:rPr>
        <w:t>36% of total sample</w:t>
      </w:r>
      <w:r w:rsidRPr="004F7DF6">
        <w:rPr>
          <w:i/>
        </w:rPr>
        <w:tab/>
      </w:r>
      <w:r w:rsidR="004F7DF6">
        <w:rPr>
          <w:i/>
        </w:rPr>
        <w:tab/>
      </w:r>
      <w:r w:rsidR="004F7DF6">
        <w:rPr>
          <w:i/>
        </w:rPr>
        <w:tab/>
      </w:r>
      <w:r w:rsidRPr="004F7DF6">
        <w:rPr>
          <w:i/>
        </w:rPr>
        <w:tab/>
        <w:t>65+</w:t>
      </w:r>
      <w:r w:rsidRPr="004F7DF6">
        <w:rPr>
          <w:i/>
        </w:rPr>
        <w:tab/>
      </w:r>
      <w:r w:rsidRPr="004F7DF6">
        <w:rPr>
          <w:i/>
        </w:rPr>
        <w:tab/>
      </w:r>
      <w:r w:rsidRPr="004F7DF6">
        <w:rPr>
          <w:b/>
          <w:i/>
        </w:rPr>
        <w:t>21% of total sample</w:t>
      </w:r>
    </w:p>
    <w:p w14:paraId="1C7F5A43" w14:textId="25937A7F" w:rsidR="00B53A33" w:rsidRDefault="00E03F6C" w:rsidP="00687E97">
      <w:pPr>
        <w:spacing w:before="240" w:after="360"/>
        <w:ind w:right="-1077"/>
      </w:pPr>
      <w:r>
        <w:t>Younger people were more likely to endorse the statements that contained</w:t>
      </w:r>
      <w:r w:rsidRPr="007F194A">
        <w:t xml:space="preserve"> stigmatising </w:t>
      </w:r>
      <w:r w:rsidR="001112F5">
        <w:t>beliefs</w:t>
      </w:r>
      <w:r>
        <w:t xml:space="preserve">. </w:t>
      </w:r>
      <w:r w:rsidR="00EB23BA">
        <w:t xml:space="preserve">As shown in </w:t>
      </w:r>
      <w:r w:rsidR="009163D4">
        <w:t>Fi</w:t>
      </w:r>
      <w:r w:rsidR="00EB23BA">
        <w:t>gure 5</w:t>
      </w:r>
      <w:r>
        <w:t>, people between the ages of 18-44 we more than twice as likely to agree with th</w:t>
      </w:r>
      <w:r w:rsidR="00C02AF6">
        <w:t xml:space="preserve">e statement </w:t>
      </w:r>
      <w:r w:rsidR="009163D4">
        <w:t>‘</w:t>
      </w:r>
      <w:r w:rsidR="00C02AF6">
        <w:t>T</w:t>
      </w:r>
      <w:r>
        <w:t>his problem is a sign of personal weakness</w:t>
      </w:r>
      <w:r w:rsidR="009163D4">
        <w:t>’</w:t>
      </w:r>
      <w:r>
        <w:t xml:space="preserve"> in relation to early schizophrenia.</w:t>
      </w:r>
    </w:p>
    <w:p w14:paraId="5872BF22" w14:textId="7EE39459"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 by CALD status</w:t>
      </w:r>
    </w:p>
    <w:p w14:paraId="451B64DA" w14:textId="733AD4E5"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CALD</w:t>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b/>
          <w:i/>
        </w:rPr>
        <w:t>27% of total sample</w:t>
      </w:r>
    </w:p>
    <w:p w14:paraId="46F8CF72" w14:textId="528717EA"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Not CALD</w:t>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i/>
        </w:rPr>
        <w:tab/>
      </w:r>
      <w:r w:rsidRPr="004F7DF6">
        <w:rPr>
          <w:b/>
          <w:i/>
        </w:rPr>
        <w:t>73% of total sample</w:t>
      </w:r>
    </w:p>
    <w:p w14:paraId="2A59CBDF" w14:textId="7C5977A4" w:rsidR="006D14D4" w:rsidRPr="007F194A" w:rsidRDefault="006D14D4" w:rsidP="00687E97">
      <w:pPr>
        <w:spacing w:before="240"/>
        <w:ind w:right="-1078"/>
      </w:pPr>
      <w:r>
        <w:t xml:space="preserve">Similarly, people identifying as being from a </w:t>
      </w:r>
      <w:r w:rsidR="00D879E4">
        <w:t>culturally and linguistically diverse (</w:t>
      </w:r>
      <w:r w:rsidRPr="007F194A">
        <w:t>CALD</w:t>
      </w:r>
      <w:r w:rsidR="00D879E4">
        <w:t>)</w:t>
      </w:r>
      <w:r w:rsidRPr="007F194A">
        <w:t xml:space="preserve"> </w:t>
      </w:r>
      <w:r>
        <w:t xml:space="preserve">background were more </w:t>
      </w:r>
      <w:r w:rsidR="00EB23BA">
        <w:t>likely to endorse the statements that contained</w:t>
      </w:r>
      <w:r w:rsidR="00EB23BA" w:rsidRPr="007F194A">
        <w:t xml:space="preserve"> stigmatising </w:t>
      </w:r>
      <w:r w:rsidR="001112F5">
        <w:t>beliefs</w:t>
      </w:r>
      <w:r w:rsidR="00EB23BA">
        <w:t xml:space="preserve">. As shown in Figure 6, people with a CALD background were more </w:t>
      </w:r>
      <w:r>
        <w:t>than three times as likely to agree with the statement</w:t>
      </w:r>
      <w:r w:rsidRPr="007F194A">
        <w:t xml:space="preserve"> ‘This problem is a sign of personal weakness’</w:t>
      </w:r>
      <w:r w:rsidR="00EB23BA">
        <w:t xml:space="preserve"> in relation to early schizophrenia</w:t>
      </w:r>
      <w:r w:rsidR="00FD5B55">
        <w:t>.</w:t>
      </w:r>
    </w:p>
    <w:p w14:paraId="33B19A01" w14:textId="28CE9547" w:rsidR="00B53A33" w:rsidRDefault="00B53A33" w:rsidP="006D14D4">
      <w:pPr>
        <w:spacing w:before="120" w:line="240" w:lineRule="auto"/>
        <w:ind w:right="-1078"/>
      </w:pPr>
    </w:p>
    <w:p w14:paraId="184183CF" w14:textId="77777777" w:rsidR="002F20D5" w:rsidRDefault="002F20D5" w:rsidP="006D14D4">
      <w:pPr>
        <w:spacing w:before="120" w:line="240" w:lineRule="auto"/>
        <w:ind w:right="-1078"/>
        <w:sectPr w:rsidR="002F20D5" w:rsidSect="00C76081">
          <w:footerReference w:type="default" r:id="rId27"/>
          <w:footnotePr>
            <w:numFmt w:val="chicago"/>
            <w:numRestart w:val="eachPage"/>
          </w:footnotePr>
          <w:pgSz w:w="11906" w:h="16838" w:code="9"/>
          <w:pgMar w:top="2041" w:right="2381" w:bottom="1247" w:left="1247" w:header="720" w:footer="851" w:gutter="0"/>
          <w:cols w:space="708"/>
          <w:docGrid w:linePitch="360"/>
        </w:sectPr>
      </w:pPr>
    </w:p>
    <w:p w14:paraId="4CEC6B2B" w14:textId="456CF5BA" w:rsidR="00E03F6C" w:rsidRDefault="00563D76" w:rsidP="00B53A33">
      <w:pPr>
        <w:spacing w:before="120" w:line="240" w:lineRule="auto"/>
        <w:ind w:right="-43"/>
      </w:pPr>
      <w:r w:rsidRPr="00783C3B">
        <w:rPr>
          <w:b/>
        </w:rPr>
        <w:t xml:space="preserve">Figure </w:t>
      </w:r>
      <w:r w:rsidR="00602B69" w:rsidRPr="00783C3B">
        <w:rPr>
          <w:b/>
        </w:rPr>
        <w:t>5</w:t>
      </w:r>
      <w:r w:rsidR="00602B69">
        <w:t>.</w:t>
      </w:r>
      <w:r w:rsidR="00E03F6C" w:rsidRPr="00CF0CA1">
        <w:t xml:space="preserve"> </w:t>
      </w:r>
      <w:r w:rsidR="00CF0CA1" w:rsidRPr="00CF0CA1">
        <w:t xml:space="preserve">Proportion of </w:t>
      </w:r>
      <w:r w:rsidR="00C02AF6">
        <w:t xml:space="preserve">people </w:t>
      </w:r>
      <w:r w:rsidR="00E03F6C" w:rsidRPr="00CF0CA1">
        <w:t xml:space="preserve">agreeing with </w:t>
      </w:r>
      <w:r w:rsidR="00C02AF6">
        <w:t xml:space="preserve">the </w:t>
      </w:r>
      <w:r w:rsidR="00CF0CA1" w:rsidRPr="00CF0CA1">
        <w:t xml:space="preserve">statement </w:t>
      </w:r>
      <w:r w:rsidR="009163D4">
        <w:t>‘</w:t>
      </w:r>
      <w:r w:rsidR="00CF0CA1" w:rsidRPr="00CF0CA1">
        <w:t xml:space="preserve">This problem is a sign of </w:t>
      </w:r>
      <w:r w:rsidR="00E03F6C" w:rsidRPr="00CF0CA1">
        <w:t>personal weakness</w:t>
      </w:r>
      <w:r w:rsidR="009163D4">
        <w:t>’</w:t>
      </w:r>
      <w:r w:rsidR="00C02AF6">
        <w:t>, by age category.</w:t>
      </w:r>
    </w:p>
    <w:p w14:paraId="001BB086" w14:textId="77777777" w:rsidR="00B53A33" w:rsidRPr="00CF0CA1" w:rsidRDefault="00B53A33" w:rsidP="00B53A33">
      <w:pPr>
        <w:spacing w:before="120" w:line="240" w:lineRule="auto"/>
        <w:ind w:right="-43"/>
      </w:pPr>
    </w:p>
    <w:p w14:paraId="1A650B2A" w14:textId="7C196288" w:rsidR="00AE695C" w:rsidRDefault="006D14D4" w:rsidP="00284288">
      <w:pPr>
        <w:spacing w:before="120" w:line="240" w:lineRule="auto"/>
        <w:ind w:right="-1078"/>
        <w:rPr>
          <w:lang w:eastAsia="en-GB"/>
        </w:rPr>
      </w:pPr>
      <w:r w:rsidRPr="009C7435">
        <w:rPr>
          <w:noProof/>
        </w:rPr>
        <w:drawing>
          <wp:inline distT="0" distB="0" distL="0" distR="0" wp14:anchorId="64378A89" wp14:editId="7EFA2911">
            <wp:extent cx="2686050" cy="2743200"/>
            <wp:effectExtent l="0" t="0" r="0" b="0"/>
            <wp:docPr id="15" name="Chart 15" descr="Figure 5 is a bar graph depicting the proportion of people agreeing with the statement ‘This problem is a sign of personal weakness’, by age category. 15% of 18 to 24 year olds, and 14% of 24 to 44 year olds agreed with this statement. In comparison, 6% of 45 to 64 year olds, and 6% of those aged 65 and above agreed. " title="Figure 5. Proportion of people agreeing with the statement ‘This problem is a sign of personal weakness’, by age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AAB047" w14:textId="708C13B5" w:rsidR="00B53A33" w:rsidRDefault="00B53A33" w:rsidP="00B53A33">
      <w:pPr>
        <w:spacing w:before="120" w:line="240" w:lineRule="auto"/>
        <w:ind w:right="-43"/>
      </w:pPr>
      <w:r w:rsidRPr="00B53A33">
        <w:rPr>
          <w:b/>
        </w:rPr>
        <w:t>Figure 6</w:t>
      </w:r>
      <w:r>
        <w:t xml:space="preserve">. </w:t>
      </w:r>
      <w:r w:rsidRPr="00CF0CA1">
        <w:t xml:space="preserve">Proportion of </w:t>
      </w:r>
      <w:r>
        <w:t xml:space="preserve">people </w:t>
      </w:r>
      <w:r w:rsidRPr="00CF0CA1">
        <w:t xml:space="preserve">agreeing with </w:t>
      </w:r>
      <w:r>
        <w:t xml:space="preserve">the </w:t>
      </w:r>
      <w:r w:rsidRPr="00CF0CA1">
        <w:t xml:space="preserve">statement </w:t>
      </w:r>
      <w:r>
        <w:t>‘</w:t>
      </w:r>
      <w:r w:rsidRPr="00CF0CA1">
        <w:t>This problem is a sign of personal weakness</w:t>
      </w:r>
      <w:r>
        <w:t>’, by CALD status.</w:t>
      </w:r>
    </w:p>
    <w:p w14:paraId="1ABA2359" w14:textId="77777777" w:rsidR="00B53A33" w:rsidRDefault="00B53A33" w:rsidP="00B53A33">
      <w:pPr>
        <w:ind w:right="-3"/>
      </w:pPr>
    </w:p>
    <w:p w14:paraId="1DDDF577" w14:textId="1EE50FD5" w:rsidR="00B53A33" w:rsidRDefault="00B53A33" w:rsidP="00B53A33">
      <w:pPr>
        <w:ind w:right="-3"/>
      </w:pPr>
      <w:r>
        <w:rPr>
          <w:noProof/>
        </w:rPr>
        <w:drawing>
          <wp:inline distT="0" distB="0" distL="0" distR="0" wp14:anchorId="01FE6E89" wp14:editId="02514E64">
            <wp:extent cx="2403475" cy="2711450"/>
            <wp:effectExtent l="0" t="0" r="0" b="0"/>
            <wp:docPr id="11" name="Chart 11" descr="Figure 6 is a bar graph depicting the proportion of people agreeing with the statement ‘This problem is a sign of personal weakness’, by culturally and linguistically diverse (CALD) status. 20% of respondents who agreed with this statement identified as being from a culturally and linguistically diverse background, in comparison to 6% of respondents who agreed with this statement did not identify as being from a culturally and linguistically diverse background. " title="Figure 6. Proportion of people agreeing with the statement ‘This problem is a sign of personal weakness’, by CALD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BF45C0" w14:textId="77777777" w:rsidR="00B53A33" w:rsidRDefault="00B53A33" w:rsidP="00284288">
      <w:pPr>
        <w:spacing w:before="120" w:line="240" w:lineRule="auto"/>
        <w:ind w:right="-1078"/>
        <w:rPr>
          <w:lang w:eastAsia="en-GB"/>
        </w:rPr>
      </w:pPr>
    </w:p>
    <w:p w14:paraId="2375ADD7" w14:textId="77777777" w:rsidR="00B53A33" w:rsidRDefault="00B53A33" w:rsidP="00284288">
      <w:pPr>
        <w:spacing w:before="120" w:line="240" w:lineRule="auto"/>
        <w:ind w:right="-1078"/>
        <w:rPr>
          <w:lang w:eastAsia="en-GB"/>
        </w:rPr>
        <w:sectPr w:rsidR="00B53A33" w:rsidSect="00B53A33">
          <w:footnotePr>
            <w:numFmt w:val="chicago"/>
            <w:numRestart w:val="eachPage"/>
          </w:footnotePr>
          <w:type w:val="continuous"/>
          <w:pgSz w:w="11906" w:h="16838" w:code="9"/>
          <w:pgMar w:top="2041" w:right="2381" w:bottom="1247" w:left="1247" w:header="720" w:footer="851" w:gutter="0"/>
          <w:cols w:num="2" w:space="708"/>
          <w:docGrid w:linePitch="360"/>
        </w:sectPr>
      </w:pPr>
    </w:p>
    <w:p w14:paraId="095636F3" w14:textId="77777777" w:rsidR="00CD3B20" w:rsidRDefault="00CD3B20">
      <w:pPr>
        <w:spacing w:after="0" w:line="240" w:lineRule="auto"/>
        <w:rPr>
          <w:rFonts w:asciiTheme="majorHAnsi" w:hAnsiTheme="majorHAnsi"/>
          <w:b/>
          <w:u w:val="single" w:color="20B9A3" w:themeColor="accent1"/>
        </w:rPr>
      </w:pPr>
      <w:r>
        <w:rPr>
          <w:u w:val="single" w:color="20B9A3" w:themeColor="accent1"/>
        </w:rPr>
        <w:br w:type="page"/>
      </w:r>
    </w:p>
    <w:p w14:paraId="32735A17" w14:textId="6C04A5B6" w:rsidR="004A7B16" w:rsidRPr="003D28CA" w:rsidRDefault="004A7B16" w:rsidP="00225194">
      <w:pPr>
        <w:pStyle w:val="Heading4"/>
        <w:spacing w:after="360"/>
        <w:ind w:right="-1077"/>
        <w:rPr>
          <w:color w:val="auto"/>
          <w:u w:val="single" w:color="20B9A3" w:themeColor="accent1"/>
        </w:rPr>
      </w:pPr>
      <w:r w:rsidRPr="003D28CA">
        <w:rPr>
          <w:color w:val="auto"/>
          <w:u w:val="single" w:color="20B9A3" w:themeColor="accent1"/>
        </w:rPr>
        <w:t xml:space="preserve">Differences in experience of public stigma by demographic group </w:t>
      </w:r>
    </w:p>
    <w:p w14:paraId="2AA8F80F" w14:textId="77777777"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w:t>
      </w:r>
    </w:p>
    <w:p w14:paraId="2F4131BD" w14:textId="77777777"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Participants with recent personal lived experience</w:t>
      </w:r>
    </w:p>
    <w:p w14:paraId="731DF4C7" w14:textId="77777777" w:rsidR="00E1743C" w:rsidRPr="004F7DF6" w:rsidRDefault="00E1743C" w:rsidP="00E1743C">
      <w:pPr>
        <w:pBdr>
          <w:top w:val="single" w:sz="24" w:space="1" w:color="20B9A3" w:themeColor="accent1"/>
          <w:bottom w:val="single" w:sz="24" w:space="1" w:color="20B9A3" w:themeColor="accent1"/>
        </w:pBdr>
        <w:spacing w:after="0"/>
        <w:ind w:right="-1077"/>
        <w:jc w:val="right"/>
        <w:rPr>
          <w:b/>
          <w:i/>
        </w:rPr>
      </w:pPr>
      <w:r w:rsidRPr="004F7DF6">
        <w:rPr>
          <w:b/>
          <w:i/>
        </w:rPr>
        <w:t>36% of total sample</w:t>
      </w:r>
    </w:p>
    <w:p w14:paraId="2081E278" w14:textId="34E3A2C8" w:rsidR="00E03F6C" w:rsidRDefault="00E03F6C" w:rsidP="00687E97">
      <w:pPr>
        <w:spacing w:before="240"/>
        <w:ind w:right="-1078"/>
      </w:pPr>
      <w:r>
        <w:t xml:space="preserve">When </w:t>
      </w:r>
      <w:r w:rsidR="00C008BD">
        <w:t>respondents</w:t>
      </w:r>
      <w:r>
        <w:t xml:space="preserve"> told us they had</w:t>
      </w:r>
      <w:r w:rsidR="00404F1C">
        <w:t xml:space="preserve"> </w:t>
      </w:r>
      <w:r>
        <w:t xml:space="preserve">experienced a mental health problem, we followed up with a question about the nature of their experience. From this, we were able to identify whether people with some mental health </w:t>
      </w:r>
      <w:r w:rsidR="00643937">
        <w:t xml:space="preserve">problems </w:t>
      </w:r>
      <w:r>
        <w:t xml:space="preserve">experience unfair treatment more often than others. </w:t>
      </w:r>
      <w:r w:rsidR="00404F1C">
        <w:t>As shown in Figure 7, w</w:t>
      </w:r>
      <w:r>
        <w:t>e found that people</w:t>
      </w:r>
      <w:r w:rsidRPr="007F194A">
        <w:t xml:space="preserve"> with experiences of schizophrenia, schizoaffe</w:t>
      </w:r>
      <w:r w:rsidR="005F70FC">
        <w:t>ctive disorder or psychosis (4</w:t>
      </w:r>
      <w:r w:rsidR="0020028C">
        <w:t xml:space="preserve"> percent</w:t>
      </w:r>
      <w:r w:rsidRPr="007F194A">
        <w:t xml:space="preserve"> of those with </w:t>
      </w:r>
      <w:r w:rsidR="00214FD3">
        <w:t>recent</w:t>
      </w:r>
      <w:r w:rsidRPr="007F194A">
        <w:t xml:space="preserve"> </w:t>
      </w:r>
      <w:r w:rsidR="006071F9">
        <w:t>personal lived experience</w:t>
      </w:r>
      <w:r w:rsidRPr="007F194A">
        <w:t xml:space="preserve">), were among the most affected with 89 percent reporting </w:t>
      </w:r>
      <w:r>
        <w:t>being treated unfairly in at least one life domain</w:t>
      </w:r>
      <w:r w:rsidRPr="007F194A">
        <w:t xml:space="preserve">. </w:t>
      </w:r>
    </w:p>
    <w:p w14:paraId="31D9D9EE" w14:textId="7988B5F2" w:rsidR="00E03F6C" w:rsidRPr="00CF0CA1" w:rsidRDefault="00563D76" w:rsidP="00CF0CA1">
      <w:pPr>
        <w:ind w:right="-1078"/>
      </w:pPr>
      <w:r w:rsidRPr="00783C3B">
        <w:rPr>
          <w:b/>
        </w:rPr>
        <w:t xml:space="preserve">Figure </w:t>
      </w:r>
      <w:r w:rsidR="00602B69" w:rsidRPr="00783C3B">
        <w:rPr>
          <w:b/>
        </w:rPr>
        <w:t>7</w:t>
      </w:r>
      <w:r w:rsidR="00602B69">
        <w:t>.</w:t>
      </w:r>
      <w:r w:rsidR="004A7B16">
        <w:t xml:space="preserve"> Proportion of people with recent </w:t>
      </w:r>
      <w:r w:rsidR="006071F9">
        <w:t xml:space="preserve">personal lived experience </w:t>
      </w:r>
      <w:r w:rsidR="004A7B16">
        <w:t>reporting experience of unfair treatment,</w:t>
      </w:r>
      <w:r w:rsidR="00E03F6C" w:rsidRPr="00CF0CA1">
        <w:t xml:space="preserve"> by </w:t>
      </w:r>
      <w:r w:rsidR="004A7B16">
        <w:t xml:space="preserve">type of </w:t>
      </w:r>
      <w:r w:rsidR="00E03F6C" w:rsidRPr="00CF0CA1">
        <w:t>mental healt</w:t>
      </w:r>
      <w:r w:rsidR="004A7B16">
        <w:t xml:space="preserve">h </w:t>
      </w:r>
      <w:r w:rsidR="00643937">
        <w:t>problem</w:t>
      </w:r>
      <w:r w:rsidR="004A7B16">
        <w:t>.</w:t>
      </w:r>
    </w:p>
    <w:p w14:paraId="0D8A4C1E" w14:textId="7F57E11E" w:rsidR="00E03F6C" w:rsidRDefault="00E03F6C" w:rsidP="00284288">
      <w:pPr>
        <w:spacing w:before="120" w:line="240" w:lineRule="auto"/>
        <w:ind w:right="-1078"/>
        <w:rPr>
          <w:rFonts w:ascii="Arial" w:hAnsi="Arial" w:cs="Arial"/>
          <w:iCs/>
          <w:lang w:eastAsia="en-GB"/>
        </w:rPr>
      </w:pPr>
      <w:r>
        <w:rPr>
          <w:noProof/>
        </w:rPr>
        <w:drawing>
          <wp:inline distT="0" distB="0" distL="0" distR="0" wp14:anchorId="166219F3" wp14:editId="2E651441">
            <wp:extent cx="5924550" cy="2743200"/>
            <wp:effectExtent l="0" t="0" r="0" b="0"/>
            <wp:docPr id="12" name="Chart 12" descr="Figure 7 is a bar graph that depicts the proportion of people with recent personal lived experience reporting an experience of unfair treatment, categorised by type of mental health problem. People with experiences of schizophrenia were among the most affected with 89% reported being treated unfairly in at least one life domain. 87% of people who experience personality disorder reported being treated unfairly. 80% who have experienced self-harm, 78% who have experienced addiction, 77% who have experienced trauma, and 77% of people who have experienced an eating disorder all report being treated unfairly in at least one life domain. 76% of people who have experienced bipolar, 74% who have experienced OCD, and 74% who have attempted suicide reported being treated unfairly in at least one life domain. 69% of those who have depression, 66% of those who have anxiety, and 64% of people with stress report being treated unfairly in at least one life domain." title="Figure 7. Proportion of people with recent personal lived experience reporting experience of unfair treatment, by type of mental health problem."/>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DBC452" w14:textId="01F244A6" w:rsidR="00C32801" w:rsidRPr="00377AD9" w:rsidRDefault="00DF77CF" w:rsidP="000879B5">
      <w:pPr>
        <w:ind w:right="-936"/>
        <w:rPr>
          <w:rFonts w:cstheme="minorHAnsi"/>
          <w:iCs/>
          <w:sz w:val="16"/>
          <w:lang w:eastAsia="en-GB"/>
        </w:rPr>
      </w:pPr>
      <w:r w:rsidRPr="00377AD9">
        <w:rPr>
          <w:rFonts w:cstheme="minorHAnsi"/>
          <w:iCs/>
          <w:sz w:val="16"/>
          <w:lang w:eastAsia="en-GB"/>
        </w:rPr>
        <w:t>Note:</w:t>
      </w:r>
      <w:r w:rsidR="00C32801" w:rsidRPr="00377AD9">
        <w:rPr>
          <w:rFonts w:cstheme="minorHAnsi"/>
          <w:iCs/>
          <w:sz w:val="16"/>
          <w:lang w:eastAsia="en-GB"/>
        </w:rPr>
        <w:t xml:space="preserve"> </w:t>
      </w:r>
      <w:r w:rsidR="00C32801" w:rsidRPr="00377AD9">
        <w:rPr>
          <w:rFonts w:cstheme="minorHAnsi"/>
          <w:b/>
          <w:iCs/>
          <w:sz w:val="16"/>
          <w:lang w:eastAsia="en-GB"/>
        </w:rPr>
        <w:t>Stress</w:t>
      </w:r>
      <w:r w:rsidR="00C32801" w:rsidRPr="00377AD9">
        <w:rPr>
          <w:rFonts w:cstheme="minorHAnsi"/>
          <w:iCs/>
          <w:sz w:val="16"/>
          <w:lang w:eastAsia="en-GB"/>
        </w:rPr>
        <w:t xml:space="preserve"> comprises responses ‘</w:t>
      </w:r>
      <w:r w:rsidR="00C32801" w:rsidRPr="00377AD9">
        <w:rPr>
          <w:rFonts w:cstheme="minorHAnsi"/>
          <w:sz w:val="16"/>
          <w:szCs w:val="20"/>
        </w:rPr>
        <w:t>Emotional distress’, ‘</w:t>
      </w:r>
      <w:r w:rsidR="00C32801" w:rsidRPr="00377AD9">
        <w:rPr>
          <w:rFonts w:cstheme="minorHAnsi"/>
          <w:sz w:val="16"/>
        </w:rPr>
        <w:t>Stress’</w:t>
      </w:r>
      <w:r w:rsidR="00C32801" w:rsidRPr="00377AD9">
        <w:rPr>
          <w:rFonts w:cstheme="minorHAnsi"/>
          <w:sz w:val="16"/>
          <w:szCs w:val="20"/>
        </w:rPr>
        <w:t xml:space="preserve"> and </w:t>
      </w:r>
      <w:r w:rsidR="00C32801" w:rsidRPr="00377AD9">
        <w:rPr>
          <w:rFonts w:cstheme="minorHAnsi"/>
          <w:sz w:val="16"/>
        </w:rPr>
        <w:t>‘Burnout’</w:t>
      </w:r>
      <w:r w:rsidR="00377AD9">
        <w:rPr>
          <w:rFonts w:cstheme="minorHAnsi"/>
          <w:sz w:val="16"/>
        </w:rPr>
        <w:t xml:space="preserve"> (</w:t>
      </w:r>
      <w:r w:rsidR="002C49A6">
        <w:rPr>
          <w:rFonts w:cstheme="minorHAnsi"/>
          <w:sz w:val="16"/>
        </w:rPr>
        <w:t xml:space="preserve">66% of people with </w:t>
      </w:r>
      <w:r w:rsidR="00214FD3">
        <w:rPr>
          <w:rFonts w:cstheme="minorHAnsi"/>
          <w:sz w:val="16"/>
        </w:rPr>
        <w:t>recent</w:t>
      </w:r>
      <w:r w:rsidR="002C49A6">
        <w:rPr>
          <w:rFonts w:cstheme="minorHAnsi"/>
          <w:sz w:val="16"/>
        </w:rPr>
        <w:t xml:space="preserve"> </w:t>
      </w:r>
      <w:r w:rsidR="006071F9" w:rsidRPr="006071F9">
        <w:rPr>
          <w:rFonts w:cstheme="minorHAnsi"/>
          <w:sz w:val="16"/>
        </w:rPr>
        <w:t>personal lived experience</w:t>
      </w:r>
      <w:r w:rsidR="002C49A6">
        <w:rPr>
          <w:rFonts w:cstheme="minorHAnsi"/>
          <w:sz w:val="16"/>
        </w:rPr>
        <w:t>)</w:t>
      </w:r>
      <w:r w:rsidR="00377AD9" w:rsidRPr="00377AD9">
        <w:rPr>
          <w:rFonts w:cstheme="minorHAnsi"/>
          <w:sz w:val="16"/>
        </w:rPr>
        <w:t xml:space="preserve"> </w:t>
      </w:r>
      <w:r w:rsidR="00C32801" w:rsidRPr="00377AD9">
        <w:rPr>
          <w:rFonts w:cstheme="minorHAnsi"/>
          <w:sz w:val="16"/>
        </w:rPr>
        <w:t xml:space="preserve">; </w:t>
      </w:r>
      <w:r w:rsidR="00C32801" w:rsidRPr="00377AD9">
        <w:rPr>
          <w:rFonts w:cstheme="minorHAnsi"/>
          <w:b/>
          <w:sz w:val="16"/>
          <w:szCs w:val="20"/>
        </w:rPr>
        <w:t>Anxiety</w:t>
      </w:r>
      <w:r w:rsidR="00C32801" w:rsidRPr="00377AD9">
        <w:rPr>
          <w:rFonts w:cstheme="minorHAnsi"/>
          <w:sz w:val="16"/>
          <w:szCs w:val="20"/>
        </w:rPr>
        <w:t xml:space="preserve"> comprises ‘Anxiety’, ‘</w:t>
      </w:r>
      <w:r w:rsidR="00377AD9">
        <w:rPr>
          <w:rFonts w:cstheme="minorHAnsi"/>
          <w:sz w:val="16"/>
          <w:szCs w:val="20"/>
        </w:rPr>
        <w:t>A</w:t>
      </w:r>
      <w:r w:rsidR="00C32801" w:rsidRPr="00377AD9">
        <w:rPr>
          <w:rFonts w:cstheme="minorHAnsi"/>
          <w:sz w:val="16"/>
          <w:szCs w:val="20"/>
        </w:rPr>
        <w:t xml:space="preserve">nxiety disorder’, </w:t>
      </w:r>
      <w:r w:rsidR="00C32801" w:rsidRPr="00377AD9">
        <w:rPr>
          <w:rFonts w:cstheme="minorHAnsi"/>
          <w:sz w:val="16"/>
        </w:rPr>
        <w:t>‘Agoraphobia’</w:t>
      </w:r>
      <w:r w:rsidR="00C32801" w:rsidRPr="00377AD9">
        <w:rPr>
          <w:rFonts w:cstheme="minorHAnsi"/>
          <w:sz w:val="16"/>
          <w:szCs w:val="20"/>
        </w:rPr>
        <w:t xml:space="preserve">, </w:t>
      </w:r>
      <w:r w:rsidR="00C32801" w:rsidRPr="00377AD9">
        <w:rPr>
          <w:rFonts w:cstheme="minorHAnsi"/>
          <w:sz w:val="16"/>
        </w:rPr>
        <w:t>‘Panic disorder’</w:t>
      </w:r>
      <w:r w:rsidR="002C49A6">
        <w:rPr>
          <w:rFonts w:cstheme="minorHAnsi"/>
          <w:sz w:val="16"/>
        </w:rPr>
        <w:t xml:space="preserve"> (73%)</w:t>
      </w:r>
      <w:r w:rsidR="00C32801" w:rsidRPr="00377AD9">
        <w:rPr>
          <w:rFonts w:cstheme="minorHAnsi"/>
          <w:sz w:val="16"/>
        </w:rPr>
        <w:t xml:space="preserve">; </w:t>
      </w:r>
      <w:r w:rsidR="00C32801" w:rsidRPr="00377AD9">
        <w:rPr>
          <w:rFonts w:cstheme="minorHAnsi"/>
          <w:b/>
          <w:sz w:val="16"/>
        </w:rPr>
        <w:t>Depression</w:t>
      </w:r>
      <w:r w:rsidR="00C32801" w:rsidRPr="00377AD9">
        <w:rPr>
          <w:rFonts w:cstheme="minorHAnsi"/>
          <w:sz w:val="16"/>
        </w:rPr>
        <w:t xml:space="preserve"> comprises ‘Depression’, ‘</w:t>
      </w:r>
      <w:r w:rsidR="00377AD9">
        <w:rPr>
          <w:rFonts w:cstheme="minorHAnsi"/>
          <w:sz w:val="16"/>
        </w:rPr>
        <w:t>M</w:t>
      </w:r>
      <w:r w:rsidR="00C32801" w:rsidRPr="00377AD9">
        <w:rPr>
          <w:rFonts w:cstheme="minorHAnsi"/>
          <w:sz w:val="16"/>
        </w:rPr>
        <w:t>ajor depression</w:t>
      </w:r>
      <w:r w:rsidR="002C49A6">
        <w:rPr>
          <w:rFonts w:cstheme="minorHAnsi"/>
          <w:sz w:val="16"/>
        </w:rPr>
        <w:t xml:space="preserve"> (71%)</w:t>
      </w:r>
      <w:r w:rsidR="00C32801" w:rsidRPr="00377AD9">
        <w:rPr>
          <w:rFonts w:cstheme="minorHAnsi"/>
          <w:sz w:val="16"/>
        </w:rPr>
        <w:t xml:space="preserve">’; </w:t>
      </w:r>
      <w:r w:rsidR="00C32801" w:rsidRPr="00377AD9">
        <w:rPr>
          <w:rFonts w:cstheme="minorHAnsi"/>
          <w:b/>
          <w:sz w:val="16"/>
        </w:rPr>
        <w:t>Attempted suicide</w:t>
      </w:r>
      <w:r w:rsidR="00C32801" w:rsidRPr="00377AD9">
        <w:rPr>
          <w:rFonts w:cstheme="minorHAnsi"/>
          <w:sz w:val="16"/>
        </w:rPr>
        <w:t xml:space="preserve"> comprises ‘Attempted suicide’, ‘Thought about attempting suicide’</w:t>
      </w:r>
      <w:r w:rsidR="002C49A6">
        <w:rPr>
          <w:rFonts w:cstheme="minorHAnsi"/>
          <w:sz w:val="16"/>
        </w:rPr>
        <w:t xml:space="preserve"> (31%)</w:t>
      </w:r>
      <w:r w:rsidR="00C32801" w:rsidRPr="00377AD9">
        <w:rPr>
          <w:rFonts w:cstheme="minorHAnsi"/>
          <w:sz w:val="16"/>
        </w:rPr>
        <w:t xml:space="preserve">; </w:t>
      </w:r>
      <w:r w:rsidR="00C32801" w:rsidRPr="00377AD9">
        <w:rPr>
          <w:rFonts w:cstheme="minorHAnsi"/>
          <w:b/>
          <w:sz w:val="16"/>
        </w:rPr>
        <w:t>OCD</w:t>
      </w:r>
      <w:r w:rsidR="00C32801" w:rsidRPr="00377AD9">
        <w:rPr>
          <w:rFonts w:cstheme="minorHAnsi"/>
          <w:sz w:val="16"/>
        </w:rPr>
        <w:t xml:space="preserve"> comprises ‘Obsessive-compulsive disorder’, ‘OCD’</w:t>
      </w:r>
      <w:r w:rsidR="002C49A6">
        <w:rPr>
          <w:rFonts w:cstheme="minorHAnsi"/>
          <w:sz w:val="16"/>
        </w:rPr>
        <w:t xml:space="preserve"> (11%)</w:t>
      </w:r>
      <w:r w:rsidR="00C32801" w:rsidRPr="00377AD9">
        <w:rPr>
          <w:rFonts w:cstheme="minorHAnsi"/>
          <w:sz w:val="16"/>
        </w:rPr>
        <w:t xml:space="preserve">; </w:t>
      </w:r>
      <w:r w:rsidR="00C32801" w:rsidRPr="00377AD9">
        <w:rPr>
          <w:rFonts w:cstheme="minorHAnsi"/>
          <w:b/>
          <w:sz w:val="16"/>
        </w:rPr>
        <w:t>Bipolar</w:t>
      </w:r>
      <w:r w:rsidR="00C32801" w:rsidRPr="00377AD9">
        <w:rPr>
          <w:rFonts w:cstheme="minorHAnsi"/>
          <w:sz w:val="16"/>
        </w:rPr>
        <w:t xml:space="preserve"> comprises ‘Bipolar’, ‘</w:t>
      </w:r>
      <w:r w:rsidR="00377AD9">
        <w:rPr>
          <w:rFonts w:cstheme="minorHAnsi"/>
          <w:sz w:val="16"/>
        </w:rPr>
        <w:t>B</w:t>
      </w:r>
      <w:r w:rsidR="00C32801" w:rsidRPr="00377AD9">
        <w:rPr>
          <w:rFonts w:cstheme="minorHAnsi"/>
          <w:sz w:val="16"/>
        </w:rPr>
        <w:t>ipolar disorder’, ‘</w:t>
      </w:r>
      <w:r w:rsidR="00377AD9">
        <w:rPr>
          <w:rFonts w:cstheme="minorHAnsi"/>
          <w:sz w:val="16"/>
        </w:rPr>
        <w:t>M</w:t>
      </w:r>
      <w:r w:rsidR="00C32801" w:rsidRPr="00377AD9">
        <w:rPr>
          <w:rFonts w:cstheme="minorHAnsi"/>
          <w:sz w:val="16"/>
        </w:rPr>
        <w:t>anic-depressive disorder’</w:t>
      </w:r>
      <w:r w:rsidR="002C49A6">
        <w:rPr>
          <w:rFonts w:cstheme="minorHAnsi"/>
          <w:sz w:val="16"/>
        </w:rPr>
        <w:t xml:space="preserve"> (6%)</w:t>
      </w:r>
      <w:r w:rsidR="00C32801" w:rsidRPr="00377AD9">
        <w:rPr>
          <w:rFonts w:cstheme="minorHAnsi"/>
          <w:sz w:val="16"/>
        </w:rPr>
        <w:t xml:space="preserve">; </w:t>
      </w:r>
      <w:r w:rsidR="00C32801" w:rsidRPr="00377AD9">
        <w:rPr>
          <w:rFonts w:cstheme="minorHAnsi"/>
          <w:b/>
          <w:sz w:val="16"/>
        </w:rPr>
        <w:t>Eating disorder</w:t>
      </w:r>
      <w:r w:rsidR="00C32801" w:rsidRPr="00377AD9">
        <w:rPr>
          <w:rFonts w:cstheme="minorHAnsi"/>
          <w:sz w:val="16"/>
        </w:rPr>
        <w:t xml:space="preserve"> comprises ‘Eating disorder’, ‘</w:t>
      </w:r>
      <w:r w:rsidR="00377AD9">
        <w:rPr>
          <w:rFonts w:cstheme="minorHAnsi"/>
          <w:sz w:val="16"/>
        </w:rPr>
        <w:t>A</w:t>
      </w:r>
      <w:r w:rsidR="00C32801" w:rsidRPr="00377AD9">
        <w:rPr>
          <w:rFonts w:cstheme="minorHAnsi"/>
          <w:sz w:val="16"/>
        </w:rPr>
        <w:t>norexia’, ‘</w:t>
      </w:r>
      <w:r w:rsidR="00377AD9">
        <w:rPr>
          <w:rFonts w:cstheme="minorHAnsi"/>
          <w:sz w:val="16"/>
        </w:rPr>
        <w:t>B</w:t>
      </w:r>
      <w:r w:rsidR="00C32801" w:rsidRPr="00377AD9">
        <w:rPr>
          <w:rFonts w:cstheme="minorHAnsi"/>
          <w:sz w:val="16"/>
        </w:rPr>
        <w:t>ulimia’, ‘</w:t>
      </w:r>
      <w:r w:rsidR="00377AD9">
        <w:rPr>
          <w:rFonts w:cstheme="minorHAnsi"/>
          <w:sz w:val="16"/>
        </w:rPr>
        <w:t>B</w:t>
      </w:r>
      <w:r w:rsidR="00C32801" w:rsidRPr="00377AD9">
        <w:rPr>
          <w:rFonts w:cstheme="minorHAnsi"/>
          <w:sz w:val="16"/>
        </w:rPr>
        <w:t>inge eating disorder’</w:t>
      </w:r>
      <w:r w:rsidR="002C49A6">
        <w:rPr>
          <w:rFonts w:cstheme="minorHAnsi"/>
          <w:sz w:val="16"/>
        </w:rPr>
        <w:t xml:space="preserve"> (11%)</w:t>
      </w:r>
      <w:r w:rsidR="00C32801" w:rsidRPr="00377AD9">
        <w:rPr>
          <w:rFonts w:cstheme="minorHAnsi"/>
          <w:sz w:val="16"/>
        </w:rPr>
        <w:t xml:space="preserve">; </w:t>
      </w:r>
      <w:r w:rsidR="00C32801" w:rsidRPr="00377AD9">
        <w:rPr>
          <w:rFonts w:cstheme="minorHAnsi"/>
          <w:b/>
          <w:sz w:val="16"/>
        </w:rPr>
        <w:t>Trauma</w:t>
      </w:r>
      <w:r w:rsidR="00C32801" w:rsidRPr="00377AD9">
        <w:rPr>
          <w:rFonts w:cstheme="minorHAnsi"/>
          <w:sz w:val="16"/>
        </w:rPr>
        <w:t xml:space="preserve"> comprises ‘Post-traumatic stress disorder’, ‘PTSD’, ‘Complex trauma’</w:t>
      </w:r>
      <w:r w:rsidR="002C49A6">
        <w:rPr>
          <w:rFonts w:cstheme="minorHAnsi"/>
          <w:sz w:val="16"/>
        </w:rPr>
        <w:t xml:space="preserve"> (26%)</w:t>
      </w:r>
      <w:r w:rsidR="00C32801" w:rsidRPr="00377AD9">
        <w:rPr>
          <w:rFonts w:cstheme="minorHAnsi"/>
          <w:sz w:val="16"/>
        </w:rPr>
        <w:t xml:space="preserve">; </w:t>
      </w:r>
      <w:r w:rsidR="00C32801" w:rsidRPr="00377AD9">
        <w:rPr>
          <w:rFonts w:cstheme="minorHAnsi"/>
          <w:b/>
          <w:sz w:val="16"/>
        </w:rPr>
        <w:t>Addiction</w:t>
      </w:r>
      <w:r w:rsidR="00D879E4">
        <w:rPr>
          <w:rFonts w:cstheme="minorHAnsi"/>
          <w:sz w:val="16"/>
        </w:rPr>
        <w:t xml:space="preserve"> comprises ‘Alcohol problem’, ‘A</w:t>
      </w:r>
      <w:r w:rsidR="00C32801" w:rsidRPr="00377AD9">
        <w:rPr>
          <w:rFonts w:cstheme="minorHAnsi"/>
          <w:sz w:val="16"/>
        </w:rPr>
        <w:t>lcoholism’, ‘Drug problem’, ‘</w:t>
      </w:r>
      <w:r w:rsidR="00377AD9">
        <w:rPr>
          <w:rFonts w:cstheme="minorHAnsi"/>
          <w:sz w:val="16"/>
        </w:rPr>
        <w:t>D</w:t>
      </w:r>
      <w:r w:rsidR="00C32801" w:rsidRPr="00377AD9">
        <w:rPr>
          <w:rFonts w:cstheme="minorHAnsi"/>
          <w:sz w:val="16"/>
        </w:rPr>
        <w:t>rug addiction’, ‘Gambling problem’, ‘</w:t>
      </w:r>
      <w:r w:rsidR="00377AD9">
        <w:rPr>
          <w:rFonts w:cstheme="minorHAnsi"/>
          <w:sz w:val="16"/>
        </w:rPr>
        <w:t>G</w:t>
      </w:r>
      <w:r w:rsidR="00C32801" w:rsidRPr="00377AD9">
        <w:rPr>
          <w:rFonts w:cstheme="minorHAnsi"/>
          <w:sz w:val="16"/>
        </w:rPr>
        <w:t>ambling harm’</w:t>
      </w:r>
      <w:r w:rsidR="002C49A6">
        <w:rPr>
          <w:rFonts w:cstheme="minorHAnsi"/>
          <w:sz w:val="16"/>
        </w:rPr>
        <w:t xml:space="preserve"> (13%)</w:t>
      </w:r>
      <w:r w:rsidR="00C32801" w:rsidRPr="00377AD9">
        <w:rPr>
          <w:rFonts w:cstheme="minorHAnsi"/>
          <w:sz w:val="16"/>
        </w:rPr>
        <w:t xml:space="preserve">; </w:t>
      </w:r>
      <w:r w:rsidR="00C32801" w:rsidRPr="00377AD9">
        <w:rPr>
          <w:rFonts w:cstheme="minorHAnsi"/>
          <w:b/>
          <w:sz w:val="16"/>
        </w:rPr>
        <w:t>Self-harm</w:t>
      </w:r>
      <w:r w:rsidR="00C32801" w:rsidRPr="00377AD9">
        <w:rPr>
          <w:rFonts w:cstheme="minorHAnsi"/>
          <w:sz w:val="16"/>
        </w:rPr>
        <w:t xml:space="preserve"> comprises ‘Self-harm’</w:t>
      </w:r>
      <w:r w:rsidR="002C49A6">
        <w:rPr>
          <w:rFonts w:cstheme="minorHAnsi"/>
          <w:sz w:val="16"/>
        </w:rPr>
        <w:t xml:space="preserve"> (13%)</w:t>
      </w:r>
      <w:r w:rsidR="00C32801" w:rsidRPr="00377AD9">
        <w:rPr>
          <w:rFonts w:cstheme="minorHAnsi"/>
          <w:sz w:val="16"/>
        </w:rPr>
        <w:t xml:space="preserve">; </w:t>
      </w:r>
      <w:r w:rsidR="00C32801" w:rsidRPr="00377AD9">
        <w:rPr>
          <w:rFonts w:cstheme="minorHAnsi"/>
          <w:b/>
          <w:sz w:val="16"/>
        </w:rPr>
        <w:t>Personality disorder</w:t>
      </w:r>
      <w:r w:rsidR="00C32801" w:rsidRPr="00377AD9">
        <w:rPr>
          <w:rFonts w:cstheme="minorHAnsi"/>
          <w:sz w:val="16"/>
        </w:rPr>
        <w:t xml:space="preserve"> comprises ‘Personality disorder’, ‘</w:t>
      </w:r>
      <w:r w:rsidR="00377AD9">
        <w:rPr>
          <w:rFonts w:cstheme="minorHAnsi"/>
          <w:sz w:val="16"/>
        </w:rPr>
        <w:t>B</w:t>
      </w:r>
      <w:r w:rsidR="00C32801" w:rsidRPr="00377AD9">
        <w:rPr>
          <w:rFonts w:cstheme="minorHAnsi"/>
          <w:sz w:val="16"/>
        </w:rPr>
        <w:t>orderline personality disorder’</w:t>
      </w:r>
      <w:r w:rsidR="002C49A6">
        <w:rPr>
          <w:rFonts w:cstheme="minorHAnsi"/>
          <w:sz w:val="16"/>
        </w:rPr>
        <w:t xml:space="preserve"> (6%)</w:t>
      </w:r>
      <w:r w:rsidR="00C32801" w:rsidRPr="00377AD9">
        <w:rPr>
          <w:rFonts w:cstheme="minorHAnsi"/>
          <w:sz w:val="16"/>
        </w:rPr>
        <w:t xml:space="preserve">; </w:t>
      </w:r>
      <w:r w:rsidR="00C32801" w:rsidRPr="00377AD9">
        <w:rPr>
          <w:rFonts w:cstheme="minorHAnsi"/>
          <w:b/>
          <w:sz w:val="16"/>
        </w:rPr>
        <w:t>Schizophrenia</w:t>
      </w:r>
      <w:r w:rsidR="00C32801" w:rsidRPr="00377AD9">
        <w:rPr>
          <w:rFonts w:cstheme="minorHAnsi"/>
          <w:sz w:val="16"/>
        </w:rPr>
        <w:t xml:space="preserve"> comprises ‘Schizophrenia’, ‘</w:t>
      </w:r>
      <w:r w:rsidR="00377AD9">
        <w:rPr>
          <w:rFonts w:cstheme="minorHAnsi"/>
          <w:sz w:val="16"/>
        </w:rPr>
        <w:t>P</w:t>
      </w:r>
      <w:r w:rsidR="00C32801" w:rsidRPr="00377AD9">
        <w:rPr>
          <w:rFonts w:cstheme="minorHAnsi"/>
          <w:sz w:val="16"/>
        </w:rPr>
        <w:t>aranoid schizophrenia’, ‘Schizoaffective disorder’, ‘Psychosis’, ‘</w:t>
      </w:r>
      <w:r w:rsidR="00377AD9">
        <w:rPr>
          <w:rFonts w:cstheme="minorHAnsi"/>
          <w:sz w:val="16"/>
        </w:rPr>
        <w:t>P</w:t>
      </w:r>
      <w:r w:rsidR="00C32801" w:rsidRPr="00377AD9">
        <w:rPr>
          <w:rFonts w:cstheme="minorHAnsi"/>
          <w:sz w:val="16"/>
        </w:rPr>
        <w:t>sychotic disorder’</w:t>
      </w:r>
      <w:r w:rsidR="002C49A6">
        <w:rPr>
          <w:rFonts w:cstheme="minorHAnsi"/>
          <w:sz w:val="16"/>
        </w:rPr>
        <w:t xml:space="preserve"> (4%)</w:t>
      </w:r>
      <w:r w:rsidR="00377AD9" w:rsidRPr="00377AD9">
        <w:rPr>
          <w:rFonts w:cstheme="minorHAnsi"/>
          <w:sz w:val="16"/>
        </w:rPr>
        <w:t xml:space="preserve">. </w:t>
      </w:r>
      <w:r w:rsidR="00C008BD">
        <w:rPr>
          <w:rFonts w:cstheme="minorHAnsi"/>
          <w:sz w:val="16"/>
        </w:rPr>
        <w:t>Respondents</w:t>
      </w:r>
      <w:r w:rsidR="00377AD9" w:rsidRPr="00377AD9">
        <w:rPr>
          <w:rFonts w:cstheme="minorHAnsi"/>
          <w:sz w:val="16"/>
        </w:rPr>
        <w:t xml:space="preserve"> were able to select as many mental health </w:t>
      </w:r>
      <w:r w:rsidR="00643937">
        <w:rPr>
          <w:rFonts w:cstheme="minorHAnsi"/>
          <w:sz w:val="16"/>
        </w:rPr>
        <w:t>problems</w:t>
      </w:r>
      <w:r w:rsidR="00643937" w:rsidRPr="00377AD9">
        <w:rPr>
          <w:rFonts w:cstheme="minorHAnsi"/>
          <w:sz w:val="16"/>
        </w:rPr>
        <w:t xml:space="preserve"> </w:t>
      </w:r>
      <w:r w:rsidR="00377AD9" w:rsidRPr="00377AD9">
        <w:rPr>
          <w:rFonts w:cstheme="minorHAnsi"/>
          <w:sz w:val="16"/>
        </w:rPr>
        <w:t xml:space="preserve">as were applicable to them. </w:t>
      </w:r>
    </w:p>
    <w:p w14:paraId="31C17B04" w14:textId="0F0362E9" w:rsidR="001B04D2" w:rsidRDefault="001B04D2" w:rsidP="00377AD9">
      <w:pPr>
        <w:ind w:right="-1078"/>
      </w:pPr>
      <w:r>
        <w:t>S</w:t>
      </w:r>
      <w:r w:rsidR="00E03F6C" w:rsidRPr="00842C2A">
        <w:t xml:space="preserve">ome demographic groups </w:t>
      </w:r>
      <w:r>
        <w:t>reported experiencing</w:t>
      </w:r>
      <w:r w:rsidR="00E03F6C" w:rsidRPr="00842C2A">
        <w:t xml:space="preserve"> mental </w:t>
      </w:r>
      <w:r w:rsidR="00FC5F35">
        <w:t>health-related</w:t>
      </w:r>
      <w:r w:rsidR="00F42470">
        <w:t xml:space="preserve"> stigma </w:t>
      </w:r>
      <w:r>
        <w:t xml:space="preserve">more frequently </w:t>
      </w:r>
      <w:r w:rsidR="00F42470">
        <w:t xml:space="preserve">than others. </w:t>
      </w:r>
      <w:r w:rsidR="00E03F6C" w:rsidRPr="00842C2A">
        <w:t>This include</w:t>
      </w:r>
      <w:r w:rsidR="00F12CB5">
        <w:t>d</w:t>
      </w:r>
      <w:r w:rsidR="00E03F6C" w:rsidRPr="00842C2A">
        <w:t xml:space="preserve"> fe</w:t>
      </w:r>
      <w:r w:rsidR="00F42470">
        <w:t xml:space="preserve">males, </w:t>
      </w:r>
      <w:r w:rsidR="00E03F6C" w:rsidRPr="00842C2A">
        <w:t>younger people</w:t>
      </w:r>
      <w:r w:rsidR="00F42470">
        <w:t xml:space="preserve"> and </w:t>
      </w:r>
      <w:r w:rsidR="00842590">
        <w:t>people who identify as LGBT</w:t>
      </w:r>
      <w:r w:rsidR="00EB7AA3">
        <w:t>I</w:t>
      </w:r>
      <w:r w:rsidR="00390793">
        <w:t>Q</w:t>
      </w:r>
      <w:r w:rsidR="00EB7AA3">
        <w:t>A+</w:t>
      </w:r>
      <w:r>
        <w:rPr>
          <w:rStyle w:val="FootnoteReference"/>
        </w:rPr>
        <w:footnoteReference w:id="4"/>
      </w:r>
      <w:r w:rsidR="00E03F6C" w:rsidRPr="00842C2A">
        <w:t xml:space="preserve">. </w:t>
      </w:r>
      <w:r w:rsidR="00F42470">
        <w:t xml:space="preserve">For </w:t>
      </w:r>
      <w:r w:rsidR="003B3B81">
        <w:t>females</w:t>
      </w:r>
      <w:r w:rsidR="00F42470">
        <w:t xml:space="preserve">, this </w:t>
      </w:r>
      <w:r w:rsidR="00F12CB5">
        <w:t>wa</w:t>
      </w:r>
      <w:r w:rsidR="00F42470">
        <w:t>s</w:t>
      </w:r>
      <w:r w:rsidR="006925C1">
        <w:t xml:space="preserve"> partly</w:t>
      </w:r>
      <w:r w:rsidR="00F42470">
        <w:t xml:space="preserve"> because women </w:t>
      </w:r>
      <w:r w:rsidR="00814EA1">
        <w:t xml:space="preserve">reported </w:t>
      </w:r>
      <w:r w:rsidR="00F42470">
        <w:t>experienc</w:t>
      </w:r>
      <w:r w:rsidR="00814EA1">
        <w:t>ing</w:t>
      </w:r>
      <w:r w:rsidR="00F42470">
        <w:t xml:space="preserve"> mental ill-health </w:t>
      </w:r>
      <w:r w:rsidR="00814EA1">
        <w:t xml:space="preserve">more frequently </w:t>
      </w:r>
      <w:r w:rsidR="00F42470">
        <w:t>than men</w:t>
      </w:r>
      <w:r w:rsidR="006925C1">
        <w:t xml:space="preserve"> (and experiencing mental </w:t>
      </w:r>
      <w:r w:rsidR="00FC5F35">
        <w:t>health-related</w:t>
      </w:r>
      <w:r w:rsidR="006925C1">
        <w:t xml:space="preserve"> stigma is dependent on experiencing mental ill-health)</w:t>
      </w:r>
      <w:r w:rsidR="00F42470">
        <w:t xml:space="preserve">. </w:t>
      </w:r>
      <w:r w:rsidR="001330FC">
        <w:t>Tw</w:t>
      </w:r>
      <w:r w:rsidR="003B3B81">
        <w:t>enty seven percent of all women</w:t>
      </w:r>
      <w:r w:rsidR="001330FC">
        <w:t xml:space="preserve"> </w:t>
      </w:r>
      <w:r w:rsidR="001330FC" w:rsidRPr="007F194A">
        <w:t>report</w:t>
      </w:r>
      <w:r w:rsidR="00F12CB5">
        <w:t>ed</w:t>
      </w:r>
      <w:r w:rsidR="001330FC" w:rsidRPr="007F194A">
        <w:t xml:space="preserve"> experiencing unfair treatment in relation to a mental health problem, compared with 19</w:t>
      </w:r>
      <w:r w:rsidR="00F74F55">
        <w:t> </w:t>
      </w:r>
      <w:r w:rsidR="001330FC" w:rsidRPr="007F194A">
        <w:t>percent of all men</w:t>
      </w:r>
      <w:r w:rsidR="001330FC">
        <w:t xml:space="preserve">. </w:t>
      </w:r>
      <w:r w:rsidR="006925C1">
        <w:t>W</w:t>
      </w:r>
      <w:r w:rsidR="00E03F6C" w:rsidRPr="00842C2A">
        <w:t>hen we compare</w:t>
      </w:r>
      <w:r w:rsidR="00F12CB5">
        <w:t>d</w:t>
      </w:r>
      <w:r w:rsidR="00E03F6C" w:rsidRPr="00842C2A">
        <w:t xml:space="preserve"> only</w:t>
      </w:r>
      <w:r w:rsidR="003B3B81">
        <w:t xml:space="preserve"> </w:t>
      </w:r>
      <w:r w:rsidR="003B3B81" w:rsidRPr="00842C2A">
        <w:t>among</w:t>
      </w:r>
      <w:r w:rsidR="00E03F6C" w:rsidRPr="00842C2A">
        <w:t xml:space="preserve"> those </w:t>
      </w:r>
      <w:r w:rsidR="00BA555E">
        <w:t xml:space="preserve">with </w:t>
      </w:r>
      <w:r w:rsidR="00214FD3">
        <w:t>recent</w:t>
      </w:r>
      <w:r w:rsidR="00BA555E">
        <w:t xml:space="preserve"> </w:t>
      </w:r>
      <w:r w:rsidR="006071F9">
        <w:t>personal lived experience</w:t>
      </w:r>
      <w:r w:rsidR="00E03F6C" w:rsidRPr="00842C2A">
        <w:t xml:space="preserve">, there </w:t>
      </w:r>
      <w:r w:rsidR="00F12CB5">
        <w:t>wa</w:t>
      </w:r>
      <w:r w:rsidR="00E03F6C" w:rsidRPr="00842C2A">
        <w:t>sn’t a significant difference</w:t>
      </w:r>
      <w:r w:rsidR="00464FA6">
        <w:t xml:space="preserve"> </w:t>
      </w:r>
      <w:r w:rsidR="00E03F6C" w:rsidRPr="00842C2A">
        <w:t xml:space="preserve">between </w:t>
      </w:r>
      <w:r w:rsidR="003B3B81">
        <w:t>females (65</w:t>
      </w:r>
      <w:r w:rsidR="00E345E7">
        <w:t xml:space="preserve"> percent</w:t>
      </w:r>
      <w:r w:rsidR="003B3B81">
        <w:t xml:space="preserve">) and </w:t>
      </w:r>
      <w:r w:rsidR="00E03F6C" w:rsidRPr="00842C2A">
        <w:t>males</w:t>
      </w:r>
      <w:r w:rsidR="003B3B81">
        <w:t xml:space="preserve"> (62</w:t>
      </w:r>
      <w:r w:rsidR="00E345E7">
        <w:t xml:space="preserve"> percent</w:t>
      </w:r>
      <w:r w:rsidR="003B3B81">
        <w:t>)</w:t>
      </w:r>
      <w:r w:rsidR="006925C1">
        <w:t xml:space="preserve"> reporting experiences of unfair treatment</w:t>
      </w:r>
      <w:r w:rsidR="00464FA6">
        <w:t xml:space="preserve"> (p=.2)</w:t>
      </w:r>
      <w:r w:rsidR="00E03F6C" w:rsidRPr="00842C2A">
        <w:t xml:space="preserve">. </w:t>
      </w:r>
    </w:p>
    <w:p w14:paraId="6C6CB692" w14:textId="44669C0A" w:rsidR="00E03F6C" w:rsidRDefault="001B04D2" w:rsidP="003C7AF0">
      <w:pPr>
        <w:ind w:right="-1078"/>
      </w:pPr>
      <w:r>
        <w:t xml:space="preserve">For younger people and people who identify </w:t>
      </w:r>
      <w:r w:rsidRPr="00842C2A">
        <w:t>as LGBT</w:t>
      </w:r>
      <w:r w:rsidR="00EB7AA3">
        <w:t>I</w:t>
      </w:r>
      <w:r w:rsidR="00390793">
        <w:t>Q</w:t>
      </w:r>
      <w:r w:rsidR="00EB7AA3">
        <w:t>A+</w:t>
      </w:r>
      <w:r>
        <w:t xml:space="preserve">, there </w:t>
      </w:r>
      <w:r w:rsidR="00F12CB5">
        <w:t>was</w:t>
      </w:r>
      <w:r>
        <w:t xml:space="preserve"> similarly an elevated rate of mental </w:t>
      </w:r>
      <w:r w:rsidR="00FC5F35">
        <w:t>health-related</w:t>
      </w:r>
      <w:r>
        <w:t xml:space="preserve"> stigma due to these groups experiencing higher rates of mental ill-health. However, there </w:t>
      </w:r>
      <w:r w:rsidR="00F12CB5">
        <w:t>wa</w:t>
      </w:r>
      <w:r>
        <w:t xml:space="preserve">s also a difference among </w:t>
      </w:r>
      <w:r w:rsidR="00EF1E8F">
        <w:t xml:space="preserve">the sub-group </w:t>
      </w:r>
      <w:r w:rsidR="00FD5B55">
        <w:t>that include</w:t>
      </w:r>
      <w:r w:rsidR="00F12CB5">
        <w:t>d</w:t>
      </w:r>
      <w:r w:rsidR="00EF1E8F">
        <w:t xml:space="preserve"> only </w:t>
      </w:r>
      <w:r>
        <w:t xml:space="preserve">those </w:t>
      </w:r>
      <w:r w:rsidR="00DB683B">
        <w:t>with recent personal lived experience</w:t>
      </w:r>
      <w:r>
        <w:t xml:space="preserve">. </w:t>
      </w:r>
      <w:r w:rsidR="00E03F6C" w:rsidRPr="00842C2A">
        <w:t>Seventy two percent of LGBT</w:t>
      </w:r>
      <w:r w:rsidR="00EB7AA3">
        <w:t>I</w:t>
      </w:r>
      <w:r w:rsidR="00390793">
        <w:t>Q</w:t>
      </w:r>
      <w:r w:rsidR="00EB7AA3">
        <w:t>A+</w:t>
      </w:r>
      <w:r w:rsidR="00E03F6C" w:rsidRPr="00842C2A">
        <w:t xml:space="preserve"> respondents reported any kind of unfair treatment </w:t>
      </w:r>
      <w:r>
        <w:t>in relation to</w:t>
      </w:r>
      <w:r w:rsidR="00E03F6C" w:rsidRPr="00842C2A">
        <w:t xml:space="preserve"> their mental health problem, compared with 62 percent of others</w:t>
      </w:r>
      <w:r w:rsidR="00404F1C">
        <w:t xml:space="preserve"> (as shown in Figure 8)</w:t>
      </w:r>
      <w:r w:rsidR="00E03F6C" w:rsidRPr="00842C2A">
        <w:t xml:space="preserve">. </w:t>
      </w:r>
      <w:r w:rsidR="00EF1E8F">
        <w:t>Seventy nine percent of people aged 18-24 report</w:t>
      </w:r>
      <w:r w:rsidR="00D879E4">
        <w:t>ed</w:t>
      </w:r>
      <w:r w:rsidR="00EF1E8F" w:rsidRPr="007F194A">
        <w:t xml:space="preserve"> </w:t>
      </w:r>
      <w:r w:rsidR="00EF1E8F">
        <w:t>experiencing</w:t>
      </w:r>
      <w:r w:rsidR="00EF1E8F" w:rsidRPr="007F194A">
        <w:t xml:space="preserve"> unfair treatment, compared with 66 percent, 60 percent and 44 percent among people aged 25-44, 45-64 and 65+ respectively</w:t>
      </w:r>
      <w:r w:rsidR="00404F1C">
        <w:t xml:space="preserve"> (as shown in Figure 9)</w:t>
      </w:r>
      <w:r w:rsidR="00E345E7">
        <w:t>.</w:t>
      </w:r>
    </w:p>
    <w:p w14:paraId="64A2C8E6" w14:textId="77777777" w:rsidR="009C363C" w:rsidRDefault="009C363C" w:rsidP="00321B30">
      <w:pPr>
        <w:ind w:right="-1077"/>
        <w:sectPr w:rsidR="009C363C" w:rsidSect="00454DCC">
          <w:footnotePr>
            <w:numFmt w:val="chicago"/>
            <w:numRestart w:val="eachPage"/>
          </w:footnotePr>
          <w:type w:val="continuous"/>
          <w:pgSz w:w="11906" w:h="16838" w:code="9"/>
          <w:pgMar w:top="2041" w:right="2381" w:bottom="1247" w:left="1247" w:header="720" w:footer="851" w:gutter="0"/>
          <w:cols w:space="708"/>
          <w:docGrid w:linePitch="360"/>
        </w:sectPr>
      </w:pPr>
    </w:p>
    <w:p w14:paraId="21A4FE6B" w14:textId="534B0DF0" w:rsidR="00E03F6C" w:rsidRPr="00F000D4" w:rsidRDefault="00563D76" w:rsidP="009C363C">
      <w:pPr>
        <w:ind w:right="-468"/>
      </w:pPr>
      <w:r w:rsidRPr="00783C3B">
        <w:rPr>
          <w:b/>
        </w:rPr>
        <w:t xml:space="preserve">Figure </w:t>
      </w:r>
      <w:r w:rsidR="00602B69" w:rsidRPr="00783C3B">
        <w:rPr>
          <w:b/>
        </w:rPr>
        <w:t>8</w:t>
      </w:r>
      <w:r w:rsidR="00602B69">
        <w:t xml:space="preserve">. </w:t>
      </w:r>
      <w:r w:rsidR="004A7B16">
        <w:t xml:space="preserve">Proportion of people with </w:t>
      </w:r>
      <w:r w:rsidR="00214FD3">
        <w:t>recent</w:t>
      </w:r>
      <w:r w:rsidR="004A7B16">
        <w:t xml:space="preserve"> </w:t>
      </w:r>
      <w:r w:rsidR="006071F9">
        <w:t>personal lived experience</w:t>
      </w:r>
      <w:r w:rsidR="004A7B16">
        <w:t xml:space="preserve"> reporting experiences of unfair treatment, </w:t>
      </w:r>
      <w:r w:rsidR="00D879E4">
        <w:t xml:space="preserve">by </w:t>
      </w:r>
      <w:r w:rsidR="00842590">
        <w:t>LGBT</w:t>
      </w:r>
      <w:r w:rsidR="00EB7AA3">
        <w:t>I</w:t>
      </w:r>
      <w:r w:rsidR="00390793">
        <w:t>Q</w:t>
      </w:r>
      <w:r w:rsidR="00EB7AA3">
        <w:t>A+</w:t>
      </w:r>
      <w:r w:rsidR="00F000D4">
        <w:t xml:space="preserve"> </w:t>
      </w:r>
      <w:r w:rsidR="004A7B16">
        <w:t>status.</w:t>
      </w:r>
    </w:p>
    <w:p w14:paraId="6667056C" w14:textId="38F0BF24" w:rsidR="008606D6" w:rsidRDefault="00EB7AA3" w:rsidP="00321B30">
      <w:pPr>
        <w:ind w:right="-1078"/>
      </w:pPr>
      <w:bookmarkStart w:id="1" w:name="_Toc98755904"/>
      <w:r w:rsidRPr="00EB7AA3">
        <w:rPr>
          <w:noProof/>
        </w:rPr>
        <w:t xml:space="preserve"> </w:t>
      </w:r>
      <w:r>
        <w:rPr>
          <w:noProof/>
        </w:rPr>
        <w:drawing>
          <wp:inline distT="0" distB="0" distL="0" distR="0" wp14:anchorId="091C5F2D" wp14:editId="3F763AB8">
            <wp:extent cx="2749550" cy="2755900"/>
            <wp:effectExtent l="0" t="0" r="0" b="6350"/>
            <wp:docPr id="292" name="Chart 292" descr="Figure 8 is a bar graph depicting the proportion of people with a recent personal lived experience reporting experiences of unfair treatment, by LGBTIQA+ status. 72% of respondents who identified as being LGBTQIA+ with a recent personal lived experience reported unfair treatment, in comparison with the 62% who did not identify as LGBTQIA+." title="Figure 8. Proportion of people with recent personal lived experience reporting experiences of unfair treatment, by LGBTIQA+ statu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141029" w14:textId="0303503D" w:rsidR="00EF1E8F" w:rsidRDefault="00410492" w:rsidP="00D95C46">
      <w:pPr>
        <w:ind w:right="-468"/>
        <w:rPr>
          <w:i/>
        </w:rPr>
      </w:pPr>
      <w:r w:rsidRPr="009C363C">
        <w:t>Not</w:t>
      </w:r>
      <w:r w:rsidRPr="00EF004E">
        <w:rPr>
          <w:i/>
        </w:rPr>
        <w:t xml:space="preserve">e: </w:t>
      </w:r>
      <w:r w:rsidR="00842590" w:rsidRPr="00EF004E">
        <w:rPr>
          <w:i/>
        </w:rPr>
        <w:t xml:space="preserve">Respondents who identified </w:t>
      </w:r>
      <w:r w:rsidR="00842590" w:rsidRPr="00D95C46">
        <w:rPr>
          <w:i/>
        </w:rPr>
        <w:t>as LGBTI</w:t>
      </w:r>
      <w:r w:rsidR="00390793" w:rsidRPr="00D95C46">
        <w:rPr>
          <w:i/>
        </w:rPr>
        <w:t>Q</w:t>
      </w:r>
      <w:r w:rsidR="00EB7AA3" w:rsidRPr="00D95C46">
        <w:rPr>
          <w:i/>
        </w:rPr>
        <w:t>A+</w:t>
      </w:r>
      <w:r w:rsidR="00842590" w:rsidRPr="00D95C46">
        <w:rPr>
          <w:i/>
        </w:rPr>
        <w:t xml:space="preserve"> comprised 7 percent of the total sample.</w:t>
      </w:r>
    </w:p>
    <w:p w14:paraId="1D2FAE3A" w14:textId="1C1AD6AB" w:rsidR="009C363C" w:rsidRDefault="009C363C" w:rsidP="009C363C">
      <w:pPr>
        <w:keepNext/>
        <w:ind w:left="284" w:right="-1177"/>
      </w:pPr>
      <w:r w:rsidRPr="00783C3B">
        <w:rPr>
          <w:b/>
        </w:rPr>
        <w:t>Figure 9</w:t>
      </w:r>
      <w:r w:rsidRPr="009C7435">
        <w:t>.</w:t>
      </w:r>
      <w:r>
        <w:t xml:space="preserve"> Proportion of people with recent personal lived experience reporting experiences of unfair treatment, by age group.</w:t>
      </w:r>
    </w:p>
    <w:p w14:paraId="4CAA0D40" w14:textId="33ED5E1B" w:rsidR="009C363C" w:rsidRDefault="009C363C" w:rsidP="009C363C">
      <w:pPr>
        <w:keepNext/>
        <w:ind w:left="284"/>
      </w:pPr>
      <w:r>
        <w:rPr>
          <w:noProof/>
        </w:rPr>
        <w:drawing>
          <wp:inline distT="0" distB="0" distL="0" distR="0" wp14:anchorId="343FFF70" wp14:editId="16373D10">
            <wp:extent cx="2743200" cy="2762250"/>
            <wp:effectExtent l="0" t="0" r="0" b="0"/>
            <wp:docPr id="28" name="Chart 28" descr="Figure 9 is a bar graph depicting the proportion of people with a recent personal lived experience reporting experiences of unfair treatment, by age group. 79% of 18 to 24 year olds, and 66% of 24 to 44 year olds felt they were treated unfairly. In comparison, 60% of 45 to 64 year olds, and 44% of those 65 and above felt they were treated unfairly. " title="Figure 9. Proportion of people with recent personal lived experience reporting experiences of unfair treatment,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AEED42" w14:textId="77777777" w:rsidR="009C363C" w:rsidRDefault="009C363C" w:rsidP="005F70FC">
      <w:pPr>
        <w:ind w:right="3883"/>
        <w:rPr>
          <w:i/>
        </w:rPr>
        <w:sectPr w:rsidR="009C363C" w:rsidSect="009C363C">
          <w:footnotePr>
            <w:numFmt w:val="chicago"/>
            <w:numRestart w:val="eachPage"/>
          </w:footnotePr>
          <w:type w:val="continuous"/>
          <w:pgSz w:w="11906" w:h="16838" w:code="9"/>
          <w:pgMar w:top="2041" w:right="2381" w:bottom="1247" w:left="1247" w:header="720" w:footer="851" w:gutter="0"/>
          <w:cols w:num="2" w:space="708"/>
          <w:docGrid w:linePitch="360"/>
        </w:sectPr>
      </w:pPr>
    </w:p>
    <w:p w14:paraId="09A13596" w14:textId="392D3248" w:rsidR="00E03F6C" w:rsidRPr="003D28CA" w:rsidRDefault="00E03F6C" w:rsidP="009F043D">
      <w:pPr>
        <w:pStyle w:val="Heading3"/>
        <w:spacing w:after="360"/>
        <w:ind w:right="-1077"/>
        <w:rPr>
          <w:color w:val="auto"/>
          <w:sz w:val="28"/>
          <w:u w:val="single" w:color="20B9A3" w:themeColor="accent1"/>
        </w:rPr>
      </w:pPr>
      <w:r w:rsidRPr="003D28CA">
        <w:rPr>
          <w:color w:val="auto"/>
          <w:sz w:val="28"/>
          <w:u w:val="single" w:color="20B9A3" w:themeColor="accent1"/>
        </w:rPr>
        <w:t xml:space="preserve">Structural stigma and experiences of discrimination </w:t>
      </w:r>
      <w:bookmarkEnd w:id="1"/>
    </w:p>
    <w:p w14:paraId="2E5D15A5" w14:textId="563F45FE" w:rsidR="00F663D9" w:rsidRPr="003D28CA" w:rsidRDefault="00F663D9" w:rsidP="00F663D9">
      <w:pPr>
        <w:pStyle w:val="Heading4"/>
        <w:spacing w:after="360"/>
        <w:ind w:right="-1077"/>
        <w:rPr>
          <w:color w:val="auto"/>
          <w:u w:val="single" w:color="20B9A3" w:themeColor="accent1"/>
          <w:lang w:eastAsia="en-GB"/>
        </w:rPr>
      </w:pPr>
      <w:r w:rsidRPr="003D28CA">
        <w:rPr>
          <w:color w:val="auto"/>
          <w:u w:val="single" w:color="20B9A3" w:themeColor="accent1"/>
          <w:lang w:eastAsia="en-GB"/>
        </w:rPr>
        <w:t xml:space="preserve">Structural stigma </w:t>
      </w:r>
      <w:r w:rsidR="001112F5" w:rsidRPr="003D28CA">
        <w:rPr>
          <w:color w:val="auto"/>
          <w:u w:val="single" w:color="20B9A3" w:themeColor="accent1"/>
          <w:lang w:eastAsia="en-GB"/>
        </w:rPr>
        <w:t>beliefs</w:t>
      </w:r>
    </w:p>
    <w:p w14:paraId="6BA443BF" w14:textId="26168812" w:rsidR="002B156C" w:rsidRDefault="00F663D9" w:rsidP="00687E97">
      <w:pPr>
        <w:spacing w:after="360"/>
        <w:ind w:right="-1077"/>
      </w:pPr>
      <w:r w:rsidRPr="003C7AF0">
        <w:t xml:space="preserve">To understand </w:t>
      </w:r>
      <w:r>
        <w:t>how people view</w:t>
      </w:r>
      <w:r w:rsidRPr="003C7AF0">
        <w:t xml:space="preserve"> issues regarding structural stigma, we presented eleven statements to all respondents and asked them about their level of agreement</w:t>
      </w:r>
      <w:r>
        <w:t xml:space="preserve"> or disagreement. For some statements, agreement with the statement could suggest the respondent holds a stigmatising </w:t>
      </w:r>
      <w:r w:rsidR="00D879E4">
        <w:t>belief</w:t>
      </w:r>
      <w:r>
        <w:t xml:space="preserve">. For others, disagreement with the statement could suggest the respondent holds a stigmatising </w:t>
      </w:r>
      <w:r w:rsidR="00D879E4">
        <w:t>belief</w:t>
      </w:r>
      <w:r>
        <w:t xml:space="preserve"> (these are labelled as ‘reverse’ in </w:t>
      </w:r>
      <w:r w:rsidR="005A2AEB">
        <w:t>F</w:t>
      </w:r>
      <w:r>
        <w:t>igure 1</w:t>
      </w:r>
      <w:r w:rsidR="00B010EA">
        <w:t>0</w:t>
      </w:r>
      <w:r>
        <w:t xml:space="preserve">). </w:t>
      </w:r>
    </w:p>
    <w:p w14:paraId="2D87D6AA" w14:textId="77777777" w:rsidR="002B156C" w:rsidRPr="004F7DF6" w:rsidRDefault="002B156C" w:rsidP="002B156C">
      <w:pPr>
        <w:pBdr>
          <w:top w:val="single" w:sz="24" w:space="1" w:color="20B9A3" w:themeColor="accent1"/>
          <w:bottom w:val="single" w:sz="24" w:space="1" w:color="20B9A3" w:themeColor="accent1"/>
        </w:pBdr>
        <w:spacing w:after="0"/>
        <w:ind w:right="-1077"/>
        <w:rPr>
          <w:b/>
          <w:i/>
        </w:rPr>
      </w:pPr>
      <w:r w:rsidRPr="004F7DF6">
        <w:rPr>
          <w:b/>
          <w:i/>
        </w:rPr>
        <w:t>Respondents</w:t>
      </w:r>
    </w:p>
    <w:p w14:paraId="4F431292" w14:textId="77777777" w:rsidR="002B156C" w:rsidRPr="004F7DF6" w:rsidRDefault="002B156C" w:rsidP="002B156C">
      <w:pPr>
        <w:pBdr>
          <w:top w:val="single" w:sz="24" w:space="1" w:color="20B9A3" w:themeColor="accent1"/>
          <w:bottom w:val="single" w:sz="24" w:space="1" w:color="20B9A3" w:themeColor="accent1"/>
        </w:pBdr>
        <w:spacing w:after="0"/>
        <w:ind w:right="-1077"/>
        <w:rPr>
          <w:i/>
        </w:rPr>
      </w:pPr>
      <w:r w:rsidRPr="004F7DF6">
        <w:rPr>
          <w:i/>
        </w:rPr>
        <w:t>Australian residents aged 18+</w:t>
      </w:r>
    </w:p>
    <w:p w14:paraId="5B2C4A92" w14:textId="77777777" w:rsidR="002B156C" w:rsidRPr="004F7DF6" w:rsidRDefault="002B156C" w:rsidP="002B156C">
      <w:pPr>
        <w:pBdr>
          <w:top w:val="single" w:sz="24" w:space="1" w:color="20B9A3" w:themeColor="accent1"/>
          <w:bottom w:val="single" w:sz="24" w:space="1" w:color="20B9A3" w:themeColor="accent1"/>
        </w:pBdr>
        <w:spacing w:after="0"/>
        <w:ind w:right="-1077"/>
        <w:jc w:val="right"/>
        <w:rPr>
          <w:b/>
          <w:i/>
        </w:rPr>
      </w:pPr>
      <w:r w:rsidRPr="004F7DF6">
        <w:rPr>
          <w:b/>
          <w:i/>
        </w:rPr>
        <w:t>100% of total sample</w:t>
      </w:r>
    </w:p>
    <w:p w14:paraId="536DEE88" w14:textId="615CAFB3" w:rsidR="00F663D9" w:rsidRPr="007F194A" w:rsidRDefault="00F663D9" w:rsidP="00687E97">
      <w:pPr>
        <w:spacing w:before="240"/>
        <w:ind w:right="-1078"/>
      </w:pPr>
      <w:r w:rsidRPr="007F194A">
        <w:t>On most of the issues, the majority of the sample responded in a way</w:t>
      </w:r>
      <w:r>
        <w:t xml:space="preserve"> that suggests they do not hold </w:t>
      </w:r>
      <w:r w:rsidRPr="007F194A">
        <w:t>stigma</w:t>
      </w:r>
      <w:r>
        <w:t xml:space="preserve">tising </w:t>
      </w:r>
      <w:r w:rsidR="001112F5">
        <w:t>beliefs</w:t>
      </w:r>
      <w:r>
        <w:t xml:space="preserve"> in relation to the issue</w:t>
      </w:r>
      <w:r w:rsidRPr="007F194A">
        <w:t xml:space="preserve">. </w:t>
      </w:r>
      <w:r>
        <w:t>For</w:t>
      </w:r>
      <w:r w:rsidRPr="007F194A">
        <w:t xml:space="preserve"> example, 83 percent</w:t>
      </w:r>
      <w:r w:rsidRPr="007F194A" w:rsidDel="00D76BD1">
        <w:t xml:space="preserve"> </w:t>
      </w:r>
      <w:r w:rsidRPr="007F194A">
        <w:t xml:space="preserve">of </w:t>
      </w:r>
      <w:r>
        <w:t>respondents</w:t>
      </w:r>
      <w:r w:rsidRPr="007F194A">
        <w:t xml:space="preserve"> agreed more needs to be done to </w:t>
      </w:r>
      <w:r w:rsidRPr="00713B56">
        <w:t>eliminate discrimination towards people affected by mental health problems</w:t>
      </w:r>
      <w:r w:rsidRPr="007F194A">
        <w:t>.</w:t>
      </w:r>
    </w:p>
    <w:p w14:paraId="3B64A721" w14:textId="092FB054" w:rsidR="00F663D9" w:rsidRDefault="00F663D9" w:rsidP="00F663D9">
      <w:pPr>
        <w:ind w:right="-1078"/>
      </w:pPr>
      <w:r w:rsidRPr="007F194A">
        <w:t>There were two issues for which there was</w:t>
      </w:r>
      <w:r w:rsidR="007B006B">
        <w:t xml:space="preserve"> a different pattern of responses.</w:t>
      </w:r>
    </w:p>
    <w:p w14:paraId="1F6C8105" w14:textId="4678FA0D" w:rsidR="00F663D9" w:rsidRPr="00BA3676" w:rsidRDefault="007B006B" w:rsidP="002D06BE">
      <w:pPr>
        <w:pStyle w:val="ListBullet"/>
        <w:ind w:left="714" w:hanging="357"/>
      </w:pPr>
      <w:r>
        <w:t>Forty three percent of respondents agreed with the statement ‘Job applicants should have to tell the employer about a mental health problem so employers can make an informed choice’. A further 26 percent would neither agree nor disagree with this and only 32 percent disagreed with it. This means that the majority of the population is not opposed to the idea of mandatory disclosure.</w:t>
      </w:r>
    </w:p>
    <w:p w14:paraId="774C9E74" w14:textId="06E8A479" w:rsidR="00F663D9" w:rsidRPr="00687E97" w:rsidRDefault="007B006B" w:rsidP="00687E97">
      <w:pPr>
        <w:pStyle w:val="ListBullet"/>
        <w:ind w:left="714" w:hanging="357"/>
      </w:pPr>
      <w:r>
        <w:t xml:space="preserve">Forty two percent of respondents would neither agree nor disagree with the statement ‘In the legal system, evidence provided by people with a mental health problem can be trusted’. A further 19 percent disagreed with the statement and only 39 percent agreed with it. This means that the majority of the population </w:t>
      </w:r>
      <w:r w:rsidR="00241A8A">
        <w:t xml:space="preserve">has hesitations about the trustworthiness of evidence provided by people with a mental health problem in the legal system. </w:t>
      </w:r>
    </w:p>
    <w:p w14:paraId="5167C951" w14:textId="43A1E46C" w:rsidR="00F663D9" w:rsidRPr="007B5732" w:rsidRDefault="00F663D9" w:rsidP="00F663D9">
      <w:pPr>
        <w:keepNext/>
        <w:keepLines/>
        <w:spacing w:line="259" w:lineRule="auto"/>
        <w:ind w:right="-1077"/>
        <w:rPr>
          <w:rFonts w:ascii="Arial" w:hAnsi="Arial" w:cs="Arial"/>
          <w:iCs/>
          <w:lang w:eastAsia="en-GB"/>
        </w:rPr>
      </w:pPr>
      <w:r w:rsidRPr="006050BE">
        <w:rPr>
          <w:b/>
        </w:rPr>
        <w:t>Figure 1</w:t>
      </w:r>
      <w:r>
        <w:rPr>
          <w:b/>
        </w:rPr>
        <w:t>0</w:t>
      </w:r>
      <w:r>
        <w:t xml:space="preserve">. </w:t>
      </w:r>
      <w:r>
        <w:rPr>
          <w:rFonts w:ascii="Arial" w:hAnsi="Arial" w:cs="Arial"/>
          <w:iCs/>
          <w:lang w:eastAsia="en-GB"/>
        </w:rPr>
        <w:t xml:space="preserve">Agreement and disagreement </w:t>
      </w:r>
      <w:r w:rsidRPr="007B5732">
        <w:rPr>
          <w:rFonts w:ascii="Arial" w:hAnsi="Arial" w:cs="Arial"/>
          <w:iCs/>
          <w:lang w:eastAsia="en-GB"/>
        </w:rPr>
        <w:t xml:space="preserve">with each </w:t>
      </w:r>
      <w:r w:rsidR="00393057">
        <w:rPr>
          <w:rFonts w:ascii="Arial" w:hAnsi="Arial" w:cs="Arial"/>
          <w:iCs/>
          <w:lang w:eastAsia="en-GB"/>
        </w:rPr>
        <w:t>structural stigma statement.</w:t>
      </w:r>
    </w:p>
    <w:p w14:paraId="15A307F6" w14:textId="1B59253F" w:rsidR="00F663D9" w:rsidRDefault="00F663D9" w:rsidP="00F663D9">
      <w:pPr>
        <w:keepNext/>
        <w:keepLines/>
        <w:ind w:right="-1077"/>
        <w:rPr>
          <w:rFonts w:ascii="Arial" w:hAnsi="Arial" w:cs="Arial"/>
          <w:i/>
          <w:iCs/>
          <w:lang w:eastAsia="en-GB"/>
        </w:rPr>
      </w:pPr>
      <w:r>
        <w:rPr>
          <w:noProof/>
        </w:rPr>
        <mc:AlternateContent>
          <mc:Choice Requires="wps">
            <w:drawing>
              <wp:anchor distT="0" distB="0" distL="114300" distR="114300" simplePos="0" relativeHeight="251718656" behindDoc="0" locked="0" layoutInCell="1" allowOverlap="1" wp14:anchorId="6782DAD8" wp14:editId="02B59192">
                <wp:simplePos x="0" y="0"/>
                <wp:positionH relativeFrom="column">
                  <wp:posOffset>5177155</wp:posOffset>
                </wp:positionH>
                <wp:positionV relativeFrom="paragraph">
                  <wp:posOffset>3880485</wp:posOffset>
                </wp:positionV>
                <wp:extent cx="533400" cy="0"/>
                <wp:effectExtent l="0" t="0" r="19050" b="19050"/>
                <wp:wrapNone/>
                <wp:docPr id="220" name="Straight Connector 1" descr="Rectangle - decorative "/>
                <wp:cNvGraphicFramePr/>
                <a:graphic xmlns:a="http://schemas.openxmlformats.org/drawingml/2006/main">
                  <a:graphicData uri="http://schemas.microsoft.com/office/word/2010/wordprocessingShape">
                    <wps:wsp>
                      <wps:cNvCnPr/>
                      <wps:spPr>
                        <a:xfrm flipH="1" flipV="1">
                          <a:off x="0" y="0"/>
                          <a:ext cx="533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4356D" id="Straight Connector 1" o:spid="_x0000_s1026" alt="Rectangle - decorative "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65pt,305.55pt" to="449.65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" strokecolor="black [3040]" strokeweight=".25pt"/>
            </w:pict>
          </mc:Fallback>
        </mc:AlternateContent>
      </w:r>
      <w:r w:rsidRPr="00A41A23">
        <w:rPr>
          <w:noProof/>
        </w:rPr>
        <w:t xml:space="preserve"> </w:t>
      </w:r>
      <w:r>
        <w:rPr>
          <w:noProof/>
        </w:rPr>
        <w:drawing>
          <wp:inline distT="0" distB="0" distL="0" distR="0" wp14:anchorId="3CA9AF24" wp14:editId="3E0403D6">
            <wp:extent cx="5886450" cy="7854950"/>
            <wp:effectExtent l="0" t="0" r="0" b="0"/>
            <wp:docPr id="221" name="Chart 221" descr="Figure 10 depicts the agreement and disagreement with each structural stigma statement. &#10;19% of respondents would agree with the statement 'a mental health problem should not be eligible for social welfare payments', where as 58% disagree, and 23% neither agree or disagree. 19% of respondents would agree with the statement 'it is reasonable for an insurance company to have exclusions for a person with a history of mental health problems, regardless of their current circumstance', where as 55% disagree, and 26% neither agree or disagree.&#10;21% of respondents would agree with the statement 'it is reasonable for landlords to avoid leasing to a tenant with a mental health problem', where as 53% disagree, and 27% neither agree or disagree. &#10;38% of respondents would agree with the statement 'in the legal system, evidence provided by people with a mental health problem can be trusted', where as 19% disagree, and 42% neither agree or disagree. &#10;43% of respondents would agree with the statement 'job applicants should have to tell the employer about a mental health problem so employers can make an informed choice', where as 32% disagree, and 26% neither agree or disagree. &#10;76% of respondents would agree with the statement 'prisoners should have access to mental health care at no or little cost to them', where as 9% disagree, and 16% neither agree or disagree. &#10;77% of respondents would agree with the statement 'an employer should support the needs of a person with a mental health problem through reasonable changes to work duties', where as 6% disagree, and 17% neither agree or disagree. &#10;83% of respondents would agree with the statement 'more needs to be done to eliminate discrimination towards people affected by mental health problems', where as 4% disagree, and 13% neither agree or disagree. &#10;84% of respondents would agree with the statement 'people who intentionally harm themselves are just as deserving of medical treatment as those who have an accident', where as 6% disagree, and 10% neither agree or disagree. &#10;87% of respondents would agree with the statement 'a school should support the needs of a student with a mental health problem through changes to their learning environment', where as 4% disagree, and 10% neither agree or disagree. &#10;91% of respondents would agree with the statement 'it is just as important that there is access to affordable mental healthcare as there is access to affordable physical healthcare in Australia', where as 2% disagree, and 7% neither agree or disagree. " title="Figure 10. Agreement and disagreement with each structural stigma statement.">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58558E" w14:textId="2B836DD8" w:rsidR="00562980" w:rsidRPr="003D28CA" w:rsidRDefault="00562980" w:rsidP="00783C3B">
      <w:pPr>
        <w:pStyle w:val="Heading4"/>
        <w:spacing w:after="360"/>
        <w:ind w:right="-1077"/>
        <w:rPr>
          <w:color w:val="auto"/>
          <w:u w:val="single" w:color="20B9A3" w:themeColor="accent1"/>
          <w:lang w:eastAsia="en-GB"/>
        </w:rPr>
      </w:pPr>
      <w:r w:rsidRPr="003D28CA">
        <w:rPr>
          <w:color w:val="auto"/>
          <w:u w:val="single" w:color="20B9A3" w:themeColor="accent1"/>
          <w:lang w:eastAsia="en-GB"/>
        </w:rPr>
        <w:t>Experiences of discrimination in public life domains</w:t>
      </w:r>
    </w:p>
    <w:p w14:paraId="40F2B740" w14:textId="77777777"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w:t>
      </w:r>
    </w:p>
    <w:p w14:paraId="3A6CE7F8" w14:textId="77777777"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Participants with recent personal lived experience</w:t>
      </w:r>
    </w:p>
    <w:p w14:paraId="7F0BE723" w14:textId="77777777" w:rsidR="00E1743C" w:rsidRPr="004F7DF6" w:rsidRDefault="00E1743C" w:rsidP="00E1743C">
      <w:pPr>
        <w:pBdr>
          <w:top w:val="single" w:sz="24" w:space="1" w:color="20B9A3" w:themeColor="accent1"/>
          <w:bottom w:val="single" w:sz="24" w:space="1" w:color="20B9A3" w:themeColor="accent1"/>
        </w:pBdr>
        <w:spacing w:after="0"/>
        <w:ind w:right="-1077"/>
        <w:jc w:val="right"/>
        <w:rPr>
          <w:b/>
          <w:i/>
        </w:rPr>
      </w:pPr>
      <w:r w:rsidRPr="004F7DF6">
        <w:rPr>
          <w:b/>
          <w:i/>
        </w:rPr>
        <w:t>36% of total sample</w:t>
      </w:r>
    </w:p>
    <w:p w14:paraId="7E8E1B97" w14:textId="123E59A2" w:rsidR="00EE312D" w:rsidRDefault="00E03F6C" w:rsidP="00687E97">
      <w:pPr>
        <w:spacing w:before="240"/>
        <w:ind w:right="-1078"/>
      </w:pPr>
      <w:r>
        <w:t>Previously</w:t>
      </w:r>
      <w:r w:rsidR="00D879E4">
        <w:t>,</w:t>
      </w:r>
      <w:r>
        <w:t xml:space="preserve"> we described measuring experiences of unfair treatment in four life domains (family, friends, partner and neighbourhood). We also asked </w:t>
      </w:r>
      <w:r w:rsidR="00C008BD">
        <w:t>respondents</w:t>
      </w:r>
      <w:r>
        <w:t xml:space="preserve"> with </w:t>
      </w:r>
      <w:r w:rsidR="00214FD3">
        <w:t>recent</w:t>
      </w:r>
      <w:r>
        <w:t xml:space="preserve"> </w:t>
      </w:r>
      <w:r w:rsidR="006071F9">
        <w:t xml:space="preserve">personal lived experience </w:t>
      </w:r>
      <w:r>
        <w:t>to report unfair treatment in eight more</w:t>
      </w:r>
      <w:r w:rsidR="00EE312D">
        <w:t xml:space="preserve"> </w:t>
      </w:r>
      <w:r>
        <w:t>public life domains</w:t>
      </w:r>
      <w:r w:rsidR="006925C1">
        <w:t xml:space="preserve"> (housing, legal system, welfare, education and training, physical healthcare, mental healthcare, workplace and in finding a paid job)</w:t>
      </w:r>
      <w:r>
        <w:t xml:space="preserve">. In general, experiences of unfair treatment were less common in these </w:t>
      </w:r>
      <w:r w:rsidR="00EE312D">
        <w:t xml:space="preserve">eight </w:t>
      </w:r>
      <w:r>
        <w:t xml:space="preserve">life domains than the previous four life domains. </w:t>
      </w:r>
      <w:r w:rsidR="00EE312D">
        <w:t>T</w:t>
      </w:r>
      <w:r>
        <w:t xml:space="preserve">his is partially because some </w:t>
      </w:r>
      <w:r w:rsidR="00B856E2">
        <w:t xml:space="preserve">of </w:t>
      </w:r>
      <w:r>
        <w:t xml:space="preserve">these public life domains, such as the welfare system, are not applicable to the entire population. </w:t>
      </w:r>
    </w:p>
    <w:p w14:paraId="7247C25A" w14:textId="5DAC649F" w:rsidR="00E03F6C" w:rsidRPr="007F194A" w:rsidRDefault="00E03F6C" w:rsidP="00284288">
      <w:pPr>
        <w:ind w:right="-1078"/>
      </w:pPr>
      <w:r>
        <w:t>When we account</w:t>
      </w:r>
      <w:r w:rsidR="00F12CB5">
        <w:t>ed</w:t>
      </w:r>
      <w:r>
        <w:t xml:space="preserve"> for this (by excluding those who say the life domain is not applicable to them) we f</w:t>
      </w:r>
      <w:r w:rsidR="0042476C">
        <w:t>ound</w:t>
      </w:r>
      <w:r>
        <w:t xml:space="preserve"> the proportion of people </w:t>
      </w:r>
      <w:r w:rsidR="00FD47CC">
        <w:t>reporting unfair treatment is</w:t>
      </w:r>
      <w:r>
        <w:t xml:space="preserve"> high</w:t>
      </w:r>
      <w:r w:rsidR="00FD47CC">
        <w:t>. As shown in Figure 1</w:t>
      </w:r>
      <w:r w:rsidR="00B010EA">
        <w:t>1</w:t>
      </w:r>
      <w:r w:rsidR="00FD47CC">
        <w:t>, it was</w:t>
      </w:r>
      <w:r>
        <w:t xml:space="preserve"> 37 percent </w:t>
      </w:r>
      <w:r w:rsidR="00FD47CC">
        <w:t xml:space="preserve">among those </w:t>
      </w:r>
      <w:r>
        <w:t xml:space="preserve">in the workplace, 34 percent for those who were looking for paid </w:t>
      </w:r>
      <w:r w:rsidR="00A42339">
        <w:t>employment</w:t>
      </w:r>
      <w:r>
        <w:t xml:space="preserve"> and 31 percent for those who were applying and or</w:t>
      </w:r>
      <w:r w:rsidR="00EE312D">
        <w:t xml:space="preserve"> receiving</w:t>
      </w:r>
      <w:r>
        <w:t xml:space="preserve"> welfare benefits. </w:t>
      </w:r>
      <w:r w:rsidR="00B856E2" w:rsidRPr="007F194A">
        <w:t xml:space="preserve">Seeking paid work was particularly problematic for </w:t>
      </w:r>
      <w:r w:rsidR="00B856E2">
        <w:t xml:space="preserve">people </w:t>
      </w:r>
      <w:r w:rsidR="008E681C">
        <w:t>experiencing</w:t>
      </w:r>
      <w:r w:rsidR="00B856E2">
        <w:t xml:space="preserve"> schizophrenia</w:t>
      </w:r>
      <w:r w:rsidR="00B856E2" w:rsidRPr="007F194A">
        <w:t xml:space="preserve">, with 79 percent </w:t>
      </w:r>
      <w:r w:rsidR="00B856E2">
        <w:t xml:space="preserve">of this group </w:t>
      </w:r>
      <w:r w:rsidR="00B856E2" w:rsidRPr="007F194A">
        <w:t>reporting some degree of unfair treatment</w:t>
      </w:r>
      <w:r w:rsidR="00B856E2">
        <w:t xml:space="preserve"> in this life domain</w:t>
      </w:r>
      <w:r w:rsidR="00B856E2" w:rsidRPr="007F194A">
        <w:t>.</w:t>
      </w:r>
    </w:p>
    <w:p w14:paraId="514F6F56" w14:textId="563A0EAE" w:rsidR="00E03F6C" w:rsidRPr="00F000D4" w:rsidRDefault="00602B69" w:rsidP="00FD5B55">
      <w:pPr>
        <w:keepNext/>
        <w:keepLines/>
        <w:ind w:right="-1077"/>
      </w:pPr>
      <w:r w:rsidRPr="00783C3B">
        <w:rPr>
          <w:b/>
        </w:rPr>
        <w:t>Figure 1</w:t>
      </w:r>
      <w:r w:rsidR="00F663D9">
        <w:rPr>
          <w:b/>
        </w:rPr>
        <w:t>1</w:t>
      </w:r>
      <w:r>
        <w:t>.</w:t>
      </w:r>
      <w:r w:rsidR="00F000D4">
        <w:t xml:space="preserve"> P</w:t>
      </w:r>
      <w:r w:rsidR="00E03F6C" w:rsidRPr="00F000D4">
        <w:t xml:space="preserve">roportion </w:t>
      </w:r>
      <w:r w:rsidR="004A7B16">
        <w:t xml:space="preserve">of people with </w:t>
      </w:r>
      <w:r w:rsidR="00214FD3">
        <w:t>recent</w:t>
      </w:r>
      <w:r w:rsidR="004A7B16">
        <w:t xml:space="preserve"> </w:t>
      </w:r>
      <w:r w:rsidR="006071F9">
        <w:t>personal lived experience</w:t>
      </w:r>
      <w:r w:rsidR="006071F9" w:rsidRPr="00F000D4">
        <w:t xml:space="preserve"> </w:t>
      </w:r>
      <w:r w:rsidR="00E03F6C" w:rsidRPr="00F000D4">
        <w:t xml:space="preserve">reporting experience of </w:t>
      </w:r>
      <w:r w:rsidR="004A7B16">
        <w:t>unfair treatment</w:t>
      </w:r>
      <w:r w:rsidR="00E03F6C" w:rsidRPr="00F000D4">
        <w:t xml:space="preserve"> in </w:t>
      </w:r>
      <w:r w:rsidR="004A7B16">
        <w:t>public</w:t>
      </w:r>
      <w:r w:rsidR="00E03F6C" w:rsidRPr="00F000D4">
        <w:t xml:space="preserve"> life domains </w:t>
      </w:r>
      <w:r w:rsidR="00FD47CC">
        <w:t>(excluding those who reported NA for the life domain)</w:t>
      </w:r>
      <w:r w:rsidR="00393057">
        <w:t>.</w:t>
      </w:r>
    </w:p>
    <w:p w14:paraId="6F6F24FC" w14:textId="31849745" w:rsidR="00E03F6C" w:rsidRDefault="00CE508B" w:rsidP="00FD5B55">
      <w:pPr>
        <w:keepNext/>
        <w:keepLines/>
        <w:ind w:right="-1077"/>
        <w:rPr>
          <w:lang w:eastAsia="en-GB"/>
        </w:rPr>
      </w:pPr>
      <w:r>
        <w:rPr>
          <w:noProof/>
        </w:rPr>
        <w:drawing>
          <wp:inline distT="0" distB="0" distL="0" distR="0" wp14:anchorId="64F0E038" wp14:editId="499C2C30">
            <wp:extent cx="5899150" cy="3054350"/>
            <wp:effectExtent l="0" t="0" r="6350" b="0"/>
            <wp:docPr id="202" name="Chart 202" descr="Figure 11 is a bar graph depicting the proportion of people with recent personal lived experience reporting experience of unfair treatment in public life domains (excluding those who reported not applicable for the life domain). 20% of people with recent or personal lived experience reported experiencing unfair treatment in housing, which included renting and accessing public or community housing. 24% experienced unfair treatment by a health professional when getting help for a physical health problem, and 25% felt unfairly treated by a health professional when seeking help for a mental health problem. 27% of people with recent personal lived experience reported unfair treatment by the legal system, 27% in education and further training domains, and 31% felt unfair treatment when apply for and getting welfare benefits or disability pensions. 34% of people with recent personal lived experience reported unfair treatment when finding a job, and 37% by people in their workplace. " title="Figure 11. Proportion of people with recent personal lived experience reporting experience of unfair treatment in public life domains (excluding those who reported NA for the life do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2A1D13A" w14:textId="18A9930A" w:rsidR="005604DF" w:rsidRDefault="00E03F6C" w:rsidP="00284288">
      <w:pPr>
        <w:ind w:right="-1078"/>
      </w:pPr>
      <w:r>
        <w:t xml:space="preserve">Twenty five percent of </w:t>
      </w:r>
      <w:r w:rsidR="00C008BD">
        <w:t>respondents</w:t>
      </w:r>
      <w:r>
        <w:t xml:space="preserve"> reported experiencing unfair treatment by a health professional when getting help for a mental health problem. W</w:t>
      </w:r>
      <w:r w:rsidR="00D879E4">
        <w:t>e</w:t>
      </w:r>
      <w:r>
        <w:t xml:space="preserve"> </w:t>
      </w:r>
      <w:r w:rsidR="00465EFC">
        <w:t xml:space="preserve">then </w:t>
      </w:r>
      <w:r>
        <w:t>ask</w:t>
      </w:r>
      <w:r w:rsidR="00465EFC">
        <w:t>ed</w:t>
      </w:r>
      <w:r>
        <w:t xml:space="preserve"> what type of health professional this was</w:t>
      </w:r>
      <w:r w:rsidR="00465EFC">
        <w:t xml:space="preserve"> and r</w:t>
      </w:r>
      <w:r>
        <w:t>espondents were able to select as many as was</w:t>
      </w:r>
      <w:r w:rsidR="00713B56">
        <w:t xml:space="preserve"> relevant. </w:t>
      </w:r>
    </w:p>
    <w:p w14:paraId="02F2530C" w14:textId="732F1D39" w:rsidR="00FD5B55" w:rsidRDefault="00713B56" w:rsidP="00284288">
      <w:pPr>
        <w:ind w:right="-1078"/>
      </w:pPr>
      <w:r>
        <w:t xml:space="preserve">As shown in </w:t>
      </w:r>
      <w:r w:rsidR="00465EFC">
        <w:t>T</w:t>
      </w:r>
      <w:r>
        <w:t>able 7, t</w:t>
      </w:r>
      <w:r w:rsidR="00E03F6C" w:rsidRPr="007F194A">
        <w:t>he most common professions identified were GPs (</w:t>
      </w:r>
      <w:r w:rsidR="00E03F6C">
        <w:t xml:space="preserve">by </w:t>
      </w:r>
      <w:r w:rsidR="00E03F6C" w:rsidRPr="007F194A">
        <w:t>63</w:t>
      </w:r>
      <w:r w:rsidR="009A3A81">
        <w:t xml:space="preserve"> percent</w:t>
      </w:r>
      <w:r w:rsidR="00E03F6C">
        <w:t xml:space="preserve"> of respondents</w:t>
      </w:r>
      <w:r w:rsidR="00E03F6C" w:rsidRPr="007F194A">
        <w:t>), psychologists (35</w:t>
      </w:r>
      <w:r w:rsidR="009A3A81" w:rsidRPr="009A3A81">
        <w:t xml:space="preserve"> </w:t>
      </w:r>
      <w:r w:rsidR="009A3A81">
        <w:t>percent</w:t>
      </w:r>
      <w:r w:rsidR="00E03F6C" w:rsidRPr="007F194A">
        <w:t xml:space="preserve">) and </w:t>
      </w:r>
      <w:r w:rsidR="00D879E4">
        <w:t>counsellors / psychotherapists</w:t>
      </w:r>
      <w:r w:rsidR="00E03F6C" w:rsidRPr="007F194A">
        <w:t xml:space="preserve"> (</w:t>
      </w:r>
      <w:r w:rsidR="00D879E4">
        <w:t>23</w:t>
      </w:r>
      <w:r w:rsidR="009A3A81" w:rsidRPr="009A3A81">
        <w:t xml:space="preserve"> </w:t>
      </w:r>
      <w:r w:rsidR="009A3A81">
        <w:t>percent</w:t>
      </w:r>
      <w:r w:rsidR="00E03F6C" w:rsidRPr="007F194A">
        <w:t xml:space="preserve">). </w:t>
      </w:r>
    </w:p>
    <w:p w14:paraId="15EAC339" w14:textId="27159557" w:rsidR="00E03F6C" w:rsidRPr="007F194A" w:rsidRDefault="00E03F6C" w:rsidP="00284288">
      <w:pPr>
        <w:ind w:right="-1078"/>
      </w:pPr>
      <w:r>
        <w:t>We</w:t>
      </w:r>
      <w:r w:rsidR="00FD5B55">
        <w:t xml:space="preserve"> also</w:t>
      </w:r>
      <w:r>
        <w:t xml:space="preserve"> asked </w:t>
      </w:r>
      <w:r w:rsidR="00465EFC">
        <w:t xml:space="preserve">about the nature of the unfair treatment. </w:t>
      </w:r>
      <w:r w:rsidR="00713B56">
        <w:t xml:space="preserve">As shown in </w:t>
      </w:r>
      <w:r w:rsidR="00465EFC">
        <w:t>T</w:t>
      </w:r>
      <w:r w:rsidR="00713B56">
        <w:t>able 8, f</w:t>
      </w:r>
      <w:r w:rsidRPr="007F194A">
        <w:t xml:space="preserve">requently endorsed responses were about </w:t>
      </w:r>
      <w:r>
        <w:t>health professionals</w:t>
      </w:r>
      <w:r w:rsidRPr="007F194A">
        <w:t xml:space="preserve"> being dismissive or sceptical (53</w:t>
      </w:r>
      <w:r w:rsidR="009A3A81" w:rsidRPr="009A3A81">
        <w:t xml:space="preserve"> </w:t>
      </w:r>
      <w:r w:rsidR="009A3A81">
        <w:t>percent</w:t>
      </w:r>
      <w:r w:rsidRPr="007F194A">
        <w:t>), judgemental (50</w:t>
      </w:r>
      <w:r w:rsidR="005604DF">
        <w:t> </w:t>
      </w:r>
      <w:r w:rsidR="009A3A81">
        <w:t>percent</w:t>
      </w:r>
      <w:r w:rsidRPr="007F194A">
        <w:t>), not being willing to listen (46</w:t>
      </w:r>
      <w:r w:rsidR="009A3A81" w:rsidRPr="009A3A81">
        <w:t xml:space="preserve"> </w:t>
      </w:r>
      <w:r w:rsidR="009A3A81">
        <w:t>percent</w:t>
      </w:r>
      <w:r w:rsidRPr="007F194A">
        <w:t>) and not being supportive (47</w:t>
      </w:r>
      <w:r w:rsidR="009A3A81" w:rsidRPr="009A3A81">
        <w:t xml:space="preserve"> </w:t>
      </w:r>
      <w:r w:rsidR="009A3A81">
        <w:t>percent</w:t>
      </w:r>
      <w:r w:rsidRPr="007F194A">
        <w:t>). However, there were also high reports of health professional</w:t>
      </w:r>
      <w:r>
        <w:t>s</w:t>
      </w:r>
      <w:r w:rsidRPr="007F194A">
        <w:t xml:space="preserve"> lacking an understanding of their mental health </w:t>
      </w:r>
      <w:r w:rsidR="00643937">
        <w:t>problem</w:t>
      </w:r>
      <w:r w:rsidR="00643937" w:rsidRPr="007F194A">
        <w:t xml:space="preserve"> </w:t>
      </w:r>
      <w:r w:rsidRPr="007F194A">
        <w:t>(51</w:t>
      </w:r>
      <w:r w:rsidR="009A3A81" w:rsidRPr="009A3A81">
        <w:t xml:space="preserve"> </w:t>
      </w:r>
      <w:r w:rsidR="009A3A81">
        <w:t>percent</w:t>
      </w:r>
      <w:r w:rsidRPr="007F194A">
        <w:t>), ignoring physical health problems (32</w:t>
      </w:r>
      <w:r w:rsidR="009A3A81" w:rsidRPr="009A3A81">
        <w:t xml:space="preserve"> </w:t>
      </w:r>
      <w:r w:rsidR="009A3A81">
        <w:t>percent</w:t>
      </w:r>
      <w:r w:rsidRPr="007F194A">
        <w:t>) and prescribing medication without adequate explanation, information, consultation or attempt to discuss alternatives (31</w:t>
      </w:r>
      <w:r w:rsidR="009A3A81" w:rsidRPr="009A3A81">
        <w:t xml:space="preserve"> </w:t>
      </w:r>
      <w:r w:rsidR="009A3A81">
        <w:t>percent</w:t>
      </w:r>
      <w:r w:rsidRPr="007F194A">
        <w:t>).</w:t>
      </w:r>
    </w:p>
    <w:p w14:paraId="462D9C78" w14:textId="2823C45F" w:rsidR="00713B56" w:rsidRPr="008606D6" w:rsidRDefault="00713B56" w:rsidP="00FD5B55">
      <w:pPr>
        <w:keepNext/>
        <w:keepLines/>
        <w:ind w:right="-1078"/>
      </w:pPr>
      <w:r w:rsidRPr="00783C3B">
        <w:rPr>
          <w:b/>
        </w:rPr>
        <w:t>Table 7.</w:t>
      </w:r>
      <w:r w:rsidRPr="008606D6">
        <w:t xml:space="preserve"> Type of health professional </w:t>
      </w:r>
      <w:r w:rsidR="00377927">
        <w:t>reported</w:t>
      </w:r>
      <w:r w:rsidR="00377927" w:rsidRPr="008606D6">
        <w:t xml:space="preserve"> </w:t>
      </w:r>
      <w:r w:rsidRPr="008606D6">
        <w:t>to have treated respondent unfairly</w:t>
      </w:r>
      <w:r w:rsidR="00393057">
        <w:t>.</w:t>
      </w:r>
    </w:p>
    <w:tbl>
      <w:tblPr>
        <w:tblStyle w:val="DefaultTable"/>
        <w:tblW w:w="9356" w:type="dxa"/>
        <w:tblLook w:val="04A0" w:firstRow="1" w:lastRow="0" w:firstColumn="1" w:lastColumn="0" w:noHBand="0" w:noVBand="1"/>
        <w:tblCaption w:val="Table 7. Type of health professional reported to have treated respondent unfairly."/>
        <w:tblDescription w:val="Table 7 depicts the type of health professional reported to have treated the respondent unfairly. 63% of respondents felt unfairly treated by a GP, 35% by psychologist, 23% by a counsellor and psychotherapist, and 21% by a psychiatrist. 16% of respondents felt unfairly treated by nurses, 14% by the emergency department doctor, 11% by social workers, 9% by mental health peer worker, and 8% by ambulance staff. 6% of respondents felt unfairly treated by a care coordinator, 5% by an occupational therapist, 3% by a complementary therapist or traditional healer, and 2% by a patient advocate. 2% of respondents felt unfairly treated by an 'other' profession not listed, and 3% were unsure of the profession, or preferred not to say. "/>
      </w:tblPr>
      <w:tblGrid>
        <w:gridCol w:w="8107"/>
        <w:gridCol w:w="1249"/>
      </w:tblGrid>
      <w:tr w:rsidR="00713B56" w14:paraId="79FDB9A5" w14:textId="77777777" w:rsidTr="003227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05" w:type="dxa"/>
          </w:tcPr>
          <w:p w14:paraId="5ED87AD6" w14:textId="77777777" w:rsidR="00713B56" w:rsidRPr="002D06BE" w:rsidRDefault="00713B56" w:rsidP="00FD5B55">
            <w:pPr>
              <w:pStyle w:val="SRCQn"/>
              <w:keepNext/>
              <w:keepLines/>
              <w:ind w:left="0" w:right="-1078" w:firstLine="0"/>
              <w:rPr>
                <w:rFonts w:asciiTheme="minorHAnsi" w:hAnsiTheme="minorHAnsi" w:cstheme="minorHAnsi"/>
                <w:sz w:val="20"/>
              </w:rPr>
            </w:pPr>
            <w:r w:rsidRPr="002D06BE">
              <w:rPr>
                <w:rFonts w:asciiTheme="minorHAnsi" w:hAnsiTheme="minorHAnsi" w:cstheme="minorHAnsi"/>
              </w:rPr>
              <w:t>Profession</w:t>
            </w:r>
          </w:p>
        </w:tc>
        <w:tc>
          <w:tcPr>
            <w:tcW w:w="851" w:type="dxa"/>
          </w:tcPr>
          <w:p w14:paraId="31ED5C61" w14:textId="5DF44907" w:rsidR="00713B56" w:rsidRPr="002D06BE" w:rsidRDefault="00322774" w:rsidP="00FD5B55">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Proportion</w:t>
            </w:r>
          </w:p>
        </w:tc>
      </w:tr>
      <w:tr w:rsidR="00713B56" w14:paraId="70244CFF"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15C7E8ED" w14:textId="77777777" w:rsidR="00713B56" w:rsidRPr="002D06BE" w:rsidRDefault="00713B56" w:rsidP="00FD5B55">
            <w:pPr>
              <w:pStyle w:val="SRCQn"/>
              <w:keepNext/>
              <w:keepLines/>
              <w:ind w:left="0" w:right="-1078" w:firstLine="0"/>
              <w:rPr>
                <w:rFonts w:asciiTheme="minorHAnsi" w:hAnsiTheme="minorHAnsi" w:cstheme="minorHAnsi"/>
              </w:rPr>
            </w:pPr>
            <w:r w:rsidRPr="002D06BE">
              <w:rPr>
                <w:rFonts w:asciiTheme="minorHAnsi" w:hAnsiTheme="minorHAnsi" w:cstheme="minorHAnsi"/>
              </w:rPr>
              <w:t>GP</w:t>
            </w:r>
          </w:p>
        </w:tc>
        <w:tc>
          <w:tcPr>
            <w:tcW w:w="851" w:type="dxa"/>
          </w:tcPr>
          <w:p w14:paraId="313F9AD9" w14:textId="77777777" w:rsidR="00713B56" w:rsidRPr="002D06BE" w:rsidRDefault="00713B56"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63%</w:t>
            </w:r>
          </w:p>
        </w:tc>
      </w:tr>
      <w:tr w:rsidR="007B556F" w14:paraId="393B300F"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1671A592" w14:textId="6E89F564"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Psychologist</w:t>
            </w:r>
          </w:p>
        </w:tc>
        <w:tc>
          <w:tcPr>
            <w:tcW w:w="851" w:type="dxa"/>
          </w:tcPr>
          <w:p w14:paraId="20E9825F" w14:textId="21199C32" w:rsidR="007B556F" w:rsidRPr="002D06BE" w:rsidRDefault="007B556F" w:rsidP="007B556F">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35%</w:t>
            </w:r>
          </w:p>
        </w:tc>
      </w:tr>
      <w:tr w:rsidR="007B556F" w14:paraId="5214B4E5"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3BAACE7E" w14:textId="583E1D6E"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Counsellor / psychotherapist</w:t>
            </w:r>
          </w:p>
        </w:tc>
        <w:tc>
          <w:tcPr>
            <w:tcW w:w="851" w:type="dxa"/>
          </w:tcPr>
          <w:p w14:paraId="22C09B5B" w14:textId="61FBF0B5"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23%</w:t>
            </w:r>
          </w:p>
        </w:tc>
      </w:tr>
      <w:tr w:rsidR="007B556F" w14:paraId="11EEB8FF"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7F6C8FED" w14:textId="194E313D"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Psychiatrist</w:t>
            </w:r>
          </w:p>
        </w:tc>
        <w:tc>
          <w:tcPr>
            <w:tcW w:w="851" w:type="dxa"/>
          </w:tcPr>
          <w:p w14:paraId="02DA7608" w14:textId="67C3B0B2"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21%</w:t>
            </w:r>
          </w:p>
        </w:tc>
      </w:tr>
      <w:tr w:rsidR="007B556F" w14:paraId="3C2C7AFE"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0E3BC8F0" w14:textId="595E9E10"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Nurse</w:t>
            </w:r>
          </w:p>
        </w:tc>
        <w:tc>
          <w:tcPr>
            <w:tcW w:w="851" w:type="dxa"/>
          </w:tcPr>
          <w:p w14:paraId="26984F71" w14:textId="1DE2C041"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16%</w:t>
            </w:r>
          </w:p>
        </w:tc>
      </w:tr>
      <w:tr w:rsidR="007B556F" w14:paraId="692E049E"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11772D0E" w14:textId="1EF63B6E"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Emergency department doctor</w:t>
            </w:r>
          </w:p>
        </w:tc>
        <w:tc>
          <w:tcPr>
            <w:tcW w:w="851" w:type="dxa"/>
          </w:tcPr>
          <w:p w14:paraId="24083034" w14:textId="6752BF2E"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14%</w:t>
            </w:r>
          </w:p>
        </w:tc>
      </w:tr>
      <w:tr w:rsidR="007B556F" w14:paraId="794F5FA8"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2574176A" w14:textId="6C7D27D7"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Social Worker</w:t>
            </w:r>
          </w:p>
        </w:tc>
        <w:tc>
          <w:tcPr>
            <w:tcW w:w="851" w:type="dxa"/>
          </w:tcPr>
          <w:p w14:paraId="71B2F434" w14:textId="186E6509"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11%</w:t>
            </w:r>
          </w:p>
        </w:tc>
      </w:tr>
      <w:tr w:rsidR="007B556F" w14:paraId="3B2DE723"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7515981B" w14:textId="5E26BC8B"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Mental Health Peer Worker</w:t>
            </w:r>
          </w:p>
        </w:tc>
        <w:tc>
          <w:tcPr>
            <w:tcW w:w="851" w:type="dxa"/>
          </w:tcPr>
          <w:p w14:paraId="5879292F" w14:textId="0F1C1C22"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9%</w:t>
            </w:r>
          </w:p>
        </w:tc>
      </w:tr>
      <w:tr w:rsidR="007B556F" w14:paraId="2DF12C53"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6B08F53E" w14:textId="14D42517"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Ambulance staff</w:t>
            </w:r>
          </w:p>
        </w:tc>
        <w:tc>
          <w:tcPr>
            <w:tcW w:w="851" w:type="dxa"/>
          </w:tcPr>
          <w:p w14:paraId="51B528F5" w14:textId="299F9ABB"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8%</w:t>
            </w:r>
          </w:p>
        </w:tc>
      </w:tr>
      <w:tr w:rsidR="007B556F" w14:paraId="0AD4EC8B"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183E4685" w14:textId="6AFFB453"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Care Coordinator</w:t>
            </w:r>
          </w:p>
        </w:tc>
        <w:tc>
          <w:tcPr>
            <w:tcW w:w="851" w:type="dxa"/>
          </w:tcPr>
          <w:p w14:paraId="2824120B" w14:textId="6EB5BD6D"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6%</w:t>
            </w:r>
          </w:p>
        </w:tc>
      </w:tr>
      <w:tr w:rsidR="007B556F" w14:paraId="15D91D80"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25833AFB" w14:textId="4D30E061" w:rsidR="007B556F" w:rsidRPr="002D06BE" w:rsidRDefault="007B556F" w:rsidP="007B556F">
            <w:pPr>
              <w:pStyle w:val="SRCQn"/>
              <w:keepNext/>
              <w:keepLines/>
              <w:ind w:left="0" w:right="-1078" w:firstLine="0"/>
              <w:rPr>
                <w:rFonts w:asciiTheme="minorHAnsi" w:hAnsiTheme="minorHAnsi" w:cstheme="minorHAnsi"/>
              </w:rPr>
            </w:pPr>
            <w:r w:rsidRPr="002D06BE">
              <w:rPr>
                <w:rFonts w:asciiTheme="minorHAnsi" w:hAnsiTheme="minorHAnsi" w:cstheme="minorHAnsi"/>
              </w:rPr>
              <w:t>Occupational Therapist</w:t>
            </w:r>
          </w:p>
        </w:tc>
        <w:tc>
          <w:tcPr>
            <w:tcW w:w="851" w:type="dxa"/>
          </w:tcPr>
          <w:p w14:paraId="367A88A6" w14:textId="671CC4B9"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w:t>
            </w:r>
          </w:p>
        </w:tc>
      </w:tr>
      <w:tr w:rsidR="00713B56" w14:paraId="23FAC428"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0781E908" w14:textId="77777777" w:rsidR="00713B56" w:rsidRPr="002D06BE" w:rsidRDefault="00713B56" w:rsidP="00FD5B55">
            <w:pPr>
              <w:pStyle w:val="SRCQn"/>
              <w:keepNext/>
              <w:keepLines/>
              <w:ind w:left="0" w:right="-1078" w:firstLine="0"/>
              <w:rPr>
                <w:rFonts w:asciiTheme="minorHAnsi" w:hAnsiTheme="minorHAnsi" w:cstheme="minorHAnsi"/>
              </w:rPr>
            </w:pPr>
            <w:r w:rsidRPr="002D06BE">
              <w:rPr>
                <w:rFonts w:asciiTheme="minorHAnsi" w:hAnsiTheme="minorHAnsi" w:cstheme="minorHAnsi"/>
              </w:rPr>
              <w:t>Complementary therapist/ traditional healer</w:t>
            </w:r>
          </w:p>
        </w:tc>
        <w:tc>
          <w:tcPr>
            <w:tcW w:w="851" w:type="dxa"/>
          </w:tcPr>
          <w:p w14:paraId="1DD58923" w14:textId="77777777" w:rsidR="00713B56" w:rsidRPr="002D06BE" w:rsidRDefault="00713B56"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p>
        </w:tc>
      </w:tr>
      <w:tr w:rsidR="00713B56" w14:paraId="6D264AA2"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6643EE19" w14:textId="77777777" w:rsidR="00713B56" w:rsidRPr="002D06BE" w:rsidRDefault="00713B56" w:rsidP="00FD5B55">
            <w:pPr>
              <w:pStyle w:val="SRCQn"/>
              <w:keepNext/>
              <w:keepLines/>
              <w:ind w:left="0" w:right="-1078" w:firstLine="0"/>
              <w:rPr>
                <w:rFonts w:asciiTheme="minorHAnsi" w:hAnsiTheme="minorHAnsi" w:cstheme="minorHAnsi"/>
              </w:rPr>
            </w:pPr>
            <w:r w:rsidRPr="002D06BE">
              <w:rPr>
                <w:rFonts w:asciiTheme="minorHAnsi" w:hAnsiTheme="minorHAnsi" w:cstheme="minorHAnsi"/>
              </w:rPr>
              <w:t>Patient advocate</w:t>
            </w:r>
          </w:p>
        </w:tc>
        <w:tc>
          <w:tcPr>
            <w:tcW w:w="851" w:type="dxa"/>
          </w:tcPr>
          <w:p w14:paraId="57121E6E" w14:textId="77777777" w:rsidR="00713B56" w:rsidRPr="002D06BE" w:rsidRDefault="00713B56"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w:t>
            </w:r>
          </w:p>
        </w:tc>
      </w:tr>
      <w:tr w:rsidR="00713B56" w14:paraId="49A196D4"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710A1F89" w14:textId="77777777" w:rsidR="00713B56" w:rsidRPr="002D06BE" w:rsidRDefault="00713B56" w:rsidP="00FD5B55">
            <w:pPr>
              <w:pStyle w:val="SRCQn"/>
              <w:keepNext/>
              <w:keepLines/>
              <w:ind w:left="0" w:right="-1078" w:firstLine="0"/>
              <w:rPr>
                <w:rFonts w:asciiTheme="minorHAnsi" w:hAnsiTheme="minorHAnsi" w:cstheme="minorHAnsi"/>
              </w:rPr>
            </w:pPr>
            <w:r w:rsidRPr="002D06BE">
              <w:rPr>
                <w:rFonts w:asciiTheme="minorHAnsi" w:hAnsiTheme="minorHAnsi" w:cstheme="minorHAnsi"/>
              </w:rPr>
              <w:t>Other</w:t>
            </w:r>
          </w:p>
        </w:tc>
        <w:tc>
          <w:tcPr>
            <w:tcW w:w="851" w:type="dxa"/>
          </w:tcPr>
          <w:p w14:paraId="2C68C02F" w14:textId="77777777" w:rsidR="00713B56" w:rsidRPr="002D06BE" w:rsidRDefault="00713B56"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w:t>
            </w:r>
          </w:p>
        </w:tc>
      </w:tr>
      <w:tr w:rsidR="007B556F" w14:paraId="07FF5E0E" w14:textId="77777777" w:rsidTr="002124EE">
        <w:tc>
          <w:tcPr>
            <w:cnfStyle w:val="001000000000" w:firstRow="0" w:lastRow="0" w:firstColumn="1" w:lastColumn="0" w:oddVBand="0" w:evenVBand="0" w:oddHBand="0" w:evenHBand="0" w:firstRowFirstColumn="0" w:firstRowLastColumn="0" w:lastRowFirstColumn="0" w:lastRowLastColumn="0"/>
            <w:tcW w:w="8505" w:type="dxa"/>
          </w:tcPr>
          <w:p w14:paraId="57240EFE" w14:textId="6770D6C2" w:rsidR="007B556F" w:rsidRPr="002D06BE" w:rsidRDefault="007B556F" w:rsidP="007B556F">
            <w:pPr>
              <w:pStyle w:val="SRCQn"/>
              <w:keepNext/>
              <w:keepLines/>
              <w:ind w:left="0" w:right="-1078" w:firstLine="0"/>
              <w:rPr>
                <w:rFonts w:asciiTheme="minorHAnsi" w:hAnsiTheme="minorHAnsi" w:cstheme="minorHAnsi"/>
                <w:i/>
              </w:rPr>
            </w:pPr>
            <w:r w:rsidRPr="002D06BE">
              <w:rPr>
                <w:rFonts w:asciiTheme="minorHAnsi" w:hAnsiTheme="minorHAnsi" w:cstheme="minorHAnsi"/>
              </w:rPr>
              <w:t>Don’t know / Prefer not to say</w:t>
            </w:r>
          </w:p>
        </w:tc>
        <w:tc>
          <w:tcPr>
            <w:tcW w:w="851" w:type="dxa"/>
          </w:tcPr>
          <w:p w14:paraId="1D600728" w14:textId="6EEBC24A" w:rsidR="007B556F" w:rsidRPr="002D06BE" w:rsidRDefault="007B556F" w:rsidP="00783C3B">
            <w:pPr>
              <w:pStyle w:val="SRCQn"/>
              <w:keepNext/>
              <w:keepLines/>
              <w:ind w:left="0" w:right="-34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p>
        </w:tc>
      </w:tr>
    </w:tbl>
    <w:p w14:paraId="770F53D5" w14:textId="77777777" w:rsidR="00410492" w:rsidRPr="00EF004E" w:rsidRDefault="00410492" w:rsidP="00EF004E">
      <w:pPr>
        <w:pStyle w:val="SRCQn"/>
        <w:keepNext/>
        <w:keepLines/>
        <w:ind w:left="0" w:right="-1078" w:firstLine="0"/>
        <w:rPr>
          <w:rFonts w:asciiTheme="minorHAnsi" w:hAnsiTheme="minorHAnsi" w:cstheme="minorHAnsi"/>
          <w:i/>
        </w:rPr>
      </w:pPr>
      <w:r w:rsidRPr="00EF004E">
        <w:rPr>
          <w:rFonts w:asciiTheme="minorHAnsi" w:hAnsiTheme="minorHAnsi" w:cstheme="minorHAnsi"/>
          <w:i/>
        </w:rPr>
        <w:t xml:space="preserve">Note: Column sums to greater than 100 percent because respondents were asked to select all that apply. </w:t>
      </w:r>
    </w:p>
    <w:p w14:paraId="1D663C75" w14:textId="4B11F004" w:rsidR="00E03F6C" w:rsidRPr="002124EE" w:rsidRDefault="00E03F6C" w:rsidP="009F043D">
      <w:pPr>
        <w:pStyle w:val="SRCQn"/>
        <w:ind w:left="0" w:right="-1078" w:firstLine="0"/>
        <w:rPr>
          <w:sz w:val="22"/>
          <w:lang w:eastAsia="en-GB"/>
        </w:rPr>
      </w:pPr>
    </w:p>
    <w:p w14:paraId="3FCDDE04" w14:textId="626C946F" w:rsidR="00F000D4" w:rsidRPr="00FD5B55" w:rsidRDefault="00E03F6C" w:rsidP="003C7AF0">
      <w:pPr>
        <w:keepNext/>
        <w:keepLines/>
        <w:ind w:right="-1078"/>
      </w:pPr>
      <w:r w:rsidRPr="00783C3B">
        <w:rPr>
          <w:b/>
        </w:rPr>
        <w:t xml:space="preserve">Table </w:t>
      </w:r>
      <w:r w:rsidR="00713B56" w:rsidRPr="00783C3B">
        <w:rPr>
          <w:b/>
        </w:rPr>
        <w:t>8</w:t>
      </w:r>
      <w:r w:rsidR="00563D76">
        <w:t>.</w:t>
      </w:r>
      <w:r w:rsidRPr="004A7B16">
        <w:t xml:space="preserve"> </w:t>
      </w:r>
      <w:r w:rsidR="004A7B16">
        <w:t xml:space="preserve">Nature of </w:t>
      </w:r>
      <w:r w:rsidR="00377927">
        <w:t xml:space="preserve">reported </w:t>
      </w:r>
      <w:r w:rsidR="004A7B16">
        <w:t xml:space="preserve">unfair treatment by </w:t>
      </w:r>
      <w:r w:rsidRPr="004A7B16">
        <w:t>health professional when getting h</w:t>
      </w:r>
      <w:r w:rsidR="008606D6" w:rsidRPr="004A7B16">
        <w:t>elp for a mental health problem</w:t>
      </w:r>
      <w:r w:rsidR="00393057">
        <w:t>.</w:t>
      </w:r>
    </w:p>
    <w:tbl>
      <w:tblPr>
        <w:tblStyle w:val="DefaultTable"/>
        <w:tblW w:w="9356" w:type="dxa"/>
        <w:tblLook w:val="04A0" w:firstRow="1" w:lastRow="0" w:firstColumn="1" w:lastColumn="0" w:noHBand="0" w:noVBand="1"/>
        <w:tblCaption w:val="Table 8. Nature of reported unfair treatment by health professional when getting help for a mental health problem."/>
        <w:tblDescription w:val="Table 8 depicts the nature of reported unfair treatment by health professional when getting help for a mental health problem. 53% of respondents felt the health professional was dismissive or sceptical, 51% felt they lacked understanding of their condition, and 50% felt that the health professional was being judgmental. 47% of respondents felt the health professional was not supportive or caring, 46% felt they were not willing to listen, and 32% felt the health professional ignored their physical health problems. 31% of respondents felt the health professional prescribed medication without adequate explanation, information, consultation of attempt to discuss alternatives. 23% of respondents felt there was a delay or problem with in helping them access care, and 20% felt health professionals avoided dealing with them. 14% of respondents reported a health professional refused to prescribe medication. 1% of respondents felt unfair treatment by health professional in an 'other' manner not listed, and 2% were unsure how to categorise the treatment, or preferred not to say. "/>
      </w:tblPr>
      <w:tblGrid>
        <w:gridCol w:w="8107"/>
        <w:gridCol w:w="1249"/>
      </w:tblGrid>
      <w:tr w:rsidR="00E03F6C" w14:paraId="42047253" w14:textId="77777777" w:rsidTr="003227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87" w:type="dxa"/>
          </w:tcPr>
          <w:p w14:paraId="45027F8C" w14:textId="6E05FCA1" w:rsidR="00E03F6C" w:rsidRPr="002D06BE" w:rsidRDefault="00F000D4" w:rsidP="003C7AF0">
            <w:pPr>
              <w:pStyle w:val="SRCQn"/>
              <w:keepNext/>
              <w:keepLines/>
              <w:ind w:left="0" w:right="-1078" w:firstLine="0"/>
              <w:rPr>
                <w:rFonts w:asciiTheme="minorHAnsi" w:hAnsiTheme="minorHAnsi" w:cstheme="minorHAnsi"/>
                <w:sz w:val="20"/>
              </w:rPr>
            </w:pPr>
            <w:r w:rsidRPr="002D06BE">
              <w:rPr>
                <w:rFonts w:asciiTheme="minorHAnsi" w:hAnsiTheme="minorHAnsi" w:cstheme="minorHAnsi"/>
              </w:rPr>
              <w:t>Nature of unfair treatment</w:t>
            </w:r>
          </w:p>
        </w:tc>
        <w:tc>
          <w:tcPr>
            <w:tcW w:w="1169" w:type="dxa"/>
          </w:tcPr>
          <w:p w14:paraId="0BE3ECEA" w14:textId="5884A84F" w:rsidR="00E03F6C" w:rsidRPr="002D06BE" w:rsidRDefault="00322774" w:rsidP="003C7AF0">
            <w:pPr>
              <w:pStyle w:val="SRCQn"/>
              <w:keepNext/>
              <w:keepLines/>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Proportion</w:t>
            </w:r>
          </w:p>
        </w:tc>
      </w:tr>
      <w:tr w:rsidR="00F000D4" w14:paraId="1E08DA87"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7CF0B860" w14:textId="0F71BD1F" w:rsidR="00F000D4" w:rsidRPr="002D06BE" w:rsidRDefault="00F000D4"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were dismissive or sceptical</w:t>
            </w:r>
          </w:p>
        </w:tc>
        <w:tc>
          <w:tcPr>
            <w:tcW w:w="1169" w:type="dxa"/>
          </w:tcPr>
          <w:p w14:paraId="39DE3E4D" w14:textId="296F4764" w:rsidR="00F000D4"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53%</w:t>
            </w:r>
          </w:p>
        </w:tc>
      </w:tr>
      <w:tr w:rsidR="007B556F" w14:paraId="7775B596"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5ACAC297" w14:textId="239F8885" w:rsidR="007B556F" w:rsidRPr="002D06BE" w:rsidRDefault="007B556F"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lacked an understanding of my condition</w:t>
            </w:r>
          </w:p>
        </w:tc>
        <w:tc>
          <w:tcPr>
            <w:tcW w:w="1169" w:type="dxa"/>
          </w:tcPr>
          <w:p w14:paraId="2F980E9F" w14:textId="22DA168B" w:rsidR="007B556F" w:rsidRPr="002D06BE" w:rsidRDefault="007B556F"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51%</w:t>
            </w:r>
          </w:p>
        </w:tc>
      </w:tr>
      <w:tr w:rsidR="00E03F6C" w14:paraId="6B8167B2"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3FA29F29" w14:textId="77777777" w:rsidR="00E03F6C" w:rsidRPr="002D06BE" w:rsidRDefault="00E03F6C" w:rsidP="003C7AF0">
            <w:pPr>
              <w:pStyle w:val="SRCQn"/>
              <w:keepNext/>
              <w:keepLines/>
              <w:ind w:left="0" w:right="-1078" w:firstLine="0"/>
              <w:rPr>
                <w:rFonts w:asciiTheme="minorHAnsi" w:hAnsiTheme="minorHAnsi" w:cstheme="minorHAnsi"/>
              </w:rPr>
            </w:pPr>
            <w:r w:rsidRPr="002D06BE">
              <w:rPr>
                <w:rFonts w:asciiTheme="minorHAnsi" w:hAnsiTheme="minorHAnsi" w:cstheme="minorHAnsi"/>
              </w:rPr>
              <w:t>They were judgemental</w:t>
            </w:r>
          </w:p>
        </w:tc>
        <w:tc>
          <w:tcPr>
            <w:tcW w:w="1169" w:type="dxa"/>
          </w:tcPr>
          <w:p w14:paraId="5CC0CCE5" w14:textId="4826C35F" w:rsidR="00E03F6C"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50</w:t>
            </w:r>
            <w:r w:rsidR="00E03F6C" w:rsidRPr="002D06BE">
              <w:rPr>
                <w:rFonts w:asciiTheme="minorHAnsi" w:hAnsiTheme="minorHAnsi" w:cstheme="minorHAnsi"/>
              </w:rPr>
              <w:t>%</w:t>
            </w:r>
          </w:p>
        </w:tc>
      </w:tr>
      <w:tr w:rsidR="00E03F6C" w14:paraId="28ED49FB"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33EF24E5" w14:textId="77777777" w:rsidR="00E03F6C" w:rsidRPr="002D06BE" w:rsidRDefault="00E03F6C" w:rsidP="003C7AF0">
            <w:pPr>
              <w:pStyle w:val="SRCQn"/>
              <w:keepNext/>
              <w:keepLines/>
              <w:ind w:left="0" w:right="-1078" w:firstLine="0"/>
              <w:rPr>
                <w:rFonts w:asciiTheme="minorHAnsi" w:hAnsiTheme="minorHAnsi" w:cstheme="minorHAnsi"/>
              </w:rPr>
            </w:pPr>
            <w:r w:rsidRPr="002D06BE">
              <w:rPr>
                <w:rFonts w:asciiTheme="minorHAnsi" w:hAnsiTheme="minorHAnsi" w:cstheme="minorHAnsi"/>
              </w:rPr>
              <w:t>They were not supportive or caring</w:t>
            </w:r>
          </w:p>
        </w:tc>
        <w:tc>
          <w:tcPr>
            <w:tcW w:w="1169" w:type="dxa"/>
          </w:tcPr>
          <w:p w14:paraId="78672B19" w14:textId="241975AB" w:rsidR="00E03F6C"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47</w:t>
            </w:r>
            <w:r w:rsidR="00E03F6C" w:rsidRPr="002D06BE">
              <w:rPr>
                <w:rFonts w:asciiTheme="minorHAnsi" w:hAnsiTheme="minorHAnsi" w:cstheme="minorHAnsi"/>
              </w:rPr>
              <w:t>%</w:t>
            </w:r>
          </w:p>
        </w:tc>
      </w:tr>
      <w:tr w:rsidR="007B556F" w14:paraId="38DB3414"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323BEB3D" w14:textId="7769D8D9" w:rsidR="007B556F" w:rsidRPr="002D06BE" w:rsidRDefault="007B556F"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were not willing to listen</w:t>
            </w:r>
          </w:p>
        </w:tc>
        <w:tc>
          <w:tcPr>
            <w:tcW w:w="1169" w:type="dxa"/>
          </w:tcPr>
          <w:p w14:paraId="3FBC60D2" w14:textId="494466E6" w:rsidR="007B556F" w:rsidRPr="002D06BE" w:rsidRDefault="007B556F"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46%</w:t>
            </w:r>
          </w:p>
        </w:tc>
      </w:tr>
      <w:tr w:rsidR="00E03F6C" w14:paraId="64922384"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4C69AA4C" w14:textId="77777777" w:rsidR="00E03F6C" w:rsidRPr="002D06BE" w:rsidRDefault="00E03F6C"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ignored my physical health problems</w:t>
            </w:r>
          </w:p>
        </w:tc>
        <w:tc>
          <w:tcPr>
            <w:tcW w:w="1169" w:type="dxa"/>
          </w:tcPr>
          <w:p w14:paraId="0CB706F2" w14:textId="26829FBA" w:rsidR="00E03F6C"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32</w:t>
            </w:r>
            <w:r w:rsidR="00E03F6C" w:rsidRPr="002D06BE">
              <w:rPr>
                <w:rFonts w:asciiTheme="minorHAnsi" w:hAnsiTheme="minorHAnsi" w:cstheme="minorHAnsi"/>
              </w:rPr>
              <w:t>%</w:t>
            </w:r>
          </w:p>
        </w:tc>
      </w:tr>
      <w:tr w:rsidR="00E03F6C" w14:paraId="2936417C"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5569623B" w14:textId="77777777" w:rsidR="00E03F6C" w:rsidRPr="002D06BE" w:rsidRDefault="00E03F6C"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prescribed medication without adequate explanation, information, consultation or attempt to discuss alternatives</w:t>
            </w:r>
          </w:p>
        </w:tc>
        <w:tc>
          <w:tcPr>
            <w:tcW w:w="1169" w:type="dxa"/>
          </w:tcPr>
          <w:p w14:paraId="46EA651F" w14:textId="75885DD2" w:rsidR="00E03F6C"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31</w:t>
            </w:r>
            <w:r w:rsidR="00E03F6C" w:rsidRPr="002D06BE">
              <w:rPr>
                <w:rFonts w:asciiTheme="minorHAnsi" w:hAnsiTheme="minorHAnsi" w:cstheme="minorHAnsi"/>
              </w:rPr>
              <w:t>%</w:t>
            </w:r>
          </w:p>
        </w:tc>
      </w:tr>
      <w:tr w:rsidR="007B556F" w14:paraId="54672B26"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217B091E" w14:textId="602C59C6" w:rsidR="007B556F" w:rsidRPr="002D06BE" w:rsidRDefault="007B556F" w:rsidP="003C7AF0">
            <w:pPr>
              <w:pStyle w:val="SRCQn"/>
              <w:keepNext/>
              <w:keepLines/>
              <w:ind w:left="0" w:right="-1078" w:firstLine="0"/>
              <w:rPr>
                <w:rFonts w:asciiTheme="minorHAnsi" w:hAnsiTheme="minorHAnsi" w:cstheme="minorHAnsi"/>
              </w:rPr>
            </w:pPr>
            <w:r w:rsidRPr="002D06BE">
              <w:rPr>
                <w:rFonts w:asciiTheme="minorHAnsi" w:hAnsiTheme="minorHAnsi" w:cstheme="minorHAnsi"/>
              </w:rPr>
              <w:t>There was a delay or problem in helping me access care</w:t>
            </w:r>
          </w:p>
        </w:tc>
        <w:tc>
          <w:tcPr>
            <w:tcW w:w="1169" w:type="dxa"/>
          </w:tcPr>
          <w:p w14:paraId="081979ED" w14:textId="71D2FE5F" w:rsidR="007B556F" w:rsidRPr="002D06BE" w:rsidRDefault="007B556F"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23%</w:t>
            </w:r>
          </w:p>
        </w:tc>
      </w:tr>
      <w:tr w:rsidR="007B556F" w14:paraId="7982FE9E"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14EF3789" w14:textId="4675815E" w:rsidR="007B556F" w:rsidRPr="002D06BE" w:rsidRDefault="007B556F" w:rsidP="003C7AF0">
            <w:pPr>
              <w:pStyle w:val="SRCQn"/>
              <w:keepNext/>
              <w:keepLines/>
              <w:ind w:left="0" w:right="-108" w:firstLine="0"/>
              <w:rPr>
                <w:rFonts w:asciiTheme="minorHAnsi" w:hAnsiTheme="minorHAnsi" w:cstheme="minorHAnsi"/>
              </w:rPr>
            </w:pPr>
            <w:r w:rsidRPr="002D06BE">
              <w:rPr>
                <w:rFonts w:asciiTheme="minorHAnsi" w:hAnsiTheme="minorHAnsi" w:cstheme="minorHAnsi"/>
              </w:rPr>
              <w:t>They tried to avoid dealing with me</w:t>
            </w:r>
          </w:p>
        </w:tc>
        <w:tc>
          <w:tcPr>
            <w:tcW w:w="1169" w:type="dxa"/>
          </w:tcPr>
          <w:p w14:paraId="3832375F" w14:textId="4231B765" w:rsidR="007B556F" w:rsidRPr="002D06BE" w:rsidRDefault="007B556F"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20%</w:t>
            </w:r>
          </w:p>
        </w:tc>
      </w:tr>
      <w:tr w:rsidR="007B556F" w14:paraId="67F28FAA"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316EDBB3" w14:textId="0855876B" w:rsidR="007B556F" w:rsidRPr="002D06BE" w:rsidRDefault="007B556F" w:rsidP="003C7AF0">
            <w:pPr>
              <w:pStyle w:val="SRCQn"/>
              <w:keepNext/>
              <w:keepLines/>
              <w:ind w:left="0" w:right="-1078" w:firstLine="0"/>
              <w:rPr>
                <w:rFonts w:asciiTheme="minorHAnsi" w:hAnsiTheme="minorHAnsi" w:cstheme="minorHAnsi"/>
              </w:rPr>
            </w:pPr>
            <w:r w:rsidRPr="002D06BE">
              <w:rPr>
                <w:rFonts w:asciiTheme="minorHAnsi" w:hAnsiTheme="minorHAnsi" w:cstheme="minorHAnsi"/>
              </w:rPr>
              <w:t>They refused to prescribe medication</w:t>
            </w:r>
          </w:p>
        </w:tc>
        <w:tc>
          <w:tcPr>
            <w:tcW w:w="1169" w:type="dxa"/>
          </w:tcPr>
          <w:p w14:paraId="04EF35E0" w14:textId="22F67F7A" w:rsidR="007B556F" w:rsidRPr="002D06BE" w:rsidRDefault="007B556F"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14%</w:t>
            </w:r>
          </w:p>
        </w:tc>
      </w:tr>
      <w:tr w:rsidR="00E03F6C" w14:paraId="1137336C"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5F7E5CED" w14:textId="77777777" w:rsidR="00E03F6C" w:rsidRPr="002D06BE" w:rsidRDefault="00E03F6C" w:rsidP="003C7AF0">
            <w:pPr>
              <w:pStyle w:val="SRCQn"/>
              <w:keepNext/>
              <w:keepLines/>
              <w:ind w:left="0" w:right="-1078" w:firstLine="0"/>
              <w:rPr>
                <w:rFonts w:asciiTheme="minorHAnsi" w:hAnsiTheme="minorHAnsi" w:cstheme="minorHAnsi"/>
              </w:rPr>
            </w:pPr>
            <w:r w:rsidRPr="002D06BE">
              <w:rPr>
                <w:rFonts w:asciiTheme="minorHAnsi" w:hAnsiTheme="minorHAnsi" w:cstheme="minorHAnsi"/>
              </w:rPr>
              <w:t>Other</w:t>
            </w:r>
          </w:p>
        </w:tc>
        <w:tc>
          <w:tcPr>
            <w:tcW w:w="1169" w:type="dxa"/>
          </w:tcPr>
          <w:p w14:paraId="0DBFC6B8" w14:textId="2B5624C8" w:rsidR="00E03F6C" w:rsidRPr="002D06BE" w:rsidRDefault="00E03F6C"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w:t>
            </w:r>
          </w:p>
        </w:tc>
      </w:tr>
      <w:tr w:rsidR="00E03F6C" w14:paraId="1D238EC5" w14:textId="77777777" w:rsidTr="002124EE">
        <w:tc>
          <w:tcPr>
            <w:cnfStyle w:val="001000000000" w:firstRow="0" w:lastRow="0" w:firstColumn="1" w:lastColumn="0" w:oddVBand="0" w:evenVBand="0" w:oddHBand="0" w:evenHBand="0" w:firstRowFirstColumn="0" w:firstRowLastColumn="0" w:lastRowFirstColumn="0" w:lastRowLastColumn="0"/>
            <w:tcW w:w="8187" w:type="dxa"/>
          </w:tcPr>
          <w:p w14:paraId="0DBC8104" w14:textId="77777777" w:rsidR="00E03F6C" w:rsidRPr="002D06BE" w:rsidRDefault="00E03F6C" w:rsidP="003C7AF0">
            <w:pPr>
              <w:pStyle w:val="SRCQn"/>
              <w:keepNext/>
              <w:keepLines/>
              <w:ind w:left="0" w:right="-1078" w:firstLine="0"/>
              <w:rPr>
                <w:rFonts w:asciiTheme="minorHAnsi" w:hAnsiTheme="minorHAnsi" w:cstheme="minorHAnsi"/>
                <w:i/>
              </w:rPr>
            </w:pPr>
            <w:r w:rsidRPr="002D06BE">
              <w:rPr>
                <w:rFonts w:asciiTheme="minorHAnsi" w:hAnsiTheme="minorHAnsi" w:cstheme="minorHAnsi"/>
              </w:rPr>
              <w:t>Don’t know / Prefer not to say</w:t>
            </w:r>
          </w:p>
        </w:tc>
        <w:tc>
          <w:tcPr>
            <w:tcW w:w="1169" w:type="dxa"/>
          </w:tcPr>
          <w:p w14:paraId="13AE3492" w14:textId="58DF6665" w:rsidR="00E03F6C" w:rsidRPr="002D06BE" w:rsidRDefault="00F000D4" w:rsidP="003C7AF0">
            <w:pPr>
              <w:pStyle w:val="SRCQn"/>
              <w:keepNext/>
              <w:keepLines/>
              <w:ind w:left="0" w:right="-200"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w:t>
            </w:r>
            <w:r w:rsidR="00E03F6C" w:rsidRPr="002D06BE">
              <w:rPr>
                <w:rFonts w:asciiTheme="minorHAnsi" w:hAnsiTheme="minorHAnsi" w:cstheme="minorHAnsi"/>
              </w:rPr>
              <w:t>%</w:t>
            </w:r>
          </w:p>
        </w:tc>
      </w:tr>
    </w:tbl>
    <w:p w14:paraId="5B179AA2" w14:textId="77777777" w:rsidR="00410492" w:rsidRPr="00EF004E" w:rsidRDefault="00410492" w:rsidP="003C7AF0">
      <w:pPr>
        <w:pStyle w:val="SRCQn"/>
        <w:keepNext/>
        <w:keepLines/>
        <w:ind w:left="0" w:right="-1078" w:firstLine="0"/>
        <w:rPr>
          <w:rFonts w:asciiTheme="minorHAnsi" w:hAnsiTheme="minorHAnsi" w:cstheme="minorHAnsi"/>
          <w:i/>
        </w:rPr>
      </w:pPr>
      <w:r w:rsidRPr="00EF004E">
        <w:rPr>
          <w:rFonts w:asciiTheme="minorHAnsi" w:hAnsiTheme="minorHAnsi" w:cstheme="minorHAnsi"/>
          <w:i/>
        </w:rPr>
        <w:t xml:space="preserve">Note: Column sums to greater than 100 percent because respondents were asked to select all that apply. </w:t>
      </w:r>
    </w:p>
    <w:p w14:paraId="4D957D1A" w14:textId="086F2B9B" w:rsidR="00E03F6C" w:rsidRPr="003D28CA" w:rsidRDefault="008606D6" w:rsidP="00687E97">
      <w:pPr>
        <w:pStyle w:val="Heading4"/>
        <w:spacing w:before="360" w:after="360"/>
        <w:ind w:right="-1077"/>
        <w:rPr>
          <w:color w:val="auto"/>
          <w:u w:val="single" w:color="20B9A3" w:themeColor="accent1"/>
          <w:lang w:eastAsia="en-GB"/>
        </w:rPr>
      </w:pPr>
      <w:r w:rsidRPr="003D28CA">
        <w:rPr>
          <w:color w:val="auto"/>
          <w:u w:val="single" w:color="20B9A3" w:themeColor="accent1"/>
          <w:lang w:eastAsia="en-GB"/>
        </w:rPr>
        <w:t>Stigma and discrimination in the w</w:t>
      </w:r>
      <w:r w:rsidR="00E03F6C" w:rsidRPr="003D28CA">
        <w:rPr>
          <w:color w:val="auto"/>
          <w:u w:val="single" w:color="20B9A3" w:themeColor="accent1"/>
          <w:lang w:eastAsia="en-GB"/>
        </w:rPr>
        <w:t>orkplace</w:t>
      </w:r>
    </w:p>
    <w:p w14:paraId="75915CD0" w14:textId="4C13D97A" w:rsidR="00E03F6C" w:rsidRPr="00C124CC" w:rsidRDefault="00D75296" w:rsidP="00C124CC">
      <w:pPr>
        <w:ind w:right="-1078"/>
      </w:pPr>
      <w:r>
        <w:t>P</w:t>
      </w:r>
      <w:r w:rsidR="00E03F6C" w:rsidRPr="009040D6">
        <w:t xml:space="preserve">eople who reported unfair treatment in the workplace </w:t>
      </w:r>
      <w:r w:rsidR="00C63AC2">
        <w:t>we</w:t>
      </w:r>
      <w:r>
        <w:t>re also</w:t>
      </w:r>
      <w:r w:rsidR="00E03F6C" w:rsidRPr="009040D6">
        <w:t xml:space="preserve"> asked what happened. </w:t>
      </w:r>
      <w:r w:rsidR="00C63AC2">
        <w:t>Forty</w:t>
      </w:r>
      <w:r w:rsidR="00FD5B55">
        <w:t xml:space="preserve"> three</w:t>
      </w:r>
      <w:r w:rsidR="00E03F6C" w:rsidRPr="007F194A">
        <w:t xml:space="preserve"> percent reported </w:t>
      </w:r>
      <w:r w:rsidR="00E03F6C">
        <w:t>they were</w:t>
      </w:r>
      <w:r w:rsidR="00E03F6C" w:rsidRPr="007F194A">
        <w:t xml:space="preserve"> treated as if they were incompetent, 34 percent reported they had been denied opportunities and 17 percent that they had been fired or made redundant</w:t>
      </w:r>
      <w:r w:rsidR="00E03F6C">
        <w:t xml:space="preserve"> because of their </w:t>
      </w:r>
      <w:r w:rsidR="00FD5B55">
        <w:t>mental health problem</w:t>
      </w:r>
      <w:r w:rsidR="00E03F6C" w:rsidRPr="007F194A">
        <w:t>; 43 percent reported people in their workplace weren’t supportive of their needs and 22</w:t>
      </w:r>
      <w:r w:rsidR="00C63AC2">
        <w:t> </w:t>
      </w:r>
      <w:r w:rsidR="00E03F6C" w:rsidRPr="007F194A">
        <w:t>percent reported they were forced to change responsibilities. Similar to the other life domains, there were issues</w:t>
      </w:r>
      <w:r w:rsidR="00E03F6C">
        <w:t xml:space="preserve"> in how people experienced relationships with others,</w:t>
      </w:r>
      <w:r w:rsidR="00E03F6C" w:rsidRPr="007F194A">
        <w:t xml:space="preserve"> with 45 percent of people reporting others were dismissive of their problem and 32 percent reporting </w:t>
      </w:r>
      <w:r w:rsidR="00C124CC">
        <w:t xml:space="preserve">they were avoided or excluded. </w:t>
      </w:r>
    </w:p>
    <w:p w14:paraId="64A28315" w14:textId="394F170F" w:rsidR="00E03F6C" w:rsidRPr="008606D6" w:rsidRDefault="00E03F6C" w:rsidP="008606D6">
      <w:pPr>
        <w:ind w:right="-1078"/>
      </w:pPr>
      <w:r w:rsidRPr="00783C3B">
        <w:rPr>
          <w:b/>
        </w:rPr>
        <w:t xml:space="preserve">Table </w:t>
      </w:r>
      <w:r w:rsidR="00563D76" w:rsidRPr="00783C3B">
        <w:rPr>
          <w:b/>
        </w:rPr>
        <w:t>9</w:t>
      </w:r>
      <w:r w:rsidR="00563D76">
        <w:t xml:space="preserve">. </w:t>
      </w:r>
      <w:r w:rsidR="00C124CC">
        <w:t xml:space="preserve">Nature of </w:t>
      </w:r>
      <w:r w:rsidR="00377927">
        <w:t xml:space="preserve">reported </w:t>
      </w:r>
      <w:r w:rsidR="00C124CC">
        <w:t xml:space="preserve">unfair treatment </w:t>
      </w:r>
      <w:r w:rsidRPr="008606D6">
        <w:t xml:space="preserve">by people in </w:t>
      </w:r>
      <w:r w:rsidR="008606D6" w:rsidRPr="008606D6">
        <w:t>their</w:t>
      </w:r>
      <w:r w:rsidRPr="008606D6">
        <w:t xml:space="preserve"> workplace</w:t>
      </w:r>
    </w:p>
    <w:tbl>
      <w:tblPr>
        <w:tblStyle w:val="DefaultTable"/>
        <w:tblW w:w="9356" w:type="dxa"/>
        <w:tblLook w:val="04A0" w:firstRow="1" w:lastRow="0" w:firstColumn="1" w:lastColumn="0" w:noHBand="0" w:noVBand="1"/>
        <w:tblCaption w:val="Table 9. Nature of reported unfair treatment by people in their workplace"/>
        <w:tblDescription w:val="Table 9 depicts the nature of reported unfair treatment by people in their workplace. 45% of respondents felt people in their workplace were dismissive of the problem, 43% felt they were treated as if they were incompetent, and 43% felt people in their workplace were not supportive of their needs. 34% of respondents felt people in their workplace denied them opportunities, 32% felt they were avoided or excluded, and 22% felt the people in their workplace forced them to change responsibilities. 17% of respondents were fired of made redundant. 3% of respondents felt unfair treatment by people in their workplace in an 'other' manner not listed, and 3% were unsure how to categorise the treatment, or preferred not to say."/>
      </w:tblPr>
      <w:tblGrid>
        <w:gridCol w:w="7929"/>
        <w:gridCol w:w="1427"/>
      </w:tblGrid>
      <w:tr w:rsidR="00E03F6C" w14:paraId="7A77445A" w14:textId="77777777" w:rsidTr="003227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29" w:type="dxa"/>
          </w:tcPr>
          <w:p w14:paraId="498BAFA5" w14:textId="75D6BA5C" w:rsidR="00E03F6C" w:rsidRPr="002D06BE" w:rsidRDefault="008606D6" w:rsidP="00284288">
            <w:pPr>
              <w:pStyle w:val="SRCQn"/>
              <w:ind w:left="0" w:right="-1078" w:firstLine="0"/>
              <w:rPr>
                <w:rFonts w:asciiTheme="minorHAnsi" w:hAnsiTheme="minorHAnsi" w:cstheme="minorHAnsi"/>
                <w:sz w:val="20"/>
              </w:rPr>
            </w:pPr>
            <w:r w:rsidRPr="002D06BE">
              <w:rPr>
                <w:rFonts w:asciiTheme="minorHAnsi" w:hAnsiTheme="minorHAnsi" w:cstheme="minorHAnsi"/>
              </w:rPr>
              <w:t>Nature of unfair treatment</w:t>
            </w:r>
          </w:p>
        </w:tc>
        <w:tc>
          <w:tcPr>
            <w:tcW w:w="1427" w:type="dxa"/>
          </w:tcPr>
          <w:p w14:paraId="0EDE1FD1" w14:textId="7AF71079" w:rsidR="00E03F6C" w:rsidRPr="002D06BE" w:rsidRDefault="00322774" w:rsidP="00284288">
            <w:pPr>
              <w:pStyle w:val="SRCQn"/>
              <w:ind w:left="0" w:right="-1078"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Proportion</w:t>
            </w:r>
          </w:p>
        </w:tc>
      </w:tr>
      <w:tr w:rsidR="007B556F" w14:paraId="4ED70F04"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634929F0" w14:textId="2187C745" w:rsidR="007B556F" w:rsidRPr="002D06BE" w:rsidRDefault="007B556F" w:rsidP="007B556F">
            <w:pPr>
              <w:pStyle w:val="SRCQn"/>
              <w:ind w:left="0" w:right="-1078" w:firstLine="0"/>
              <w:rPr>
                <w:rFonts w:asciiTheme="minorHAnsi" w:hAnsiTheme="minorHAnsi" w:cstheme="minorHAnsi"/>
              </w:rPr>
            </w:pPr>
            <w:r w:rsidRPr="002D06BE">
              <w:rPr>
                <w:rFonts w:asciiTheme="minorHAnsi" w:hAnsiTheme="minorHAnsi" w:cstheme="minorHAnsi"/>
              </w:rPr>
              <w:t>They were dismissive of the problem</w:t>
            </w:r>
          </w:p>
        </w:tc>
        <w:tc>
          <w:tcPr>
            <w:tcW w:w="1427" w:type="dxa"/>
          </w:tcPr>
          <w:p w14:paraId="08DAD982" w14:textId="70F4771B" w:rsidR="007B556F" w:rsidRPr="002D06BE" w:rsidRDefault="007B556F" w:rsidP="007B556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45%</w:t>
            </w:r>
          </w:p>
        </w:tc>
      </w:tr>
      <w:tr w:rsidR="007B556F" w14:paraId="39AF7E84" w14:textId="77777777" w:rsidTr="007B556F">
        <w:tc>
          <w:tcPr>
            <w:cnfStyle w:val="001000000000" w:firstRow="0" w:lastRow="0" w:firstColumn="1" w:lastColumn="0" w:oddVBand="0" w:evenVBand="0" w:oddHBand="0" w:evenHBand="0" w:firstRowFirstColumn="0" w:firstRowLastColumn="0" w:lastRowFirstColumn="0" w:lastRowLastColumn="0"/>
            <w:tcW w:w="7929" w:type="dxa"/>
          </w:tcPr>
          <w:p w14:paraId="483C2E6C" w14:textId="05289FF8" w:rsidR="007B556F" w:rsidRPr="002D06BE" w:rsidRDefault="007B556F" w:rsidP="007B556F">
            <w:pPr>
              <w:pStyle w:val="SRCQn"/>
              <w:ind w:left="0" w:right="-1078" w:firstLine="0"/>
              <w:rPr>
                <w:rFonts w:asciiTheme="minorHAnsi" w:hAnsiTheme="minorHAnsi" w:cstheme="minorHAnsi"/>
              </w:rPr>
            </w:pPr>
            <w:r w:rsidRPr="002D06BE">
              <w:rPr>
                <w:rFonts w:asciiTheme="minorHAnsi" w:hAnsiTheme="minorHAnsi" w:cstheme="minorHAnsi"/>
              </w:rPr>
              <w:t>They treated me as if I was incompetent</w:t>
            </w:r>
          </w:p>
        </w:tc>
        <w:tc>
          <w:tcPr>
            <w:tcW w:w="1427" w:type="dxa"/>
          </w:tcPr>
          <w:p w14:paraId="47CDB542" w14:textId="72536A79" w:rsidR="007B556F" w:rsidRPr="002D06BE" w:rsidRDefault="007B556F" w:rsidP="007B556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43%</w:t>
            </w:r>
          </w:p>
        </w:tc>
      </w:tr>
      <w:tr w:rsidR="007B556F" w14:paraId="5A32448C" w14:textId="77777777" w:rsidTr="007B556F">
        <w:tc>
          <w:tcPr>
            <w:cnfStyle w:val="001000000000" w:firstRow="0" w:lastRow="0" w:firstColumn="1" w:lastColumn="0" w:oddVBand="0" w:evenVBand="0" w:oddHBand="0" w:evenHBand="0" w:firstRowFirstColumn="0" w:firstRowLastColumn="0" w:lastRowFirstColumn="0" w:lastRowLastColumn="0"/>
            <w:tcW w:w="7929" w:type="dxa"/>
          </w:tcPr>
          <w:p w14:paraId="175C4747" w14:textId="493C26A9" w:rsidR="007B556F" w:rsidRPr="002D06BE" w:rsidRDefault="007B556F" w:rsidP="007B556F">
            <w:pPr>
              <w:pStyle w:val="SRCQn"/>
              <w:ind w:left="0" w:right="-1078" w:firstLine="0"/>
              <w:rPr>
                <w:rFonts w:asciiTheme="minorHAnsi" w:hAnsiTheme="minorHAnsi" w:cstheme="minorHAnsi"/>
              </w:rPr>
            </w:pPr>
            <w:r w:rsidRPr="002D06BE">
              <w:rPr>
                <w:rFonts w:asciiTheme="minorHAnsi" w:hAnsiTheme="minorHAnsi" w:cstheme="minorHAnsi"/>
              </w:rPr>
              <w:t>They weren’t supportive of my needs</w:t>
            </w:r>
          </w:p>
        </w:tc>
        <w:tc>
          <w:tcPr>
            <w:tcW w:w="1427" w:type="dxa"/>
          </w:tcPr>
          <w:p w14:paraId="4A272138" w14:textId="45F453B5" w:rsidR="007B556F" w:rsidRPr="002D06BE" w:rsidRDefault="007B556F" w:rsidP="007B556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43%</w:t>
            </w:r>
          </w:p>
        </w:tc>
      </w:tr>
      <w:tr w:rsidR="002C1614" w14:paraId="69B4A99D"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670DA115" w14:textId="5C2702CC" w:rsidR="002C1614" w:rsidRPr="002D06BE" w:rsidRDefault="002C1614" w:rsidP="002C1614">
            <w:pPr>
              <w:pStyle w:val="SRCQn"/>
              <w:ind w:left="0" w:right="-1078" w:firstLine="0"/>
              <w:rPr>
                <w:rFonts w:asciiTheme="minorHAnsi" w:hAnsiTheme="minorHAnsi" w:cstheme="minorHAnsi"/>
              </w:rPr>
            </w:pPr>
            <w:r w:rsidRPr="002D06BE">
              <w:rPr>
                <w:rFonts w:asciiTheme="minorHAnsi" w:hAnsiTheme="minorHAnsi" w:cstheme="minorHAnsi"/>
              </w:rPr>
              <w:t>I was denied opportunities</w:t>
            </w:r>
          </w:p>
        </w:tc>
        <w:tc>
          <w:tcPr>
            <w:tcW w:w="1427" w:type="dxa"/>
          </w:tcPr>
          <w:p w14:paraId="10E9858A" w14:textId="32720B44" w:rsidR="002C1614" w:rsidRPr="002D06BE" w:rsidRDefault="002C1614" w:rsidP="002C1614">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34%</w:t>
            </w:r>
          </w:p>
        </w:tc>
      </w:tr>
      <w:tr w:rsidR="007B556F" w14:paraId="6175EF45"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001335BF" w14:textId="6D8A4D3A" w:rsidR="007B556F" w:rsidRPr="002D06BE" w:rsidRDefault="007B556F" w:rsidP="007B556F">
            <w:pPr>
              <w:pStyle w:val="SRCQn"/>
              <w:ind w:left="0" w:right="-1078" w:firstLine="0"/>
              <w:rPr>
                <w:rFonts w:asciiTheme="minorHAnsi" w:hAnsiTheme="minorHAnsi" w:cstheme="minorHAnsi"/>
              </w:rPr>
            </w:pPr>
            <w:r w:rsidRPr="002D06BE">
              <w:rPr>
                <w:rFonts w:asciiTheme="minorHAnsi" w:hAnsiTheme="minorHAnsi" w:cstheme="minorHAnsi"/>
              </w:rPr>
              <w:t>They avoided or excluded me</w:t>
            </w:r>
          </w:p>
        </w:tc>
        <w:tc>
          <w:tcPr>
            <w:tcW w:w="1427" w:type="dxa"/>
          </w:tcPr>
          <w:p w14:paraId="7C0185C6" w14:textId="6DC1A52D" w:rsidR="007B556F" w:rsidRPr="002D06BE" w:rsidRDefault="007B556F" w:rsidP="007B556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32%</w:t>
            </w:r>
          </w:p>
        </w:tc>
      </w:tr>
      <w:tr w:rsidR="002C1614" w14:paraId="476F41F7"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1C4A6DDD" w14:textId="38F63D55" w:rsidR="002C1614" w:rsidRPr="002D06BE" w:rsidRDefault="002C1614" w:rsidP="002C1614">
            <w:pPr>
              <w:pStyle w:val="SRCQn"/>
              <w:ind w:left="0" w:right="-1078" w:firstLine="0"/>
              <w:rPr>
                <w:rFonts w:asciiTheme="minorHAnsi" w:hAnsiTheme="minorHAnsi" w:cstheme="minorHAnsi"/>
              </w:rPr>
            </w:pPr>
            <w:r w:rsidRPr="002D06BE">
              <w:rPr>
                <w:rFonts w:asciiTheme="minorHAnsi" w:hAnsiTheme="minorHAnsi" w:cstheme="minorHAnsi"/>
              </w:rPr>
              <w:t>I was forced to change responsibilities</w:t>
            </w:r>
          </w:p>
        </w:tc>
        <w:tc>
          <w:tcPr>
            <w:tcW w:w="1427" w:type="dxa"/>
          </w:tcPr>
          <w:p w14:paraId="6E658369" w14:textId="599BB47A" w:rsidR="002C1614" w:rsidRPr="002D06BE" w:rsidRDefault="002C1614" w:rsidP="002C1614">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22%</w:t>
            </w:r>
          </w:p>
        </w:tc>
      </w:tr>
      <w:tr w:rsidR="007B556F" w14:paraId="2AB576A3"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732A84B3" w14:textId="3E125CFC" w:rsidR="007B556F" w:rsidRPr="002D06BE" w:rsidRDefault="007B556F" w:rsidP="007B556F">
            <w:pPr>
              <w:pStyle w:val="SRCQn"/>
              <w:ind w:left="0" w:right="-1078" w:firstLine="0"/>
              <w:rPr>
                <w:rFonts w:asciiTheme="minorHAnsi" w:hAnsiTheme="minorHAnsi" w:cstheme="minorHAnsi"/>
              </w:rPr>
            </w:pPr>
            <w:r w:rsidRPr="002D06BE">
              <w:rPr>
                <w:rFonts w:asciiTheme="minorHAnsi" w:hAnsiTheme="minorHAnsi" w:cstheme="minorHAnsi"/>
              </w:rPr>
              <w:t>I was fired or made redundant</w:t>
            </w:r>
          </w:p>
        </w:tc>
        <w:tc>
          <w:tcPr>
            <w:tcW w:w="1427" w:type="dxa"/>
          </w:tcPr>
          <w:p w14:paraId="4131B339" w14:textId="6DEC4F17" w:rsidR="007B556F" w:rsidRPr="002D06BE" w:rsidRDefault="007B556F" w:rsidP="007B556F">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17%</w:t>
            </w:r>
          </w:p>
        </w:tc>
      </w:tr>
      <w:tr w:rsidR="00E03F6C" w14:paraId="56A75FC7"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2932F29C" w14:textId="77777777" w:rsidR="00E03F6C" w:rsidRPr="002D06BE" w:rsidRDefault="00E03F6C" w:rsidP="00284288">
            <w:pPr>
              <w:pStyle w:val="SRCQn"/>
              <w:ind w:left="0" w:right="-1078" w:firstLine="0"/>
              <w:rPr>
                <w:rFonts w:asciiTheme="minorHAnsi" w:hAnsiTheme="minorHAnsi" w:cstheme="minorHAnsi"/>
              </w:rPr>
            </w:pPr>
            <w:r w:rsidRPr="002D06BE">
              <w:rPr>
                <w:rFonts w:asciiTheme="minorHAnsi" w:hAnsiTheme="minorHAnsi" w:cstheme="minorHAnsi"/>
              </w:rPr>
              <w:t>Other</w:t>
            </w:r>
          </w:p>
        </w:tc>
        <w:tc>
          <w:tcPr>
            <w:tcW w:w="1427" w:type="dxa"/>
          </w:tcPr>
          <w:p w14:paraId="229203C5" w14:textId="494C71E7" w:rsidR="00E03F6C" w:rsidRPr="002D06BE" w:rsidRDefault="00410492" w:rsidP="00284288">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r w:rsidR="00E03F6C" w:rsidRPr="002D06BE">
              <w:rPr>
                <w:rFonts w:asciiTheme="minorHAnsi" w:hAnsiTheme="minorHAnsi" w:cstheme="minorHAnsi"/>
              </w:rPr>
              <w:t>%</w:t>
            </w:r>
          </w:p>
        </w:tc>
      </w:tr>
      <w:tr w:rsidR="00E03F6C" w14:paraId="6FA52E78" w14:textId="77777777" w:rsidTr="00783C3B">
        <w:tc>
          <w:tcPr>
            <w:cnfStyle w:val="001000000000" w:firstRow="0" w:lastRow="0" w:firstColumn="1" w:lastColumn="0" w:oddVBand="0" w:evenVBand="0" w:oddHBand="0" w:evenHBand="0" w:firstRowFirstColumn="0" w:firstRowLastColumn="0" w:lastRowFirstColumn="0" w:lastRowLastColumn="0"/>
            <w:tcW w:w="7929" w:type="dxa"/>
          </w:tcPr>
          <w:p w14:paraId="6E122C82" w14:textId="77777777" w:rsidR="00E03F6C" w:rsidRPr="002D06BE" w:rsidRDefault="00E03F6C" w:rsidP="00284288">
            <w:pPr>
              <w:pStyle w:val="SRCQn"/>
              <w:ind w:left="0" w:right="-1078" w:firstLine="0"/>
              <w:rPr>
                <w:rFonts w:asciiTheme="minorHAnsi" w:hAnsiTheme="minorHAnsi" w:cstheme="minorHAnsi"/>
                <w:i/>
              </w:rPr>
            </w:pPr>
            <w:r w:rsidRPr="002D06BE">
              <w:rPr>
                <w:rFonts w:asciiTheme="minorHAnsi" w:hAnsiTheme="minorHAnsi" w:cstheme="minorHAnsi"/>
              </w:rPr>
              <w:t>Don’t know / Prefer not to say</w:t>
            </w:r>
          </w:p>
        </w:tc>
        <w:tc>
          <w:tcPr>
            <w:tcW w:w="1427" w:type="dxa"/>
          </w:tcPr>
          <w:p w14:paraId="4A42618D" w14:textId="55A73A2C" w:rsidR="00E03F6C" w:rsidRPr="002D06BE" w:rsidRDefault="00410492" w:rsidP="00284288">
            <w:pPr>
              <w:pStyle w:val="SRCQn"/>
              <w:ind w:left="0" w:right="-1078"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6BE">
              <w:rPr>
                <w:rFonts w:asciiTheme="minorHAnsi" w:hAnsiTheme="minorHAnsi" w:cstheme="minorHAnsi"/>
              </w:rPr>
              <w:t>3</w:t>
            </w:r>
            <w:r w:rsidR="00E03F6C" w:rsidRPr="002D06BE">
              <w:rPr>
                <w:rFonts w:asciiTheme="minorHAnsi" w:hAnsiTheme="minorHAnsi" w:cstheme="minorHAnsi"/>
              </w:rPr>
              <w:t>%</w:t>
            </w:r>
          </w:p>
        </w:tc>
      </w:tr>
    </w:tbl>
    <w:p w14:paraId="73160BD1" w14:textId="2EC944A1" w:rsidR="00410492" w:rsidRPr="003C7AF0" w:rsidRDefault="00410492" w:rsidP="003C7AF0">
      <w:pPr>
        <w:pStyle w:val="SRCQn"/>
        <w:ind w:left="0" w:right="-1078" w:firstLine="0"/>
        <w:rPr>
          <w:rFonts w:asciiTheme="minorHAnsi" w:hAnsiTheme="minorHAnsi" w:cstheme="minorHAnsi"/>
          <w:i/>
        </w:rPr>
      </w:pPr>
      <w:r w:rsidRPr="003C7AF0">
        <w:rPr>
          <w:rFonts w:asciiTheme="minorHAnsi" w:hAnsiTheme="minorHAnsi" w:cstheme="minorHAnsi"/>
          <w:i/>
        </w:rPr>
        <w:t xml:space="preserve">Note: Column sums to greater than 100 percent because respondents were asked to select all that apply. </w:t>
      </w:r>
    </w:p>
    <w:p w14:paraId="59C552FB" w14:textId="77777777" w:rsidR="00687E97" w:rsidRDefault="00687E97">
      <w:pPr>
        <w:spacing w:after="0" w:line="240" w:lineRule="auto"/>
        <w:rPr>
          <w:b/>
          <w:i/>
        </w:rPr>
      </w:pPr>
      <w:r>
        <w:rPr>
          <w:b/>
          <w:i/>
        </w:rPr>
        <w:br w:type="page"/>
      </w:r>
    </w:p>
    <w:p w14:paraId="3DF6E34A" w14:textId="079AD40B" w:rsidR="00E1743C" w:rsidRPr="004F7DF6" w:rsidRDefault="00E1743C" w:rsidP="00E1743C">
      <w:pPr>
        <w:pBdr>
          <w:top w:val="single" w:sz="24" w:space="1" w:color="20B9A3" w:themeColor="accent1"/>
          <w:bottom w:val="single" w:sz="24" w:space="1" w:color="20B9A3" w:themeColor="accent1"/>
        </w:pBdr>
        <w:spacing w:after="0"/>
        <w:ind w:right="-1077"/>
        <w:rPr>
          <w:b/>
          <w:i/>
        </w:rPr>
      </w:pPr>
      <w:r w:rsidRPr="004F7DF6">
        <w:rPr>
          <w:b/>
          <w:i/>
        </w:rPr>
        <w:t>Respondents</w:t>
      </w:r>
    </w:p>
    <w:p w14:paraId="437A5B0F" w14:textId="33A3CAD8" w:rsidR="00E1743C" w:rsidRPr="004F7DF6" w:rsidRDefault="00E1743C" w:rsidP="00E1743C">
      <w:pPr>
        <w:pBdr>
          <w:top w:val="single" w:sz="24" w:space="1" w:color="20B9A3" w:themeColor="accent1"/>
          <w:bottom w:val="single" w:sz="24" w:space="1" w:color="20B9A3" w:themeColor="accent1"/>
        </w:pBdr>
        <w:spacing w:after="0"/>
        <w:ind w:right="-1077"/>
        <w:rPr>
          <w:i/>
        </w:rPr>
      </w:pPr>
      <w:r w:rsidRPr="004F7DF6">
        <w:rPr>
          <w:i/>
        </w:rPr>
        <w:t>People who have done paid or voluntary work in the last 12 months</w:t>
      </w:r>
    </w:p>
    <w:p w14:paraId="48042BBC" w14:textId="4684A753" w:rsidR="00E1743C" w:rsidRPr="004F7DF6" w:rsidRDefault="00E1743C" w:rsidP="00E1743C">
      <w:pPr>
        <w:pBdr>
          <w:top w:val="single" w:sz="24" w:space="1" w:color="20B9A3" w:themeColor="accent1"/>
          <w:bottom w:val="single" w:sz="24" w:space="1" w:color="20B9A3" w:themeColor="accent1"/>
        </w:pBdr>
        <w:spacing w:after="0"/>
        <w:ind w:right="-1077"/>
        <w:jc w:val="right"/>
        <w:rPr>
          <w:b/>
          <w:i/>
        </w:rPr>
      </w:pPr>
      <w:r w:rsidRPr="004F7DF6">
        <w:rPr>
          <w:b/>
          <w:i/>
        </w:rPr>
        <w:t>51% of total sample</w:t>
      </w:r>
    </w:p>
    <w:p w14:paraId="242D4C16" w14:textId="2FDEC610" w:rsidR="00A60E29" w:rsidRDefault="00E4765C" w:rsidP="00687E97">
      <w:pPr>
        <w:spacing w:before="240"/>
        <w:ind w:right="-1078"/>
      </w:pPr>
      <w:r>
        <w:t>W</w:t>
      </w:r>
      <w:r w:rsidR="00876F12">
        <w:t>e separated working</w:t>
      </w:r>
      <w:r w:rsidR="00E03F6C">
        <w:t xml:space="preserve"> respondents into two groups: those who held a managerial or supervisory role and those who did not. To each of these groups we posed a series of statements and asked the extent to which they agree or disagree with them. </w:t>
      </w:r>
    </w:p>
    <w:p w14:paraId="674179B3" w14:textId="4C02D835" w:rsidR="00E03F6C" w:rsidRPr="003C7AF0" w:rsidRDefault="00E03F6C" w:rsidP="003C7AF0">
      <w:pPr>
        <w:ind w:right="-1078"/>
      </w:pPr>
      <w:r>
        <w:t xml:space="preserve">We found 50 percent of managers agreed with the statement </w:t>
      </w:r>
      <w:r w:rsidR="005363F1">
        <w:t>‘</w:t>
      </w:r>
      <w:r>
        <w:t>P</w:t>
      </w:r>
      <w:r w:rsidRPr="00C33348">
        <w:t>otential employees should disclose</w:t>
      </w:r>
      <w:r w:rsidRPr="007F194A">
        <w:t xml:space="preserve"> mental health problems prior to recruitment</w:t>
      </w:r>
      <w:r w:rsidR="005363F1">
        <w:t>’</w:t>
      </w:r>
      <w:r>
        <w:t xml:space="preserve"> and that 43 percent of managers felt organisation</w:t>
      </w:r>
      <w:r w:rsidR="00FD5B55">
        <w:t>s</w:t>
      </w:r>
      <w:r>
        <w:t xml:space="preserve"> </w:t>
      </w:r>
      <w:r w:rsidRPr="007F194A">
        <w:t xml:space="preserve">take a </w:t>
      </w:r>
      <w:r w:rsidRPr="00C33348">
        <w:t>significant risk when employing people with mental health problems</w:t>
      </w:r>
      <w:r w:rsidRPr="007F194A">
        <w:t xml:space="preserve"> in a public or client-facing role</w:t>
      </w:r>
      <w:r>
        <w:t xml:space="preserve">. Seventeen percent of managers said </w:t>
      </w:r>
      <w:r w:rsidRPr="0090628A">
        <w:t>they would not want to employ or supervise someone who had been treated for a mental health problem</w:t>
      </w:r>
      <w:r>
        <w:t>.</w:t>
      </w:r>
    </w:p>
    <w:p w14:paraId="55E6A876" w14:textId="057F9ECF" w:rsidR="00E03F6C" w:rsidRDefault="00E03F6C" w:rsidP="00284288">
      <w:pPr>
        <w:ind w:right="-1078"/>
      </w:pPr>
      <w:r>
        <w:t xml:space="preserve">Similarly, 17 percent of non-managerial workers said </w:t>
      </w:r>
      <w:r w:rsidRPr="00BA3676">
        <w:t>they would not want to be supervised by someone</w:t>
      </w:r>
      <w:r w:rsidRPr="007F194A">
        <w:t xml:space="preserve"> who had been treated for a mental health problem</w:t>
      </w:r>
      <w:r>
        <w:t xml:space="preserve">. Fourteen percent felt that </w:t>
      </w:r>
      <w:r w:rsidR="005363F1">
        <w:t>‘</w:t>
      </w:r>
      <w:r>
        <w:t>you can’t rely on an employee with a mental health problem</w:t>
      </w:r>
      <w:r w:rsidR="005363F1">
        <w:t>’</w:t>
      </w:r>
      <w:r>
        <w:t>.</w:t>
      </w:r>
    </w:p>
    <w:p w14:paraId="0CD987F1" w14:textId="78AF56A0" w:rsidR="00E03F6C" w:rsidRPr="007F194A" w:rsidRDefault="00E03F6C" w:rsidP="00284288">
      <w:pPr>
        <w:ind w:right="-1078"/>
      </w:pPr>
      <w:r w:rsidRPr="00BD6F69">
        <w:t xml:space="preserve">There </w:t>
      </w:r>
      <w:r w:rsidR="00D75296">
        <w:t>was</w:t>
      </w:r>
      <w:r w:rsidR="00D75296" w:rsidRPr="00BD6F69">
        <w:t xml:space="preserve"> </w:t>
      </w:r>
      <w:r w:rsidRPr="00BD6F69">
        <w:t xml:space="preserve">also </w:t>
      </w:r>
      <w:r w:rsidR="002C1614">
        <w:t>strong support</w:t>
      </w:r>
      <w:r w:rsidRPr="00BD6F69">
        <w:t xml:space="preserve"> for assistance with 84 percent</w:t>
      </w:r>
      <w:r w:rsidRPr="00BD6F69" w:rsidDel="00D76BD1">
        <w:t xml:space="preserve"> </w:t>
      </w:r>
      <w:r w:rsidRPr="00BD6F69">
        <w:t>of managers agreeing Australian workplaces need more support to improve the way workplaces deal with mental health problems and 73</w:t>
      </w:r>
      <w:r w:rsidR="00954DE7">
        <w:t> </w:t>
      </w:r>
      <w:r w:rsidRPr="00BD6F69">
        <w:t>percent</w:t>
      </w:r>
      <w:r w:rsidRPr="00BD6F69" w:rsidDel="00D76BD1">
        <w:t xml:space="preserve"> </w:t>
      </w:r>
      <w:r w:rsidRPr="00BD6F69">
        <w:t>of employees reporting workplaces lose talent due to a lack of understanding of how to address mental health in the workplace</w:t>
      </w:r>
      <w:r>
        <w:t xml:space="preserve">. </w:t>
      </w:r>
    </w:p>
    <w:p w14:paraId="7F76290F" w14:textId="13AC3CEE" w:rsidR="00F663D9" w:rsidRDefault="00EF004E" w:rsidP="00687E97">
      <w:pPr>
        <w:ind w:right="-1078"/>
      </w:pPr>
      <w:r>
        <w:t>We</w:t>
      </w:r>
      <w:r w:rsidR="00E03F6C">
        <w:t xml:space="preserve"> compare</w:t>
      </w:r>
      <w:r w:rsidR="003A7441">
        <w:t>d</w:t>
      </w:r>
      <w:r w:rsidR="00E03F6C">
        <w:t xml:space="preserve"> responses across the different industries</w:t>
      </w:r>
      <w:r w:rsidR="003A7441">
        <w:t xml:space="preserve"> in which</w:t>
      </w:r>
      <w:r w:rsidR="00E03F6C">
        <w:t xml:space="preserve"> </w:t>
      </w:r>
      <w:r w:rsidR="00FD5B55">
        <w:t>respondents</w:t>
      </w:r>
      <w:r w:rsidR="00E03F6C">
        <w:t xml:space="preserve"> were </w:t>
      </w:r>
      <w:r w:rsidR="003A7441">
        <w:t>employed</w:t>
      </w:r>
      <w:r w:rsidR="00E03F6C">
        <w:t xml:space="preserve"> </w:t>
      </w:r>
      <w:r w:rsidR="003A7441">
        <w:t xml:space="preserve">and </w:t>
      </w:r>
      <w:r w:rsidR="00393057">
        <w:t xml:space="preserve">did </w:t>
      </w:r>
      <w:r w:rsidR="00E03F6C">
        <w:t xml:space="preserve">not observe any clear differences </w:t>
      </w:r>
      <w:r w:rsidR="00FD5B55">
        <w:t>in</w:t>
      </w:r>
      <w:r w:rsidR="00E03F6C">
        <w:t xml:space="preserve"> stigma </w:t>
      </w:r>
      <w:r w:rsidR="00FD5B55">
        <w:t xml:space="preserve">and </w:t>
      </w:r>
      <w:r w:rsidR="00E03F6C">
        <w:t xml:space="preserve">discrimination </w:t>
      </w:r>
      <w:r w:rsidR="00FD5B55">
        <w:t>between</w:t>
      </w:r>
      <w:r w:rsidR="001254B1">
        <w:t xml:space="preserve"> </w:t>
      </w:r>
      <w:r w:rsidR="003A7441">
        <w:t>them</w:t>
      </w:r>
      <w:r w:rsidR="00E03F6C">
        <w:t xml:space="preserve">. </w:t>
      </w:r>
    </w:p>
    <w:p w14:paraId="19A1F197" w14:textId="77777777" w:rsidR="00F663D9" w:rsidRDefault="00F663D9">
      <w:pPr>
        <w:spacing w:after="0" w:line="240" w:lineRule="auto"/>
        <w:rPr>
          <w:lang w:eastAsia="en-GB"/>
        </w:rPr>
      </w:pPr>
      <w:r>
        <w:rPr>
          <w:lang w:eastAsia="en-GB"/>
        </w:rPr>
        <w:br w:type="page"/>
      </w:r>
    </w:p>
    <w:p w14:paraId="2D689C34" w14:textId="6CC6F4E3" w:rsidR="00EF004E" w:rsidRPr="003D28CA" w:rsidRDefault="002A275D" w:rsidP="00A95ECC">
      <w:pPr>
        <w:pStyle w:val="Heading3"/>
        <w:spacing w:after="360"/>
        <w:ind w:right="-1077"/>
        <w:rPr>
          <w:color w:val="auto"/>
          <w:sz w:val="28"/>
          <w:u w:val="single" w:color="20B9A3" w:themeColor="accent1"/>
        </w:rPr>
      </w:pPr>
      <w:bookmarkStart w:id="2" w:name="_Toc98755905"/>
      <w:r w:rsidRPr="003D28CA">
        <w:rPr>
          <w:color w:val="auto"/>
          <w:sz w:val="28"/>
          <w:u w:val="single" w:color="20B9A3" w:themeColor="accent1"/>
        </w:rPr>
        <w:lastRenderedPageBreak/>
        <w:t>Self-</w:t>
      </w:r>
      <w:r w:rsidR="00E03F6C" w:rsidRPr="003D28CA">
        <w:rPr>
          <w:color w:val="auto"/>
          <w:sz w:val="28"/>
          <w:u w:val="single" w:color="20B9A3" w:themeColor="accent1"/>
        </w:rPr>
        <w:t>stigma</w:t>
      </w:r>
      <w:bookmarkEnd w:id="2"/>
      <w:r w:rsidRPr="003D28CA">
        <w:rPr>
          <w:color w:val="auto"/>
          <w:sz w:val="28"/>
          <w:u w:val="single" w:color="20B9A3" w:themeColor="accent1"/>
        </w:rPr>
        <w:t xml:space="preserve"> and anticipation of discrimination </w:t>
      </w:r>
    </w:p>
    <w:p w14:paraId="29AA46F0" w14:textId="2C50E6F4" w:rsidR="00562980" w:rsidRPr="003D28CA" w:rsidRDefault="00562980" w:rsidP="00783C3B">
      <w:pPr>
        <w:pStyle w:val="Heading4"/>
        <w:spacing w:after="360"/>
        <w:ind w:right="-1077"/>
        <w:rPr>
          <w:color w:val="auto"/>
          <w:u w:val="single" w:color="20B9A3" w:themeColor="accent1"/>
          <w:lang w:eastAsia="en-GB"/>
        </w:rPr>
      </w:pPr>
      <w:r w:rsidRPr="003D28CA">
        <w:rPr>
          <w:color w:val="auto"/>
          <w:u w:val="single" w:color="20B9A3" w:themeColor="accent1"/>
          <w:lang w:eastAsia="en-GB"/>
        </w:rPr>
        <w:t>Self-stigma</w:t>
      </w:r>
    </w:p>
    <w:p w14:paraId="327A7168" w14:textId="512C88C3" w:rsidR="002B156C" w:rsidRDefault="00E03F6C" w:rsidP="00687E97">
      <w:pPr>
        <w:spacing w:after="360"/>
        <w:ind w:right="-1077"/>
      </w:pPr>
      <w:r w:rsidRPr="007F194A">
        <w:t xml:space="preserve">To measure self-stigma, the survey asked </w:t>
      </w:r>
      <w:r w:rsidR="00C008BD">
        <w:t>respondents</w:t>
      </w:r>
      <w:r>
        <w:t xml:space="preserve"> who had </w:t>
      </w:r>
      <w:r w:rsidR="00214FD3">
        <w:t>recent</w:t>
      </w:r>
      <w:r w:rsidR="00612DAA">
        <w:t xml:space="preserve"> </w:t>
      </w:r>
      <w:r w:rsidR="006071F9">
        <w:t>personal lived experience</w:t>
      </w:r>
      <w:r w:rsidR="006071F9" w:rsidRPr="007F194A">
        <w:t xml:space="preserve"> </w:t>
      </w:r>
      <w:r w:rsidRPr="007F194A">
        <w:t>to rate their agreement with a series of statements</w:t>
      </w:r>
      <w:r w:rsidR="00713B56">
        <w:t xml:space="preserve"> (as shown in Figure 12)</w:t>
      </w:r>
      <w:r w:rsidRPr="007F194A">
        <w:t xml:space="preserve">. </w:t>
      </w:r>
    </w:p>
    <w:p w14:paraId="43A43300" w14:textId="77777777" w:rsidR="002B156C" w:rsidRPr="004F7DF6" w:rsidRDefault="002B156C" w:rsidP="002B156C">
      <w:pPr>
        <w:pBdr>
          <w:top w:val="single" w:sz="24" w:space="1" w:color="20B9A3" w:themeColor="accent1"/>
          <w:bottom w:val="single" w:sz="24" w:space="1" w:color="20B9A3" w:themeColor="accent1"/>
        </w:pBdr>
        <w:spacing w:after="0"/>
        <w:ind w:right="-1077"/>
        <w:rPr>
          <w:b/>
          <w:i/>
        </w:rPr>
      </w:pPr>
      <w:r w:rsidRPr="004F7DF6">
        <w:rPr>
          <w:b/>
          <w:i/>
        </w:rPr>
        <w:t>Respondents</w:t>
      </w:r>
    </w:p>
    <w:p w14:paraId="0D456FFA" w14:textId="286F2EED" w:rsidR="002B156C" w:rsidRPr="004F7DF6" w:rsidRDefault="002B156C" w:rsidP="002B156C">
      <w:pPr>
        <w:pBdr>
          <w:top w:val="single" w:sz="24" w:space="1" w:color="20B9A3" w:themeColor="accent1"/>
          <w:bottom w:val="single" w:sz="24" w:space="1" w:color="20B9A3" w:themeColor="accent1"/>
        </w:pBdr>
        <w:spacing w:after="0"/>
        <w:ind w:right="-1077"/>
        <w:rPr>
          <w:i/>
        </w:rPr>
      </w:pPr>
      <w:r w:rsidRPr="004F7DF6">
        <w:rPr>
          <w:i/>
        </w:rPr>
        <w:t>Participants with recent personal lived experience</w:t>
      </w:r>
    </w:p>
    <w:p w14:paraId="3BE58FA7" w14:textId="29C958F8" w:rsidR="002B156C" w:rsidRPr="004F7DF6" w:rsidRDefault="002B156C" w:rsidP="002B156C">
      <w:pPr>
        <w:pBdr>
          <w:top w:val="single" w:sz="24" w:space="1" w:color="20B9A3" w:themeColor="accent1"/>
          <w:bottom w:val="single" w:sz="24" w:space="1" w:color="20B9A3" w:themeColor="accent1"/>
        </w:pBdr>
        <w:spacing w:after="0"/>
        <w:ind w:right="-1077"/>
        <w:jc w:val="right"/>
        <w:rPr>
          <w:b/>
          <w:i/>
        </w:rPr>
      </w:pPr>
      <w:r w:rsidRPr="004F7DF6">
        <w:rPr>
          <w:b/>
          <w:i/>
        </w:rPr>
        <w:t>36% of total sample</w:t>
      </w:r>
    </w:p>
    <w:p w14:paraId="1C14D2DC" w14:textId="5F888C4A" w:rsidR="00E03F6C" w:rsidRPr="00772AB6" w:rsidRDefault="00E03F6C" w:rsidP="00687E97">
      <w:pPr>
        <w:spacing w:before="240"/>
        <w:ind w:right="-1078"/>
      </w:pPr>
      <w:r w:rsidRPr="007F194A">
        <w:t xml:space="preserve">Around half of the respondents endorsed </w:t>
      </w:r>
      <w:r w:rsidR="00713B56">
        <w:t>these</w:t>
      </w:r>
      <w:r w:rsidRPr="007F194A">
        <w:t xml:space="preserve"> statements. </w:t>
      </w:r>
      <w:r w:rsidR="00CB05ED">
        <w:t xml:space="preserve">For example, </w:t>
      </w:r>
      <w:r w:rsidRPr="007F194A">
        <w:t>58 percent agreed with the statement ‘I should b</w:t>
      </w:r>
      <w:r w:rsidR="00CB05ED">
        <w:t>e able to pull myself together’</w:t>
      </w:r>
      <w:r w:rsidRPr="007F194A">
        <w:t>.</w:t>
      </w:r>
    </w:p>
    <w:p w14:paraId="65E9F685" w14:textId="3734F612" w:rsidR="00E03F6C" w:rsidRDefault="00602B69" w:rsidP="000F33C5">
      <w:pPr>
        <w:ind w:right="-1078"/>
      </w:pPr>
      <w:r w:rsidRPr="00783C3B">
        <w:rPr>
          <w:b/>
        </w:rPr>
        <w:t>Figure 12</w:t>
      </w:r>
      <w:r>
        <w:t xml:space="preserve">. </w:t>
      </w:r>
      <w:r w:rsidR="00C124CC">
        <w:t xml:space="preserve">Proportion of people with </w:t>
      </w:r>
      <w:r w:rsidR="00214FD3">
        <w:t>recent</w:t>
      </w:r>
      <w:r w:rsidR="00C124CC">
        <w:t xml:space="preserve"> </w:t>
      </w:r>
      <w:r w:rsidR="006071F9">
        <w:t xml:space="preserve">personal lived experience </w:t>
      </w:r>
      <w:r w:rsidR="00C124CC">
        <w:t xml:space="preserve">agreeing with </w:t>
      </w:r>
      <w:r w:rsidR="00E03F6C" w:rsidRPr="000F33C5">
        <w:t>self-stigma statement</w:t>
      </w:r>
      <w:r w:rsidR="00842C2A" w:rsidRPr="000F33C5">
        <w:t>s</w:t>
      </w:r>
      <w:r w:rsidR="006071F9">
        <w:rPr>
          <w:noProof/>
        </w:rPr>
        <w:t>.</w:t>
      </w:r>
    </w:p>
    <w:p w14:paraId="69288F28" w14:textId="044A3B9C" w:rsidR="00C124CC" w:rsidRPr="000F33C5" w:rsidRDefault="00DB1C24" w:rsidP="000F33C5">
      <w:pPr>
        <w:ind w:right="-1078"/>
      </w:pPr>
      <w:r>
        <w:rPr>
          <w:noProof/>
        </w:rPr>
        <w:drawing>
          <wp:inline distT="0" distB="0" distL="0" distR="0" wp14:anchorId="3FF22ECB" wp14:editId="46A6B33F">
            <wp:extent cx="5930900" cy="2774950"/>
            <wp:effectExtent l="0" t="0" r="0" b="6350"/>
            <wp:docPr id="208" name="Chart 208" descr="Figure 12 is a graph depicting the proportion of people with recent personal lived experience agreeing with self-stigma statements. 49% of respondents agreed with the statement 'I feel embarrassed about feeling this way', where as 31% disagree, and 19% neither agree or disagree. 58% of respondents agreed with the statement 'I should be able to pull myself together', where as 18% disagree, and 24% neither agree or disagree. 33% of respondents agreed with the statement 'I feel embarrassed about seeking professional help', where as 49% disagree, and 18% neither agree or disagree. 59% of respondents agreed with the statement 'I avoid talking about my mental health problems', where as 24% disagree, and 17% neither agree or disagree. 55% of respondents agreed with the statement 'I avoid interacting with others', where as 26% disagree, and 19% neither agree or disagree. 49% of respondents agreed with the statement 'I feel like a burden to other people', where as 31% disagree, and 20% neither agree or disagree. " title="Figure 12. Proportion of people with recent personal lived experience agreeing with self-stigma statements.">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BA339C9" w14:textId="4C32716E" w:rsidR="00E03F6C" w:rsidRPr="009961D3" w:rsidRDefault="006A54A7" w:rsidP="00EF004E">
      <w:pPr>
        <w:ind w:right="-936"/>
      </w:pPr>
      <w:r>
        <w:br w:type="column"/>
      </w:r>
      <w:r w:rsidR="00612DAA">
        <w:lastRenderedPageBreak/>
        <w:t xml:space="preserve">The survey also asked </w:t>
      </w:r>
      <w:r w:rsidR="00C008BD">
        <w:t>respondents</w:t>
      </w:r>
      <w:r w:rsidR="00612DAA">
        <w:t xml:space="preserve"> </w:t>
      </w:r>
      <w:r w:rsidR="009961D3" w:rsidRPr="007F194A">
        <w:t xml:space="preserve">to rate their agreement with four positively-framed </w:t>
      </w:r>
      <w:r w:rsidR="00CB05ED">
        <w:t xml:space="preserve">or </w:t>
      </w:r>
      <w:r w:rsidR="00612DAA">
        <w:t>self-affirming sta</w:t>
      </w:r>
      <w:r w:rsidR="00CB05ED">
        <w:t>tements</w:t>
      </w:r>
      <w:r w:rsidR="00713B56">
        <w:t xml:space="preserve"> (as shown in Figure 13)</w:t>
      </w:r>
      <w:r w:rsidR="009961D3" w:rsidRPr="007F194A">
        <w:t>.</w:t>
      </w:r>
      <w:r w:rsidR="009961D3">
        <w:t xml:space="preserve"> </w:t>
      </w:r>
      <w:r w:rsidR="00612DAA">
        <w:t>Again, a</w:t>
      </w:r>
      <w:r w:rsidR="009961D3">
        <w:t xml:space="preserve">round half </w:t>
      </w:r>
      <w:r w:rsidR="00612DAA">
        <w:t xml:space="preserve">of the respondents </w:t>
      </w:r>
      <w:r w:rsidR="009961D3">
        <w:t>agreed with each of these statements. For example, 49 percent agreed with the statement ‘Having had mental health problems has made me a stronger person’.</w:t>
      </w:r>
    </w:p>
    <w:p w14:paraId="5EC20B5F" w14:textId="033D9F4A" w:rsidR="00C124CC" w:rsidRDefault="00602B69" w:rsidP="007037AD">
      <w:pPr>
        <w:keepNext/>
        <w:keepLines/>
        <w:ind w:right="-1077"/>
      </w:pPr>
      <w:r w:rsidRPr="00783C3B">
        <w:rPr>
          <w:b/>
        </w:rPr>
        <w:t>Figure 13</w:t>
      </w:r>
      <w:r>
        <w:t>.</w:t>
      </w:r>
      <w:r w:rsidR="00C124CC" w:rsidRPr="000F33C5">
        <w:t xml:space="preserve"> </w:t>
      </w:r>
      <w:r w:rsidR="00C124CC">
        <w:t xml:space="preserve">Proportion of people with </w:t>
      </w:r>
      <w:r w:rsidR="00214FD3">
        <w:t>recent</w:t>
      </w:r>
      <w:r w:rsidR="00C124CC">
        <w:t xml:space="preserve"> </w:t>
      </w:r>
      <w:r w:rsidR="006071F9">
        <w:t xml:space="preserve">personal lived experience </w:t>
      </w:r>
      <w:r w:rsidR="00C124CC">
        <w:t xml:space="preserve">agreeing with </w:t>
      </w:r>
      <w:r w:rsidR="009961D3">
        <w:t>each positive statement</w:t>
      </w:r>
      <w:r w:rsidR="006071F9">
        <w:t>.</w:t>
      </w:r>
    </w:p>
    <w:p w14:paraId="28750F1D" w14:textId="2618F099" w:rsidR="002053DC" w:rsidRDefault="002053DC" w:rsidP="007037AD">
      <w:pPr>
        <w:keepNext/>
        <w:keepLines/>
        <w:ind w:right="-1077"/>
      </w:pPr>
      <w:r>
        <w:rPr>
          <w:noProof/>
        </w:rPr>
        <w:drawing>
          <wp:inline distT="0" distB="0" distL="0" distR="0" wp14:anchorId="0D1A07A8" wp14:editId="317E010E">
            <wp:extent cx="5924550" cy="2825750"/>
            <wp:effectExtent l="0" t="0" r="0" b="0"/>
            <wp:docPr id="206" name="Chart 206" descr="Figure 13 is a table that depicts the proportion of people with recent personal lived experience agreeing with each positive statement. 48% of respondents agreed with the statement 'All in all, I am satisfied with my life', where as 31% disagree, and 20% neither agree or disagree. 49% of respondents agreed with the statement 'having had mental health problems has made me a stronger person', where as 24% disagree, and 27% neither agree or disagree. 60% of respondents agreed with the statement 'for the most part, I can live my life without mental health problems getting in the way', where as 22% disagree, and 18% neither agree or disagree. 44% of respondents agreed with the statement 'I feel I am living a fulfilling life', where as 35% disagree, and 21% neither agree or disagree. " title="Figure 13. Proportion of people with recent personal lived experience agreeing with each positive statement.">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2624357" w14:textId="6B544685" w:rsidR="007037AD" w:rsidRDefault="00CB05ED" w:rsidP="00783C3B">
      <w:pPr>
        <w:keepNext/>
        <w:keepLines/>
        <w:ind w:right="-1077"/>
      </w:pPr>
      <w:r w:rsidRPr="00CB05ED">
        <w:t xml:space="preserve">Self-stigma and its self-affirming counterpart </w:t>
      </w:r>
      <w:r w:rsidR="00F12CB5">
        <w:t>were found to be</w:t>
      </w:r>
      <w:r w:rsidR="00F12CB5" w:rsidRPr="00CB05ED">
        <w:t xml:space="preserve"> </w:t>
      </w:r>
      <w:r w:rsidRPr="00CB05ED">
        <w:t xml:space="preserve">associated with </w:t>
      </w:r>
      <w:r>
        <w:t>the way</w:t>
      </w:r>
      <w:r w:rsidRPr="00CB05ED">
        <w:t xml:space="preserve"> people </w:t>
      </w:r>
      <w:r w:rsidR="00851FDF">
        <w:t>have been</w:t>
      </w:r>
      <w:r w:rsidRPr="00CB05ED">
        <w:t xml:space="preserve"> treated. </w:t>
      </w:r>
    </w:p>
    <w:p w14:paraId="775BE801" w14:textId="68542FE6" w:rsidR="0016455E" w:rsidRDefault="0016455E" w:rsidP="0016455E">
      <w:pPr>
        <w:ind w:right="-1078"/>
      </w:pPr>
      <w:r>
        <w:t>Among r</w:t>
      </w:r>
      <w:r w:rsidR="00612DAA" w:rsidRPr="007F194A">
        <w:t>espondents who h</w:t>
      </w:r>
      <w:r w:rsidR="007037AD">
        <w:t>ave</w:t>
      </w:r>
      <w:r>
        <w:t xml:space="preserve"> experienced unfair treatment, we found </w:t>
      </w:r>
      <w:r w:rsidR="007037AD">
        <w:t>more-frequent reports of:</w:t>
      </w:r>
    </w:p>
    <w:p w14:paraId="2B821C5D" w14:textId="45BE9C0A" w:rsidR="0016455E" w:rsidRDefault="0016455E" w:rsidP="00783C3B">
      <w:pPr>
        <w:pStyle w:val="ListParagraph"/>
        <w:numPr>
          <w:ilvl w:val="0"/>
          <w:numId w:val="13"/>
        </w:numPr>
        <w:ind w:left="714" w:right="-1077" w:hanging="357"/>
        <w:contextualSpacing/>
      </w:pPr>
      <w:r>
        <w:t>F</w:t>
      </w:r>
      <w:r w:rsidR="00612DAA" w:rsidRPr="007F194A">
        <w:t xml:space="preserve">eeling like a burden </w:t>
      </w:r>
      <w:r>
        <w:t>to other people (57</w:t>
      </w:r>
      <w:r w:rsidR="009A3A81">
        <w:t xml:space="preserve"> percent</w:t>
      </w:r>
      <w:r>
        <w:t xml:space="preserve"> compared with </w:t>
      </w:r>
      <w:r w:rsidR="00612DAA" w:rsidRPr="007F194A">
        <w:t>34</w:t>
      </w:r>
      <w:r w:rsidR="009A3A81">
        <w:t xml:space="preserve"> percent</w:t>
      </w:r>
      <w:r>
        <w:t xml:space="preserve"> of others</w:t>
      </w:r>
      <w:r w:rsidR="00612DAA" w:rsidRPr="007F194A">
        <w:t>)</w:t>
      </w:r>
      <w:r w:rsidR="00393057">
        <w:t>;</w:t>
      </w:r>
    </w:p>
    <w:p w14:paraId="104C78C4" w14:textId="4AB4CF06" w:rsidR="0016455E" w:rsidRDefault="0016455E" w:rsidP="00783C3B">
      <w:pPr>
        <w:pStyle w:val="ListParagraph"/>
        <w:numPr>
          <w:ilvl w:val="0"/>
          <w:numId w:val="13"/>
        </w:numPr>
        <w:ind w:left="714" w:right="-1077" w:hanging="357"/>
        <w:contextualSpacing/>
      </w:pPr>
      <w:r>
        <w:t>A</w:t>
      </w:r>
      <w:r w:rsidR="00612DAA">
        <w:t>voiding interacting with others</w:t>
      </w:r>
      <w:r>
        <w:t xml:space="preserve"> (62</w:t>
      </w:r>
      <w:r w:rsidR="009A3A81">
        <w:t xml:space="preserve"> percent</w:t>
      </w:r>
      <w:r>
        <w:t xml:space="preserve"> compared with 42</w:t>
      </w:r>
      <w:r w:rsidR="009A3A81">
        <w:t xml:space="preserve"> percent</w:t>
      </w:r>
      <w:r w:rsidR="009A3A81" w:rsidRPr="0016455E">
        <w:t xml:space="preserve"> </w:t>
      </w:r>
      <w:r>
        <w:t>of others)</w:t>
      </w:r>
      <w:r w:rsidR="00393057">
        <w:t>;</w:t>
      </w:r>
    </w:p>
    <w:p w14:paraId="1D6AEA4D" w14:textId="37CE70F4" w:rsidR="0016455E" w:rsidRDefault="0016455E" w:rsidP="00783C3B">
      <w:pPr>
        <w:pStyle w:val="ListParagraph"/>
        <w:numPr>
          <w:ilvl w:val="0"/>
          <w:numId w:val="13"/>
        </w:numPr>
        <w:ind w:left="714" w:right="-1077" w:hanging="357"/>
        <w:contextualSpacing/>
      </w:pPr>
      <w:r>
        <w:t>A</w:t>
      </w:r>
      <w:r w:rsidR="00612DAA">
        <w:t>voiding talking about the mental health problem</w:t>
      </w:r>
      <w:r>
        <w:t xml:space="preserve"> (63</w:t>
      </w:r>
      <w:r w:rsidR="009A3A81">
        <w:t xml:space="preserve"> percent</w:t>
      </w:r>
      <w:r>
        <w:t xml:space="preserve"> compared with 51</w:t>
      </w:r>
      <w:r w:rsidR="009A3A81">
        <w:t xml:space="preserve"> percent</w:t>
      </w:r>
      <w:r w:rsidR="009A3A81" w:rsidDel="009A3A81">
        <w:t xml:space="preserve"> </w:t>
      </w:r>
      <w:r>
        <w:t>of others)</w:t>
      </w:r>
      <w:r w:rsidR="00393057">
        <w:t>;</w:t>
      </w:r>
    </w:p>
    <w:p w14:paraId="4C46024A" w14:textId="61E6D132" w:rsidR="0016455E" w:rsidRDefault="0016455E" w:rsidP="00783C3B">
      <w:pPr>
        <w:pStyle w:val="ListParagraph"/>
        <w:numPr>
          <w:ilvl w:val="0"/>
          <w:numId w:val="13"/>
        </w:numPr>
        <w:ind w:left="714" w:right="-1077" w:hanging="357"/>
        <w:contextualSpacing/>
      </w:pPr>
      <w:r>
        <w:t>Being</w:t>
      </w:r>
      <w:r w:rsidR="00612DAA">
        <w:t xml:space="preserve"> embarrassed about feeling this way</w:t>
      </w:r>
      <w:r>
        <w:t xml:space="preserve"> (57</w:t>
      </w:r>
      <w:r w:rsidR="009A3A81">
        <w:t xml:space="preserve"> percent</w:t>
      </w:r>
      <w:r>
        <w:t xml:space="preserve"> compared with 37</w:t>
      </w:r>
      <w:r w:rsidR="009A3A81">
        <w:t xml:space="preserve"> percent</w:t>
      </w:r>
      <w:r w:rsidRPr="0016455E">
        <w:t xml:space="preserve"> </w:t>
      </w:r>
      <w:r>
        <w:t>of others)</w:t>
      </w:r>
      <w:r w:rsidR="00612DAA">
        <w:t xml:space="preserve"> </w:t>
      </w:r>
      <w:r w:rsidR="00393057">
        <w:t>; and</w:t>
      </w:r>
    </w:p>
    <w:p w14:paraId="399E23FD" w14:textId="69427476" w:rsidR="00612DAA" w:rsidRDefault="0016455E" w:rsidP="00783C3B">
      <w:pPr>
        <w:pStyle w:val="ListParagraph"/>
        <w:numPr>
          <w:ilvl w:val="0"/>
          <w:numId w:val="13"/>
        </w:numPr>
        <w:ind w:left="714" w:right="-1077" w:hanging="357"/>
        <w:contextualSpacing/>
      </w:pPr>
      <w:r>
        <w:t>F</w:t>
      </w:r>
      <w:r w:rsidR="00612DAA">
        <w:t>eeling embarrassed about seeking professional help</w:t>
      </w:r>
      <w:r>
        <w:t xml:space="preserve"> (38</w:t>
      </w:r>
      <w:r w:rsidR="009A3A81">
        <w:t xml:space="preserve"> percent</w:t>
      </w:r>
      <w:r>
        <w:t xml:space="preserve"> compared with 25</w:t>
      </w:r>
      <w:r w:rsidR="009A3A81">
        <w:t xml:space="preserve"> percent</w:t>
      </w:r>
      <w:r w:rsidRPr="0016455E">
        <w:t xml:space="preserve"> </w:t>
      </w:r>
      <w:r>
        <w:t>of others)</w:t>
      </w:r>
      <w:r w:rsidR="00612DAA">
        <w:t>.</w:t>
      </w:r>
    </w:p>
    <w:p w14:paraId="5CCC92A3" w14:textId="3486DEC4" w:rsidR="005C5997" w:rsidRPr="007F194A" w:rsidRDefault="005C5997" w:rsidP="0016455E">
      <w:pPr>
        <w:ind w:right="-1078"/>
      </w:pPr>
      <w:r w:rsidRPr="007F194A">
        <w:t xml:space="preserve">Among those who have been treated ‘a lot’ more positively by family, </w:t>
      </w:r>
      <w:r w:rsidR="00CB05ED">
        <w:t>we found</w:t>
      </w:r>
      <w:r w:rsidRPr="007F194A">
        <w:t xml:space="preserve"> </w:t>
      </w:r>
      <w:r w:rsidR="007037AD">
        <w:t>more-frequent reports of</w:t>
      </w:r>
      <w:r w:rsidRPr="007F194A">
        <w:t>:</w:t>
      </w:r>
    </w:p>
    <w:p w14:paraId="2F226031" w14:textId="3F90BE4C" w:rsidR="005C5997" w:rsidRPr="007F194A" w:rsidRDefault="005C5997" w:rsidP="00783C3B">
      <w:pPr>
        <w:pStyle w:val="ListParagraph"/>
        <w:numPr>
          <w:ilvl w:val="0"/>
          <w:numId w:val="13"/>
        </w:numPr>
        <w:ind w:left="714" w:right="-1077" w:hanging="357"/>
        <w:contextualSpacing/>
      </w:pPr>
      <w:r w:rsidRPr="007F194A">
        <w:t>Satisfaction with life (63</w:t>
      </w:r>
      <w:r w:rsidR="009A3A81">
        <w:t xml:space="preserve"> percent</w:t>
      </w:r>
      <w:r w:rsidRPr="007F194A">
        <w:t xml:space="preserve"> compared with 45</w:t>
      </w:r>
      <w:r w:rsidR="009A3A81">
        <w:t xml:space="preserve"> percent</w:t>
      </w:r>
      <w:r w:rsidRPr="007F194A">
        <w:t xml:space="preserve"> of others);</w:t>
      </w:r>
    </w:p>
    <w:p w14:paraId="54D0FDA2" w14:textId="0F8FAADD" w:rsidR="005C5997" w:rsidRPr="007F194A" w:rsidRDefault="005C5997" w:rsidP="00783C3B">
      <w:pPr>
        <w:pStyle w:val="ListParagraph"/>
        <w:numPr>
          <w:ilvl w:val="0"/>
          <w:numId w:val="13"/>
        </w:numPr>
        <w:ind w:left="714" w:right="-1077" w:hanging="357"/>
        <w:contextualSpacing/>
      </w:pPr>
      <w:r w:rsidRPr="007F194A">
        <w:t>Feeling that having had a mental health problem has made them a stronger person (61</w:t>
      </w:r>
      <w:r w:rsidR="009A3A81">
        <w:t xml:space="preserve"> percent</w:t>
      </w:r>
      <w:r w:rsidRPr="007F194A">
        <w:t xml:space="preserve"> compared with 47</w:t>
      </w:r>
      <w:r w:rsidR="009A3A81">
        <w:t xml:space="preserve"> percent</w:t>
      </w:r>
      <w:r w:rsidRPr="007F194A">
        <w:t xml:space="preserve"> of others);</w:t>
      </w:r>
    </w:p>
    <w:p w14:paraId="709F14C7" w14:textId="6585589F" w:rsidR="005C5997" w:rsidRPr="007F194A" w:rsidRDefault="005C5997" w:rsidP="00783C3B">
      <w:pPr>
        <w:pStyle w:val="ListParagraph"/>
        <w:numPr>
          <w:ilvl w:val="0"/>
          <w:numId w:val="13"/>
        </w:numPr>
        <w:ind w:left="714" w:right="-1077" w:hanging="357"/>
        <w:contextualSpacing/>
      </w:pPr>
      <w:r w:rsidRPr="007F194A">
        <w:t>Feeling that for the most part they can live their life without mental health problems getting in the way (68</w:t>
      </w:r>
      <w:r w:rsidR="009A3A81">
        <w:t xml:space="preserve"> percent</w:t>
      </w:r>
      <w:r w:rsidRPr="007F194A">
        <w:t xml:space="preserve"> compared with 59</w:t>
      </w:r>
      <w:r w:rsidR="009A3A81">
        <w:t xml:space="preserve"> percent</w:t>
      </w:r>
      <w:r w:rsidRPr="007F194A">
        <w:t xml:space="preserve"> of others); and </w:t>
      </w:r>
    </w:p>
    <w:p w14:paraId="21ED09D6" w14:textId="3DF63B42" w:rsidR="005C5997" w:rsidRDefault="005C5997" w:rsidP="00783C3B">
      <w:pPr>
        <w:pStyle w:val="ListParagraph"/>
        <w:numPr>
          <w:ilvl w:val="0"/>
          <w:numId w:val="13"/>
        </w:numPr>
        <w:ind w:left="714" w:right="-1077" w:hanging="357"/>
        <w:contextualSpacing/>
      </w:pPr>
      <w:r w:rsidRPr="007F194A">
        <w:t>Feeling that they are living a fulfilling life (59</w:t>
      </w:r>
      <w:r w:rsidR="009A3A81">
        <w:t xml:space="preserve"> percent</w:t>
      </w:r>
      <w:r w:rsidRPr="007F194A">
        <w:t xml:space="preserve"> compared with 41</w:t>
      </w:r>
      <w:r w:rsidR="009A3A81">
        <w:t xml:space="preserve"> percent</w:t>
      </w:r>
      <w:r w:rsidRPr="007F194A">
        <w:t xml:space="preserve"> of others).</w:t>
      </w:r>
    </w:p>
    <w:p w14:paraId="0D639AF6" w14:textId="5C9509A5" w:rsidR="007436AA" w:rsidRPr="003D28CA" w:rsidRDefault="002A275D" w:rsidP="002A275D">
      <w:pPr>
        <w:pStyle w:val="Heading4"/>
        <w:spacing w:after="360"/>
        <w:ind w:right="-1077"/>
        <w:rPr>
          <w:color w:val="auto"/>
          <w:u w:val="single" w:color="20B9A3" w:themeColor="accent1"/>
          <w:lang w:eastAsia="en-GB"/>
        </w:rPr>
      </w:pPr>
      <w:r w:rsidRPr="003D28CA">
        <w:rPr>
          <w:color w:val="auto"/>
          <w:u w:val="single" w:color="20B9A3" w:themeColor="accent1"/>
          <w:lang w:eastAsia="en-GB"/>
        </w:rPr>
        <w:t>Anticipated stigma</w:t>
      </w:r>
    </w:p>
    <w:p w14:paraId="12FD464B" w14:textId="1DB7AF87" w:rsidR="005C5997" w:rsidRPr="007436AA" w:rsidRDefault="00B61E91" w:rsidP="00B010EA">
      <w:pPr>
        <w:ind w:right="-1077"/>
        <w:rPr>
          <w:rFonts w:ascii="Arial" w:hAnsi="Arial" w:cs="Arial"/>
          <w:iCs/>
          <w:lang w:eastAsia="en-GB"/>
        </w:rPr>
      </w:pPr>
      <w:r>
        <w:t>T</w:t>
      </w:r>
      <w:r w:rsidR="007436AA" w:rsidRPr="00C52D91">
        <w:t xml:space="preserve">he potential to be stigmatised and experience discrimination </w:t>
      </w:r>
      <w:r w:rsidR="00C52D91" w:rsidRPr="00C52D91">
        <w:t xml:space="preserve">in the future </w:t>
      </w:r>
      <w:r>
        <w:t>can be a factor people consider when deciding</w:t>
      </w:r>
      <w:r w:rsidR="007436AA" w:rsidRPr="00C52D91">
        <w:t xml:space="preserve"> whether to engage in certain activities. </w:t>
      </w:r>
      <w:r w:rsidR="00C52D91" w:rsidRPr="00C52D91">
        <w:t xml:space="preserve">To assess the extent to which this </w:t>
      </w:r>
      <w:r w:rsidR="00C52D91">
        <w:t xml:space="preserve">anticipation of stigma </w:t>
      </w:r>
      <w:r w:rsidR="00C52D91" w:rsidRPr="00C52D91">
        <w:t xml:space="preserve">affects people, we asked </w:t>
      </w:r>
      <w:r w:rsidR="00C008BD">
        <w:t>respondents</w:t>
      </w:r>
      <w:r w:rsidR="00C52D91" w:rsidRPr="00C52D91">
        <w:t xml:space="preserve"> </w:t>
      </w:r>
      <w:r w:rsidR="00C52D91">
        <w:t>to report times in the last 12</w:t>
      </w:r>
      <w:r w:rsidR="00DF7934">
        <w:t> </w:t>
      </w:r>
      <w:r w:rsidR="00C52D91">
        <w:t xml:space="preserve">months when they </w:t>
      </w:r>
      <w:r w:rsidR="00C52D91" w:rsidRPr="008B43D8">
        <w:t xml:space="preserve">have stopped </w:t>
      </w:r>
      <w:r w:rsidR="003F0DB0">
        <w:t>themselves</w:t>
      </w:r>
      <w:r w:rsidR="00C52D91" w:rsidRPr="008B43D8">
        <w:t xml:space="preserve"> from doing things that are important to </w:t>
      </w:r>
      <w:r w:rsidR="003F0DB0">
        <w:t>them</w:t>
      </w:r>
      <w:r w:rsidR="00C52D91" w:rsidRPr="008B43D8">
        <w:t xml:space="preserve"> </w:t>
      </w:r>
      <w:r w:rsidR="00C52D91" w:rsidRPr="00C52D91">
        <w:t xml:space="preserve">because of how others might respond to </w:t>
      </w:r>
      <w:r w:rsidR="003F0DB0">
        <w:t>their</w:t>
      </w:r>
      <w:r w:rsidR="00C52D91" w:rsidRPr="00C52D91">
        <w:t xml:space="preserve"> mental health problem.</w:t>
      </w:r>
      <w:r w:rsidR="003F0DB0">
        <w:t xml:space="preserve"> We found 78 percent reported ‘concealing or hiding their mental health problem from others’. As shown in Figure 14, this was </w:t>
      </w:r>
      <w:r w:rsidR="007037AD">
        <w:t xml:space="preserve">the </w:t>
      </w:r>
      <w:r w:rsidR="003F0DB0">
        <w:t xml:space="preserve">most common way in which </w:t>
      </w:r>
      <w:r w:rsidR="007037AD">
        <w:t>stigma was anticipated</w:t>
      </w:r>
      <w:r w:rsidR="003F0DB0">
        <w:t xml:space="preserve"> </w:t>
      </w:r>
      <w:r w:rsidR="007037AD">
        <w:t xml:space="preserve">and avoided. </w:t>
      </w:r>
      <w:r>
        <w:t>W</w:t>
      </w:r>
      <w:r w:rsidR="003F0DB0">
        <w:t>e also found 42 percent reported having stopped themselves from accessing healthcare.</w:t>
      </w:r>
    </w:p>
    <w:p w14:paraId="580169A2" w14:textId="23EC49C7" w:rsidR="00E03F6C" w:rsidRPr="00B7600C" w:rsidRDefault="00602B69" w:rsidP="000F33C5">
      <w:pPr>
        <w:ind w:right="-1078"/>
      </w:pPr>
      <w:r w:rsidRPr="00783C3B">
        <w:rPr>
          <w:b/>
        </w:rPr>
        <w:lastRenderedPageBreak/>
        <w:t>Figure 14</w:t>
      </w:r>
      <w:r>
        <w:t>.</w:t>
      </w:r>
      <w:r w:rsidR="00C124CC">
        <w:t xml:space="preserve"> Proportion of people </w:t>
      </w:r>
      <w:r w:rsidR="006C7959">
        <w:t xml:space="preserve">with </w:t>
      </w:r>
      <w:r w:rsidR="00214FD3">
        <w:t>recent</w:t>
      </w:r>
      <w:r w:rsidR="006C7959">
        <w:t xml:space="preserve"> </w:t>
      </w:r>
      <w:r w:rsidR="006071F9">
        <w:t xml:space="preserve">personal lived experience </w:t>
      </w:r>
      <w:r w:rsidR="006C7959">
        <w:t>who</w:t>
      </w:r>
      <w:r w:rsidR="00C124CC">
        <w:t xml:space="preserve"> </w:t>
      </w:r>
      <w:r w:rsidR="00E15919">
        <w:t xml:space="preserve">have avoided something in </w:t>
      </w:r>
      <w:r w:rsidR="00C124CC">
        <w:t>a</w:t>
      </w:r>
      <w:r w:rsidR="00E03F6C" w:rsidRPr="000F33C5">
        <w:t>ntici</w:t>
      </w:r>
      <w:r w:rsidR="00E15919">
        <w:t>pation of</w:t>
      </w:r>
      <w:r w:rsidR="00C124CC">
        <w:t xml:space="preserve"> </w:t>
      </w:r>
      <w:r w:rsidR="00E03F6C" w:rsidRPr="000F33C5">
        <w:t>stigma</w:t>
      </w:r>
      <w:r w:rsidR="006C7959">
        <w:t>.</w:t>
      </w:r>
    </w:p>
    <w:p w14:paraId="493E4F82" w14:textId="3D640382" w:rsidR="00E03F6C" w:rsidRPr="00B7600C" w:rsidRDefault="00144510" w:rsidP="00284288">
      <w:pPr>
        <w:spacing w:before="120" w:line="240" w:lineRule="auto"/>
        <w:ind w:right="-1078"/>
        <w:rPr>
          <w:rFonts w:ascii="Arial" w:hAnsi="Arial" w:cs="Arial"/>
          <w:i/>
          <w:iCs/>
          <w:lang w:eastAsia="en-GB"/>
        </w:rPr>
      </w:pPr>
      <w:r>
        <w:rPr>
          <w:noProof/>
        </w:rPr>
        <w:drawing>
          <wp:inline distT="0" distB="0" distL="0" distR="0" wp14:anchorId="40E765FF" wp14:editId="53C3EB7B">
            <wp:extent cx="5930900" cy="2730500"/>
            <wp:effectExtent l="0" t="0" r="0" b="0"/>
            <wp:docPr id="1" name="Chart 1" descr="Figure 14 depicts the proportion of people with recent personal lived experience who have avoided something in anticipation of stigma. 42% of respondents have stopped themselves accessing healthcare in anticipation of stigma. 48% of respondents have stopped themselves from applying for education or training courses, 58% have stopped themselves from applying for work opportunities, and 58% have stopped themselves from having a close personal relationship. 78% of respondents have concealed or hid mental health problems from others. " title="Figure 14. Proportion of people with recent personal lived experience who have avoided something in anticipation of stigma."/>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3442186" w14:textId="4DB41D3C" w:rsidR="00E03F6C" w:rsidRPr="007F194A" w:rsidRDefault="003F0DB0" w:rsidP="00284288">
      <w:pPr>
        <w:ind w:right="-1078"/>
      </w:pPr>
      <w:r>
        <w:t>P</w:t>
      </w:r>
      <w:r w:rsidR="00E03F6C">
        <w:t xml:space="preserve">eople who had been treated unfairly in a particular domain were </w:t>
      </w:r>
      <w:r>
        <w:t xml:space="preserve">also </w:t>
      </w:r>
      <w:r w:rsidR="00EF1E8F">
        <w:t>more</w:t>
      </w:r>
      <w:r w:rsidR="00E03F6C">
        <w:t xml:space="preserve"> likely to avoid </w:t>
      </w:r>
      <w:r w:rsidR="00EF1E8F">
        <w:t>these domains in future</w:t>
      </w:r>
      <w:r w:rsidR="00E03F6C">
        <w:t>.</w:t>
      </w:r>
      <w:r w:rsidR="00E03F6C" w:rsidRPr="007F194A">
        <w:t xml:space="preserve"> People who reported having experienced unfair treatment by a health professional when seeking help for either their physical or mental health were more than twice as likely to report having stopped themselves from accessing health care in the past 12 months than someone who has not reported experiencing unfair treatment (67</w:t>
      </w:r>
      <w:r w:rsidR="009A3A81">
        <w:t xml:space="preserve"> percent</w:t>
      </w:r>
      <w:r w:rsidR="00E03F6C" w:rsidRPr="007F194A">
        <w:t xml:space="preserve"> versus 30</w:t>
      </w:r>
      <w:r w:rsidR="009A3A81">
        <w:t xml:space="preserve"> percent</w:t>
      </w:r>
      <w:r w:rsidR="00E03F6C" w:rsidRPr="007F194A">
        <w:t>).</w:t>
      </w:r>
    </w:p>
    <w:p w14:paraId="57C6EA9E" w14:textId="747CB8F0" w:rsidR="00E03F6C" w:rsidRPr="007F194A" w:rsidRDefault="00E03F6C" w:rsidP="00284288">
      <w:pPr>
        <w:ind w:right="-1078"/>
      </w:pPr>
      <w:r w:rsidRPr="007F194A">
        <w:t xml:space="preserve">The rate of people stopping themselves from applying for </w:t>
      </w:r>
      <w:r w:rsidR="00B010EA">
        <w:t>employment</w:t>
      </w:r>
      <w:r w:rsidRPr="007F194A">
        <w:t xml:space="preserve"> opportunities was almost three times greater among people who reported being treated unfairly in finding a paid job than those who didn’t (78</w:t>
      </w:r>
      <w:r w:rsidR="0042476C">
        <w:t> </w:t>
      </w:r>
      <w:r w:rsidR="009A3A81">
        <w:t>percent</w:t>
      </w:r>
      <w:r w:rsidRPr="007F194A">
        <w:t xml:space="preserve"> v</w:t>
      </w:r>
      <w:r w:rsidR="00DF7934">
        <w:t>ersu</w:t>
      </w:r>
      <w:r w:rsidRPr="007F194A">
        <w:t>s 27</w:t>
      </w:r>
      <w:r w:rsidR="009A3A81">
        <w:t xml:space="preserve"> percent</w:t>
      </w:r>
      <w:r w:rsidRPr="007F194A">
        <w:t xml:space="preserve">); and </w:t>
      </w:r>
      <w:r w:rsidR="00B61E91">
        <w:t>more than</w:t>
      </w:r>
      <w:r w:rsidR="00B61E91" w:rsidRPr="007F194A">
        <w:t xml:space="preserve"> </w:t>
      </w:r>
      <w:r w:rsidRPr="007F194A">
        <w:t>two times greater among those who had reported being treated unfairly in the workplace than those who hadn’t (65</w:t>
      </w:r>
      <w:r w:rsidR="009A3A81">
        <w:t xml:space="preserve"> percent</w:t>
      </w:r>
      <w:r w:rsidRPr="007F194A">
        <w:t xml:space="preserve"> vs 29</w:t>
      </w:r>
      <w:r w:rsidR="009A3A81" w:rsidRPr="009A3A81">
        <w:t xml:space="preserve"> </w:t>
      </w:r>
      <w:r w:rsidR="009A3A81">
        <w:t>percent</w:t>
      </w:r>
      <w:r w:rsidRPr="007F194A">
        <w:t>). There was a similar trend for education and training (69</w:t>
      </w:r>
      <w:r w:rsidR="009A3A81" w:rsidRPr="009A3A81">
        <w:t xml:space="preserve"> </w:t>
      </w:r>
      <w:r w:rsidR="009A3A81">
        <w:t>percent</w:t>
      </w:r>
      <w:r w:rsidRPr="007F194A">
        <w:t xml:space="preserve"> v</w:t>
      </w:r>
      <w:r w:rsidR="00DF7934">
        <w:t>ersu</w:t>
      </w:r>
      <w:r w:rsidRPr="007F194A">
        <w:t>s 21</w:t>
      </w:r>
      <w:r w:rsidR="009A3A81" w:rsidRPr="009A3A81">
        <w:t xml:space="preserve"> </w:t>
      </w:r>
      <w:r w:rsidR="009A3A81">
        <w:t>percent</w:t>
      </w:r>
      <w:r w:rsidRPr="007F194A">
        <w:t>).</w:t>
      </w:r>
    </w:p>
    <w:p w14:paraId="4E351F2B" w14:textId="5B3AFCFB" w:rsidR="006A54A7" w:rsidRDefault="00E03F6C" w:rsidP="00284288">
      <w:pPr>
        <w:ind w:right="-1078"/>
      </w:pPr>
      <w:r w:rsidRPr="007F194A">
        <w:t>Regarding interpersonal relationships, respondents who had experienced unfair treatment by their family were almost twice as likely to report stopping themselves from having a close personal relationship (66</w:t>
      </w:r>
      <w:r w:rsidR="00A112C9">
        <w:t> </w:t>
      </w:r>
      <w:r w:rsidR="009A3A81">
        <w:t>percent</w:t>
      </w:r>
      <w:r w:rsidRPr="007F194A">
        <w:t xml:space="preserve"> v</w:t>
      </w:r>
      <w:r w:rsidR="00DF7934">
        <w:t>ersu</w:t>
      </w:r>
      <w:r w:rsidRPr="007F194A">
        <w:t>s 37</w:t>
      </w:r>
      <w:r w:rsidR="009A3A81" w:rsidRPr="009A3A81">
        <w:t xml:space="preserve"> </w:t>
      </w:r>
      <w:r w:rsidR="009A3A81">
        <w:t>percent</w:t>
      </w:r>
      <w:r w:rsidRPr="007F194A">
        <w:t xml:space="preserve">). </w:t>
      </w:r>
    </w:p>
    <w:p w14:paraId="19450008" w14:textId="12275A5B" w:rsidR="00A112C9" w:rsidRDefault="00E03F6C" w:rsidP="00284288">
      <w:pPr>
        <w:ind w:right="-1078"/>
      </w:pPr>
      <w:r w:rsidRPr="007F194A">
        <w:t>Respondents who had experienced unfair treatment by a friend were more likely to report concealing or hiding their mental health problem from others (89</w:t>
      </w:r>
      <w:r w:rsidR="009A3A81" w:rsidRPr="009A3A81">
        <w:t xml:space="preserve"> </w:t>
      </w:r>
      <w:r w:rsidR="009A3A81">
        <w:t>percent</w:t>
      </w:r>
      <w:r w:rsidRPr="007F194A">
        <w:t xml:space="preserve"> </w:t>
      </w:r>
      <w:r>
        <w:t>v</w:t>
      </w:r>
      <w:r w:rsidR="00DF7934">
        <w:t>ersu</w:t>
      </w:r>
      <w:r>
        <w:t>s 67</w:t>
      </w:r>
      <w:r w:rsidR="009A3A81" w:rsidRPr="009A3A81">
        <w:t xml:space="preserve"> </w:t>
      </w:r>
      <w:r w:rsidR="009A3A81">
        <w:t>percent</w:t>
      </w:r>
      <w:r>
        <w:t>).</w:t>
      </w:r>
      <w:r w:rsidR="00A112C9">
        <w:t xml:space="preserve"> </w:t>
      </w:r>
    </w:p>
    <w:p w14:paraId="42D2B29D" w14:textId="33B0C42B" w:rsidR="00E03F6C" w:rsidRPr="000F0ACA" w:rsidRDefault="00B61E91" w:rsidP="00284288">
      <w:pPr>
        <w:ind w:right="-1078"/>
      </w:pPr>
      <w:r>
        <w:t>This</w:t>
      </w:r>
      <w:r w:rsidR="00E03F6C">
        <w:t xml:space="preserve"> shows stigma and discrimination don’t </w:t>
      </w:r>
      <w:r w:rsidR="00B010EA">
        <w:t>only</w:t>
      </w:r>
      <w:r w:rsidR="00E03F6C">
        <w:t xml:space="preserve"> have an immediate</w:t>
      </w:r>
      <w:r w:rsidR="007D7BA2">
        <w:t xml:space="preserve"> negative impact on a person. Stigma and discrimination</w:t>
      </w:r>
      <w:r w:rsidR="00E03F6C">
        <w:t xml:space="preserve"> </w:t>
      </w:r>
      <w:r w:rsidR="007D7BA2">
        <w:t>has future implications that can have</w:t>
      </w:r>
      <w:r w:rsidR="00E03F6C">
        <w:t xml:space="preserve"> lasting </w:t>
      </w:r>
      <w:r w:rsidR="007D7BA2">
        <w:t xml:space="preserve">detrimental </w:t>
      </w:r>
      <w:r w:rsidR="00E03F6C">
        <w:t>repercussions</w:t>
      </w:r>
      <w:r w:rsidR="00D75296">
        <w:t>.</w:t>
      </w:r>
      <w:r w:rsidR="00E03F6C">
        <w:rPr>
          <w:rFonts w:ascii="Arial" w:hAnsi="Arial" w:cs="Arial"/>
          <w:b/>
          <w:bCs/>
          <w:lang w:eastAsia="en-GB"/>
        </w:rPr>
        <w:br w:type="page"/>
      </w:r>
    </w:p>
    <w:p w14:paraId="451C39F0" w14:textId="717395BC" w:rsidR="0032557B" w:rsidRPr="0032557B" w:rsidRDefault="008D551E" w:rsidP="0032557B">
      <w:pPr>
        <w:pStyle w:val="Heading2"/>
        <w:ind w:right="-1078"/>
      </w:pPr>
      <w:r w:rsidRPr="008D551E">
        <w:lastRenderedPageBreak/>
        <w:t>Appendix</w:t>
      </w:r>
      <w:r w:rsidR="00635B86">
        <w:t xml:space="preserve"> A: </w:t>
      </w:r>
      <w:r w:rsidR="00C8336A">
        <w:t>Method detail</w:t>
      </w:r>
    </w:p>
    <w:p w14:paraId="6C3C77FF" w14:textId="2A7137EC" w:rsidR="00842C2A" w:rsidRPr="007F194A" w:rsidRDefault="00842C2A" w:rsidP="00FF49C8">
      <w:pPr>
        <w:ind w:right="-1078"/>
      </w:pPr>
      <w:r w:rsidRPr="007F194A">
        <w:t>Administration of the survey and recruitment of participants was undertaken by The Social Research Centre and affiliate partner I-Link. Participants completed the survey between</w:t>
      </w:r>
      <w:r w:rsidR="00AD12C0">
        <w:t xml:space="preserve"> the</w:t>
      </w:r>
      <w:r w:rsidRPr="007F194A">
        <w:t xml:space="preserve"> 10</w:t>
      </w:r>
      <w:r w:rsidR="00AD12C0" w:rsidRPr="00783C3B">
        <w:rPr>
          <w:vertAlign w:val="superscript"/>
        </w:rPr>
        <w:t>th</w:t>
      </w:r>
      <w:r w:rsidR="00AD12C0">
        <w:t xml:space="preserve"> and</w:t>
      </w:r>
      <w:r w:rsidRPr="007F194A">
        <w:t xml:space="preserve"> 30</w:t>
      </w:r>
      <w:r w:rsidR="00AD12C0" w:rsidRPr="00783C3B">
        <w:rPr>
          <w:vertAlign w:val="superscript"/>
        </w:rPr>
        <w:t>th</w:t>
      </w:r>
      <w:r w:rsidR="00AD12C0">
        <w:t xml:space="preserve"> of</w:t>
      </w:r>
      <w:r w:rsidRPr="007F194A">
        <w:t xml:space="preserve"> August</w:t>
      </w:r>
      <w:r w:rsidR="00AD12C0">
        <w:t> </w:t>
      </w:r>
      <w:r w:rsidRPr="007F194A">
        <w:t xml:space="preserve">2021. The average length of the survey was 24.2 minutes for participants who completed both the general survey and the module for people with </w:t>
      </w:r>
      <w:r w:rsidR="00214FD3">
        <w:t>recent</w:t>
      </w:r>
      <w:r w:rsidRPr="007F194A">
        <w:t xml:space="preserve"> </w:t>
      </w:r>
      <w:r w:rsidR="006071F9">
        <w:t>personal lived experience</w:t>
      </w:r>
      <w:r w:rsidRPr="007F194A">
        <w:t>, and 15.4 minutes for those who completed only the general survey. Participants who completed the longer version of the survey received $15 for participation. Participants of the shorter version received $10.</w:t>
      </w:r>
    </w:p>
    <w:p w14:paraId="66D45B82" w14:textId="77777777" w:rsidR="00842C2A" w:rsidRPr="007F194A" w:rsidRDefault="00842C2A" w:rsidP="00FF49C8">
      <w:pPr>
        <w:pStyle w:val="Heading3"/>
        <w:ind w:right="-1078"/>
      </w:pPr>
      <w:r w:rsidRPr="007F194A">
        <w:t>Mode</w:t>
      </w:r>
    </w:p>
    <w:p w14:paraId="7BC77D63" w14:textId="350482D1" w:rsidR="00842C2A" w:rsidRPr="007F194A" w:rsidRDefault="00AD12C0" w:rsidP="00FF49C8">
      <w:pPr>
        <w:ind w:right="-1078"/>
      </w:pPr>
      <w:r>
        <w:t>The m</w:t>
      </w:r>
      <w:r w:rsidR="00842C2A" w:rsidRPr="007F194A">
        <w:t xml:space="preserve">ajority of participants (n=7,723) completed the survey online. A small minority of participants (n=150) opted to complete the survey over the phone </w:t>
      </w:r>
      <w:r w:rsidR="00556063">
        <w:t>by</w:t>
      </w:r>
      <w:r w:rsidR="00842C2A" w:rsidRPr="007F194A">
        <w:t xml:space="preserve"> Computer-Assisted Telephone Interview</w:t>
      </w:r>
      <w:r w:rsidR="00556063">
        <w:t xml:space="preserve"> (CATI)</w:t>
      </w:r>
      <w:r w:rsidR="00842C2A" w:rsidRPr="007F194A">
        <w:t xml:space="preserve">. There was a minor difference between the survey completed by online and CATI respondents. CATI respondents were only asked questions in relation to one vignette – the early schizophrenia vignette. They </w:t>
      </w:r>
      <w:r w:rsidR="00D037E4">
        <w:t>were also not asked about their agreement with the stigmatising statements</w:t>
      </w:r>
      <w:r w:rsidR="00842C2A" w:rsidRPr="007F194A">
        <w:t xml:space="preserve"> in relation to this vignette. </w:t>
      </w:r>
      <w:r w:rsidR="00B61E91">
        <w:t xml:space="preserve">This </w:t>
      </w:r>
      <w:r w:rsidR="002E7BF6">
        <w:t>is</w:t>
      </w:r>
      <w:r w:rsidR="00B61E91">
        <w:t xml:space="preserve"> because these questions </w:t>
      </w:r>
      <w:r w:rsidR="002E7BF6">
        <w:t>are long and it is difficult</w:t>
      </w:r>
      <w:r w:rsidR="00B61E91">
        <w:t xml:space="preserve"> to answer over the phone. We </w:t>
      </w:r>
      <w:r w:rsidR="00510AD1">
        <w:t>decided</w:t>
      </w:r>
      <w:r w:rsidR="00B61E91">
        <w:t xml:space="preserve"> on balance it was better to minimise burden </w:t>
      </w:r>
      <w:r w:rsidR="00510AD1">
        <w:t>to CATI participants than collect this data.</w:t>
      </w:r>
    </w:p>
    <w:p w14:paraId="2F224623" w14:textId="77777777" w:rsidR="00842C2A" w:rsidRPr="007F194A" w:rsidRDefault="00842C2A" w:rsidP="00FF49C8">
      <w:pPr>
        <w:pStyle w:val="Heading3"/>
        <w:ind w:right="-1078"/>
      </w:pPr>
      <w:r w:rsidRPr="007F194A">
        <w:t>Recruitment</w:t>
      </w:r>
    </w:p>
    <w:p w14:paraId="50E97A44" w14:textId="77777777" w:rsidR="00842C2A" w:rsidRPr="007F194A" w:rsidRDefault="00842C2A" w:rsidP="00FF49C8">
      <w:pPr>
        <w:ind w:right="-1078"/>
      </w:pPr>
      <w:r w:rsidRPr="007F194A">
        <w:t>Participants were sourced from two online panels: the Social Research Centre’s Life in Australia</w:t>
      </w:r>
      <w:r w:rsidRPr="007F194A">
        <w:rPr>
          <w:vertAlign w:val="superscript"/>
        </w:rPr>
        <w:t xml:space="preserve">TM </w:t>
      </w:r>
      <w:r w:rsidRPr="007F194A">
        <w:t xml:space="preserve"> panel and I-Link’s online panel. Of the 7,873 total participants, 3,495 came from the Life in Australia panel and 4,378 came from I-Link’s panel. </w:t>
      </w:r>
    </w:p>
    <w:p w14:paraId="28045C78" w14:textId="77777777" w:rsidR="00842C2A" w:rsidRPr="007F194A" w:rsidRDefault="00842C2A" w:rsidP="00FF49C8">
      <w:pPr>
        <w:ind w:right="-1078"/>
      </w:pPr>
      <w:r w:rsidRPr="007F194A">
        <w:rPr>
          <w:i/>
        </w:rPr>
        <w:t>Life in Australia</w:t>
      </w:r>
      <w:r w:rsidRPr="007F194A">
        <w:rPr>
          <w:i/>
          <w:vertAlign w:val="superscript"/>
        </w:rPr>
        <w:t>TM</w:t>
      </w:r>
      <w:r w:rsidRPr="007F194A">
        <w:t xml:space="preserve"> </w:t>
      </w:r>
      <w:r w:rsidRPr="007F194A">
        <w:rPr>
          <w:i/>
        </w:rPr>
        <w:t>panel</w:t>
      </w:r>
      <w:r w:rsidRPr="007F194A">
        <w:t xml:space="preserve">: Comprises a probability-based sample of Australians aged 18+ recruited via random-digit dialling for the purpose of social research. </w:t>
      </w:r>
    </w:p>
    <w:p w14:paraId="4A5C324C" w14:textId="15CCB3F9" w:rsidR="00842C2A" w:rsidRPr="007F194A" w:rsidRDefault="00842C2A" w:rsidP="00FF49C8">
      <w:pPr>
        <w:ind w:right="-1078"/>
      </w:pPr>
      <w:r w:rsidRPr="007F194A">
        <w:rPr>
          <w:i/>
        </w:rPr>
        <w:t>I-Link panel</w:t>
      </w:r>
      <w:r w:rsidRPr="007F194A">
        <w:t>: Comprises a non-probability-based sample of Australians aged 18+ who opt</w:t>
      </w:r>
      <w:r w:rsidR="00C66C84">
        <w:t xml:space="preserve"> i</w:t>
      </w:r>
      <w:r w:rsidRPr="007F194A">
        <w:t>n to the panel for the purpose of participating in market and social research.</w:t>
      </w:r>
    </w:p>
    <w:p w14:paraId="4E026B1F" w14:textId="77777777" w:rsidR="00842C2A" w:rsidRPr="007F194A" w:rsidRDefault="00842C2A" w:rsidP="00FF49C8">
      <w:pPr>
        <w:pStyle w:val="Heading3"/>
        <w:ind w:right="-1078"/>
      </w:pPr>
      <w:r w:rsidRPr="007F194A">
        <w:t>Weights</w:t>
      </w:r>
    </w:p>
    <w:p w14:paraId="4DD4521D" w14:textId="0340EA7B" w:rsidR="00842C2A" w:rsidRPr="007F194A" w:rsidRDefault="00842C2A" w:rsidP="00FF49C8">
      <w:pPr>
        <w:ind w:right="-1078"/>
      </w:pPr>
      <w:r w:rsidRPr="007F194A">
        <w:t>Unles</w:t>
      </w:r>
      <w:r w:rsidR="00556063">
        <w:t xml:space="preserve">s otherwise stated, data in this report </w:t>
      </w:r>
      <w:r w:rsidR="00141D76">
        <w:t xml:space="preserve">and the </w:t>
      </w:r>
      <w:r w:rsidR="000458B3">
        <w:t>S</w:t>
      </w:r>
      <w:r w:rsidR="00141D76">
        <w:t xml:space="preserve">upplementary </w:t>
      </w:r>
      <w:r w:rsidR="000458B3">
        <w:t>M</w:t>
      </w:r>
      <w:r w:rsidR="00141D76">
        <w:t xml:space="preserve">aterial </w:t>
      </w:r>
      <w:r w:rsidRPr="007F194A">
        <w:t xml:space="preserve">is weighted to population benchmarks. The calculation of sample weights was performed by the Social Research Centre and consisted of the following steps: </w:t>
      </w:r>
    </w:p>
    <w:p w14:paraId="655EF1CF" w14:textId="77777777" w:rsidR="00842C2A" w:rsidRPr="007F194A" w:rsidRDefault="00842C2A" w:rsidP="00FF49C8">
      <w:pPr>
        <w:pStyle w:val="ListParagraph"/>
        <w:numPr>
          <w:ilvl w:val="0"/>
          <w:numId w:val="10"/>
        </w:numPr>
        <w:spacing w:line="259" w:lineRule="auto"/>
        <w:ind w:right="-1078"/>
        <w:contextualSpacing/>
      </w:pPr>
      <w:r w:rsidRPr="007F194A">
        <w:t>Compute a base weight for each Life in Australia respondent as the product of two weights:</w:t>
      </w:r>
    </w:p>
    <w:p w14:paraId="066F72C9" w14:textId="77777777" w:rsidR="00842C2A" w:rsidRPr="007F194A" w:rsidRDefault="00842C2A" w:rsidP="00FF49C8">
      <w:pPr>
        <w:pStyle w:val="ListParagraph"/>
        <w:numPr>
          <w:ilvl w:val="1"/>
          <w:numId w:val="10"/>
        </w:numPr>
        <w:spacing w:line="259" w:lineRule="auto"/>
        <w:ind w:right="-1078"/>
        <w:contextualSpacing/>
      </w:pPr>
      <w:r w:rsidRPr="007F194A">
        <w:t>Their enrolment weight, accounting for the initial chances of selection and subsequent post-stratification to key demographic benchmarks.</w:t>
      </w:r>
    </w:p>
    <w:p w14:paraId="7C9341A9" w14:textId="77777777" w:rsidR="00842C2A" w:rsidRPr="007F194A" w:rsidRDefault="00842C2A" w:rsidP="00FF49C8">
      <w:pPr>
        <w:pStyle w:val="ListParagraph"/>
        <w:numPr>
          <w:ilvl w:val="1"/>
          <w:numId w:val="10"/>
        </w:numPr>
        <w:spacing w:line="259" w:lineRule="auto"/>
        <w:ind w:right="-1078"/>
        <w:contextualSpacing/>
      </w:pPr>
      <w:r w:rsidRPr="007F194A">
        <w:t xml:space="preserve">Their response propensity weight, estimated from enrolment information available for both respondents and non-respondents to the present wave. </w:t>
      </w:r>
    </w:p>
    <w:p w14:paraId="384AFCE3" w14:textId="5D800D20" w:rsidR="00842C2A" w:rsidRPr="007F194A" w:rsidRDefault="00842C2A" w:rsidP="00FF49C8">
      <w:pPr>
        <w:pStyle w:val="ListParagraph"/>
        <w:numPr>
          <w:ilvl w:val="0"/>
          <w:numId w:val="10"/>
        </w:numPr>
        <w:spacing w:line="259" w:lineRule="auto"/>
        <w:ind w:right="-1078"/>
        <w:contextualSpacing/>
      </w:pPr>
      <w:r w:rsidRPr="007F194A">
        <w:t>Adjust the base weights so they satisfy the latest population benchmarks for several demographic characteristics.</w:t>
      </w:r>
    </w:p>
    <w:p w14:paraId="2FD45A1F" w14:textId="77777777" w:rsidR="00842C2A" w:rsidRPr="007F194A" w:rsidRDefault="00842C2A" w:rsidP="00FF49C8">
      <w:pPr>
        <w:pStyle w:val="ListParagraph"/>
        <w:numPr>
          <w:ilvl w:val="0"/>
          <w:numId w:val="10"/>
        </w:numPr>
        <w:spacing w:line="259" w:lineRule="auto"/>
        <w:ind w:right="-1078"/>
        <w:contextualSpacing/>
      </w:pPr>
      <w:r w:rsidRPr="007F194A">
        <w:t>Compute a combined weight for the blended dataset (both Life in Australia and I-Link) following the ‘superpopulation’ approach using outcome data from the survey in addition to demographic data with population benchmarks.</w:t>
      </w:r>
    </w:p>
    <w:p w14:paraId="00921FF2" w14:textId="6FB66AC8" w:rsidR="00842C2A" w:rsidRPr="007F194A" w:rsidRDefault="00842C2A" w:rsidP="00FF49C8">
      <w:pPr>
        <w:pStyle w:val="Heading3"/>
        <w:ind w:right="-1078"/>
      </w:pPr>
      <w:r w:rsidRPr="007F194A">
        <w:t>Ethics</w:t>
      </w:r>
      <w:r w:rsidR="00321B30">
        <w:t xml:space="preserve"> and Privacy</w:t>
      </w:r>
    </w:p>
    <w:p w14:paraId="010D0584" w14:textId="4B1B13F5" w:rsidR="00E15919" w:rsidRDefault="00842C2A" w:rsidP="00FF49C8">
      <w:pPr>
        <w:ind w:right="-1078"/>
      </w:pPr>
      <w:r w:rsidRPr="007F194A">
        <w:t>The ethical aspects of this research have been approved by the Macquarie University Human Research Ethics Committee (2021/10407).</w:t>
      </w:r>
      <w:r w:rsidR="00A07169">
        <w:t xml:space="preserve"> </w:t>
      </w:r>
      <w:r w:rsidR="00E15919">
        <w:t xml:space="preserve">Data collection and storage complies with Australian Privacy Principles. </w:t>
      </w:r>
    </w:p>
    <w:p w14:paraId="35D2BD47" w14:textId="6378FF8B" w:rsidR="00FC7767" w:rsidRDefault="00FC7767" w:rsidP="00FC7767">
      <w:pPr>
        <w:pStyle w:val="Heading3"/>
        <w:ind w:right="-1078"/>
      </w:pPr>
      <w:r>
        <w:lastRenderedPageBreak/>
        <w:t>Survey design</w:t>
      </w:r>
    </w:p>
    <w:p w14:paraId="33F057EE" w14:textId="47622B37" w:rsidR="00FC7767" w:rsidRDefault="00FC7767" w:rsidP="00556063">
      <w:pPr>
        <w:ind w:right="-1078"/>
      </w:pPr>
      <w:r>
        <w:t>We designed the survey with input from the</w:t>
      </w:r>
      <w:r w:rsidR="00556063">
        <w:t xml:space="preserve"> </w:t>
      </w:r>
      <w:r w:rsidR="008D18DD">
        <w:t xml:space="preserve">National </w:t>
      </w:r>
      <w:r>
        <w:t xml:space="preserve">Stigma </w:t>
      </w:r>
      <w:r w:rsidR="00556063">
        <w:t xml:space="preserve">and Discrimination </w:t>
      </w:r>
      <w:r w:rsidR="008D18DD">
        <w:t xml:space="preserve">Reduction Strategy </w:t>
      </w:r>
      <w:r>
        <w:t>Measu</w:t>
      </w:r>
      <w:r w:rsidR="00556063">
        <w:t>rement Technical Advisory Group</w:t>
      </w:r>
      <w:r w:rsidR="00510AD1">
        <w:t xml:space="preserve"> (see ‘Acknowledgements’ on page 1 for membership)</w:t>
      </w:r>
      <w:r>
        <w:t xml:space="preserve">. This group comprised people with both lived and learned experience of mental ill-health. </w:t>
      </w:r>
      <w:r w:rsidR="008711C0">
        <w:t xml:space="preserve">We drew on the </w:t>
      </w:r>
      <w:r>
        <w:t>wealth of literature and existing instruments designed to measure mental health</w:t>
      </w:r>
      <w:r w:rsidR="008D18DD">
        <w:t>-related</w:t>
      </w:r>
      <w:r>
        <w:t xml:space="preserve"> stigma. We acknowledge the following as sources for questions adapted into our survey:</w:t>
      </w:r>
    </w:p>
    <w:p w14:paraId="675A2F0F" w14:textId="6F6FB8F5" w:rsidR="00FC7767" w:rsidRDefault="00BC1214" w:rsidP="00556063">
      <w:pPr>
        <w:pStyle w:val="ListParagraph"/>
        <w:numPr>
          <w:ilvl w:val="0"/>
          <w:numId w:val="11"/>
        </w:numPr>
        <w:ind w:right="-1078"/>
      </w:pPr>
      <w:r>
        <w:t>The Social Distance Scale</w:t>
      </w:r>
      <w:r w:rsidR="000F6996">
        <w:t xml:space="preserve"> </w:t>
      </w:r>
      <w:r w:rsidR="000929A4">
        <w:t>(</w:t>
      </w:r>
      <w:r w:rsidR="000F6996">
        <w:t>Link et al.</w:t>
      </w:r>
      <w:r w:rsidR="000929A4">
        <w:t>,</w:t>
      </w:r>
      <w:r w:rsidR="000F6996">
        <w:t xml:space="preserve"> 1999)</w:t>
      </w:r>
      <w:r w:rsidR="008711C0">
        <w:t>.</w:t>
      </w:r>
    </w:p>
    <w:p w14:paraId="7F30749A" w14:textId="7446E26E" w:rsidR="00BC1214" w:rsidRDefault="00BC1214" w:rsidP="00556063">
      <w:pPr>
        <w:pStyle w:val="ListParagraph"/>
        <w:numPr>
          <w:ilvl w:val="0"/>
          <w:numId w:val="11"/>
        </w:numPr>
        <w:ind w:right="-1078"/>
      </w:pPr>
      <w:r>
        <w:t xml:space="preserve">The </w:t>
      </w:r>
      <w:r w:rsidR="000F6996">
        <w:t xml:space="preserve">Personal Stigma Subscale of the </w:t>
      </w:r>
      <w:r>
        <w:t>Depression Stigma Scale</w:t>
      </w:r>
      <w:r w:rsidR="000929A4">
        <w:t xml:space="preserve"> (</w:t>
      </w:r>
      <w:r w:rsidR="000F6996" w:rsidRPr="00B1716E">
        <w:t>Griffiths,</w:t>
      </w:r>
      <w:r w:rsidR="000929A4">
        <w:t xml:space="preserve"> </w:t>
      </w:r>
      <w:r w:rsidR="000F6996" w:rsidRPr="00B1716E">
        <w:t>Christensen</w:t>
      </w:r>
      <w:r w:rsidR="000929A4">
        <w:t xml:space="preserve"> </w:t>
      </w:r>
      <w:r w:rsidR="000F6996" w:rsidRPr="00B1716E">
        <w:t xml:space="preserve">&amp; Jorm, </w:t>
      </w:r>
      <w:r w:rsidR="000929A4">
        <w:t>2008)</w:t>
      </w:r>
      <w:r w:rsidR="008711C0">
        <w:t>.</w:t>
      </w:r>
    </w:p>
    <w:p w14:paraId="1D593C1A" w14:textId="51210588" w:rsidR="000F6996" w:rsidRDefault="000F6996" w:rsidP="00556063">
      <w:pPr>
        <w:pStyle w:val="ListParagraph"/>
        <w:numPr>
          <w:ilvl w:val="0"/>
          <w:numId w:val="11"/>
        </w:numPr>
        <w:ind w:right="-1078"/>
      </w:pPr>
      <w:r>
        <w:t>The Attribution Questionnaire</w:t>
      </w:r>
      <w:r w:rsidR="000929A4">
        <w:t xml:space="preserve"> (</w:t>
      </w:r>
      <w:r w:rsidRPr="00B1716E">
        <w:t>Cooper, Corrigan, &amp; Watson,</w:t>
      </w:r>
      <w:r w:rsidR="000929A4">
        <w:t xml:space="preserve"> 2003)</w:t>
      </w:r>
      <w:r w:rsidR="008711C0">
        <w:t>.</w:t>
      </w:r>
    </w:p>
    <w:p w14:paraId="64471268" w14:textId="00A75EBB" w:rsidR="00BC1214" w:rsidRDefault="000929A4" w:rsidP="00556063">
      <w:pPr>
        <w:pStyle w:val="ListParagraph"/>
        <w:numPr>
          <w:ilvl w:val="0"/>
          <w:numId w:val="11"/>
        </w:numPr>
        <w:ind w:right="-1078"/>
      </w:pPr>
      <w:r>
        <w:t>Our T</w:t>
      </w:r>
      <w:r w:rsidR="00BC1214">
        <w:t>urn to Speak</w:t>
      </w:r>
      <w:r>
        <w:t xml:space="preserve"> Survey</w:t>
      </w:r>
      <w:r w:rsidR="000F6996">
        <w:t xml:space="preserve"> </w:t>
      </w:r>
      <w:r>
        <w:t>(Gr</w:t>
      </w:r>
      <w:r w:rsidR="000F6996">
        <w:t>oot et al</w:t>
      </w:r>
      <w:r>
        <w:t>.</w:t>
      </w:r>
      <w:r w:rsidR="000F6996">
        <w:t xml:space="preserve"> </w:t>
      </w:r>
      <w:r>
        <w:t>2020)</w:t>
      </w:r>
      <w:r w:rsidR="008711C0">
        <w:t>.</w:t>
      </w:r>
    </w:p>
    <w:p w14:paraId="28E01F52" w14:textId="030BB6D2" w:rsidR="00DF0300" w:rsidRDefault="00DF0300" w:rsidP="00556063">
      <w:pPr>
        <w:pStyle w:val="ListParagraph"/>
        <w:numPr>
          <w:ilvl w:val="0"/>
          <w:numId w:val="11"/>
        </w:numPr>
        <w:ind w:right="-1078"/>
      </w:pPr>
      <w:r>
        <w:t>Self</w:t>
      </w:r>
      <w:r w:rsidR="00454FEC">
        <w:t>-</w:t>
      </w:r>
      <w:r w:rsidR="000929A4">
        <w:t>stigma of S</w:t>
      </w:r>
      <w:r>
        <w:t xml:space="preserve">eeking </w:t>
      </w:r>
      <w:r w:rsidR="000929A4">
        <w:t>P</w:t>
      </w:r>
      <w:r w:rsidR="00454FEC">
        <w:t xml:space="preserve">sychological </w:t>
      </w:r>
      <w:r w:rsidR="000929A4">
        <w:t>H</w:t>
      </w:r>
      <w:r>
        <w:t>elp</w:t>
      </w:r>
      <w:r w:rsidR="000929A4">
        <w:t xml:space="preserve"> Scale</w:t>
      </w:r>
      <w:r w:rsidR="00454FEC">
        <w:t xml:space="preserve"> </w:t>
      </w:r>
      <w:r w:rsidR="000929A4">
        <w:t>(</w:t>
      </w:r>
      <w:r w:rsidR="00454FEC">
        <w:rPr>
          <w:rFonts w:ascii="Arial" w:hAnsi="Arial" w:cs="Arial"/>
          <w:color w:val="222222"/>
          <w:szCs w:val="20"/>
          <w:shd w:val="clear" w:color="auto" w:fill="FFFFFF"/>
        </w:rPr>
        <w:t>Vogel</w:t>
      </w:r>
      <w:r w:rsidR="000929A4">
        <w:rPr>
          <w:rFonts w:ascii="Arial" w:hAnsi="Arial" w:cs="Arial"/>
          <w:color w:val="222222"/>
          <w:szCs w:val="20"/>
          <w:shd w:val="clear" w:color="auto" w:fill="FFFFFF"/>
        </w:rPr>
        <w:t xml:space="preserve">, Wade &amp; Haake, </w:t>
      </w:r>
      <w:r w:rsidR="00454FEC">
        <w:rPr>
          <w:rFonts w:ascii="Arial" w:hAnsi="Arial" w:cs="Arial"/>
          <w:color w:val="222222"/>
          <w:szCs w:val="20"/>
          <w:shd w:val="clear" w:color="auto" w:fill="FFFFFF"/>
        </w:rPr>
        <w:t xml:space="preserve">2006). </w:t>
      </w:r>
    </w:p>
    <w:p w14:paraId="171A3FF8" w14:textId="7A30985D" w:rsidR="00DF0300" w:rsidRDefault="008711C0" w:rsidP="00556063">
      <w:pPr>
        <w:pStyle w:val="ListParagraph"/>
        <w:numPr>
          <w:ilvl w:val="0"/>
          <w:numId w:val="11"/>
        </w:numPr>
        <w:ind w:right="-1078"/>
      </w:pPr>
      <w:r>
        <w:t>Carer experiences of</w:t>
      </w:r>
      <w:r w:rsidR="00DF0300">
        <w:t xml:space="preserve"> stigma scale</w:t>
      </w:r>
      <w:r>
        <w:t xml:space="preserve"> (</w:t>
      </w:r>
      <w:r>
        <w:rPr>
          <w:rFonts w:ascii="Arial" w:hAnsi="Arial" w:cs="Arial"/>
          <w:color w:val="222222"/>
          <w:szCs w:val="20"/>
          <w:shd w:val="clear" w:color="auto" w:fill="FFFFFF"/>
        </w:rPr>
        <w:t>Griffiths, 2014).</w:t>
      </w:r>
    </w:p>
    <w:p w14:paraId="55EBF658" w14:textId="13FF80B1" w:rsidR="00DF0300" w:rsidRDefault="008711C0" w:rsidP="00556063">
      <w:pPr>
        <w:pStyle w:val="ListParagraph"/>
        <w:numPr>
          <w:ilvl w:val="0"/>
          <w:numId w:val="11"/>
        </w:numPr>
        <w:ind w:right="-1078"/>
      </w:pPr>
      <w:r>
        <w:t>Opening minds survey for workplace attitudes (Pietrus, 2013).</w:t>
      </w:r>
    </w:p>
    <w:p w14:paraId="765CF623" w14:textId="2029F25A" w:rsidR="00BC1214" w:rsidRDefault="008711C0" w:rsidP="00556063">
      <w:pPr>
        <w:pStyle w:val="ListParagraph"/>
        <w:numPr>
          <w:ilvl w:val="0"/>
          <w:numId w:val="11"/>
        </w:numPr>
        <w:ind w:right="-1078"/>
      </w:pPr>
      <w:r>
        <w:t>National Survey of Discrimination and Positive Treatment (Reavley, 2015) including studies which codified the most frequently reported experiences of discrimination by</w:t>
      </w:r>
      <w:r w:rsidR="00BC1214">
        <w:t xml:space="preserve"> friends and family (</w:t>
      </w:r>
      <w:r w:rsidR="000144C8">
        <w:t>Morgan</w:t>
      </w:r>
      <w:r w:rsidR="001F1A0B">
        <w:t> </w:t>
      </w:r>
      <w:r w:rsidR="000144C8">
        <w:t>2017</w:t>
      </w:r>
      <w:r w:rsidR="00BC1214">
        <w:t xml:space="preserve">), </w:t>
      </w:r>
      <w:r>
        <w:t xml:space="preserve">by colleagues in the </w:t>
      </w:r>
      <w:r w:rsidR="00BC1214">
        <w:t>workplace (</w:t>
      </w:r>
      <w:r w:rsidR="000144C8">
        <w:t>Reavley 2016</w:t>
      </w:r>
      <w:r w:rsidR="00BC1214">
        <w:t xml:space="preserve">) and </w:t>
      </w:r>
      <w:r>
        <w:t xml:space="preserve">by </w:t>
      </w:r>
      <w:r w:rsidR="00BC1214">
        <w:t>healthcare</w:t>
      </w:r>
      <w:r>
        <w:t xml:space="preserve"> professionals</w:t>
      </w:r>
      <w:r w:rsidR="00BC1214">
        <w:t xml:space="preserve"> (</w:t>
      </w:r>
      <w:r w:rsidR="000144C8">
        <w:t>Morgan 2016</w:t>
      </w:r>
      <w:r w:rsidR="00BC1214">
        <w:t>).</w:t>
      </w:r>
    </w:p>
    <w:p w14:paraId="3ACF2668" w14:textId="1EE2498E" w:rsidR="00DF0300" w:rsidRDefault="001F1A0B" w:rsidP="00556063">
      <w:pPr>
        <w:pStyle w:val="ListParagraph"/>
        <w:numPr>
          <w:ilvl w:val="0"/>
          <w:numId w:val="11"/>
        </w:numPr>
        <w:ind w:right="-1078"/>
      </w:pPr>
      <w:r>
        <w:t>‘</w:t>
      </w:r>
      <w:r w:rsidR="008711C0">
        <w:t>A</w:t>
      </w:r>
      <w:r w:rsidR="000144C8">
        <w:t>nswer</w:t>
      </w:r>
      <w:r w:rsidR="008711C0">
        <w:t>ing the C</w:t>
      </w:r>
      <w:r w:rsidR="000144C8">
        <w:t>all</w:t>
      </w:r>
      <w:r>
        <w:t>’</w:t>
      </w:r>
      <w:r w:rsidR="008711C0">
        <w:t xml:space="preserve"> National Survey (BeyondBue, 2018).</w:t>
      </w:r>
    </w:p>
    <w:p w14:paraId="169DF889" w14:textId="361A2848" w:rsidR="00842C2A" w:rsidRDefault="008711C0" w:rsidP="00783C3B">
      <w:pPr>
        <w:pStyle w:val="ListParagraph"/>
        <w:numPr>
          <w:ilvl w:val="0"/>
          <w:numId w:val="11"/>
        </w:numPr>
        <w:ind w:right="-1078"/>
      </w:pPr>
      <w:r>
        <w:t>The Mental Illness Stigma Scale (K</w:t>
      </w:r>
      <w:r w:rsidR="000144C8">
        <w:t>ing et al</w:t>
      </w:r>
      <w:r>
        <w:t>., 2007).</w:t>
      </w:r>
    </w:p>
    <w:p w14:paraId="45755C18" w14:textId="75D69CBA" w:rsidR="00BC1214" w:rsidRDefault="00B92C41" w:rsidP="00556063">
      <w:pPr>
        <w:ind w:right="-1078"/>
      </w:pPr>
      <w:r>
        <w:t xml:space="preserve">The </w:t>
      </w:r>
      <w:r w:rsidR="00316690">
        <w:t xml:space="preserve">following </w:t>
      </w:r>
      <w:r>
        <w:t>vignettes used in this study were adap</w:t>
      </w:r>
      <w:r w:rsidR="00BC6D3C">
        <w:t>ted from the following sources:</w:t>
      </w:r>
    </w:p>
    <w:p w14:paraId="70A5C2A1" w14:textId="36BE670A" w:rsidR="000144C8" w:rsidRDefault="000144C8" w:rsidP="00602B69">
      <w:pPr>
        <w:pStyle w:val="ListParagraph"/>
        <w:numPr>
          <w:ilvl w:val="0"/>
          <w:numId w:val="11"/>
        </w:numPr>
        <w:ind w:right="-1078"/>
      </w:pPr>
      <w:r>
        <w:t>Depression</w:t>
      </w:r>
      <w:r w:rsidR="00B92C41">
        <w:t>, Early Schizophrenia, Long</w:t>
      </w:r>
      <w:r w:rsidR="006657FB">
        <w:t>-</w:t>
      </w:r>
      <w:r w:rsidR="00B92C41">
        <w:t>term Schizophrenia, Social Phobia</w:t>
      </w:r>
      <w:r w:rsidR="00A428C6">
        <w:t xml:space="preserve"> </w:t>
      </w:r>
      <w:r w:rsidR="00B92C41">
        <w:t>(Reavley, 2015)</w:t>
      </w:r>
      <w:r w:rsidR="001F1A0B">
        <w:t>.</w:t>
      </w:r>
    </w:p>
    <w:p w14:paraId="70818ED3" w14:textId="2ADB4098" w:rsidR="000144C8" w:rsidRDefault="000144C8" w:rsidP="00602B69">
      <w:pPr>
        <w:pStyle w:val="CommentText"/>
        <w:numPr>
          <w:ilvl w:val="0"/>
          <w:numId w:val="11"/>
        </w:numPr>
        <w:ind w:right="-1078"/>
      </w:pPr>
      <w:r>
        <w:t>Bipolar</w:t>
      </w:r>
      <w:r w:rsidR="00A428C6">
        <w:t xml:space="preserve"> </w:t>
      </w:r>
      <w:r w:rsidR="00EB459B">
        <w:t>Disorder</w:t>
      </w:r>
      <w:r w:rsidR="00A428C6">
        <w:t xml:space="preserve"> </w:t>
      </w:r>
      <w:r w:rsidR="00EB459B">
        <w:t>(Elison, Mason &amp;</w:t>
      </w:r>
      <w:r w:rsidR="001F1A0B">
        <w:t xml:space="preserve"> </w:t>
      </w:r>
      <w:r w:rsidR="00EB459B">
        <w:t>Scior, 2015)</w:t>
      </w:r>
      <w:r w:rsidR="001F1A0B">
        <w:t>.</w:t>
      </w:r>
      <w:r w:rsidR="00EB459B">
        <w:t xml:space="preserve"> </w:t>
      </w:r>
    </w:p>
    <w:p w14:paraId="5A96C216" w14:textId="3849C509" w:rsidR="000144C8" w:rsidRDefault="000144C8" w:rsidP="00602B69">
      <w:pPr>
        <w:pStyle w:val="CommentText"/>
        <w:numPr>
          <w:ilvl w:val="0"/>
          <w:numId w:val="11"/>
        </w:numPr>
        <w:ind w:right="-1078"/>
      </w:pPr>
      <w:r>
        <w:t>Borderline</w:t>
      </w:r>
      <w:r w:rsidR="00B92C41">
        <w:t xml:space="preserve"> </w:t>
      </w:r>
      <w:r w:rsidR="00314279">
        <w:t>Personality Disorder (Sowislo et al., 2017)</w:t>
      </w:r>
      <w:r w:rsidR="001F1A0B">
        <w:t>.</w:t>
      </w:r>
    </w:p>
    <w:p w14:paraId="68742F74" w14:textId="5670DF86" w:rsidR="00635B86" w:rsidRDefault="00B92C41" w:rsidP="00B03DAE">
      <w:pPr>
        <w:ind w:right="-1078"/>
      </w:pPr>
      <w:r>
        <w:t>To standardise the approach across all vignettes, we did not use a name or gender to describe the person. We presented symptoms consistent with DSM diagnostic criteria and removed extraneous details about their life.</w:t>
      </w:r>
    </w:p>
    <w:p w14:paraId="020723AB" w14:textId="41CD3D99" w:rsidR="00635B86" w:rsidRDefault="00635B86" w:rsidP="00635B86">
      <w:pPr>
        <w:pStyle w:val="Heading2"/>
        <w:ind w:right="-1078"/>
      </w:pPr>
      <w:r>
        <w:t>Appendix B: Glossary</w:t>
      </w:r>
    </w:p>
    <w:p w14:paraId="66F00E44" w14:textId="77777777" w:rsidR="00635B86" w:rsidRPr="009C7435" w:rsidRDefault="00635B86" w:rsidP="00635B86">
      <w:pPr>
        <w:ind w:right="-1078"/>
        <w:rPr>
          <w:rFonts w:cstheme="minorHAnsi"/>
        </w:rPr>
      </w:pPr>
      <w:r>
        <w:rPr>
          <w:rFonts w:cstheme="minorHAnsi"/>
          <w:b/>
        </w:rPr>
        <w:t>S</w:t>
      </w:r>
      <w:r w:rsidRPr="00783C3B">
        <w:rPr>
          <w:rFonts w:cstheme="minorHAnsi"/>
          <w:b/>
        </w:rPr>
        <w:t>tigma</w:t>
      </w:r>
      <w:r w:rsidRPr="009C7435">
        <w:rPr>
          <w:rFonts w:cstheme="minorHAnsi"/>
        </w:rPr>
        <w:t xml:space="preserve"> </w:t>
      </w:r>
      <w:r w:rsidRPr="006050BE">
        <w:rPr>
          <w:rFonts w:cstheme="minorHAnsi"/>
        </w:rPr>
        <w:t xml:space="preserve">– </w:t>
      </w:r>
      <w:r w:rsidRPr="00D4089F">
        <w:t>The disapproval of, or discrimination against, an individual or group based on characteristics that serve to distinguish them from other members of a society. Stigma results from complex social, political and psychological processes and can include negatively stereotyped characteristics, attitudes and responses that are community socialised and/or structural which harm a person’s day-to-day health and wellbeing by excluding, devaluing or shaming them</w:t>
      </w:r>
      <w:r>
        <w:t xml:space="preserve"> (Link &amp; Phelan, 2001)</w:t>
      </w:r>
      <w:r>
        <w:rPr>
          <w:rFonts w:cstheme="minorHAnsi"/>
        </w:rPr>
        <w:t>.</w:t>
      </w:r>
    </w:p>
    <w:p w14:paraId="22603AEC" w14:textId="77777777" w:rsidR="00635B86" w:rsidRPr="00783C3B" w:rsidRDefault="00635B86" w:rsidP="00635B86">
      <w:pPr>
        <w:ind w:right="-1078"/>
        <w:rPr>
          <w:rFonts w:cstheme="minorHAnsi"/>
        </w:rPr>
      </w:pPr>
      <w:r>
        <w:rPr>
          <w:rFonts w:cstheme="minorHAnsi"/>
          <w:b/>
        </w:rPr>
        <w:t>D</w:t>
      </w:r>
      <w:r w:rsidRPr="00783C3B">
        <w:rPr>
          <w:rFonts w:cstheme="minorHAnsi"/>
          <w:b/>
        </w:rPr>
        <w:t>iscrimination</w:t>
      </w:r>
      <w:r w:rsidRPr="009C7435">
        <w:rPr>
          <w:rFonts w:cstheme="minorHAnsi"/>
        </w:rPr>
        <w:t xml:space="preserve"> –</w:t>
      </w:r>
      <w:r w:rsidRPr="00783C3B">
        <w:rPr>
          <w:rFonts w:cstheme="minorHAnsi"/>
        </w:rPr>
        <w:t xml:space="preserve"> </w:t>
      </w:r>
      <w:r>
        <w:t>The unfair or adverse treatment of a person or group of people, often based on stigmatising views about particular characteristics. Unlawful discrimination occurs when it is based on grounds and in an area of public life that are made unlawful by legislation</w:t>
      </w:r>
      <w:r>
        <w:rPr>
          <w:rFonts w:cstheme="minorHAnsi"/>
        </w:rPr>
        <w:t>.</w:t>
      </w:r>
      <w:r w:rsidRPr="00783C3B">
        <w:rPr>
          <w:rFonts w:cstheme="minorHAnsi"/>
        </w:rPr>
        <w:t xml:space="preserve">  </w:t>
      </w:r>
    </w:p>
    <w:p w14:paraId="60C12FA6" w14:textId="77777777" w:rsidR="00635B86" w:rsidRDefault="00635B86" w:rsidP="00635B86">
      <w:pPr>
        <w:ind w:right="-1078"/>
      </w:pPr>
      <w:r w:rsidRPr="00783C3B">
        <w:rPr>
          <w:rFonts w:cstheme="minorHAnsi"/>
          <w:b/>
        </w:rPr>
        <w:lastRenderedPageBreak/>
        <w:t>Public stigma</w:t>
      </w:r>
      <w:r w:rsidRPr="009C7435">
        <w:rPr>
          <w:rFonts w:cstheme="minorHAnsi"/>
        </w:rPr>
        <w:t xml:space="preserve"> –</w:t>
      </w:r>
      <w:r w:rsidRPr="00783C3B">
        <w:rPr>
          <w:rFonts w:cstheme="minorHAnsi"/>
        </w:rPr>
        <w:t xml:space="preserve"> </w:t>
      </w:r>
      <w:r>
        <w:t>N</w:t>
      </w:r>
      <w:r w:rsidRPr="009D7C11">
        <w:t>egative thoughts, feelings and behaviour</w:t>
      </w:r>
      <w:r>
        <w:t>s</w:t>
      </w:r>
      <w:r w:rsidRPr="009D7C11">
        <w:t xml:space="preserve"> held or expressed by individuals towards people who experience mental ill-health</w:t>
      </w:r>
      <w:r>
        <w:t xml:space="preserve"> (</w:t>
      </w:r>
      <w:r w:rsidRPr="007A5529">
        <w:rPr>
          <w:lang w:val="en-US"/>
        </w:rPr>
        <w:t>Council of Australian Governments Health Council</w:t>
      </w:r>
      <w:r>
        <w:rPr>
          <w:lang w:val="en-US"/>
        </w:rPr>
        <w:t>, 2017)</w:t>
      </w:r>
      <w:r w:rsidRPr="009D7C11">
        <w:t>.</w:t>
      </w:r>
      <w:r>
        <w:t xml:space="preserve"> As a result of public stigma, people living with mental ill-health are negatively categorised, othered, and lose status and power in society (Groot, 2021). This leads to widespread discrimination against people with mental ill-health, which limits a range of life opportunities (</w:t>
      </w:r>
      <w:r w:rsidRPr="00E33C09">
        <w:t>Canadian Centre on Substance use and Addiction, 2019)</w:t>
      </w:r>
      <w:r>
        <w:t>.</w:t>
      </w:r>
    </w:p>
    <w:p w14:paraId="6E4DCAD2" w14:textId="77777777" w:rsidR="00635B86" w:rsidRPr="00783C3B" w:rsidRDefault="00635B86" w:rsidP="00635B86">
      <w:pPr>
        <w:ind w:right="-1078"/>
        <w:rPr>
          <w:rFonts w:cstheme="minorHAnsi"/>
        </w:rPr>
      </w:pPr>
      <w:r w:rsidRPr="00783C3B">
        <w:rPr>
          <w:rFonts w:cstheme="minorHAnsi"/>
          <w:b/>
        </w:rPr>
        <w:t>Self-stigma</w:t>
      </w:r>
      <w:r w:rsidRPr="009C7435">
        <w:rPr>
          <w:rFonts w:cstheme="minorHAnsi"/>
        </w:rPr>
        <w:t xml:space="preserve"> –</w:t>
      </w:r>
      <w:r w:rsidRPr="00783C3B">
        <w:rPr>
          <w:rFonts w:cstheme="minorHAnsi"/>
        </w:rPr>
        <w:t xml:space="preserve"> </w:t>
      </w:r>
      <w:r>
        <w:t>T</w:t>
      </w:r>
      <w:r w:rsidRPr="001E23F8">
        <w:t xml:space="preserve">he process in which a person </w:t>
      </w:r>
      <w:r>
        <w:t>with personal lived</w:t>
      </w:r>
      <w:r w:rsidRPr="001E23F8">
        <w:t xml:space="preserve"> experienc</w:t>
      </w:r>
      <w:r>
        <w:t>e</w:t>
      </w:r>
      <w:r w:rsidRPr="001E23F8">
        <w:t xml:space="preserve"> becomes aware of public stigma, agrees with those stereotypes, and internalises them by applying them to the self. The person comes to believe these negative messages or stereotypes about mental ill-health and applies the</w:t>
      </w:r>
      <w:r>
        <w:t>se</w:t>
      </w:r>
      <w:r w:rsidRPr="001E23F8">
        <w:t xml:space="preserve"> to </w:t>
      </w:r>
      <w:r>
        <w:t>themself (Productivity Commission, 2020).</w:t>
      </w:r>
    </w:p>
    <w:p w14:paraId="396ABA20" w14:textId="77777777" w:rsidR="00635B86" w:rsidRDefault="00635B86" w:rsidP="00635B86">
      <w:pPr>
        <w:ind w:right="-1078"/>
      </w:pPr>
      <w:r w:rsidRPr="00783C3B">
        <w:rPr>
          <w:rFonts w:cstheme="minorHAnsi"/>
          <w:b/>
        </w:rPr>
        <w:t>Structural stigma</w:t>
      </w:r>
      <w:r w:rsidRPr="009C7435">
        <w:rPr>
          <w:rFonts w:cstheme="minorHAnsi"/>
        </w:rPr>
        <w:t xml:space="preserve"> –</w:t>
      </w:r>
      <w:r w:rsidRPr="00783C3B">
        <w:rPr>
          <w:rFonts w:cstheme="minorHAnsi"/>
        </w:rPr>
        <w:t xml:space="preserve"> </w:t>
      </w:r>
      <w:r>
        <w:t>When laws, policies, and practices enable unfair treatment of people who experience mental ill-health (Livingston, 2013)</w:t>
      </w:r>
      <w:r w:rsidRPr="00783C3B">
        <w:rPr>
          <w:rFonts w:cstheme="minorHAnsi"/>
        </w:rPr>
        <w:t>.</w:t>
      </w:r>
      <w:r>
        <w:rPr>
          <w:rFonts w:cstheme="minorHAnsi"/>
        </w:rPr>
        <w:t xml:space="preserve"> </w:t>
      </w:r>
      <w:r>
        <w:t>This includes where it is much harder for people who experience mental ill-health to access vital services and to participate in society.</w:t>
      </w:r>
    </w:p>
    <w:p w14:paraId="4E731D63" w14:textId="77777777" w:rsidR="00635B86" w:rsidRDefault="00635B86" w:rsidP="00635B86">
      <w:pPr>
        <w:ind w:right="-1078"/>
      </w:pPr>
      <w:r w:rsidRPr="007E39AC">
        <w:rPr>
          <w:b/>
        </w:rPr>
        <w:t>Perceived stigma</w:t>
      </w:r>
      <w:r>
        <w:t xml:space="preserve"> </w:t>
      </w:r>
      <w:r w:rsidRPr="009C7435">
        <w:rPr>
          <w:rFonts w:cstheme="minorHAnsi"/>
        </w:rPr>
        <w:t>–</w:t>
      </w:r>
      <w:r>
        <w:t xml:space="preserve"> </w:t>
      </w:r>
      <w:r w:rsidRPr="00D4089F">
        <w:rPr>
          <w:rFonts w:eastAsia="Arial" w:cs="Arial"/>
        </w:rPr>
        <w:t>A</w:t>
      </w:r>
      <w:r>
        <w:t xml:space="preserve"> </w:t>
      </w:r>
      <w:r w:rsidRPr="00334C97">
        <w:t>person's awareness or perception that the public holds prejudice, negative views or engages in discriminatory behaviour towards people who experience mental ill-health</w:t>
      </w:r>
      <w:r>
        <w:t>.</w:t>
      </w:r>
    </w:p>
    <w:p w14:paraId="313B4EE9" w14:textId="77777777" w:rsidR="00635B86" w:rsidRDefault="00635B86" w:rsidP="00635B86">
      <w:pPr>
        <w:ind w:right="-1078"/>
      </w:pPr>
      <w:r w:rsidRPr="007E39AC">
        <w:rPr>
          <w:b/>
        </w:rPr>
        <w:t>Anticipated stigma</w:t>
      </w:r>
      <w:r>
        <w:t xml:space="preserve"> – A </w:t>
      </w:r>
      <w:r w:rsidRPr="00334C97">
        <w:t>fear that prejudice, discrimination and stereotyping will be directed at the self from others in the future. The experience of perceived stigma is central to anticipated stigma, and often results in withdrawal from opportunities.</w:t>
      </w:r>
    </w:p>
    <w:p w14:paraId="4B4F025B" w14:textId="77777777" w:rsidR="00635B86" w:rsidRDefault="00635B86" w:rsidP="00635B86">
      <w:pPr>
        <w:ind w:right="-1078"/>
        <w:rPr>
          <w:rFonts w:cstheme="minorHAnsi"/>
        </w:rPr>
      </w:pPr>
      <w:r w:rsidRPr="007E39AC">
        <w:rPr>
          <w:rFonts w:eastAsia="Arial" w:cs="Arial"/>
          <w:b/>
        </w:rPr>
        <w:t>Associated stigma</w:t>
      </w:r>
      <w:r>
        <w:rPr>
          <w:rFonts w:eastAsia="Arial" w:cs="Arial"/>
        </w:rPr>
        <w:t xml:space="preserve"> – </w:t>
      </w:r>
      <w:r w:rsidRPr="00D4089F">
        <w:rPr>
          <w:rFonts w:eastAsia="Arial" w:cs="Arial"/>
        </w:rPr>
        <w:t>Stigma by association involves disapproval towards those who associate with people whose experiences are stigmatised. It can affect family, friends, carers, support people and health workers.</w:t>
      </w:r>
    </w:p>
    <w:p w14:paraId="311A425D" w14:textId="77777777" w:rsidR="00635B86" w:rsidRDefault="00635B86" w:rsidP="00635B86">
      <w:pPr>
        <w:ind w:right="-1078"/>
        <w:rPr>
          <w:rFonts w:cstheme="minorHAnsi"/>
          <w:b/>
        </w:rPr>
      </w:pPr>
      <w:r>
        <w:rPr>
          <w:rFonts w:cstheme="minorHAnsi"/>
          <w:b/>
        </w:rPr>
        <w:t>Mental ill-health</w:t>
      </w:r>
      <w:r w:rsidRPr="00F56C17">
        <w:rPr>
          <w:rFonts w:cstheme="minorHAnsi"/>
        </w:rPr>
        <w:t xml:space="preserve"> –</w:t>
      </w:r>
      <w:r>
        <w:rPr>
          <w:rFonts w:cstheme="minorHAnsi"/>
        </w:rPr>
        <w:t xml:space="preserve"> </w:t>
      </w:r>
      <w:r w:rsidRPr="00D4089F">
        <w:t>Mental ill-health is an umbrella term to describe experiences of psychological distress</w:t>
      </w:r>
      <w:r w:rsidRPr="002D67DF">
        <w:t xml:space="preserve"> or mental illness, including experiences of trauma, suicidality, and </w:t>
      </w:r>
      <w:r>
        <w:t>alcohol and other drug issues</w:t>
      </w:r>
      <w:r w:rsidRPr="002D67DF">
        <w:t>.</w:t>
      </w:r>
      <w:r w:rsidRPr="00D4089F">
        <w:t xml:space="preserve"> In defining mental ill</w:t>
      </w:r>
      <w:r w:rsidRPr="002D67DF">
        <w:t>-</w:t>
      </w:r>
      <w:r w:rsidRPr="00D4089F">
        <w:t>health in this way, we acknowledge that some individuals may have experiences which meet this definition, but do not describe them in this way</w:t>
      </w:r>
      <w:r>
        <w:t xml:space="preserve"> (see Language matters).</w:t>
      </w:r>
    </w:p>
    <w:p w14:paraId="5770B370" w14:textId="77777777" w:rsidR="00635B86" w:rsidRDefault="00635B86" w:rsidP="00635B86">
      <w:pPr>
        <w:keepNext/>
        <w:keepLines/>
        <w:ind w:right="-1077"/>
        <w:rPr>
          <w:rFonts w:cstheme="minorHAnsi"/>
        </w:rPr>
      </w:pPr>
      <w:r w:rsidRPr="00783C3B">
        <w:rPr>
          <w:rFonts w:cstheme="minorHAnsi"/>
          <w:b/>
        </w:rPr>
        <w:t>Mental health problem</w:t>
      </w:r>
      <w:r>
        <w:rPr>
          <w:rFonts w:cstheme="minorHAnsi"/>
        </w:rPr>
        <w:t xml:space="preserve"> </w:t>
      </w:r>
      <w:r w:rsidRPr="006050BE">
        <w:rPr>
          <w:rFonts w:cstheme="minorHAnsi"/>
        </w:rPr>
        <w:t>–</w:t>
      </w:r>
      <w:r>
        <w:rPr>
          <w:rFonts w:cstheme="minorHAnsi"/>
        </w:rPr>
        <w:t xml:space="preserve"> Mental health problem refers to a specific instance of mental ill-health. Within the survey, we provided the following definition to respondents:</w:t>
      </w:r>
    </w:p>
    <w:p w14:paraId="19A0BEBC" w14:textId="77777777" w:rsidR="00635B86" w:rsidRPr="00F56C17" w:rsidRDefault="00635B86" w:rsidP="00635B86">
      <w:pPr>
        <w:keepNext/>
        <w:keepLines/>
        <w:ind w:left="720" w:right="-1077"/>
        <w:rPr>
          <w:rFonts w:cstheme="minorHAnsi"/>
          <w:i/>
        </w:rPr>
      </w:pPr>
      <w:r w:rsidRPr="00F56C17">
        <w:rPr>
          <w:rFonts w:cstheme="minorHAnsi"/>
          <w:i/>
        </w:rPr>
        <w:t xml:space="preserve">“By a ‘mental health problem’ we mean a problem that affects how you think, feel, behave, or interact with other people, and generally lasts at least several weeks. </w:t>
      </w:r>
    </w:p>
    <w:p w14:paraId="46C1ED1E" w14:textId="77777777" w:rsidR="00635B86" w:rsidRPr="00F56C17" w:rsidRDefault="00635B86" w:rsidP="00635B86">
      <w:pPr>
        <w:keepNext/>
        <w:keepLines/>
        <w:ind w:left="720" w:right="-1077"/>
        <w:rPr>
          <w:rFonts w:cstheme="minorHAnsi"/>
          <w:i/>
        </w:rPr>
      </w:pPr>
      <w:r w:rsidRPr="00F56C17">
        <w:rPr>
          <w:rFonts w:cstheme="minorHAnsi"/>
          <w:i/>
        </w:rPr>
        <w:t>Mental health problems could include, for example, depression, anxiety disorders, eating disorders, schizophrenia, bipolar disorder, or personality disorders.”</w:t>
      </w:r>
    </w:p>
    <w:p w14:paraId="18B261EE" w14:textId="77777777" w:rsidR="00635B86" w:rsidRDefault="00635B86" w:rsidP="00635B86">
      <w:pPr>
        <w:spacing w:after="120" w:line="240" w:lineRule="auto"/>
        <w:ind w:right="-1078"/>
      </w:pPr>
      <w:r>
        <w:rPr>
          <w:rFonts w:cstheme="minorHAnsi"/>
          <w:b/>
        </w:rPr>
        <w:t xml:space="preserve">Lived or living experience of mental ill-health </w:t>
      </w:r>
      <w:r w:rsidRPr="006050BE">
        <w:rPr>
          <w:rFonts w:cstheme="minorHAnsi"/>
        </w:rPr>
        <w:t>–</w:t>
      </w:r>
      <w:r>
        <w:rPr>
          <w:rFonts w:cstheme="minorHAnsi"/>
        </w:rPr>
        <w:t xml:space="preserve"> </w:t>
      </w:r>
      <w:r w:rsidRPr="00B869EF">
        <w:t>People with lived experience identify either as someone who is living with (</w:t>
      </w:r>
      <w:r w:rsidRPr="00481E64">
        <w:t xml:space="preserve">or </w:t>
      </w:r>
      <w:r w:rsidRPr="00B869EF">
        <w:t>has lived with)</w:t>
      </w:r>
      <w:r w:rsidRPr="00481E64">
        <w:t xml:space="preserve"> mental </w:t>
      </w:r>
      <w:r w:rsidRPr="00B869EF">
        <w:t>illness or psychological distress</w:t>
      </w:r>
      <w:r>
        <w:t>.</w:t>
      </w:r>
      <w:r w:rsidRPr="00481E64">
        <w:t xml:space="preserve"> </w:t>
      </w:r>
    </w:p>
    <w:p w14:paraId="0E63ACA0" w14:textId="77777777" w:rsidR="00635B86" w:rsidRDefault="00635B86" w:rsidP="00635B86">
      <w:pPr>
        <w:ind w:right="-1078"/>
        <w:rPr>
          <w:rFonts w:cstheme="minorHAnsi"/>
          <w:b/>
        </w:rPr>
      </w:pPr>
      <w:r w:rsidRPr="00481E64">
        <w:t>For Aboriginal and Torres Strait Islander people, lived experience recognises the social and emotional wellbeing of Aboriginal and Torres Strait Islander peoples. It encompasses the cultural, spiritual, physical, emotional and mental wellbeing of the individual, family or community.</w:t>
      </w:r>
    </w:p>
    <w:p w14:paraId="20E21C57" w14:textId="7EB191C4" w:rsidR="00635B86" w:rsidRDefault="00635B86" w:rsidP="00635B86">
      <w:pPr>
        <w:ind w:right="-1078"/>
        <w:rPr>
          <w:rFonts w:cstheme="minorHAnsi"/>
        </w:rPr>
      </w:pPr>
      <w:r>
        <w:rPr>
          <w:rFonts w:cstheme="minorHAnsi"/>
          <w:b/>
        </w:rPr>
        <w:t>Carer or s</w:t>
      </w:r>
      <w:r w:rsidRPr="00783C3B">
        <w:rPr>
          <w:rFonts w:cstheme="minorHAnsi"/>
          <w:b/>
        </w:rPr>
        <w:t>upport person</w:t>
      </w:r>
      <w:r>
        <w:rPr>
          <w:rFonts w:cstheme="minorHAnsi"/>
        </w:rPr>
        <w:t xml:space="preserve"> </w:t>
      </w:r>
      <w:r w:rsidRPr="006050BE">
        <w:rPr>
          <w:rFonts w:cstheme="minorHAnsi"/>
        </w:rPr>
        <w:t>–</w:t>
      </w:r>
      <w:r>
        <w:rPr>
          <w:rFonts w:cstheme="minorHAnsi"/>
        </w:rPr>
        <w:t xml:space="preserve"> </w:t>
      </w:r>
      <w:r w:rsidRPr="00D4089F">
        <w:rPr>
          <w:rFonts w:eastAsia="Roboto-Light"/>
        </w:rPr>
        <w:t>A person who plays a vital role in supporting a person experiencing mental ill-health. They provide emotional or practical support. They may be a parent of someone with mental ill-health, or an adult caring for a partner, parent, sibling, other family, kinship group member or friend, or a child who looks after a family member with mental ill-heal</w:t>
      </w:r>
      <w:r w:rsidR="00D037E4">
        <w:rPr>
          <w:rFonts w:eastAsia="Roboto-Light"/>
        </w:rPr>
        <w:t>th, such as a parent or sibling</w:t>
      </w:r>
      <w:r w:rsidR="00D037E4">
        <w:rPr>
          <w:rFonts w:cstheme="minorHAnsi"/>
        </w:rPr>
        <w:t xml:space="preserve">. </w:t>
      </w:r>
      <w:r>
        <w:rPr>
          <w:rFonts w:cstheme="minorHAnsi"/>
        </w:rPr>
        <w:t>Within the survey, we provided the following definition to respondents:</w:t>
      </w:r>
    </w:p>
    <w:p w14:paraId="1D660183" w14:textId="77777777" w:rsidR="00635B86" w:rsidRPr="00FC5F35" w:rsidRDefault="00635B86" w:rsidP="00635B86">
      <w:pPr>
        <w:ind w:left="720" w:right="-1078"/>
        <w:rPr>
          <w:rFonts w:cstheme="minorHAnsi"/>
          <w:i/>
        </w:rPr>
      </w:pPr>
      <w:r w:rsidRPr="00F56C17">
        <w:rPr>
          <w:rFonts w:cstheme="minorHAnsi"/>
          <w:i/>
        </w:rPr>
        <w:t>“You are considered a support person if you provide emotional or practical support to help a person living with a mental health problem. You may be supporting or caring for a parent, child, partner, friend or other important person in your life with a mental health problem. Or you could be supporting someone in the workplace or another similar setting”.</w:t>
      </w:r>
    </w:p>
    <w:p w14:paraId="26024091" w14:textId="77777777" w:rsidR="00635B86" w:rsidRPr="007C398A" w:rsidRDefault="00635B86" w:rsidP="007C398A">
      <w:pPr>
        <w:ind w:right="-1078"/>
        <w:rPr>
          <w:rFonts w:eastAsia="Roboto-Light"/>
        </w:rPr>
      </w:pPr>
      <w:r w:rsidRPr="008F56B7">
        <w:rPr>
          <w:b/>
        </w:rPr>
        <w:lastRenderedPageBreak/>
        <w:t>LGBTIQA+</w:t>
      </w:r>
      <w:r>
        <w:t xml:space="preserve"> </w:t>
      </w:r>
      <w:r w:rsidRPr="006050BE">
        <w:rPr>
          <w:rFonts w:cstheme="minorHAnsi"/>
        </w:rPr>
        <w:t>–</w:t>
      </w:r>
      <w:r>
        <w:t xml:space="preserve"> </w:t>
      </w:r>
      <w:r w:rsidRPr="007C398A">
        <w:rPr>
          <w:rFonts w:eastAsia="Roboto-Light"/>
        </w:rPr>
        <w:t>An acronym that is a way of referring collectively to people who are lesbian, gay, bisexual, transgender, gender diverse, intersex, queer, or questioning, asexual and those who have other diverse experiences regarding sexual orientation, gender and sex characteristics.</w:t>
      </w:r>
    </w:p>
    <w:p w14:paraId="55514FCD" w14:textId="77777777" w:rsidR="00635B86" w:rsidRPr="007C398A" w:rsidRDefault="00635B86" w:rsidP="007C398A">
      <w:pPr>
        <w:ind w:right="-1078"/>
        <w:rPr>
          <w:rFonts w:eastAsia="Roboto-Light"/>
        </w:rPr>
      </w:pPr>
      <w:r w:rsidRPr="007C398A">
        <w:rPr>
          <w:rFonts w:eastAsia="Roboto-Light"/>
        </w:rPr>
        <w:br w:type="page"/>
      </w:r>
    </w:p>
    <w:p w14:paraId="0CCD8BA8" w14:textId="413256CD" w:rsidR="00C8336A" w:rsidRDefault="00C8336A" w:rsidP="00C8336A">
      <w:pPr>
        <w:pStyle w:val="Heading2"/>
        <w:ind w:right="-1078"/>
      </w:pPr>
      <w:r>
        <w:lastRenderedPageBreak/>
        <w:t>Appendix C: References</w:t>
      </w:r>
    </w:p>
    <w:p w14:paraId="44736F3E" w14:textId="3212BBED" w:rsidR="00C8336A" w:rsidRDefault="00C8336A" w:rsidP="00C8336A">
      <w:pPr>
        <w:ind w:right="-1078"/>
        <w:rPr>
          <w:lang w:val="en-US"/>
        </w:rPr>
      </w:pPr>
      <w:r w:rsidRPr="00B127EA">
        <w:rPr>
          <w:lang w:val="en-US"/>
        </w:rPr>
        <w:t>Australian Bureau of Statistics (</w:t>
      </w:r>
      <w:r>
        <w:rPr>
          <w:lang w:val="en-US"/>
        </w:rPr>
        <w:t>2021</w:t>
      </w:r>
      <w:r w:rsidRPr="00B127EA">
        <w:rPr>
          <w:lang w:val="en-US"/>
        </w:rPr>
        <w:t>) </w:t>
      </w:r>
      <w:r>
        <w:rPr>
          <w:lang w:val="en-US"/>
        </w:rPr>
        <w:t xml:space="preserve">‘National, state and territory population' </w:t>
      </w:r>
      <w:r w:rsidR="005B5B2A">
        <w:rPr>
          <w:lang w:val="en-US"/>
        </w:rPr>
        <w:t>[Internet], cited</w:t>
      </w:r>
      <w:r w:rsidRPr="00B127EA">
        <w:rPr>
          <w:lang w:val="en-US"/>
        </w:rPr>
        <w:t xml:space="preserve"> </w:t>
      </w:r>
      <w:r>
        <w:rPr>
          <w:lang w:val="en-US"/>
        </w:rPr>
        <w:t>26 April</w:t>
      </w:r>
      <w:r w:rsidRPr="00B127EA">
        <w:rPr>
          <w:lang w:val="en-US"/>
        </w:rPr>
        <w:t xml:space="preserve"> </w:t>
      </w:r>
      <w:r>
        <w:rPr>
          <w:lang w:val="en-US"/>
        </w:rPr>
        <w:t>2022</w:t>
      </w:r>
      <w:r w:rsidR="005B5B2A">
        <w:rPr>
          <w:lang w:val="en-US"/>
        </w:rPr>
        <w:t xml:space="preserve">. Available from: </w:t>
      </w:r>
      <w:hyperlink r:id="rId38" w:history="1">
        <w:r w:rsidR="005B5B2A" w:rsidRPr="000A6094">
          <w:rPr>
            <w:rStyle w:val="Hyperlink"/>
            <w:color w:val="117479" w:themeColor="accent2"/>
            <w:lang w:val="en-US"/>
          </w:rPr>
          <w:t>www.abs.gov.au</w:t>
        </w:r>
      </w:hyperlink>
      <w:r w:rsidR="005B5B2A">
        <w:rPr>
          <w:lang w:val="en-US"/>
        </w:rPr>
        <w:t>.</w:t>
      </w:r>
    </w:p>
    <w:p w14:paraId="1B7F74BE" w14:textId="77777777" w:rsidR="00C8336A" w:rsidRDefault="00C8336A" w:rsidP="00C8336A">
      <w:pPr>
        <w:ind w:right="-1078"/>
        <w:rPr>
          <w:lang w:val="en-US"/>
        </w:rPr>
      </w:pPr>
      <w:r w:rsidRPr="00891CA6">
        <w:rPr>
          <w:lang w:val="en-US"/>
        </w:rPr>
        <w:t xml:space="preserve">Beyond Blue Ltd. (2018). </w:t>
      </w:r>
      <w:r>
        <w:rPr>
          <w:lang w:val="en-US"/>
        </w:rPr>
        <w:t>‘</w:t>
      </w:r>
      <w:r w:rsidRPr="00891CA6">
        <w:rPr>
          <w:lang w:val="en-US"/>
        </w:rPr>
        <w:t>Answering the call</w:t>
      </w:r>
      <w:r>
        <w:rPr>
          <w:lang w:val="en-US"/>
        </w:rPr>
        <w:t>’</w:t>
      </w:r>
      <w:r w:rsidRPr="00891CA6">
        <w:rPr>
          <w:lang w:val="en-US"/>
        </w:rPr>
        <w:t xml:space="preserve"> national survey, National Mental Health and Wellbeing Study of Police and Emer</w:t>
      </w:r>
      <w:r>
        <w:rPr>
          <w:lang w:val="en-US"/>
        </w:rPr>
        <w:t>gency Services – Final report.</w:t>
      </w:r>
    </w:p>
    <w:p w14:paraId="03AE60FD" w14:textId="77777777" w:rsidR="00C8336A" w:rsidRDefault="00C8336A" w:rsidP="00C8336A">
      <w:pPr>
        <w:ind w:right="-1078"/>
        <w:rPr>
          <w:lang w:val="en-US"/>
        </w:rPr>
      </w:pPr>
      <w:r>
        <w:rPr>
          <w:lang w:val="en-US"/>
        </w:rPr>
        <w:t>Butterfly Foundation. (2021). Community Insights Research. Butterfly Foundation. Sydney, NSW.</w:t>
      </w:r>
    </w:p>
    <w:p w14:paraId="53CB73B8" w14:textId="77777777" w:rsidR="00C8336A" w:rsidRPr="00891CA6" w:rsidRDefault="00C8336A" w:rsidP="00C8336A">
      <w:pPr>
        <w:ind w:right="-1078"/>
        <w:rPr>
          <w:lang w:val="en-US"/>
        </w:rPr>
      </w:pPr>
      <w:r w:rsidRPr="00AA6335">
        <w:rPr>
          <w:lang w:val="en-US"/>
        </w:rPr>
        <w:t>Canadian Centre on Substance use and Addiction. Overcoming stigma through language: a primer. 2019.</w:t>
      </w:r>
    </w:p>
    <w:p w14:paraId="3F234152" w14:textId="77777777" w:rsidR="00C8336A" w:rsidRDefault="00C8336A" w:rsidP="00C8336A">
      <w:pPr>
        <w:ind w:right="-1078"/>
        <w:rPr>
          <w:lang w:val="en-US"/>
        </w:rPr>
      </w:pPr>
      <w:r w:rsidRPr="00891CA6">
        <w:rPr>
          <w:lang w:val="en-US"/>
        </w:rPr>
        <w:t xml:space="preserve">Cooper, A., Corrigan, P.W., &amp; Watson, A.C. (2003). Mental illness stigma and care seeking. </w:t>
      </w:r>
      <w:r w:rsidRPr="00891CA6">
        <w:rPr>
          <w:i/>
          <w:lang w:val="en-US"/>
        </w:rPr>
        <w:t>Journal of Nervous and Mental Disease</w:t>
      </w:r>
      <w:r w:rsidRPr="00891CA6">
        <w:rPr>
          <w:lang w:val="en-US"/>
        </w:rPr>
        <w:t>, 191, 339-341.</w:t>
      </w:r>
    </w:p>
    <w:p w14:paraId="468DBAB5" w14:textId="77777777" w:rsidR="00C8336A" w:rsidRDefault="00C8336A" w:rsidP="00C8336A">
      <w:pPr>
        <w:ind w:right="-1078"/>
        <w:rPr>
          <w:lang w:val="en-US"/>
        </w:rPr>
      </w:pPr>
      <w:r w:rsidRPr="007A5529">
        <w:rPr>
          <w:lang w:val="en-US"/>
        </w:rPr>
        <w:t>Council of Australian Governments Health Council. The Fifth National Mental Health and Suicide Prevention Plan. Canberra: Australian Government Department of Health, 2017</w:t>
      </w:r>
    </w:p>
    <w:p w14:paraId="46409C60" w14:textId="77777777" w:rsidR="00C8336A" w:rsidRPr="00EB459B" w:rsidRDefault="00C8336A" w:rsidP="00C8336A">
      <w:pPr>
        <w:ind w:right="-1078"/>
        <w:rPr>
          <w:lang w:val="en-US"/>
        </w:rPr>
      </w:pPr>
      <w:r w:rsidRPr="00EB459B">
        <w:rPr>
          <w:lang w:val="en-US"/>
        </w:rPr>
        <w:t xml:space="preserve">Ellison N, Mason O, Scior K. </w:t>
      </w:r>
      <w:r>
        <w:rPr>
          <w:lang w:val="en-US"/>
        </w:rPr>
        <w:t xml:space="preserve">(2015). </w:t>
      </w:r>
      <w:r w:rsidRPr="00EB459B">
        <w:rPr>
          <w:lang w:val="en-US"/>
        </w:rPr>
        <w:t>Public beliefs about and attitudes towards bipolar disorder: testing t</w:t>
      </w:r>
      <w:r>
        <w:rPr>
          <w:lang w:val="en-US"/>
        </w:rPr>
        <w:t xml:space="preserve">heory based models of stigma. </w:t>
      </w:r>
      <w:r w:rsidRPr="006050BE">
        <w:rPr>
          <w:i/>
          <w:lang w:val="en-US"/>
        </w:rPr>
        <w:t>Journal of Affective Disorders</w:t>
      </w:r>
      <w:r>
        <w:rPr>
          <w:lang w:val="en-US"/>
        </w:rPr>
        <w:t xml:space="preserve">, </w:t>
      </w:r>
      <w:r w:rsidRPr="00EB459B">
        <w:rPr>
          <w:lang w:val="en-US"/>
        </w:rPr>
        <w:t>175:116-23.</w:t>
      </w:r>
    </w:p>
    <w:p w14:paraId="37BBFAEC" w14:textId="77777777" w:rsidR="00C8336A" w:rsidRPr="00891CA6" w:rsidRDefault="00C8336A" w:rsidP="00C8336A">
      <w:pPr>
        <w:ind w:right="-1078"/>
        <w:rPr>
          <w:lang w:val="en-US"/>
        </w:rPr>
      </w:pPr>
      <w:r w:rsidRPr="00891CA6">
        <w:rPr>
          <w:lang w:val="en-US"/>
        </w:rPr>
        <w:t xml:space="preserve">Griffiths, K.M., Christensen, H., &amp; Jorm, A.F. </w:t>
      </w:r>
      <w:r>
        <w:rPr>
          <w:lang w:val="en-US"/>
        </w:rPr>
        <w:t xml:space="preserve">(2008). </w:t>
      </w:r>
      <w:r w:rsidRPr="00891CA6">
        <w:rPr>
          <w:lang w:val="en-US"/>
        </w:rPr>
        <w:t xml:space="preserve">Predictors of depression stigma. </w:t>
      </w:r>
      <w:r w:rsidRPr="00891CA6">
        <w:rPr>
          <w:i/>
          <w:lang w:val="en-US"/>
        </w:rPr>
        <w:t>BMC Psychiatry</w:t>
      </w:r>
      <w:r w:rsidRPr="00891CA6">
        <w:rPr>
          <w:lang w:val="en-US"/>
        </w:rPr>
        <w:t>; 8:25.</w:t>
      </w:r>
    </w:p>
    <w:p w14:paraId="419606BA" w14:textId="77777777" w:rsidR="00C8336A" w:rsidRDefault="00C8336A" w:rsidP="00C8336A">
      <w:pPr>
        <w:ind w:right="-1078"/>
        <w:rPr>
          <w:lang w:val="en-US"/>
        </w:rPr>
      </w:pPr>
      <w:r w:rsidRPr="00891CA6">
        <w:rPr>
          <w:lang w:val="en-US"/>
        </w:rPr>
        <w:t>Griffiths, K. (2014). Consumer and carer experiences of stigma from mental health and other health professionals. Openresearch-repository.anu.edu.au.</w:t>
      </w:r>
    </w:p>
    <w:p w14:paraId="338CE2FD" w14:textId="77777777" w:rsidR="00C8336A" w:rsidRPr="00891CA6" w:rsidRDefault="00C8336A" w:rsidP="00C8336A">
      <w:pPr>
        <w:ind w:right="-1078"/>
        <w:rPr>
          <w:lang w:val="en-US"/>
        </w:rPr>
      </w:pPr>
      <w:r w:rsidRPr="00AA6335">
        <w:rPr>
          <w:lang w:val="en-US"/>
        </w:rPr>
        <w:t xml:space="preserve">Groot C. </w:t>
      </w:r>
      <w:r>
        <w:rPr>
          <w:lang w:val="en-US"/>
        </w:rPr>
        <w:t xml:space="preserve">(2021). </w:t>
      </w:r>
      <w:r w:rsidRPr="00AA6335">
        <w:rPr>
          <w:lang w:val="en-US"/>
        </w:rPr>
        <w:t>Understanding how to address public stigma about mental ill-health. A report prepared for the National Mental Health Commission, to inform the National Stigma and Discrimination Reduction Strategy</w:t>
      </w:r>
      <w:r>
        <w:rPr>
          <w:lang w:val="en-US"/>
        </w:rPr>
        <w:t>.</w:t>
      </w:r>
    </w:p>
    <w:p w14:paraId="3EECE072" w14:textId="77777777" w:rsidR="00C8336A" w:rsidRPr="00891CA6" w:rsidRDefault="00C8336A" w:rsidP="00C8336A">
      <w:pPr>
        <w:ind w:right="-1078"/>
        <w:rPr>
          <w:lang w:val="en-US"/>
        </w:rPr>
      </w:pPr>
      <w:r w:rsidRPr="00891CA6">
        <w:rPr>
          <w:lang w:val="en-US"/>
        </w:rPr>
        <w:t xml:space="preserve">Groot, C, Rehm, I, Andrews, C, Hobern, B, Morgan, R, Green, H, Sweeney, L, </w:t>
      </w:r>
      <w:r>
        <w:rPr>
          <w:lang w:val="en-US"/>
        </w:rPr>
        <w:t>&amp;</w:t>
      </w:r>
      <w:r w:rsidRPr="00891CA6">
        <w:rPr>
          <w:lang w:val="en-US"/>
        </w:rPr>
        <w:t xml:space="preserve"> Blanchard, M (2020). Report on Findings from the Our Turn to Speak Survey: Understanding the impact of stigma and discrimination on people living with complex mental health issues. Anne Deveson Research Centre, SANE Australia. Melbourne.</w:t>
      </w:r>
    </w:p>
    <w:p w14:paraId="206B5BC5" w14:textId="77777777" w:rsidR="00C8336A" w:rsidRPr="007302E3" w:rsidRDefault="00C8336A" w:rsidP="00C8336A">
      <w:pPr>
        <w:ind w:right="-1078"/>
        <w:rPr>
          <w:lang w:val="en-US"/>
        </w:rPr>
      </w:pPr>
      <w:r w:rsidRPr="00891CA6">
        <w:rPr>
          <w:lang w:val="en-US"/>
        </w:rPr>
        <w:t xml:space="preserve">King, M., Dinos, S., Shaw, J., Watson, R., Stevens, S., Passetti, </w:t>
      </w:r>
      <w:r>
        <w:rPr>
          <w:lang w:val="en-US"/>
        </w:rPr>
        <w:t xml:space="preserve">&amp; </w:t>
      </w:r>
      <w:r w:rsidRPr="00891CA6">
        <w:rPr>
          <w:lang w:val="en-US"/>
        </w:rPr>
        <w:t>F.</w:t>
      </w:r>
      <w:r>
        <w:rPr>
          <w:lang w:val="en-US"/>
        </w:rPr>
        <w:t xml:space="preserve">, Weich, S. &amp; </w:t>
      </w:r>
      <w:r w:rsidRPr="00891CA6">
        <w:rPr>
          <w:lang w:val="en-US"/>
        </w:rPr>
        <w:t>Serfaty, M. (2007). The Stigma Scale: Development of a standardised measure of the stigma of mental illness. </w:t>
      </w:r>
      <w:r w:rsidRPr="00891CA6">
        <w:rPr>
          <w:i/>
          <w:lang w:val="en-US"/>
        </w:rPr>
        <w:t>British Journal of Psychiatry</w:t>
      </w:r>
      <w:r w:rsidRPr="00891CA6">
        <w:rPr>
          <w:lang w:val="en-US"/>
        </w:rPr>
        <w:t>, 190(3), 248-254. doi:10.1192/bjp.bp.106.024638</w:t>
      </w:r>
      <w:r>
        <w:rPr>
          <w:lang w:val="en-US"/>
        </w:rPr>
        <w:t>.</w:t>
      </w:r>
    </w:p>
    <w:p w14:paraId="51AC4CB0" w14:textId="77777777" w:rsidR="00C8336A" w:rsidRDefault="00C8336A" w:rsidP="00C8336A">
      <w:pPr>
        <w:ind w:right="-1077"/>
      </w:pPr>
      <w:r w:rsidRPr="005E7906">
        <w:t>Link, B. G., Phelan, J. C., Bresnahan, M., Stueve, A., &amp; Pescosolido, B. A. (1999). Public conceptions of mental illness: labels, causes, dangerousness, and social distance. </w:t>
      </w:r>
      <w:r w:rsidRPr="005E7906">
        <w:rPr>
          <w:i/>
        </w:rPr>
        <w:t>American</w:t>
      </w:r>
      <w:r>
        <w:rPr>
          <w:i/>
        </w:rPr>
        <w:t xml:space="preserve"> J</w:t>
      </w:r>
      <w:r w:rsidRPr="005E7906">
        <w:rPr>
          <w:i/>
        </w:rPr>
        <w:t xml:space="preserve">ournal of </w:t>
      </w:r>
      <w:r>
        <w:rPr>
          <w:i/>
        </w:rPr>
        <w:t>P</w:t>
      </w:r>
      <w:r w:rsidRPr="005E7906">
        <w:rPr>
          <w:i/>
        </w:rPr>
        <w:t xml:space="preserve">ublic </w:t>
      </w:r>
      <w:r>
        <w:rPr>
          <w:i/>
        </w:rPr>
        <w:t>H</w:t>
      </w:r>
      <w:r w:rsidRPr="005E7906">
        <w:rPr>
          <w:i/>
        </w:rPr>
        <w:t>ealth</w:t>
      </w:r>
      <w:r w:rsidRPr="005E7906">
        <w:t>, 89(9), 1328-1333.</w:t>
      </w:r>
    </w:p>
    <w:p w14:paraId="5A06D7A6" w14:textId="77777777" w:rsidR="00C8336A" w:rsidRDefault="00C8336A" w:rsidP="00C8336A">
      <w:pPr>
        <w:ind w:right="-1077"/>
      </w:pPr>
      <w:r w:rsidRPr="007A5529">
        <w:t>Link B</w:t>
      </w:r>
      <w:r>
        <w:t xml:space="preserve">. </w:t>
      </w:r>
      <w:r w:rsidRPr="007A5529">
        <w:t>G</w:t>
      </w:r>
      <w:r>
        <w:t>.</w:t>
      </w:r>
      <w:r w:rsidRPr="007A5529">
        <w:t>, Phelan, J</w:t>
      </w:r>
      <w:r>
        <w:t xml:space="preserve">. </w:t>
      </w:r>
      <w:r w:rsidRPr="007A5529">
        <w:t>C</w:t>
      </w:r>
      <w:r>
        <w:t>. (2001)</w:t>
      </w:r>
      <w:r w:rsidRPr="007A5529">
        <w:t xml:space="preserve"> Conceptualizing Stigma. </w:t>
      </w:r>
      <w:r w:rsidRPr="007A5529">
        <w:rPr>
          <w:i/>
        </w:rPr>
        <w:t>Annual Review of Sociology</w:t>
      </w:r>
      <w:r>
        <w:t xml:space="preserve">; </w:t>
      </w:r>
      <w:r w:rsidRPr="007A5529">
        <w:t>27(1):363–385</w:t>
      </w:r>
      <w:r>
        <w:t>.</w:t>
      </w:r>
    </w:p>
    <w:p w14:paraId="538BE1BB" w14:textId="77777777" w:rsidR="00C8336A" w:rsidRPr="00AA6335" w:rsidRDefault="00C8336A" w:rsidP="00C8336A">
      <w:pPr>
        <w:ind w:right="-1078"/>
        <w:rPr>
          <w:lang w:val="en-US"/>
        </w:rPr>
      </w:pPr>
      <w:r w:rsidRPr="00AA6335">
        <w:rPr>
          <w:lang w:val="en-US"/>
        </w:rPr>
        <w:t xml:space="preserve">Livingston JD. </w:t>
      </w:r>
      <w:r>
        <w:rPr>
          <w:lang w:val="en-US"/>
        </w:rPr>
        <w:t xml:space="preserve">(2013). </w:t>
      </w:r>
      <w:r w:rsidRPr="00AA6335">
        <w:rPr>
          <w:lang w:val="en-US"/>
        </w:rPr>
        <w:t>Mental illness-related structural stigma: The downward spiral of systemic exclusion [Internet]. Calgary, Alberta: Mental Health Commission of Can</w:t>
      </w:r>
      <w:r>
        <w:rPr>
          <w:lang w:val="en-US"/>
        </w:rPr>
        <w:t>ada;</w:t>
      </w:r>
      <w:r w:rsidRPr="00AA6335">
        <w:rPr>
          <w:lang w:val="en-US"/>
        </w:rPr>
        <w:t xml:space="preserve"> [cited 10 March 2022]. Available from: www.mentalhealthcommission.ca.</w:t>
      </w:r>
    </w:p>
    <w:p w14:paraId="385FA863" w14:textId="77777777" w:rsidR="00C8336A" w:rsidRPr="007302E3" w:rsidRDefault="00C8336A" w:rsidP="00C8336A">
      <w:pPr>
        <w:ind w:right="-1078"/>
        <w:rPr>
          <w:lang w:val="en-US"/>
        </w:rPr>
      </w:pPr>
      <w:r w:rsidRPr="007302E3">
        <w:rPr>
          <w:lang w:val="en-US"/>
        </w:rPr>
        <w:t xml:space="preserve">Morgan, </w:t>
      </w:r>
      <w:r>
        <w:rPr>
          <w:lang w:val="en-US"/>
        </w:rPr>
        <w:t>A.J.</w:t>
      </w:r>
      <w:r w:rsidRPr="007302E3">
        <w:rPr>
          <w:lang w:val="en-US"/>
        </w:rPr>
        <w:t>, Reavley, N</w:t>
      </w:r>
      <w:r>
        <w:rPr>
          <w:lang w:val="en-US"/>
        </w:rPr>
        <w:t>.J., Jorm, A.F. &amp; Beatson, R. (2017)</w:t>
      </w:r>
      <w:r w:rsidRPr="007302E3">
        <w:rPr>
          <w:lang w:val="en-US"/>
        </w:rPr>
        <w:t>. Discrimination and support from friends and family members experienced by people with mental health problems: Findings from an Australian national survey. </w:t>
      </w:r>
      <w:r w:rsidRPr="00776FE5">
        <w:rPr>
          <w:i/>
          <w:lang w:val="en-US"/>
        </w:rPr>
        <w:t xml:space="preserve">Social </w:t>
      </w:r>
      <w:r>
        <w:rPr>
          <w:i/>
          <w:lang w:val="en-US"/>
        </w:rPr>
        <w:t>P</w:t>
      </w:r>
      <w:r w:rsidRPr="00776FE5">
        <w:rPr>
          <w:i/>
          <w:lang w:val="en-US"/>
        </w:rPr>
        <w:t xml:space="preserve">sychiatry and </w:t>
      </w:r>
      <w:r>
        <w:rPr>
          <w:i/>
          <w:lang w:val="en-US"/>
        </w:rPr>
        <w:t>P</w:t>
      </w:r>
      <w:r w:rsidRPr="00776FE5">
        <w:rPr>
          <w:i/>
          <w:lang w:val="en-US"/>
        </w:rPr>
        <w:t xml:space="preserve">sychiatric </w:t>
      </w:r>
      <w:r>
        <w:rPr>
          <w:i/>
          <w:lang w:val="en-US"/>
        </w:rPr>
        <w:t>E</w:t>
      </w:r>
      <w:r w:rsidRPr="00776FE5">
        <w:rPr>
          <w:i/>
          <w:lang w:val="en-US"/>
        </w:rPr>
        <w:t>pidemiology</w:t>
      </w:r>
      <w:r w:rsidRPr="007302E3">
        <w:rPr>
          <w:lang w:val="en-US"/>
        </w:rPr>
        <w:t>, 52(11), 1395-1403.</w:t>
      </w:r>
    </w:p>
    <w:p w14:paraId="48CBB58E" w14:textId="77777777" w:rsidR="00C8336A" w:rsidRDefault="00C8336A" w:rsidP="00C8336A">
      <w:pPr>
        <w:ind w:right="-1078"/>
        <w:rPr>
          <w:lang w:val="en-US"/>
        </w:rPr>
      </w:pPr>
      <w:r w:rsidRPr="007302E3">
        <w:rPr>
          <w:lang w:val="en-US"/>
        </w:rPr>
        <w:lastRenderedPageBreak/>
        <w:t>Morgan, A. J., Reavley, N. J., Jorm, A. F., &amp; Beatson, R. (2016). Experiences of discrimination and positive treatment from health professionals: A national survey of adults with mental health problems. </w:t>
      </w:r>
      <w:r w:rsidRPr="00776FE5">
        <w:rPr>
          <w:i/>
          <w:lang w:val="en-US"/>
        </w:rPr>
        <w:t>Australian &amp; New Zealand Journal of Psychiatry</w:t>
      </w:r>
      <w:r w:rsidRPr="007302E3">
        <w:rPr>
          <w:lang w:val="en-US"/>
        </w:rPr>
        <w:t>, 50(8), 754-762.</w:t>
      </w:r>
    </w:p>
    <w:p w14:paraId="4A00EF63" w14:textId="77777777" w:rsidR="00C8336A" w:rsidRPr="00C8336A" w:rsidRDefault="00C8336A" w:rsidP="00C8336A">
      <w:pPr>
        <w:ind w:right="-1078"/>
        <w:rPr>
          <w:color w:val="000000" w:themeColor="text1"/>
          <w:lang w:val="en-US"/>
        </w:rPr>
      </w:pPr>
      <w:r w:rsidRPr="00C8336A">
        <w:rPr>
          <w:color w:val="000000" w:themeColor="text1"/>
          <w:lang w:val="en-US"/>
        </w:rPr>
        <w:t>Pietrus, M. (2013). Opening Minds Interim Report, Calgary: Mental Health Commission of Canada.</w:t>
      </w:r>
    </w:p>
    <w:p w14:paraId="20EC8AE6" w14:textId="77777777" w:rsidR="00C8336A" w:rsidRPr="00C8336A" w:rsidRDefault="00C8336A" w:rsidP="00C8336A">
      <w:pPr>
        <w:ind w:right="-1078"/>
        <w:rPr>
          <w:color w:val="000000" w:themeColor="text1"/>
          <w:lang w:val="en-US"/>
        </w:rPr>
      </w:pPr>
      <w:r w:rsidRPr="00C8336A">
        <w:rPr>
          <w:color w:val="000000" w:themeColor="text1"/>
          <w:lang w:val="en-US"/>
        </w:rPr>
        <w:t>Productivity Commission. (2020). Mental Health, Report no. 95. Canberra (AU): Australian Government.</w:t>
      </w:r>
    </w:p>
    <w:p w14:paraId="2D995C8B" w14:textId="77777777" w:rsidR="00C8336A" w:rsidRPr="00C8336A" w:rsidRDefault="00C8336A" w:rsidP="00C8336A">
      <w:pPr>
        <w:ind w:right="-1078"/>
        <w:rPr>
          <w:color w:val="000000" w:themeColor="text1"/>
          <w:lang w:val="en-US"/>
        </w:rPr>
      </w:pPr>
      <w:r w:rsidRPr="00C8336A">
        <w:rPr>
          <w:color w:val="000000" w:themeColor="text1"/>
          <w:lang w:val="en-US"/>
        </w:rPr>
        <w:t>Reavley, N. J., Jorm, A. F., &amp; Morgan, A. J. (2017). Discrimination and positive treatment toward people with mental health problems in workplace and education settings: Findings from an Australian National Survey. </w:t>
      </w:r>
      <w:r w:rsidRPr="00C8336A">
        <w:rPr>
          <w:i/>
          <w:color w:val="000000" w:themeColor="text1"/>
          <w:lang w:val="en-US"/>
        </w:rPr>
        <w:t>Stigma and Health</w:t>
      </w:r>
      <w:r w:rsidRPr="00C8336A">
        <w:rPr>
          <w:color w:val="000000" w:themeColor="text1"/>
          <w:lang w:val="en-US"/>
        </w:rPr>
        <w:t>, 2(4), 254.</w:t>
      </w:r>
    </w:p>
    <w:p w14:paraId="6F8002CE" w14:textId="77777777" w:rsidR="00C8336A" w:rsidRPr="00C8336A" w:rsidRDefault="00C8336A" w:rsidP="00C8336A">
      <w:pPr>
        <w:ind w:right="-1078"/>
        <w:rPr>
          <w:rFonts w:ascii="Arial" w:hAnsi="Arial" w:cs="Arial"/>
          <w:color w:val="000000" w:themeColor="text1"/>
          <w:szCs w:val="20"/>
          <w:shd w:val="clear" w:color="auto" w:fill="FFFFFF"/>
        </w:rPr>
      </w:pPr>
      <w:r w:rsidRPr="00C8336A">
        <w:rPr>
          <w:rFonts w:ascii="Arial" w:hAnsi="Arial" w:cs="Arial"/>
          <w:color w:val="000000" w:themeColor="text1"/>
          <w:szCs w:val="20"/>
          <w:shd w:val="clear" w:color="auto" w:fill="FFFFFF"/>
        </w:rPr>
        <w:t>Reavley, N. J., &amp; Jorm, A. F. (2015). Experiences of discrimination and positive treatment in people with mental health problems: findings from an Australian national survey. </w:t>
      </w:r>
      <w:r w:rsidRPr="00C8336A">
        <w:rPr>
          <w:rFonts w:ascii="Arial" w:hAnsi="Arial" w:cs="Arial"/>
          <w:i/>
          <w:iCs/>
          <w:color w:val="000000" w:themeColor="text1"/>
          <w:szCs w:val="20"/>
          <w:shd w:val="clear" w:color="auto" w:fill="FFFFFF"/>
        </w:rPr>
        <w:t>Australian &amp; New Zealand Journal of Psychiatry</w:t>
      </w:r>
      <w:r w:rsidRPr="00C8336A">
        <w:rPr>
          <w:rFonts w:ascii="Arial" w:hAnsi="Arial" w:cs="Arial"/>
          <w:color w:val="000000" w:themeColor="text1"/>
          <w:szCs w:val="20"/>
          <w:shd w:val="clear" w:color="auto" w:fill="FFFFFF"/>
        </w:rPr>
        <w:t>, </w:t>
      </w:r>
      <w:r w:rsidRPr="00C8336A">
        <w:rPr>
          <w:rFonts w:ascii="Arial" w:hAnsi="Arial" w:cs="Arial"/>
          <w:iCs/>
          <w:color w:val="000000" w:themeColor="text1"/>
          <w:szCs w:val="20"/>
          <w:shd w:val="clear" w:color="auto" w:fill="FFFFFF"/>
        </w:rPr>
        <w:t>49</w:t>
      </w:r>
      <w:r w:rsidRPr="00C8336A">
        <w:rPr>
          <w:rFonts w:ascii="Arial" w:hAnsi="Arial" w:cs="Arial"/>
          <w:color w:val="000000" w:themeColor="text1"/>
          <w:szCs w:val="20"/>
          <w:shd w:val="clear" w:color="auto" w:fill="FFFFFF"/>
        </w:rPr>
        <w:t>(10), 906-913.</w:t>
      </w:r>
    </w:p>
    <w:p w14:paraId="1CF88F86" w14:textId="77777777" w:rsidR="00C8336A" w:rsidRPr="00C8336A" w:rsidRDefault="00C8336A" w:rsidP="00C8336A">
      <w:pPr>
        <w:ind w:right="-1078"/>
        <w:rPr>
          <w:rFonts w:ascii="Arial" w:hAnsi="Arial" w:cs="Arial"/>
          <w:color w:val="000000" w:themeColor="text1"/>
          <w:szCs w:val="20"/>
          <w:shd w:val="clear" w:color="auto" w:fill="FFFFFF"/>
        </w:rPr>
      </w:pPr>
      <w:r w:rsidRPr="00C8336A">
        <w:rPr>
          <w:color w:val="000000" w:themeColor="text1"/>
        </w:rPr>
        <w:t>Sowislo, J., Lange, C., Euler, S., Hachtel, H., Walter, M., Borgwardt, S., Lang, U. &amp; Huber, C. (2017). Stigmatization of psychiatric symptoms and psychiatric service use: a vignette-based representative population survey. European Archives of Psychiatry and Clinical Neuroscience. 267. 10.1007/s00406-016-0729-y.</w:t>
      </w:r>
    </w:p>
    <w:p w14:paraId="06A6D6BC" w14:textId="77777777" w:rsidR="00C8336A" w:rsidRPr="00C8336A" w:rsidRDefault="00C8336A" w:rsidP="00C8336A">
      <w:pPr>
        <w:spacing w:after="0" w:line="240" w:lineRule="auto"/>
        <w:ind w:right="-1078"/>
        <w:rPr>
          <w:rFonts w:ascii="Arial" w:hAnsi="Arial" w:cs="Arial"/>
          <w:color w:val="000000" w:themeColor="text1"/>
          <w:szCs w:val="20"/>
          <w:shd w:val="clear" w:color="auto" w:fill="FFFFFF"/>
        </w:rPr>
      </w:pPr>
      <w:r w:rsidRPr="00C8336A">
        <w:rPr>
          <w:rFonts w:ascii="Arial" w:hAnsi="Arial" w:cs="Arial"/>
          <w:color w:val="000000" w:themeColor="text1"/>
          <w:szCs w:val="20"/>
          <w:shd w:val="clear" w:color="auto" w:fill="FFFFFF"/>
        </w:rPr>
        <w:t>Vogel, D. L., Wade, N. G., &amp; Haake, S. (2006). Measuring the self-stigma associated with seeking psychological help. </w:t>
      </w:r>
      <w:r w:rsidRPr="00C8336A">
        <w:rPr>
          <w:rFonts w:ascii="Arial" w:hAnsi="Arial" w:cs="Arial"/>
          <w:i/>
          <w:iCs/>
          <w:color w:val="000000" w:themeColor="text1"/>
          <w:szCs w:val="20"/>
          <w:shd w:val="clear" w:color="auto" w:fill="FFFFFF"/>
        </w:rPr>
        <w:t>Journal of Counseling Psychology</w:t>
      </w:r>
      <w:r w:rsidRPr="00C8336A">
        <w:rPr>
          <w:rFonts w:ascii="Arial" w:hAnsi="Arial" w:cs="Arial"/>
          <w:color w:val="000000" w:themeColor="text1"/>
          <w:szCs w:val="20"/>
          <w:shd w:val="clear" w:color="auto" w:fill="FFFFFF"/>
        </w:rPr>
        <w:t>, </w:t>
      </w:r>
      <w:r w:rsidRPr="00C8336A">
        <w:rPr>
          <w:rFonts w:ascii="Arial" w:hAnsi="Arial" w:cs="Arial"/>
          <w:iCs/>
          <w:color w:val="000000" w:themeColor="text1"/>
          <w:szCs w:val="20"/>
          <w:shd w:val="clear" w:color="auto" w:fill="FFFFFF"/>
        </w:rPr>
        <w:t>53</w:t>
      </w:r>
      <w:r w:rsidRPr="00C8336A">
        <w:rPr>
          <w:rFonts w:ascii="Arial" w:hAnsi="Arial" w:cs="Arial"/>
          <w:color w:val="000000" w:themeColor="text1"/>
          <w:szCs w:val="20"/>
          <w:shd w:val="clear" w:color="auto" w:fill="FFFFFF"/>
        </w:rPr>
        <w:t>(3), 325.</w:t>
      </w:r>
    </w:p>
    <w:p w14:paraId="6D54B223" w14:textId="3F73B771" w:rsidR="00635B86" w:rsidRDefault="00635B86" w:rsidP="00635B86">
      <w:pPr>
        <w:spacing w:after="0" w:line="240" w:lineRule="auto"/>
        <w:ind w:right="-1078"/>
      </w:pPr>
      <w:r>
        <w:br w:type="page"/>
      </w:r>
    </w:p>
    <w:p w14:paraId="3B8773C3" w14:textId="00D373C8" w:rsidR="00561568" w:rsidRPr="00635B86" w:rsidRDefault="00561568" w:rsidP="00635B86">
      <w:pPr>
        <w:spacing w:after="0" w:line="240" w:lineRule="auto"/>
      </w:pPr>
    </w:p>
    <w:p w14:paraId="200B426F" w14:textId="45475DB4" w:rsidR="00EB0609" w:rsidRPr="00A96B0F" w:rsidRDefault="00EB0609" w:rsidP="00FF49C8">
      <w:pPr>
        <w:spacing w:before="5000" w:after="120"/>
        <w:ind w:right="-1078"/>
        <w:outlineLvl w:val="1"/>
        <w:rPr>
          <w:b/>
          <w:color w:val="117479" w:themeColor="accent2"/>
          <w:sz w:val="22"/>
        </w:rPr>
      </w:pPr>
      <w:r w:rsidRPr="00A96B0F">
        <w:rPr>
          <w:b/>
          <w:color w:val="117479" w:themeColor="accent2"/>
          <w:sz w:val="22"/>
        </w:rPr>
        <w:t xml:space="preserve">© </w:t>
      </w:r>
      <w:r w:rsidR="002B2858" w:rsidRPr="00A96B0F">
        <w:rPr>
          <w:b/>
          <w:color w:val="117479" w:themeColor="accent2"/>
          <w:sz w:val="22"/>
        </w:rPr>
        <w:t xml:space="preserve">Commonwealth of Australia </w:t>
      </w:r>
      <w:r w:rsidR="004D7764">
        <w:rPr>
          <w:b/>
          <w:color w:val="117479" w:themeColor="accent2"/>
          <w:sz w:val="22"/>
        </w:rPr>
        <w:t>2022</w:t>
      </w:r>
    </w:p>
    <w:p w14:paraId="78E54621" w14:textId="7EA0236F" w:rsidR="000670E5" w:rsidRDefault="003A6EB9" w:rsidP="00FF49C8">
      <w:pPr>
        <w:ind w:right="-1078"/>
      </w:pPr>
      <w:r>
        <w:t xml:space="preserve">ISBN </w:t>
      </w:r>
      <w:r w:rsidR="009A310D">
        <w:t>978-1-925365-12-2</w:t>
      </w:r>
    </w:p>
    <w:p w14:paraId="2AA957ED" w14:textId="3ACDD522" w:rsidR="00BC5F0D" w:rsidRDefault="00842C2A" w:rsidP="00FF49C8">
      <w:pPr>
        <w:ind w:right="-1078"/>
      </w:pPr>
      <w:r>
        <w:t xml:space="preserve">National </w:t>
      </w:r>
      <w:r w:rsidR="0001264C">
        <w:t xml:space="preserve">Survey of </w:t>
      </w:r>
      <w:r>
        <w:t>Mental Health</w:t>
      </w:r>
      <w:r w:rsidR="008D18DD">
        <w:t>-Related</w:t>
      </w:r>
      <w:r>
        <w:t xml:space="preserve"> Stigma and Discrimination </w:t>
      </w:r>
      <w:r w:rsidR="00C21388">
        <w:t>(online)</w:t>
      </w:r>
    </w:p>
    <w:p w14:paraId="59366AD1" w14:textId="77777777" w:rsidR="00EB0609" w:rsidRPr="00A96B0F" w:rsidRDefault="00EB0609" w:rsidP="00FF49C8">
      <w:pPr>
        <w:spacing w:before="240" w:after="120"/>
        <w:ind w:right="-1078"/>
        <w:outlineLvl w:val="1"/>
        <w:rPr>
          <w:b/>
          <w:color w:val="117479" w:themeColor="accent2"/>
          <w:sz w:val="22"/>
        </w:rPr>
      </w:pPr>
      <w:r w:rsidRPr="00A96B0F">
        <w:rPr>
          <w:b/>
          <w:color w:val="117479" w:themeColor="accent2"/>
          <w:sz w:val="22"/>
        </w:rPr>
        <w:t>Copyright Notice</w:t>
      </w:r>
    </w:p>
    <w:p w14:paraId="17ACA9CC" w14:textId="77777777" w:rsidR="000F762E" w:rsidRDefault="00EB0609" w:rsidP="00FF49C8">
      <w:pPr>
        <w:ind w:right="-1078"/>
      </w:pPr>
      <w:r w:rsidRPr="001540CB">
        <w:t>With the exception of the Commonwealth Coat of Arms, this work is licensed under a Creative Commons Attribution 4.0 International license (CC BY 4.0)</w:t>
      </w:r>
      <w:r>
        <w:t xml:space="preserve"> </w:t>
      </w:r>
      <w:r w:rsidR="003A6EB9">
        <w:t>(</w:t>
      </w:r>
      <w:hyperlink r:id="rId39" w:history="1">
        <w:r w:rsidR="000F762E" w:rsidRPr="000A6094">
          <w:rPr>
            <w:rStyle w:val="Hyperlink"/>
            <w:color w:val="117479" w:themeColor="accent2"/>
          </w:rPr>
          <w:t>https://creativecommons.org/licenses/by/4.0/</w:t>
        </w:r>
      </w:hyperlink>
      <w:r w:rsidR="000F762E">
        <w:t>)</w:t>
      </w:r>
    </w:p>
    <w:p w14:paraId="55FAB0BA" w14:textId="77777777" w:rsidR="00EB0609" w:rsidRDefault="00EB0609" w:rsidP="00FF49C8">
      <w:pPr>
        <w:spacing w:before="240"/>
        <w:ind w:right="-1078"/>
      </w:pPr>
      <w:r>
        <w:rPr>
          <w:noProof/>
        </w:rPr>
        <w:drawing>
          <wp:inline distT="0" distB="0" distL="0" distR="0" wp14:anchorId="2428D1F6" wp14:editId="4D0B9AEA">
            <wp:extent cx="771146" cy="307849"/>
            <wp:effectExtent l="0" t="0" r="0" b="0"/>
            <wp:docPr id="2" name="Picture 2" descr="Copyright logo" title="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40">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0D5AC390" w14:textId="77777777" w:rsidR="00EB0609" w:rsidRPr="00A96B0F" w:rsidRDefault="00EB0609" w:rsidP="00FF49C8">
      <w:pPr>
        <w:spacing w:before="240" w:after="120"/>
        <w:ind w:right="-1078"/>
        <w:outlineLvl w:val="1"/>
        <w:rPr>
          <w:b/>
          <w:color w:val="117479" w:themeColor="accent2"/>
          <w:sz w:val="22"/>
        </w:rPr>
      </w:pPr>
      <w:r w:rsidRPr="00A96B0F">
        <w:rPr>
          <w:b/>
          <w:color w:val="117479" w:themeColor="accent2"/>
          <w:sz w:val="22"/>
        </w:rPr>
        <w:t>Third party copyright</w:t>
      </w:r>
    </w:p>
    <w:p w14:paraId="6E0D25AE" w14:textId="77777777" w:rsidR="00EB0609" w:rsidRDefault="00EB0609" w:rsidP="00FF49C8">
      <w:pPr>
        <w:ind w:right="-1078"/>
      </w:pPr>
      <w:r>
        <w:t>Wherever a third party holds copyright in this material, the copyright remains with that party. Their permission may be required to use the material. Please contact them directly.</w:t>
      </w:r>
    </w:p>
    <w:p w14:paraId="096B7129" w14:textId="77777777" w:rsidR="00EB0609" w:rsidRPr="00A96B0F" w:rsidRDefault="00EB0609" w:rsidP="00FF49C8">
      <w:pPr>
        <w:spacing w:before="240" w:after="120"/>
        <w:ind w:right="-1078"/>
        <w:outlineLvl w:val="1"/>
        <w:rPr>
          <w:b/>
          <w:color w:val="117479" w:themeColor="accent2"/>
          <w:sz w:val="22"/>
        </w:rPr>
      </w:pPr>
      <w:r w:rsidRPr="00A96B0F">
        <w:rPr>
          <w:b/>
          <w:color w:val="117479" w:themeColor="accent2"/>
          <w:sz w:val="22"/>
        </w:rPr>
        <w:t>Attribution</w:t>
      </w:r>
    </w:p>
    <w:p w14:paraId="79E0E990" w14:textId="77777777" w:rsidR="003A6EB9" w:rsidRDefault="00EB0609" w:rsidP="00FF49C8">
      <w:pPr>
        <w:ind w:right="-1078"/>
      </w:pPr>
      <w:r>
        <w:t xml:space="preserve">This publication should be attributed as follows: </w:t>
      </w:r>
    </w:p>
    <w:p w14:paraId="446D37F1" w14:textId="3086F28E" w:rsidR="00EB0609" w:rsidRDefault="003A6EB9" w:rsidP="00FF49C8">
      <w:pPr>
        <w:ind w:right="-1078"/>
      </w:pPr>
      <w:r>
        <w:t xml:space="preserve">© </w:t>
      </w:r>
      <w:r w:rsidR="00EB0609">
        <w:t xml:space="preserve">Commonwealth of Australia, Department of the Prime Minister and Cabinet, </w:t>
      </w:r>
      <w:r w:rsidR="00842C2A">
        <w:rPr>
          <w:i/>
        </w:rPr>
        <w:t xml:space="preserve">National </w:t>
      </w:r>
      <w:r w:rsidR="0001264C">
        <w:rPr>
          <w:i/>
        </w:rPr>
        <w:t xml:space="preserve">Survey of </w:t>
      </w:r>
      <w:r w:rsidR="00842C2A">
        <w:rPr>
          <w:i/>
        </w:rPr>
        <w:t>Mental Health</w:t>
      </w:r>
      <w:r w:rsidR="008D18DD">
        <w:rPr>
          <w:i/>
        </w:rPr>
        <w:t>-Related</w:t>
      </w:r>
      <w:r w:rsidR="00842C2A">
        <w:rPr>
          <w:i/>
        </w:rPr>
        <w:t xml:space="preserve"> Stigma and Discrimination</w:t>
      </w:r>
      <w:r w:rsidR="00EB0609">
        <w:rPr>
          <w:i/>
        </w:rPr>
        <w:t>.</w:t>
      </w:r>
      <w:r w:rsidR="00EB0609">
        <w:t xml:space="preserve"> </w:t>
      </w:r>
    </w:p>
    <w:p w14:paraId="2D07F17E" w14:textId="77777777" w:rsidR="00EB0609" w:rsidRPr="00A96B0F" w:rsidRDefault="00EB0609" w:rsidP="00FF49C8">
      <w:pPr>
        <w:spacing w:before="240" w:after="120"/>
        <w:ind w:right="-1078"/>
        <w:outlineLvl w:val="1"/>
        <w:rPr>
          <w:b/>
          <w:color w:val="117479" w:themeColor="accent2"/>
          <w:sz w:val="22"/>
        </w:rPr>
      </w:pPr>
      <w:r w:rsidRPr="00A96B0F">
        <w:rPr>
          <w:b/>
          <w:color w:val="117479" w:themeColor="accent2"/>
          <w:sz w:val="22"/>
        </w:rPr>
        <w:t>Use of the Coat of Arms</w:t>
      </w:r>
    </w:p>
    <w:p w14:paraId="24C8398E" w14:textId="77777777" w:rsidR="00EB0609" w:rsidRPr="00514D8C" w:rsidRDefault="00EB0609" w:rsidP="00FF49C8">
      <w:pPr>
        <w:ind w:right="-1078"/>
        <w:rPr>
          <w:rFonts w:cstheme="minorHAnsi"/>
          <w:szCs w:val="20"/>
        </w:rPr>
      </w:pPr>
      <w:r w:rsidRPr="00514D8C">
        <w:rPr>
          <w:rFonts w:cstheme="minorHAnsi"/>
          <w:szCs w:val="20"/>
        </w:rPr>
        <w:t xml:space="preserve">The terms under which the Coat of Arms can be used are detailed on the following website: </w:t>
      </w:r>
      <w:hyperlink r:id="rId41" w:history="1">
        <w:r w:rsidR="003A6EB9" w:rsidRPr="000A6094">
          <w:rPr>
            <w:rStyle w:val="Hyperlink"/>
            <w:rFonts w:cstheme="minorHAnsi"/>
            <w:color w:val="117479" w:themeColor="accent2"/>
            <w:szCs w:val="20"/>
            <w:lang w:val="en-US"/>
          </w:rPr>
          <w:t>https://pmc.gov.au/cca</w:t>
        </w:r>
      </w:hyperlink>
    </w:p>
    <w:p w14:paraId="3054BAB4" w14:textId="77777777" w:rsidR="000A48B2" w:rsidRDefault="000A48B2" w:rsidP="00FF49C8">
      <w:pPr>
        <w:ind w:right="-1078"/>
      </w:pPr>
    </w:p>
    <w:p w14:paraId="3D8B551F" w14:textId="77777777" w:rsidR="009C7EE6" w:rsidRDefault="009C7EE6" w:rsidP="00FF49C8">
      <w:pPr>
        <w:ind w:right="-1078"/>
        <w:sectPr w:rsidR="009C7EE6" w:rsidSect="00454DCC">
          <w:footnotePr>
            <w:numFmt w:val="chicago"/>
            <w:numRestart w:val="eachPage"/>
          </w:footnotePr>
          <w:type w:val="continuous"/>
          <w:pgSz w:w="11906" w:h="16838" w:code="9"/>
          <w:pgMar w:top="2041" w:right="2381" w:bottom="1247" w:left="1247" w:header="720" w:footer="851" w:gutter="0"/>
          <w:cols w:space="708"/>
          <w:docGrid w:linePitch="360"/>
        </w:sectPr>
      </w:pPr>
    </w:p>
    <w:p w14:paraId="254D55EA" w14:textId="77777777" w:rsidR="00D10FA1" w:rsidRDefault="00037F3D" w:rsidP="00E320C4">
      <w:pPr>
        <w:ind w:left="-378"/>
      </w:pPr>
      <w:r>
        <w:rPr>
          <w:noProof/>
        </w:rPr>
        <w:lastRenderedPageBreak/>
        <w:drawing>
          <wp:inline distT="0" distB="0" distL="0" distR="0" wp14:anchorId="5142E6F6" wp14:editId="0EA3510C">
            <wp:extent cx="2524404" cy="3496063"/>
            <wp:effectExtent l="0" t="0" r="0" b="9525"/>
            <wp:docPr id="9" name="Picture 9" descr="Cover Includes Aus Gov arms, Dept of Prime Minister Cabinet and BETA branding" title="Al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42">
                      <a:extLst>
                        <a:ext uri="{28A0092B-C50C-407E-A947-70E740481C1C}">
                          <a14:useLocalDpi xmlns:a14="http://schemas.microsoft.com/office/drawing/2010/main" val="0"/>
                        </a:ext>
                      </a:extLst>
                    </a:blip>
                    <a:stretch>
                      <a:fillRect/>
                    </a:stretch>
                  </pic:blipFill>
                  <pic:spPr>
                    <a:xfrm>
                      <a:off x="0" y="0"/>
                      <a:ext cx="2524404" cy="3496063"/>
                    </a:xfrm>
                    <a:prstGeom prst="rect">
                      <a:avLst/>
                    </a:prstGeom>
                  </pic:spPr>
                </pic:pic>
              </a:graphicData>
            </a:graphic>
          </wp:inline>
        </w:drawing>
      </w:r>
    </w:p>
    <w:p w14:paraId="22E5A8B5" w14:textId="77777777" w:rsidR="001A0BF0" w:rsidRPr="00DF234F" w:rsidRDefault="001A0BF0" w:rsidP="001A0BF0">
      <w:pPr>
        <w:pStyle w:val="BackPageH1"/>
      </w:pPr>
      <w:r w:rsidRPr="00037F3D">
        <w:t xml:space="preserve">Behavioural Economics Team </w:t>
      </w:r>
      <w:r>
        <w:br/>
      </w:r>
      <w:r w:rsidRPr="00037F3D">
        <w:t>of the Australian Government</w:t>
      </w:r>
      <w:bookmarkStart w:id="3" w:name="_GoBack"/>
      <w:bookmarkEnd w:id="3"/>
    </w:p>
    <w:p w14:paraId="5F85F228" w14:textId="77777777" w:rsidR="001A0BF0" w:rsidRPr="004A4D74" w:rsidRDefault="001A0BF0" w:rsidP="004A4D74">
      <w:pPr>
        <w:pStyle w:val="BackPageH2"/>
      </w:pPr>
      <w:r w:rsidRPr="004A4D74">
        <w:lastRenderedPageBreak/>
        <w:t xml:space="preserve">General enquiries </w:t>
      </w:r>
      <w:hyperlink r:id="rId43" w:history="1">
        <w:r w:rsidRPr="000A6094">
          <w:rPr>
            <w:rStyle w:val="Hyperlink"/>
            <w:color w:val="117479" w:themeColor="accent2"/>
          </w:rPr>
          <w:t>beta@pmc.gov.au</w:t>
        </w:r>
      </w:hyperlink>
    </w:p>
    <w:p w14:paraId="30A7D088" w14:textId="77777777" w:rsidR="001A0BF0" w:rsidRPr="004A4D74" w:rsidRDefault="001A0BF0" w:rsidP="004A4D74">
      <w:pPr>
        <w:pStyle w:val="BackPageH2"/>
      </w:pPr>
      <w:r w:rsidRPr="004A4D74">
        <w:t xml:space="preserve">Media enquiries </w:t>
      </w:r>
      <w:hyperlink r:id="rId44" w:history="1">
        <w:r w:rsidRPr="000A6094">
          <w:rPr>
            <w:rStyle w:val="Hyperlink"/>
            <w:color w:val="117479" w:themeColor="accent2"/>
          </w:rPr>
          <w:t>media@pmc.gov.au</w:t>
        </w:r>
      </w:hyperlink>
    </w:p>
    <w:p w14:paraId="30F7CFBE" w14:textId="77777777" w:rsidR="00037F3D" w:rsidRPr="00037F3D" w:rsidRDefault="001A0BF0" w:rsidP="007D16C2">
      <w:pPr>
        <w:pStyle w:val="BackPageH2"/>
        <w:rPr>
          <w:sz w:val="2"/>
          <w:szCs w:val="2"/>
        </w:rPr>
      </w:pPr>
      <w:r w:rsidRPr="004A4D74">
        <w:t xml:space="preserve">Find out more </w:t>
      </w:r>
      <w:hyperlink r:id="rId45" w:history="1">
        <w:r w:rsidRPr="000A6094">
          <w:rPr>
            <w:rStyle w:val="Hyperlink"/>
            <w:color w:val="117479" w:themeColor="accent2"/>
          </w:rPr>
          <w:t>www.pmc.gov.au/beta</w:t>
        </w:r>
      </w:hyperlink>
    </w:p>
    <w:sectPr w:rsidR="00037F3D" w:rsidRPr="00037F3D" w:rsidSect="00454DCC">
      <w:headerReference w:type="default" r:id="rId46"/>
      <w:footerReference w:type="default" r:id="rId47"/>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310F" w14:textId="77777777" w:rsidR="00BD57E4" w:rsidRDefault="00BD57E4">
      <w:r>
        <w:separator/>
      </w:r>
    </w:p>
  </w:endnote>
  <w:endnote w:type="continuationSeparator" w:id="0">
    <w:p w14:paraId="265F2390" w14:textId="77777777" w:rsidR="00BD57E4" w:rsidRDefault="00BD57E4">
      <w:r>
        <w:continuationSeparator/>
      </w:r>
    </w:p>
  </w:endnote>
  <w:endnote w:type="continuationNotice" w:id="1">
    <w:p w14:paraId="09D4847D" w14:textId="77777777" w:rsidR="00BD57E4" w:rsidRDefault="00BD5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CED2" w14:textId="77777777" w:rsidR="00BD57E4" w:rsidRDefault="00BD57E4" w:rsidP="00A00EEB">
    <w:pPr>
      <w:pStyle w:val="Footer"/>
    </w:pPr>
  </w:p>
  <w:p w14:paraId="6A5C1FA9" w14:textId="30D89D7F" w:rsidR="00BD57E4" w:rsidRDefault="00BD57E4"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87E97">
      <w:rPr>
        <w:noProof/>
      </w:rPr>
      <w:t>1</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47F1" w14:textId="3D092828" w:rsidR="00BD57E4" w:rsidRPr="008253C4" w:rsidRDefault="00BD57E4" w:rsidP="00A00EEB">
    <w:pPr>
      <w:pStyle w:val="Footer"/>
      <w:rPr>
        <w:color w:val="FFFFFF" w:themeColor="background1"/>
      </w:rPr>
    </w:pPr>
    <w:r w:rsidRPr="0000240F">
      <w:t xml:space="preserve">Behavioural Economics Team of the Australian Government </w:t>
    </w:r>
    <w:r w:rsidRPr="008253C4">
      <w:rPr>
        <w:color w:val="FFFFFF" w:themeColor="background1"/>
      </w:rPr>
      <w:tab/>
    </w:r>
    <w:r w:rsidRPr="0000240F">
      <w:fldChar w:fldCharType="begin"/>
    </w:r>
    <w:r w:rsidRPr="0000240F">
      <w:instrText xml:space="preserve"> PAGE   \* MERGEFORMAT </w:instrText>
    </w:r>
    <w:r w:rsidRPr="0000240F">
      <w:fldChar w:fldCharType="separate"/>
    </w:r>
    <w:r w:rsidR="00687E97">
      <w:rPr>
        <w:noProof/>
      </w:rPr>
      <w:t>3</w:t>
    </w:r>
    <w:r w:rsidRPr="000024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6A06" w14:textId="77777777" w:rsidR="00BD57E4" w:rsidRDefault="00BD57E4" w:rsidP="00A00EEB">
    <w:pPr>
      <w:pStyle w:val="Footer"/>
    </w:pPr>
  </w:p>
  <w:p w14:paraId="2C174312" w14:textId="42894E3A" w:rsidR="00BD57E4" w:rsidRDefault="00BD57E4"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87E97">
      <w:rPr>
        <w:noProof/>
      </w:rPr>
      <w:t>7</w:t>
    </w:r>
    <w:r w:rsidRPr="00D91DE4">
      <w:rPr>
        <w:noProof/>
      </w:rPr>
      <w:fldChar w:fldCharType="end"/>
    </w:r>
  </w:p>
  <w:p w14:paraId="4B235A2B" w14:textId="77777777" w:rsidR="00BD57E4" w:rsidRDefault="00BD57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2F83" w14:textId="77777777" w:rsidR="00BD57E4" w:rsidRDefault="00BD57E4" w:rsidP="00B33AB9">
    <w:pPr>
      <w:pStyle w:val="Footer"/>
      <w:tabs>
        <w:tab w:val="clear" w:pos="9940"/>
      </w:tabs>
    </w:pPr>
  </w:p>
  <w:p w14:paraId="77D26E5B" w14:textId="70C264C9" w:rsidR="00BD57E4" w:rsidRDefault="00BD57E4" w:rsidP="00B33AB9">
    <w:pPr>
      <w:pStyle w:val="Footer"/>
      <w:tabs>
        <w:tab w:val="clear" w:pos="9940"/>
        <w:tab w:val="right" w:pos="9939"/>
      </w:tabs>
    </w:pPr>
    <w:r w:rsidRPr="00D91DE4">
      <w:t xml:space="preserve">Behavioural Economics Team of the Australian Government </w:t>
    </w:r>
    <w:r>
      <w:tab/>
    </w:r>
    <w:r>
      <w:tab/>
    </w:r>
    <w:r>
      <w:tab/>
    </w:r>
    <w:r>
      <w:tab/>
    </w:r>
    <w:r>
      <w:tab/>
    </w:r>
    <w:r>
      <w:tab/>
    </w:r>
    <w:r>
      <w:tab/>
    </w:r>
    <w:r>
      <w:tab/>
    </w:r>
    <w:r w:rsidRPr="00D91DE4">
      <w:fldChar w:fldCharType="begin"/>
    </w:r>
    <w:r w:rsidRPr="00D91DE4">
      <w:instrText xml:space="preserve"> PAGE   \* MERGEFORMAT </w:instrText>
    </w:r>
    <w:r w:rsidRPr="00D91DE4">
      <w:fldChar w:fldCharType="separate"/>
    </w:r>
    <w:r w:rsidR="00687E97">
      <w:rPr>
        <w:noProof/>
      </w:rPr>
      <w:t>8</w:t>
    </w:r>
    <w:r w:rsidRPr="00D91DE4">
      <w:rPr>
        <w:noProof/>
      </w:rPr>
      <w:fldChar w:fldCharType="end"/>
    </w:r>
  </w:p>
  <w:p w14:paraId="5EE09AFC" w14:textId="77777777" w:rsidR="00BD57E4" w:rsidRDefault="00BD57E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F468" w14:textId="77777777" w:rsidR="00BD57E4" w:rsidRDefault="00BD57E4" w:rsidP="00B33AB9">
    <w:pPr>
      <w:pStyle w:val="Footer"/>
      <w:tabs>
        <w:tab w:val="clear" w:pos="9940"/>
      </w:tabs>
    </w:pPr>
  </w:p>
  <w:p w14:paraId="65CF12F2" w14:textId="3DBDA005" w:rsidR="00BD57E4" w:rsidRDefault="00BD57E4" w:rsidP="00B33AB9">
    <w:pPr>
      <w:pStyle w:val="Footer"/>
      <w:tabs>
        <w:tab w:val="clear" w:pos="9940"/>
        <w:tab w:val="right" w:pos="9939"/>
      </w:tabs>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87E97">
      <w:rPr>
        <w:noProof/>
      </w:rPr>
      <w:t>9</w:t>
    </w:r>
    <w:r w:rsidRPr="00D91DE4">
      <w:rPr>
        <w:noProof/>
      </w:rPr>
      <w:fldChar w:fldCharType="end"/>
    </w:r>
  </w:p>
  <w:p w14:paraId="5416AD99" w14:textId="77777777" w:rsidR="00BD57E4" w:rsidRDefault="00BD57E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AFB1" w14:textId="4A84CE16" w:rsidR="00BD57E4" w:rsidRDefault="00BD57E4" w:rsidP="00B33AB9">
    <w:pPr>
      <w:pStyle w:val="Footer"/>
      <w:tabs>
        <w:tab w:val="clear" w:pos="9940"/>
        <w:tab w:val="right" w:pos="9939"/>
      </w:tabs>
    </w:pPr>
    <w:r w:rsidRPr="00D91DE4">
      <w:t xml:space="preserve">Behavioural Economics Team of the Australian Government </w:t>
    </w:r>
    <w:r>
      <w:tab/>
    </w:r>
    <w:r>
      <w:tab/>
    </w:r>
    <w:r>
      <w:tab/>
    </w:r>
    <w:r>
      <w:tab/>
    </w:r>
    <w:r>
      <w:tab/>
    </w:r>
    <w:r>
      <w:tab/>
    </w:r>
    <w:r>
      <w:tab/>
    </w:r>
    <w:r>
      <w:tab/>
    </w:r>
    <w:r w:rsidRPr="00D91DE4">
      <w:fldChar w:fldCharType="begin"/>
    </w:r>
    <w:r w:rsidRPr="00D91DE4">
      <w:instrText xml:space="preserve"> PAGE   \* MERGEFORMAT </w:instrText>
    </w:r>
    <w:r w:rsidRPr="00D91DE4">
      <w:fldChar w:fldCharType="separate"/>
    </w:r>
    <w:r w:rsidR="00687E97">
      <w:rPr>
        <w:noProof/>
      </w:rPr>
      <w:t>10</w:t>
    </w:r>
    <w:r w:rsidRPr="00D91DE4">
      <w:rPr>
        <w:noProof/>
      </w:rPr>
      <w:fldChar w:fldCharType="end"/>
    </w:r>
  </w:p>
  <w:p w14:paraId="0DC90CFE" w14:textId="77777777" w:rsidR="00BD57E4" w:rsidRDefault="00BD57E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D5E2" w14:textId="77777777" w:rsidR="00BD57E4" w:rsidRDefault="00BD57E4" w:rsidP="00B33AB9">
    <w:pPr>
      <w:pStyle w:val="Footer"/>
      <w:tabs>
        <w:tab w:val="clear" w:pos="9940"/>
        <w:tab w:val="right" w:pos="9939"/>
      </w:tabs>
    </w:pPr>
  </w:p>
  <w:p w14:paraId="59C32D37" w14:textId="38E4A50A" w:rsidR="00BD57E4" w:rsidRDefault="00BD57E4" w:rsidP="00B33AB9">
    <w:pPr>
      <w:pStyle w:val="Footer"/>
      <w:tabs>
        <w:tab w:val="clear" w:pos="9940"/>
        <w:tab w:val="right" w:pos="9939"/>
      </w:tabs>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687E97">
      <w:rPr>
        <w:noProof/>
      </w:rPr>
      <w:t>37</w:t>
    </w:r>
    <w:r w:rsidRPr="00D91DE4">
      <w:rPr>
        <w:noProof/>
      </w:rPr>
      <w:fldChar w:fldCharType="end"/>
    </w:r>
  </w:p>
  <w:p w14:paraId="2FAA73AC" w14:textId="77777777" w:rsidR="00BD57E4" w:rsidRDefault="00BD57E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EF4" w14:textId="77777777" w:rsidR="00BD57E4" w:rsidRPr="00F202CA" w:rsidRDefault="00BD57E4"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E1D3" w14:textId="77777777" w:rsidR="00BD57E4" w:rsidRDefault="00BD57E4">
      <w:r>
        <w:separator/>
      </w:r>
    </w:p>
  </w:footnote>
  <w:footnote w:type="continuationSeparator" w:id="0">
    <w:p w14:paraId="4B9D53CC" w14:textId="77777777" w:rsidR="00BD57E4" w:rsidRDefault="00BD57E4">
      <w:r>
        <w:continuationSeparator/>
      </w:r>
    </w:p>
  </w:footnote>
  <w:footnote w:type="continuationNotice" w:id="1">
    <w:p w14:paraId="603E4813" w14:textId="77777777" w:rsidR="00BD57E4" w:rsidRDefault="00BD57E4">
      <w:pPr>
        <w:spacing w:after="0" w:line="240" w:lineRule="auto"/>
      </w:pPr>
    </w:p>
  </w:footnote>
  <w:footnote w:id="2">
    <w:p w14:paraId="47E47E0C" w14:textId="7A354D3C" w:rsidR="00BD57E4" w:rsidRDefault="00BD57E4" w:rsidP="006C7417">
      <w:pPr>
        <w:pStyle w:val="FootnoteText"/>
        <w:ind w:right="-1078"/>
      </w:pPr>
      <w:r>
        <w:rPr>
          <w:rStyle w:val="FootnoteReference"/>
        </w:rPr>
        <w:footnoteRef/>
      </w:r>
      <w:r>
        <w:t xml:space="preserve"> The Australian Bureau of Statistics estimates 20,068,063 Australian are aged 18+ as of Sep 2021 (ABS, 2021)</w:t>
      </w:r>
    </w:p>
  </w:footnote>
  <w:footnote w:id="3">
    <w:p w14:paraId="13C9DA66" w14:textId="2128ADE7" w:rsidR="00BD57E4" w:rsidRDefault="00BD57E4" w:rsidP="000B3A30">
      <w:pPr>
        <w:pStyle w:val="FootnoteText"/>
        <w:ind w:right="-1078"/>
      </w:pPr>
      <w:r>
        <w:rPr>
          <w:rStyle w:val="FootnoteReference"/>
        </w:rPr>
        <w:footnoteRef/>
      </w:r>
      <w:r>
        <w:t xml:space="preserve"> Note, this 2 percentage point difference for bipolar disorder was marginally significant (p=.1). The remainder were all statistically significant at conventional threshold (p&lt;.05).</w:t>
      </w:r>
    </w:p>
  </w:footnote>
  <w:footnote w:id="4">
    <w:p w14:paraId="38857DB4" w14:textId="5A4BDC73" w:rsidR="00BD57E4" w:rsidRDefault="00BD57E4" w:rsidP="001B04D2">
      <w:pPr>
        <w:pStyle w:val="FootnoteText"/>
        <w:ind w:right="-1078"/>
      </w:pPr>
      <w:r>
        <w:rPr>
          <w:rStyle w:val="FootnoteReference"/>
        </w:rPr>
        <w:footnoteRef/>
      </w:r>
      <w:r>
        <w:t xml:space="preserve"> </w:t>
      </w:r>
      <w:r w:rsidRPr="007F194A">
        <w:t>L</w:t>
      </w:r>
      <w:r>
        <w:t>GBTIQA+</w:t>
      </w:r>
      <w:r w:rsidRPr="007F194A">
        <w:t xml:space="preserve"> participants were </w:t>
      </w:r>
      <w:r>
        <w:t>identified</w:t>
      </w:r>
      <w:r w:rsidRPr="007F194A">
        <w:t xml:space="preserve"> by their responses to two items. If they reported their gender as other than ‘male’ or ‘female’, or if they reported their sexual orientation as anything other than ‘straight (heterosexual)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CD9" w14:textId="4482AB5F" w:rsidR="00BD57E4" w:rsidRDefault="00BD57E4" w:rsidP="00330274">
    <w:pPr>
      <w:pStyle w:val="Header"/>
      <w:tabs>
        <w:tab w:val="clear" w:pos="10319"/>
        <w:tab w:val="left" w:pos="803"/>
      </w:tabs>
      <w:ind w:right="-24"/>
    </w:pPr>
    <w:r>
      <w:rPr>
        <w:noProof/>
      </w:rPr>
      <w:drawing>
        <wp:anchor distT="0" distB="0" distL="114300" distR="114300" simplePos="0" relativeHeight="251656704" behindDoc="1" locked="0" layoutInCell="1" allowOverlap="1" wp14:anchorId="4E04942C" wp14:editId="4C5F02AB">
          <wp:simplePos x="0" y="0"/>
          <wp:positionH relativeFrom="page">
            <wp:align>left</wp:align>
          </wp:positionH>
          <wp:positionV relativeFrom="page">
            <wp:align>top</wp:align>
          </wp:positionV>
          <wp:extent cx="7558721" cy="10690735"/>
          <wp:effectExtent l="0" t="0" r="4445" b="0"/>
          <wp:wrapNone/>
          <wp:docPr id="3" name="Picture 3" descr="Cover Includes Aus Gov arms, Dept of Prime Minister Cabinet and BETA branding."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
                    <a:extLst>
                      <a:ext uri="{28A0092B-C50C-407E-A947-70E740481C1C}">
                        <a14:useLocalDpi xmlns:a14="http://schemas.microsoft.com/office/drawing/2010/main" val="0"/>
                      </a:ext>
                    </a:extLst>
                  </a:blip>
                  <a:stretch>
                    <a:fillRect/>
                  </a:stretch>
                </pic:blipFill>
                <pic:spPr>
                  <a:xfrm>
                    <a:off x="0" y="0"/>
                    <a:ext cx="7558721" cy="106907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8A32" w14:textId="77777777" w:rsidR="00BD57E4" w:rsidRDefault="00BD5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69BB5" w14:textId="0707EF90" w:rsidR="00BD57E4" w:rsidRPr="0000240F" w:rsidRDefault="00BD57E4" w:rsidP="008253C4">
    <w:pPr>
      <w:pStyle w:val="Header"/>
    </w:pPr>
    <w:r w:rsidRPr="0000240F">
      <w:t>National Survey of Mental Health-Related Stigma and Discrimination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297D" w14:textId="745F9094" w:rsidR="00BD57E4" w:rsidRDefault="00BD57E4" w:rsidP="00E54280">
    <w:pPr>
      <w:pStyle w:val="Header"/>
    </w:pPr>
    <w:r>
      <w:t>National Survey of Mental Health-Related Stigma and Discrimination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DE46" w14:textId="77777777" w:rsidR="00BD57E4" w:rsidRPr="00F202CA" w:rsidRDefault="00BD57E4"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6EB"/>
    <w:multiLevelType w:val="hybridMultilevel"/>
    <w:tmpl w:val="5DBA1E2E"/>
    <w:lvl w:ilvl="0" w:tplc="3A94A4A2">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E6A4A"/>
    <w:multiLevelType w:val="hybridMultilevel"/>
    <w:tmpl w:val="BA2A7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A3667"/>
    <w:multiLevelType w:val="hybridMultilevel"/>
    <w:tmpl w:val="5C78BD30"/>
    <w:lvl w:ilvl="0" w:tplc="B05679D8">
      <w:start w:val="1"/>
      <w:numFmt w:val="decimal"/>
      <w:pStyle w:val="HeadingTable"/>
      <w:lvlText w:val="Table %1."/>
      <w:lvlJc w:val="left"/>
      <w:pPr>
        <w:ind w:left="3338"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7C20C7"/>
    <w:multiLevelType w:val="hybridMultilevel"/>
    <w:tmpl w:val="5C3CF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8" w15:restartNumberingAfterBreak="0">
    <w:nsid w:val="38DE689B"/>
    <w:multiLevelType w:val="hybridMultilevel"/>
    <w:tmpl w:val="7E7E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13EFA"/>
    <w:multiLevelType w:val="hybridMultilevel"/>
    <w:tmpl w:val="27B6C20A"/>
    <w:lvl w:ilvl="0" w:tplc="1BDE8A68">
      <w:start w:val="4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33D25"/>
    <w:multiLevelType w:val="hybridMultilevel"/>
    <w:tmpl w:val="E79606AE"/>
    <w:lvl w:ilvl="0" w:tplc="9656CCD8">
      <w:start w:val="1"/>
      <w:numFmt w:val="bullet"/>
      <w:lvlText w:val="•"/>
      <w:lvlJc w:val="left"/>
      <w:pPr>
        <w:tabs>
          <w:tab w:val="num" w:pos="720"/>
        </w:tabs>
        <w:ind w:left="720" w:hanging="360"/>
      </w:pPr>
      <w:rPr>
        <w:rFonts w:ascii="Arial" w:hAnsi="Arial" w:cs="Times New Roman" w:hint="default"/>
      </w:rPr>
    </w:lvl>
    <w:lvl w:ilvl="1" w:tplc="FBE4FD70">
      <w:start w:val="1"/>
      <w:numFmt w:val="bullet"/>
      <w:lvlText w:val="•"/>
      <w:lvlJc w:val="left"/>
      <w:pPr>
        <w:tabs>
          <w:tab w:val="num" w:pos="1440"/>
        </w:tabs>
        <w:ind w:left="1440" w:hanging="360"/>
      </w:pPr>
      <w:rPr>
        <w:rFonts w:ascii="Arial" w:hAnsi="Arial" w:cs="Times New Roman" w:hint="default"/>
      </w:rPr>
    </w:lvl>
    <w:lvl w:ilvl="2" w:tplc="3A88C45E">
      <w:start w:val="1"/>
      <w:numFmt w:val="bullet"/>
      <w:lvlText w:val="•"/>
      <w:lvlJc w:val="left"/>
      <w:pPr>
        <w:tabs>
          <w:tab w:val="num" w:pos="2160"/>
        </w:tabs>
        <w:ind w:left="2160" w:hanging="360"/>
      </w:pPr>
      <w:rPr>
        <w:rFonts w:ascii="Arial" w:hAnsi="Arial" w:cs="Times New Roman" w:hint="default"/>
      </w:rPr>
    </w:lvl>
    <w:lvl w:ilvl="3" w:tplc="CC626F46">
      <w:start w:val="1"/>
      <w:numFmt w:val="bullet"/>
      <w:lvlText w:val="•"/>
      <w:lvlJc w:val="left"/>
      <w:pPr>
        <w:tabs>
          <w:tab w:val="num" w:pos="2880"/>
        </w:tabs>
        <w:ind w:left="2880" w:hanging="360"/>
      </w:pPr>
      <w:rPr>
        <w:rFonts w:ascii="Arial" w:hAnsi="Arial" w:cs="Times New Roman" w:hint="default"/>
      </w:rPr>
    </w:lvl>
    <w:lvl w:ilvl="4" w:tplc="28F24F10">
      <w:start w:val="1"/>
      <w:numFmt w:val="bullet"/>
      <w:lvlText w:val="•"/>
      <w:lvlJc w:val="left"/>
      <w:pPr>
        <w:tabs>
          <w:tab w:val="num" w:pos="3600"/>
        </w:tabs>
        <w:ind w:left="3600" w:hanging="360"/>
      </w:pPr>
      <w:rPr>
        <w:rFonts w:ascii="Arial" w:hAnsi="Arial" w:cs="Times New Roman" w:hint="default"/>
      </w:rPr>
    </w:lvl>
    <w:lvl w:ilvl="5" w:tplc="88161520">
      <w:start w:val="1"/>
      <w:numFmt w:val="bullet"/>
      <w:lvlText w:val="•"/>
      <w:lvlJc w:val="left"/>
      <w:pPr>
        <w:tabs>
          <w:tab w:val="num" w:pos="4320"/>
        </w:tabs>
        <w:ind w:left="4320" w:hanging="360"/>
      </w:pPr>
      <w:rPr>
        <w:rFonts w:ascii="Arial" w:hAnsi="Arial" w:cs="Times New Roman" w:hint="default"/>
      </w:rPr>
    </w:lvl>
    <w:lvl w:ilvl="6" w:tplc="C42E8E56">
      <w:start w:val="1"/>
      <w:numFmt w:val="bullet"/>
      <w:lvlText w:val="•"/>
      <w:lvlJc w:val="left"/>
      <w:pPr>
        <w:tabs>
          <w:tab w:val="num" w:pos="5040"/>
        </w:tabs>
        <w:ind w:left="5040" w:hanging="360"/>
      </w:pPr>
      <w:rPr>
        <w:rFonts w:ascii="Arial" w:hAnsi="Arial" w:cs="Times New Roman" w:hint="default"/>
      </w:rPr>
    </w:lvl>
    <w:lvl w:ilvl="7" w:tplc="F04E8FEA">
      <w:start w:val="1"/>
      <w:numFmt w:val="bullet"/>
      <w:lvlText w:val="•"/>
      <w:lvlJc w:val="left"/>
      <w:pPr>
        <w:tabs>
          <w:tab w:val="num" w:pos="5760"/>
        </w:tabs>
        <w:ind w:left="5760" w:hanging="360"/>
      </w:pPr>
      <w:rPr>
        <w:rFonts w:ascii="Arial" w:hAnsi="Arial" w:cs="Times New Roman" w:hint="default"/>
      </w:rPr>
    </w:lvl>
    <w:lvl w:ilvl="8" w:tplc="A1FCC54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13" w15:restartNumberingAfterBreak="0">
    <w:nsid w:val="62AD64B5"/>
    <w:multiLevelType w:val="hybridMultilevel"/>
    <w:tmpl w:val="545A85D6"/>
    <w:lvl w:ilvl="0" w:tplc="3B162B1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257AB"/>
    <w:multiLevelType w:val="hybridMultilevel"/>
    <w:tmpl w:val="B7A48B24"/>
    <w:lvl w:ilvl="0" w:tplc="588A3028">
      <w:start w:val="7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FE364B"/>
    <w:multiLevelType w:val="hybridMultilevel"/>
    <w:tmpl w:val="FC8C4E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5D54BC"/>
    <w:multiLevelType w:val="hybridMultilevel"/>
    <w:tmpl w:val="EAF6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7"/>
  </w:num>
  <w:num w:numId="5">
    <w:abstractNumId w:val="3"/>
  </w:num>
  <w:num w:numId="6">
    <w:abstractNumId w:val="4"/>
  </w:num>
  <w:num w:numId="7">
    <w:abstractNumId w:val="1"/>
  </w:num>
  <w:num w:numId="8">
    <w:abstractNumId w:val="14"/>
  </w:num>
  <w:num w:numId="9">
    <w:abstractNumId w:val="2"/>
  </w:num>
  <w:num w:numId="10">
    <w:abstractNumId w:val="5"/>
  </w:num>
  <w:num w:numId="11">
    <w:abstractNumId w:val="10"/>
  </w:num>
  <w:num w:numId="12">
    <w:abstractNumId w:val="15"/>
  </w:num>
  <w:num w:numId="13">
    <w:abstractNumId w:val="13"/>
  </w:num>
  <w:num w:numId="14">
    <w:abstractNumId w:val="0"/>
  </w:num>
  <w:num w:numId="15">
    <w:abstractNumId w:val="4"/>
  </w:num>
  <w:num w:numId="16">
    <w:abstractNumId w:val="16"/>
  </w:num>
  <w:num w:numId="17">
    <w:abstractNumId w:val="1"/>
  </w:num>
  <w:num w:numId="18">
    <w:abstractNumId w:val="11"/>
  </w:num>
  <w:num w:numId="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activeWritingStyle w:appName="MSWord" w:lang="en-AU"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0ED6"/>
    <w:rsid w:val="0000240F"/>
    <w:rsid w:val="00005785"/>
    <w:rsid w:val="00006876"/>
    <w:rsid w:val="000079AD"/>
    <w:rsid w:val="00007D1F"/>
    <w:rsid w:val="00010D84"/>
    <w:rsid w:val="00010F15"/>
    <w:rsid w:val="00011CE3"/>
    <w:rsid w:val="00011FC0"/>
    <w:rsid w:val="0001264C"/>
    <w:rsid w:val="000128BA"/>
    <w:rsid w:val="000131D0"/>
    <w:rsid w:val="000135DA"/>
    <w:rsid w:val="000144C8"/>
    <w:rsid w:val="0001488C"/>
    <w:rsid w:val="00014B9D"/>
    <w:rsid w:val="00015374"/>
    <w:rsid w:val="000176B5"/>
    <w:rsid w:val="0001771B"/>
    <w:rsid w:val="000179FE"/>
    <w:rsid w:val="00020439"/>
    <w:rsid w:val="0002055E"/>
    <w:rsid w:val="00020E49"/>
    <w:rsid w:val="00021953"/>
    <w:rsid w:val="00022E9C"/>
    <w:rsid w:val="00023322"/>
    <w:rsid w:val="000249CC"/>
    <w:rsid w:val="00024EF0"/>
    <w:rsid w:val="000253DA"/>
    <w:rsid w:val="00025631"/>
    <w:rsid w:val="00027B26"/>
    <w:rsid w:val="000305BA"/>
    <w:rsid w:val="00030705"/>
    <w:rsid w:val="00030F87"/>
    <w:rsid w:val="00032861"/>
    <w:rsid w:val="00032B77"/>
    <w:rsid w:val="00033BCE"/>
    <w:rsid w:val="00037F3D"/>
    <w:rsid w:val="00041563"/>
    <w:rsid w:val="00042285"/>
    <w:rsid w:val="00042AA6"/>
    <w:rsid w:val="00043256"/>
    <w:rsid w:val="000458B3"/>
    <w:rsid w:val="00045A89"/>
    <w:rsid w:val="0004635E"/>
    <w:rsid w:val="000468AF"/>
    <w:rsid w:val="00046F8E"/>
    <w:rsid w:val="00047261"/>
    <w:rsid w:val="00047524"/>
    <w:rsid w:val="0005040E"/>
    <w:rsid w:val="0005087D"/>
    <w:rsid w:val="00050F9E"/>
    <w:rsid w:val="00051761"/>
    <w:rsid w:val="00052DD7"/>
    <w:rsid w:val="0005450F"/>
    <w:rsid w:val="000547EF"/>
    <w:rsid w:val="00055CD9"/>
    <w:rsid w:val="00056004"/>
    <w:rsid w:val="00057786"/>
    <w:rsid w:val="00057CFE"/>
    <w:rsid w:val="0006075A"/>
    <w:rsid w:val="00060833"/>
    <w:rsid w:val="00061C84"/>
    <w:rsid w:val="00061E0F"/>
    <w:rsid w:val="00062484"/>
    <w:rsid w:val="00063129"/>
    <w:rsid w:val="0006489E"/>
    <w:rsid w:val="00064EE9"/>
    <w:rsid w:val="00065022"/>
    <w:rsid w:val="00065088"/>
    <w:rsid w:val="00065A5E"/>
    <w:rsid w:val="000670E5"/>
    <w:rsid w:val="00070681"/>
    <w:rsid w:val="0007097B"/>
    <w:rsid w:val="00070F67"/>
    <w:rsid w:val="00072DA5"/>
    <w:rsid w:val="000738C4"/>
    <w:rsid w:val="000744F8"/>
    <w:rsid w:val="00075AF0"/>
    <w:rsid w:val="00075E45"/>
    <w:rsid w:val="00076498"/>
    <w:rsid w:val="000777F7"/>
    <w:rsid w:val="00080A09"/>
    <w:rsid w:val="00081366"/>
    <w:rsid w:val="0008174B"/>
    <w:rsid w:val="00081CEB"/>
    <w:rsid w:val="00082C85"/>
    <w:rsid w:val="00082CFE"/>
    <w:rsid w:val="00083082"/>
    <w:rsid w:val="0008388D"/>
    <w:rsid w:val="00083F36"/>
    <w:rsid w:val="00086D9F"/>
    <w:rsid w:val="000879B5"/>
    <w:rsid w:val="000879F1"/>
    <w:rsid w:val="00087B2C"/>
    <w:rsid w:val="00087D4E"/>
    <w:rsid w:val="00087DBD"/>
    <w:rsid w:val="000904FA"/>
    <w:rsid w:val="00090718"/>
    <w:rsid w:val="00091B4E"/>
    <w:rsid w:val="00091B67"/>
    <w:rsid w:val="00091CD7"/>
    <w:rsid w:val="000922C7"/>
    <w:rsid w:val="000929A4"/>
    <w:rsid w:val="00092BDB"/>
    <w:rsid w:val="00093DD5"/>
    <w:rsid w:val="0009549E"/>
    <w:rsid w:val="00095DE6"/>
    <w:rsid w:val="0009654D"/>
    <w:rsid w:val="0009770F"/>
    <w:rsid w:val="00097AE2"/>
    <w:rsid w:val="000A03DD"/>
    <w:rsid w:val="000A1193"/>
    <w:rsid w:val="000A1A09"/>
    <w:rsid w:val="000A1B0D"/>
    <w:rsid w:val="000A2B60"/>
    <w:rsid w:val="000A3CDB"/>
    <w:rsid w:val="000A47A8"/>
    <w:rsid w:val="000A48B2"/>
    <w:rsid w:val="000A4AC2"/>
    <w:rsid w:val="000A4C19"/>
    <w:rsid w:val="000A6094"/>
    <w:rsid w:val="000A632F"/>
    <w:rsid w:val="000A73FB"/>
    <w:rsid w:val="000B0129"/>
    <w:rsid w:val="000B218A"/>
    <w:rsid w:val="000B2372"/>
    <w:rsid w:val="000B39C7"/>
    <w:rsid w:val="000B3A30"/>
    <w:rsid w:val="000B445D"/>
    <w:rsid w:val="000C014D"/>
    <w:rsid w:val="000C26B9"/>
    <w:rsid w:val="000C29B4"/>
    <w:rsid w:val="000C49B2"/>
    <w:rsid w:val="000C4DB2"/>
    <w:rsid w:val="000C5CD8"/>
    <w:rsid w:val="000C600E"/>
    <w:rsid w:val="000C6F25"/>
    <w:rsid w:val="000C7653"/>
    <w:rsid w:val="000C7A69"/>
    <w:rsid w:val="000D1158"/>
    <w:rsid w:val="000D2C57"/>
    <w:rsid w:val="000D4703"/>
    <w:rsid w:val="000D5957"/>
    <w:rsid w:val="000D60BF"/>
    <w:rsid w:val="000D760F"/>
    <w:rsid w:val="000E12D4"/>
    <w:rsid w:val="000E39EF"/>
    <w:rsid w:val="000E4F03"/>
    <w:rsid w:val="000E51CE"/>
    <w:rsid w:val="000E620E"/>
    <w:rsid w:val="000F2063"/>
    <w:rsid w:val="000F33C5"/>
    <w:rsid w:val="000F3D28"/>
    <w:rsid w:val="000F4656"/>
    <w:rsid w:val="000F5097"/>
    <w:rsid w:val="000F63C4"/>
    <w:rsid w:val="000F6996"/>
    <w:rsid w:val="000F7463"/>
    <w:rsid w:val="000F762E"/>
    <w:rsid w:val="00100200"/>
    <w:rsid w:val="0010048F"/>
    <w:rsid w:val="0010263D"/>
    <w:rsid w:val="00102824"/>
    <w:rsid w:val="00102D3F"/>
    <w:rsid w:val="0010300A"/>
    <w:rsid w:val="001112F5"/>
    <w:rsid w:val="001125D4"/>
    <w:rsid w:val="001131F0"/>
    <w:rsid w:val="001139C7"/>
    <w:rsid w:val="00113FDC"/>
    <w:rsid w:val="00114593"/>
    <w:rsid w:val="00114EBC"/>
    <w:rsid w:val="0012073F"/>
    <w:rsid w:val="001216A5"/>
    <w:rsid w:val="0012388A"/>
    <w:rsid w:val="001239B3"/>
    <w:rsid w:val="00123F42"/>
    <w:rsid w:val="0012427E"/>
    <w:rsid w:val="00124322"/>
    <w:rsid w:val="001247E0"/>
    <w:rsid w:val="001252F6"/>
    <w:rsid w:val="001254B1"/>
    <w:rsid w:val="00125C6A"/>
    <w:rsid w:val="00126750"/>
    <w:rsid w:val="001271A1"/>
    <w:rsid w:val="0012721D"/>
    <w:rsid w:val="001300CF"/>
    <w:rsid w:val="00131C0F"/>
    <w:rsid w:val="00131CD8"/>
    <w:rsid w:val="001325BF"/>
    <w:rsid w:val="00132F0D"/>
    <w:rsid w:val="001330FC"/>
    <w:rsid w:val="00133713"/>
    <w:rsid w:val="00133A4A"/>
    <w:rsid w:val="00134635"/>
    <w:rsid w:val="00134B3E"/>
    <w:rsid w:val="00135B7E"/>
    <w:rsid w:val="00137FDB"/>
    <w:rsid w:val="00140FC9"/>
    <w:rsid w:val="001413C5"/>
    <w:rsid w:val="001414CD"/>
    <w:rsid w:val="00141D76"/>
    <w:rsid w:val="0014231B"/>
    <w:rsid w:val="00142956"/>
    <w:rsid w:val="00142D10"/>
    <w:rsid w:val="001432B0"/>
    <w:rsid w:val="00144510"/>
    <w:rsid w:val="00144868"/>
    <w:rsid w:val="001452BC"/>
    <w:rsid w:val="00150D2A"/>
    <w:rsid w:val="00150E25"/>
    <w:rsid w:val="00150EA9"/>
    <w:rsid w:val="001512BB"/>
    <w:rsid w:val="00151650"/>
    <w:rsid w:val="001531E7"/>
    <w:rsid w:val="001540CB"/>
    <w:rsid w:val="00155968"/>
    <w:rsid w:val="00155B98"/>
    <w:rsid w:val="00157001"/>
    <w:rsid w:val="00157709"/>
    <w:rsid w:val="00160B66"/>
    <w:rsid w:val="00160E91"/>
    <w:rsid w:val="00162240"/>
    <w:rsid w:val="00162281"/>
    <w:rsid w:val="00162880"/>
    <w:rsid w:val="00162A9C"/>
    <w:rsid w:val="001639D0"/>
    <w:rsid w:val="0016455E"/>
    <w:rsid w:val="00164FE7"/>
    <w:rsid w:val="00165626"/>
    <w:rsid w:val="001656C6"/>
    <w:rsid w:val="00166272"/>
    <w:rsid w:val="001671D2"/>
    <w:rsid w:val="00167CF4"/>
    <w:rsid w:val="00170BE9"/>
    <w:rsid w:val="0017147C"/>
    <w:rsid w:val="0017194E"/>
    <w:rsid w:val="0017249B"/>
    <w:rsid w:val="001727A4"/>
    <w:rsid w:val="00175537"/>
    <w:rsid w:val="00176148"/>
    <w:rsid w:val="00176E76"/>
    <w:rsid w:val="00177EC4"/>
    <w:rsid w:val="00181533"/>
    <w:rsid w:val="001824C8"/>
    <w:rsid w:val="0018257B"/>
    <w:rsid w:val="00182698"/>
    <w:rsid w:val="001842A4"/>
    <w:rsid w:val="00184B6D"/>
    <w:rsid w:val="00185CBA"/>
    <w:rsid w:val="00185DFA"/>
    <w:rsid w:val="001864FD"/>
    <w:rsid w:val="00191A5D"/>
    <w:rsid w:val="001936A7"/>
    <w:rsid w:val="001943DD"/>
    <w:rsid w:val="001959C4"/>
    <w:rsid w:val="00196BAC"/>
    <w:rsid w:val="00196CC5"/>
    <w:rsid w:val="00197A19"/>
    <w:rsid w:val="001A009A"/>
    <w:rsid w:val="001A03A5"/>
    <w:rsid w:val="001A0530"/>
    <w:rsid w:val="001A0BF0"/>
    <w:rsid w:val="001A0E4D"/>
    <w:rsid w:val="001A13F6"/>
    <w:rsid w:val="001A2D78"/>
    <w:rsid w:val="001A426C"/>
    <w:rsid w:val="001A61C4"/>
    <w:rsid w:val="001A7249"/>
    <w:rsid w:val="001A7B8A"/>
    <w:rsid w:val="001B0262"/>
    <w:rsid w:val="001B0439"/>
    <w:rsid w:val="001B04D2"/>
    <w:rsid w:val="001B1EA0"/>
    <w:rsid w:val="001B385A"/>
    <w:rsid w:val="001B3904"/>
    <w:rsid w:val="001B3AEC"/>
    <w:rsid w:val="001B3E8D"/>
    <w:rsid w:val="001B5259"/>
    <w:rsid w:val="001B53B8"/>
    <w:rsid w:val="001B60D4"/>
    <w:rsid w:val="001B63AB"/>
    <w:rsid w:val="001B6F28"/>
    <w:rsid w:val="001C12DB"/>
    <w:rsid w:val="001C35DA"/>
    <w:rsid w:val="001C38BA"/>
    <w:rsid w:val="001C4F4F"/>
    <w:rsid w:val="001C6014"/>
    <w:rsid w:val="001C6681"/>
    <w:rsid w:val="001C6BA1"/>
    <w:rsid w:val="001C6D3C"/>
    <w:rsid w:val="001C6F22"/>
    <w:rsid w:val="001D05D1"/>
    <w:rsid w:val="001D141C"/>
    <w:rsid w:val="001D26C1"/>
    <w:rsid w:val="001D2904"/>
    <w:rsid w:val="001D38E8"/>
    <w:rsid w:val="001D6228"/>
    <w:rsid w:val="001D6306"/>
    <w:rsid w:val="001D652D"/>
    <w:rsid w:val="001D693F"/>
    <w:rsid w:val="001D6EDF"/>
    <w:rsid w:val="001D6F9E"/>
    <w:rsid w:val="001D712A"/>
    <w:rsid w:val="001E0669"/>
    <w:rsid w:val="001E2130"/>
    <w:rsid w:val="001E2F34"/>
    <w:rsid w:val="001E38FB"/>
    <w:rsid w:val="001E3E1D"/>
    <w:rsid w:val="001E43C1"/>
    <w:rsid w:val="001E5008"/>
    <w:rsid w:val="001E52C2"/>
    <w:rsid w:val="001E6A27"/>
    <w:rsid w:val="001E6DB5"/>
    <w:rsid w:val="001F04F1"/>
    <w:rsid w:val="001F0BE1"/>
    <w:rsid w:val="001F101A"/>
    <w:rsid w:val="001F1305"/>
    <w:rsid w:val="001F1A0B"/>
    <w:rsid w:val="001F24EF"/>
    <w:rsid w:val="001F56C7"/>
    <w:rsid w:val="001F7838"/>
    <w:rsid w:val="0020006F"/>
    <w:rsid w:val="0020028C"/>
    <w:rsid w:val="00200329"/>
    <w:rsid w:val="002009BC"/>
    <w:rsid w:val="00203039"/>
    <w:rsid w:val="00203A42"/>
    <w:rsid w:val="00204B17"/>
    <w:rsid w:val="00205211"/>
    <w:rsid w:val="002053DC"/>
    <w:rsid w:val="0020573B"/>
    <w:rsid w:val="0020599E"/>
    <w:rsid w:val="00205A9B"/>
    <w:rsid w:val="002069D2"/>
    <w:rsid w:val="002111E1"/>
    <w:rsid w:val="00211DA2"/>
    <w:rsid w:val="002124EE"/>
    <w:rsid w:val="00212828"/>
    <w:rsid w:val="00213210"/>
    <w:rsid w:val="00213693"/>
    <w:rsid w:val="00213C0F"/>
    <w:rsid w:val="00214FD3"/>
    <w:rsid w:val="00215137"/>
    <w:rsid w:val="00215479"/>
    <w:rsid w:val="00215A43"/>
    <w:rsid w:val="00215CCB"/>
    <w:rsid w:val="00216CF5"/>
    <w:rsid w:val="00217B39"/>
    <w:rsid w:val="00217DC5"/>
    <w:rsid w:val="0022037B"/>
    <w:rsid w:val="00221A59"/>
    <w:rsid w:val="00222C8D"/>
    <w:rsid w:val="002239D3"/>
    <w:rsid w:val="00225194"/>
    <w:rsid w:val="002256A8"/>
    <w:rsid w:val="00225A61"/>
    <w:rsid w:val="0022628F"/>
    <w:rsid w:val="00226D96"/>
    <w:rsid w:val="00230261"/>
    <w:rsid w:val="00230871"/>
    <w:rsid w:val="00230C4F"/>
    <w:rsid w:val="00230E6B"/>
    <w:rsid w:val="002320BC"/>
    <w:rsid w:val="00232662"/>
    <w:rsid w:val="00232B97"/>
    <w:rsid w:val="00233077"/>
    <w:rsid w:val="002335EB"/>
    <w:rsid w:val="0023523A"/>
    <w:rsid w:val="0023757C"/>
    <w:rsid w:val="00237C47"/>
    <w:rsid w:val="0024026C"/>
    <w:rsid w:val="002402E4"/>
    <w:rsid w:val="00241A8A"/>
    <w:rsid w:val="002421A0"/>
    <w:rsid w:val="00242B98"/>
    <w:rsid w:val="00243C78"/>
    <w:rsid w:val="002445A1"/>
    <w:rsid w:val="00246FE6"/>
    <w:rsid w:val="002470E3"/>
    <w:rsid w:val="00251695"/>
    <w:rsid w:val="0025207D"/>
    <w:rsid w:val="002535AE"/>
    <w:rsid w:val="0025372F"/>
    <w:rsid w:val="00254DE9"/>
    <w:rsid w:val="00256A74"/>
    <w:rsid w:val="00257A66"/>
    <w:rsid w:val="002602FC"/>
    <w:rsid w:val="002605C6"/>
    <w:rsid w:val="002615D3"/>
    <w:rsid w:val="0026268A"/>
    <w:rsid w:val="00262845"/>
    <w:rsid w:val="0026284C"/>
    <w:rsid w:val="00262F1D"/>
    <w:rsid w:val="00263335"/>
    <w:rsid w:val="002637A9"/>
    <w:rsid w:val="00263895"/>
    <w:rsid w:val="002638C4"/>
    <w:rsid w:val="00265941"/>
    <w:rsid w:val="00266330"/>
    <w:rsid w:val="002665B3"/>
    <w:rsid w:val="002672F1"/>
    <w:rsid w:val="00270B5B"/>
    <w:rsid w:val="00270F1E"/>
    <w:rsid w:val="00271414"/>
    <w:rsid w:val="00271922"/>
    <w:rsid w:val="00273412"/>
    <w:rsid w:val="0027373F"/>
    <w:rsid w:val="00274ACF"/>
    <w:rsid w:val="002759A3"/>
    <w:rsid w:val="00277388"/>
    <w:rsid w:val="00277C8F"/>
    <w:rsid w:val="0028159B"/>
    <w:rsid w:val="00281CD0"/>
    <w:rsid w:val="0028264F"/>
    <w:rsid w:val="00282671"/>
    <w:rsid w:val="00282861"/>
    <w:rsid w:val="00284288"/>
    <w:rsid w:val="002843E2"/>
    <w:rsid w:val="002875C9"/>
    <w:rsid w:val="002876D5"/>
    <w:rsid w:val="00287BAA"/>
    <w:rsid w:val="0029180D"/>
    <w:rsid w:val="00293489"/>
    <w:rsid w:val="00295616"/>
    <w:rsid w:val="00295B30"/>
    <w:rsid w:val="00296270"/>
    <w:rsid w:val="00296F5E"/>
    <w:rsid w:val="00297A8D"/>
    <w:rsid w:val="002A1BE8"/>
    <w:rsid w:val="002A275D"/>
    <w:rsid w:val="002A30F0"/>
    <w:rsid w:val="002A38A4"/>
    <w:rsid w:val="002A6DF5"/>
    <w:rsid w:val="002A6FDF"/>
    <w:rsid w:val="002A77F9"/>
    <w:rsid w:val="002B156C"/>
    <w:rsid w:val="002B1EC5"/>
    <w:rsid w:val="002B2858"/>
    <w:rsid w:val="002B49F6"/>
    <w:rsid w:val="002B4EC4"/>
    <w:rsid w:val="002B50E6"/>
    <w:rsid w:val="002B6406"/>
    <w:rsid w:val="002B66A3"/>
    <w:rsid w:val="002B6809"/>
    <w:rsid w:val="002B7C49"/>
    <w:rsid w:val="002C1033"/>
    <w:rsid w:val="002C1614"/>
    <w:rsid w:val="002C2F9D"/>
    <w:rsid w:val="002C3771"/>
    <w:rsid w:val="002C4231"/>
    <w:rsid w:val="002C44DD"/>
    <w:rsid w:val="002C49A6"/>
    <w:rsid w:val="002C5213"/>
    <w:rsid w:val="002C7080"/>
    <w:rsid w:val="002C76BF"/>
    <w:rsid w:val="002C7C52"/>
    <w:rsid w:val="002C7D40"/>
    <w:rsid w:val="002D00B0"/>
    <w:rsid w:val="002D06BE"/>
    <w:rsid w:val="002D2364"/>
    <w:rsid w:val="002D2E16"/>
    <w:rsid w:val="002D3276"/>
    <w:rsid w:val="002D6050"/>
    <w:rsid w:val="002D6115"/>
    <w:rsid w:val="002D6E3E"/>
    <w:rsid w:val="002E21D6"/>
    <w:rsid w:val="002E45F0"/>
    <w:rsid w:val="002E588A"/>
    <w:rsid w:val="002E632B"/>
    <w:rsid w:val="002E649D"/>
    <w:rsid w:val="002E7778"/>
    <w:rsid w:val="002E7BF6"/>
    <w:rsid w:val="002F0E03"/>
    <w:rsid w:val="002F20D5"/>
    <w:rsid w:val="002F44D3"/>
    <w:rsid w:val="002F680D"/>
    <w:rsid w:val="00302180"/>
    <w:rsid w:val="00304011"/>
    <w:rsid w:val="00304B3E"/>
    <w:rsid w:val="00304D97"/>
    <w:rsid w:val="00305F00"/>
    <w:rsid w:val="00306474"/>
    <w:rsid w:val="0031180A"/>
    <w:rsid w:val="003122C7"/>
    <w:rsid w:val="0031246D"/>
    <w:rsid w:val="00313127"/>
    <w:rsid w:val="00313304"/>
    <w:rsid w:val="003139AB"/>
    <w:rsid w:val="003141B5"/>
    <w:rsid w:val="00314279"/>
    <w:rsid w:val="003155F4"/>
    <w:rsid w:val="003158EE"/>
    <w:rsid w:val="003158F5"/>
    <w:rsid w:val="00315BEF"/>
    <w:rsid w:val="00315C83"/>
    <w:rsid w:val="00316690"/>
    <w:rsid w:val="00316B45"/>
    <w:rsid w:val="00320309"/>
    <w:rsid w:val="003203D1"/>
    <w:rsid w:val="003212F5"/>
    <w:rsid w:val="003213A1"/>
    <w:rsid w:val="00321B30"/>
    <w:rsid w:val="00321D1E"/>
    <w:rsid w:val="00322774"/>
    <w:rsid w:val="003231F9"/>
    <w:rsid w:val="003245A6"/>
    <w:rsid w:val="00324FDC"/>
    <w:rsid w:val="0032530E"/>
    <w:rsid w:val="0032557B"/>
    <w:rsid w:val="00325A61"/>
    <w:rsid w:val="00326976"/>
    <w:rsid w:val="00326B01"/>
    <w:rsid w:val="003279E4"/>
    <w:rsid w:val="00330274"/>
    <w:rsid w:val="003309A9"/>
    <w:rsid w:val="00330E51"/>
    <w:rsid w:val="003311D7"/>
    <w:rsid w:val="00332B8B"/>
    <w:rsid w:val="0033319B"/>
    <w:rsid w:val="0033521E"/>
    <w:rsid w:val="003364C7"/>
    <w:rsid w:val="003372EC"/>
    <w:rsid w:val="00337CA2"/>
    <w:rsid w:val="003402FB"/>
    <w:rsid w:val="003404A4"/>
    <w:rsid w:val="003418E4"/>
    <w:rsid w:val="00343179"/>
    <w:rsid w:val="003432EA"/>
    <w:rsid w:val="003443E6"/>
    <w:rsid w:val="00346843"/>
    <w:rsid w:val="00347104"/>
    <w:rsid w:val="00347357"/>
    <w:rsid w:val="003477CB"/>
    <w:rsid w:val="00347B06"/>
    <w:rsid w:val="00350852"/>
    <w:rsid w:val="0035096E"/>
    <w:rsid w:val="00350BAA"/>
    <w:rsid w:val="00350FC0"/>
    <w:rsid w:val="0035129C"/>
    <w:rsid w:val="00351A55"/>
    <w:rsid w:val="0035219F"/>
    <w:rsid w:val="00353F97"/>
    <w:rsid w:val="00354235"/>
    <w:rsid w:val="00355D01"/>
    <w:rsid w:val="003566B0"/>
    <w:rsid w:val="00356D97"/>
    <w:rsid w:val="00360B81"/>
    <w:rsid w:val="00360CF5"/>
    <w:rsid w:val="00363B17"/>
    <w:rsid w:val="0036428F"/>
    <w:rsid w:val="00364617"/>
    <w:rsid w:val="003652AE"/>
    <w:rsid w:val="00365F6C"/>
    <w:rsid w:val="00366142"/>
    <w:rsid w:val="00366283"/>
    <w:rsid w:val="003668FD"/>
    <w:rsid w:val="0036777E"/>
    <w:rsid w:val="003701FA"/>
    <w:rsid w:val="0037271A"/>
    <w:rsid w:val="00372A26"/>
    <w:rsid w:val="00372EC7"/>
    <w:rsid w:val="003733DE"/>
    <w:rsid w:val="00373AE6"/>
    <w:rsid w:val="0037484C"/>
    <w:rsid w:val="003749CD"/>
    <w:rsid w:val="00374A6C"/>
    <w:rsid w:val="00377927"/>
    <w:rsid w:val="00377A9C"/>
    <w:rsid w:val="00377AD9"/>
    <w:rsid w:val="0038045A"/>
    <w:rsid w:val="003816C8"/>
    <w:rsid w:val="00381AB9"/>
    <w:rsid w:val="00382718"/>
    <w:rsid w:val="00382B3B"/>
    <w:rsid w:val="00385ED2"/>
    <w:rsid w:val="003866D6"/>
    <w:rsid w:val="003870CA"/>
    <w:rsid w:val="0038714A"/>
    <w:rsid w:val="00390335"/>
    <w:rsid w:val="00390793"/>
    <w:rsid w:val="00391637"/>
    <w:rsid w:val="00391F86"/>
    <w:rsid w:val="003923FB"/>
    <w:rsid w:val="00393057"/>
    <w:rsid w:val="003931C7"/>
    <w:rsid w:val="00393F00"/>
    <w:rsid w:val="003945C0"/>
    <w:rsid w:val="003956B1"/>
    <w:rsid w:val="003A1760"/>
    <w:rsid w:val="003A19F3"/>
    <w:rsid w:val="003A1AFE"/>
    <w:rsid w:val="003A1B2F"/>
    <w:rsid w:val="003A25A7"/>
    <w:rsid w:val="003A3255"/>
    <w:rsid w:val="003A4390"/>
    <w:rsid w:val="003A6EB9"/>
    <w:rsid w:val="003A7441"/>
    <w:rsid w:val="003A7DE8"/>
    <w:rsid w:val="003B21AD"/>
    <w:rsid w:val="003B28CC"/>
    <w:rsid w:val="003B3174"/>
    <w:rsid w:val="003B3B81"/>
    <w:rsid w:val="003B499C"/>
    <w:rsid w:val="003B4EE0"/>
    <w:rsid w:val="003B52CE"/>
    <w:rsid w:val="003B5305"/>
    <w:rsid w:val="003B535C"/>
    <w:rsid w:val="003B5E49"/>
    <w:rsid w:val="003B5F0C"/>
    <w:rsid w:val="003B637D"/>
    <w:rsid w:val="003C06F9"/>
    <w:rsid w:val="003C0CE8"/>
    <w:rsid w:val="003C10CC"/>
    <w:rsid w:val="003C2120"/>
    <w:rsid w:val="003C2389"/>
    <w:rsid w:val="003C2C74"/>
    <w:rsid w:val="003C3267"/>
    <w:rsid w:val="003C403D"/>
    <w:rsid w:val="003C47C0"/>
    <w:rsid w:val="003C4BB1"/>
    <w:rsid w:val="003C63A3"/>
    <w:rsid w:val="003C63AD"/>
    <w:rsid w:val="003C7AF0"/>
    <w:rsid w:val="003D030E"/>
    <w:rsid w:val="003D040D"/>
    <w:rsid w:val="003D0C6A"/>
    <w:rsid w:val="003D1F49"/>
    <w:rsid w:val="003D2061"/>
    <w:rsid w:val="003D28CA"/>
    <w:rsid w:val="003D346D"/>
    <w:rsid w:val="003D34C1"/>
    <w:rsid w:val="003D543B"/>
    <w:rsid w:val="003D5498"/>
    <w:rsid w:val="003D6AE7"/>
    <w:rsid w:val="003D7E3D"/>
    <w:rsid w:val="003E02C5"/>
    <w:rsid w:val="003E066F"/>
    <w:rsid w:val="003E079F"/>
    <w:rsid w:val="003E11A6"/>
    <w:rsid w:val="003E1458"/>
    <w:rsid w:val="003E1FE3"/>
    <w:rsid w:val="003E24F1"/>
    <w:rsid w:val="003E32A7"/>
    <w:rsid w:val="003E4945"/>
    <w:rsid w:val="003E5712"/>
    <w:rsid w:val="003E6102"/>
    <w:rsid w:val="003E62AD"/>
    <w:rsid w:val="003E7156"/>
    <w:rsid w:val="003E74AE"/>
    <w:rsid w:val="003F0197"/>
    <w:rsid w:val="003F0A65"/>
    <w:rsid w:val="003F0DB0"/>
    <w:rsid w:val="003F1A33"/>
    <w:rsid w:val="003F1D30"/>
    <w:rsid w:val="003F3072"/>
    <w:rsid w:val="003F31E6"/>
    <w:rsid w:val="003F4266"/>
    <w:rsid w:val="003F7558"/>
    <w:rsid w:val="004004C3"/>
    <w:rsid w:val="00401057"/>
    <w:rsid w:val="0040207C"/>
    <w:rsid w:val="004024E4"/>
    <w:rsid w:val="0040441F"/>
    <w:rsid w:val="00404F1C"/>
    <w:rsid w:val="004061B4"/>
    <w:rsid w:val="00406289"/>
    <w:rsid w:val="00406578"/>
    <w:rsid w:val="004074EF"/>
    <w:rsid w:val="004078CC"/>
    <w:rsid w:val="00407BF1"/>
    <w:rsid w:val="004102C3"/>
    <w:rsid w:val="00410492"/>
    <w:rsid w:val="00411585"/>
    <w:rsid w:val="0041307C"/>
    <w:rsid w:val="00413699"/>
    <w:rsid w:val="00413BCF"/>
    <w:rsid w:val="00413DDE"/>
    <w:rsid w:val="0041601E"/>
    <w:rsid w:val="004167B4"/>
    <w:rsid w:val="004167BC"/>
    <w:rsid w:val="0041687B"/>
    <w:rsid w:val="00416D8E"/>
    <w:rsid w:val="00417565"/>
    <w:rsid w:val="0042023A"/>
    <w:rsid w:val="0042032D"/>
    <w:rsid w:val="004225DC"/>
    <w:rsid w:val="00423A41"/>
    <w:rsid w:val="00423F4B"/>
    <w:rsid w:val="004243CA"/>
    <w:rsid w:val="0042476C"/>
    <w:rsid w:val="00424E8F"/>
    <w:rsid w:val="00425FBA"/>
    <w:rsid w:val="004260FF"/>
    <w:rsid w:val="00426188"/>
    <w:rsid w:val="0042777C"/>
    <w:rsid w:val="00427C7D"/>
    <w:rsid w:val="00430AEB"/>
    <w:rsid w:val="00430D7E"/>
    <w:rsid w:val="00432332"/>
    <w:rsid w:val="00432368"/>
    <w:rsid w:val="00433B04"/>
    <w:rsid w:val="00436F73"/>
    <w:rsid w:val="0043784D"/>
    <w:rsid w:val="00440256"/>
    <w:rsid w:val="00440E22"/>
    <w:rsid w:val="004415B2"/>
    <w:rsid w:val="00441B5D"/>
    <w:rsid w:val="004422D4"/>
    <w:rsid w:val="00442EEA"/>
    <w:rsid w:val="0044547D"/>
    <w:rsid w:val="00446F93"/>
    <w:rsid w:val="00447220"/>
    <w:rsid w:val="00447410"/>
    <w:rsid w:val="00451A74"/>
    <w:rsid w:val="004533A1"/>
    <w:rsid w:val="00453CE8"/>
    <w:rsid w:val="00453DAB"/>
    <w:rsid w:val="00454DCC"/>
    <w:rsid w:val="00454FEC"/>
    <w:rsid w:val="004552AB"/>
    <w:rsid w:val="004553FF"/>
    <w:rsid w:val="0045622C"/>
    <w:rsid w:val="004569B5"/>
    <w:rsid w:val="00456C4F"/>
    <w:rsid w:val="00456F06"/>
    <w:rsid w:val="00457926"/>
    <w:rsid w:val="00460468"/>
    <w:rsid w:val="004620A0"/>
    <w:rsid w:val="00462809"/>
    <w:rsid w:val="00464016"/>
    <w:rsid w:val="00464B51"/>
    <w:rsid w:val="00464C4B"/>
    <w:rsid w:val="00464FA6"/>
    <w:rsid w:val="00464FB1"/>
    <w:rsid w:val="00465EFC"/>
    <w:rsid w:val="00466320"/>
    <w:rsid w:val="00466DE1"/>
    <w:rsid w:val="00467185"/>
    <w:rsid w:val="00467736"/>
    <w:rsid w:val="0047050C"/>
    <w:rsid w:val="00472272"/>
    <w:rsid w:val="00472417"/>
    <w:rsid w:val="00472507"/>
    <w:rsid w:val="00472A45"/>
    <w:rsid w:val="00473540"/>
    <w:rsid w:val="00473930"/>
    <w:rsid w:val="00474D25"/>
    <w:rsid w:val="004750DB"/>
    <w:rsid w:val="004750FB"/>
    <w:rsid w:val="004751BB"/>
    <w:rsid w:val="00475DD4"/>
    <w:rsid w:val="0047649C"/>
    <w:rsid w:val="004770B9"/>
    <w:rsid w:val="00480F21"/>
    <w:rsid w:val="0048108E"/>
    <w:rsid w:val="00481389"/>
    <w:rsid w:val="004821BA"/>
    <w:rsid w:val="00483012"/>
    <w:rsid w:val="004847BA"/>
    <w:rsid w:val="0048480C"/>
    <w:rsid w:val="004848B1"/>
    <w:rsid w:val="0048537F"/>
    <w:rsid w:val="004874E5"/>
    <w:rsid w:val="00487885"/>
    <w:rsid w:val="004909C3"/>
    <w:rsid w:val="00490A65"/>
    <w:rsid w:val="00490C37"/>
    <w:rsid w:val="0049116C"/>
    <w:rsid w:val="00491968"/>
    <w:rsid w:val="004930C9"/>
    <w:rsid w:val="00493439"/>
    <w:rsid w:val="00493494"/>
    <w:rsid w:val="00493EAC"/>
    <w:rsid w:val="00493F62"/>
    <w:rsid w:val="00494832"/>
    <w:rsid w:val="004957C2"/>
    <w:rsid w:val="00495AF1"/>
    <w:rsid w:val="00496A56"/>
    <w:rsid w:val="00497446"/>
    <w:rsid w:val="00497A89"/>
    <w:rsid w:val="004A0DCC"/>
    <w:rsid w:val="004A4CED"/>
    <w:rsid w:val="004A4D74"/>
    <w:rsid w:val="004A5568"/>
    <w:rsid w:val="004A6A9E"/>
    <w:rsid w:val="004A6BE6"/>
    <w:rsid w:val="004A7B16"/>
    <w:rsid w:val="004A7EA7"/>
    <w:rsid w:val="004B047F"/>
    <w:rsid w:val="004B0828"/>
    <w:rsid w:val="004B3304"/>
    <w:rsid w:val="004B3DF1"/>
    <w:rsid w:val="004B4BC0"/>
    <w:rsid w:val="004B5555"/>
    <w:rsid w:val="004B6208"/>
    <w:rsid w:val="004B77DE"/>
    <w:rsid w:val="004C011C"/>
    <w:rsid w:val="004C0484"/>
    <w:rsid w:val="004C11D7"/>
    <w:rsid w:val="004C1FE6"/>
    <w:rsid w:val="004C259B"/>
    <w:rsid w:val="004C74B3"/>
    <w:rsid w:val="004C74ED"/>
    <w:rsid w:val="004C777E"/>
    <w:rsid w:val="004D0605"/>
    <w:rsid w:val="004D0C54"/>
    <w:rsid w:val="004D0E75"/>
    <w:rsid w:val="004D16A4"/>
    <w:rsid w:val="004D1E36"/>
    <w:rsid w:val="004D1E7A"/>
    <w:rsid w:val="004D2484"/>
    <w:rsid w:val="004D35FD"/>
    <w:rsid w:val="004D5144"/>
    <w:rsid w:val="004D6BC9"/>
    <w:rsid w:val="004D7764"/>
    <w:rsid w:val="004E0702"/>
    <w:rsid w:val="004E13CC"/>
    <w:rsid w:val="004E2A15"/>
    <w:rsid w:val="004E41CB"/>
    <w:rsid w:val="004E6682"/>
    <w:rsid w:val="004E6D8A"/>
    <w:rsid w:val="004E7DEA"/>
    <w:rsid w:val="004F0411"/>
    <w:rsid w:val="004F0AA2"/>
    <w:rsid w:val="004F10C1"/>
    <w:rsid w:val="004F15EF"/>
    <w:rsid w:val="004F22FE"/>
    <w:rsid w:val="004F774D"/>
    <w:rsid w:val="004F7DF6"/>
    <w:rsid w:val="00500153"/>
    <w:rsid w:val="005002FC"/>
    <w:rsid w:val="005013B0"/>
    <w:rsid w:val="005015E4"/>
    <w:rsid w:val="005017A6"/>
    <w:rsid w:val="0050291D"/>
    <w:rsid w:val="005042F7"/>
    <w:rsid w:val="005064CD"/>
    <w:rsid w:val="00506BD1"/>
    <w:rsid w:val="00506C00"/>
    <w:rsid w:val="00506DA4"/>
    <w:rsid w:val="0050783B"/>
    <w:rsid w:val="00510AD1"/>
    <w:rsid w:val="00511016"/>
    <w:rsid w:val="00512DD6"/>
    <w:rsid w:val="005138DD"/>
    <w:rsid w:val="005146FC"/>
    <w:rsid w:val="00514926"/>
    <w:rsid w:val="00514D8C"/>
    <w:rsid w:val="005159B3"/>
    <w:rsid w:val="00515BCF"/>
    <w:rsid w:val="005212C1"/>
    <w:rsid w:val="005217E5"/>
    <w:rsid w:val="00522C03"/>
    <w:rsid w:val="00523110"/>
    <w:rsid w:val="0052444B"/>
    <w:rsid w:val="00525EA4"/>
    <w:rsid w:val="00526448"/>
    <w:rsid w:val="00526FB6"/>
    <w:rsid w:val="005276B7"/>
    <w:rsid w:val="0052791F"/>
    <w:rsid w:val="00527EDD"/>
    <w:rsid w:val="00532A6A"/>
    <w:rsid w:val="00532CFF"/>
    <w:rsid w:val="0053308F"/>
    <w:rsid w:val="00534D3D"/>
    <w:rsid w:val="0053568A"/>
    <w:rsid w:val="005363F1"/>
    <w:rsid w:val="00536880"/>
    <w:rsid w:val="00536FEF"/>
    <w:rsid w:val="0053759C"/>
    <w:rsid w:val="00537CEC"/>
    <w:rsid w:val="005406FC"/>
    <w:rsid w:val="00540AD0"/>
    <w:rsid w:val="00542053"/>
    <w:rsid w:val="00542E69"/>
    <w:rsid w:val="0054357A"/>
    <w:rsid w:val="00543A76"/>
    <w:rsid w:val="00547738"/>
    <w:rsid w:val="00547D6B"/>
    <w:rsid w:val="005522F3"/>
    <w:rsid w:val="005523D1"/>
    <w:rsid w:val="005533FC"/>
    <w:rsid w:val="00553CA1"/>
    <w:rsid w:val="00553EB8"/>
    <w:rsid w:val="0055401F"/>
    <w:rsid w:val="00554753"/>
    <w:rsid w:val="00554A1D"/>
    <w:rsid w:val="0055532E"/>
    <w:rsid w:val="00555BC3"/>
    <w:rsid w:val="00555C6D"/>
    <w:rsid w:val="00556063"/>
    <w:rsid w:val="00556976"/>
    <w:rsid w:val="00557C8E"/>
    <w:rsid w:val="005604DF"/>
    <w:rsid w:val="00561568"/>
    <w:rsid w:val="0056196F"/>
    <w:rsid w:val="00561B2B"/>
    <w:rsid w:val="00562980"/>
    <w:rsid w:val="00562FA4"/>
    <w:rsid w:val="0056357E"/>
    <w:rsid w:val="005637B0"/>
    <w:rsid w:val="00563D76"/>
    <w:rsid w:val="0056463C"/>
    <w:rsid w:val="00564952"/>
    <w:rsid w:val="0056645F"/>
    <w:rsid w:val="00566CC0"/>
    <w:rsid w:val="00567A32"/>
    <w:rsid w:val="00571AB1"/>
    <w:rsid w:val="00573797"/>
    <w:rsid w:val="0057615B"/>
    <w:rsid w:val="00577717"/>
    <w:rsid w:val="00577E1C"/>
    <w:rsid w:val="00580DB1"/>
    <w:rsid w:val="005814AC"/>
    <w:rsid w:val="0058217C"/>
    <w:rsid w:val="00584676"/>
    <w:rsid w:val="00584923"/>
    <w:rsid w:val="005854B7"/>
    <w:rsid w:val="005855E5"/>
    <w:rsid w:val="00585708"/>
    <w:rsid w:val="00585DCD"/>
    <w:rsid w:val="00587AB1"/>
    <w:rsid w:val="0059070B"/>
    <w:rsid w:val="0059283C"/>
    <w:rsid w:val="00594CC8"/>
    <w:rsid w:val="00594E3B"/>
    <w:rsid w:val="00595082"/>
    <w:rsid w:val="00596824"/>
    <w:rsid w:val="00597E9E"/>
    <w:rsid w:val="005A0D95"/>
    <w:rsid w:val="005A224B"/>
    <w:rsid w:val="005A26A9"/>
    <w:rsid w:val="005A2741"/>
    <w:rsid w:val="005A2786"/>
    <w:rsid w:val="005A2891"/>
    <w:rsid w:val="005A2AEB"/>
    <w:rsid w:val="005A4891"/>
    <w:rsid w:val="005A5EAE"/>
    <w:rsid w:val="005A68E9"/>
    <w:rsid w:val="005A767D"/>
    <w:rsid w:val="005B07E7"/>
    <w:rsid w:val="005B1225"/>
    <w:rsid w:val="005B17D8"/>
    <w:rsid w:val="005B18F8"/>
    <w:rsid w:val="005B1D82"/>
    <w:rsid w:val="005B368F"/>
    <w:rsid w:val="005B4077"/>
    <w:rsid w:val="005B5B2A"/>
    <w:rsid w:val="005B65E5"/>
    <w:rsid w:val="005C142C"/>
    <w:rsid w:val="005C28B0"/>
    <w:rsid w:val="005C2F01"/>
    <w:rsid w:val="005C3FF4"/>
    <w:rsid w:val="005C5997"/>
    <w:rsid w:val="005C5B79"/>
    <w:rsid w:val="005C5C76"/>
    <w:rsid w:val="005C5E43"/>
    <w:rsid w:val="005C5F3C"/>
    <w:rsid w:val="005D01BE"/>
    <w:rsid w:val="005D05E2"/>
    <w:rsid w:val="005D1177"/>
    <w:rsid w:val="005D1D13"/>
    <w:rsid w:val="005D254A"/>
    <w:rsid w:val="005D42F2"/>
    <w:rsid w:val="005D53B2"/>
    <w:rsid w:val="005D5460"/>
    <w:rsid w:val="005E08CD"/>
    <w:rsid w:val="005E37E8"/>
    <w:rsid w:val="005E3B81"/>
    <w:rsid w:val="005E4C7C"/>
    <w:rsid w:val="005E5156"/>
    <w:rsid w:val="005E6652"/>
    <w:rsid w:val="005E6AE4"/>
    <w:rsid w:val="005E6CD6"/>
    <w:rsid w:val="005E74C5"/>
    <w:rsid w:val="005F1223"/>
    <w:rsid w:val="005F1DF2"/>
    <w:rsid w:val="005F219D"/>
    <w:rsid w:val="005F2437"/>
    <w:rsid w:val="005F318A"/>
    <w:rsid w:val="005F3D72"/>
    <w:rsid w:val="005F70FC"/>
    <w:rsid w:val="005F71BF"/>
    <w:rsid w:val="005F76F4"/>
    <w:rsid w:val="005F7710"/>
    <w:rsid w:val="006004F7"/>
    <w:rsid w:val="006006C9"/>
    <w:rsid w:val="0060135A"/>
    <w:rsid w:val="00602B69"/>
    <w:rsid w:val="00603261"/>
    <w:rsid w:val="00606604"/>
    <w:rsid w:val="006071F9"/>
    <w:rsid w:val="00607597"/>
    <w:rsid w:val="00607EFE"/>
    <w:rsid w:val="006100C5"/>
    <w:rsid w:val="00610F93"/>
    <w:rsid w:val="00611EDB"/>
    <w:rsid w:val="006125F5"/>
    <w:rsid w:val="006127CC"/>
    <w:rsid w:val="00612DAA"/>
    <w:rsid w:val="00613739"/>
    <w:rsid w:val="006137A6"/>
    <w:rsid w:val="006145BC"/>
    <w:rsid w:val="006145F1"/>
    <w:rsid w:val="00614661"/>
    <w:rsid w:val="00615197"/>
    <w:rsid w:val="006176DE"/>
    <w:rsid w:val="00620FCB"/>
    <w:rsid w:val="006243C6"/>
    <w:rsid w:val="006273BC"/>
    <w:rsid w:val="00632009"/>
    <w:rsid w:val="00632D70"/>
    <w:rsid w:val="00633CF1"/>
    <w:rsid w:val="00635203"/>
    <w:rsid w:val="00635A6C"/>
    <w:rsid w:val="00635B86"/>
    <w:rsid w:val="00637091"/>
    <w:rsid w:val="00640037"/>
    <w:rsid w:val="00642839"/>
    <w:rsid w:val="00643937"/>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0A93"/>
    <w:rsid w:val="00661E98"/>
    <w:rsid w:val="00662CEB"/>
    <w:rsid w:val="006636E2"/>
    <w:rsid w:val="00664C4E"/>
    <w:rsid w:val="006657FB"/>
    <w:rsid w:val="006661DC"/>
    <w:rsid w:val="00666273"/>
    <w:rsid w:val="00667FA9"/>
    <w:rsid w:val="00670121"/>
    <w:rsid w:val="0067233D"/>
    <w:rsid w:val="00672B2E"/>
    <w:rsid w:val="006745AE"/>
    <w:rsid w:val="00676870"/>
    <w:rsid w:val="00676AF3"/>
    <w:rsid w:val="00677895"/>
    <w:rsid w:val="00677BEF"/>
    <w:rsid w:val="006800EE"/>
    <w:rsid w:val="006814A3"/>
    <w:rsid w:val="00681798"/>
    <w:rsid w:val="00682AFC"/>
    <w:rsid w:val="00683344"/>
    <w:rsid w:val="006833A4"/>
    <w:rsid w:val="0068479D"/>
    <w:rsid w:val="00684FC9"/>
    <w:rsid w:val="0068584E"/>
    <w:rsid w:val="00687044"/>
    <w:rsid w:val="00687E97"/>
    <w:rsid w:val="00690549"/>
    <w:rsid w:val="0069072B"/>
    <w:rsid w:val="00690C33"/>
    <w:rsid w:val="0069174B"/>
    <w:rsid w:val="006919B9"/>
    <w:rsid w:val="0069206C"/>
    <w:rsid w:val="0069208C"/>
    <w:rsid w:val="006925C1"/>
    <w:rsid w:val="006927A7"/>
    <w:rsid w:val="00692B53"/>
    <w:rsid w:val="00692E31"/>
    <w:rsid w:val="00693340"/>
    <w:rsid w:val="00694D16"/>
    <w:rsid w:val="006A03D8"/>
    <w:rsid w:val="006A04C7"/>
    <w:rsid w:val="006A05B8"/>
    <w:rsid w:val="006A20DB"/>
    <w:rsid w:val="006A36DF"/>
    <w:rsid w:val="006A4287"/>
    <w:rsid w:val="006A4E97"/>
    <w:rsid w:val="006A54A7"/>
    <w:rsid w:val="006B05E3"/>
    <w:rsid w:val="006B09BC"/>
    <w:rsid w:val="006B2ACA"/>
    <w:rsid w:val="006B4248"/>
    <w:rsid w:val="006B6D5D"/>
    <w:rsid w:val="006B7B5A"/>
    <w:rsid w:val="006C0801"/>
    <w:rsid w:val="006C0C2C"/>
    <w:rsid w:val="006C1EAA"/>
    <w:rsid w:val="006C216F"/>
    <w:rsid w:val="006C415A"/>
    <w:rsid w:val="006C45D4"/>
    <w:rsid w:val="006C570F"/>
    <w:rsid w:val="006C6154"/>
    <w:rsid w:val="006C6C13"/>
    <w:rsid w:val="006C7417"/>
    <w:rsid w:val="006C7959"/>
    <w:rsid w:val="006D11BD"/>
    <w:rsid w:val="006D14D4"/>
    <w:rsid w:val="006D2042"/>
    <w:rsid w:val="006D2717"/>
    <w:rsid w:val="006D2B9C"/>
    <w:rsid w:val="006D3B2E"/>
    <w:rsid w:val="006D3BA2"/>
    <w:rsid w:val="006D3D5B"/>
    <w:rsid w:val="006D5C9C"/>
    <w:rsid w:val="006D5CF0"/>
    <w:rsid w:val="006D66E3"/>
    <w:rsid w:val="006D70ED"/>
    <w:rsid w:val="006D75BA"/>
    <w:rsid w:val="006D7855"/>
    <w:rsid w:val="006E00F5"/>
    <w:rsid w:val="006E010C"/>
    <w:rsid w:val="006E0245"/>
    <w:rsid w:val="006E1003"/>
    <w:rsid w:val="006E16BF"/>
    <w:rsid w:val="006E18F0"/>
    <w:rsid w:val="006E2C89"/>
    <w:rsid w:val="006E3065"/>
    <w:rsid w:val="006E38AF"/>
    <w:rsid w:val="006E4502"/>
    <w:rsid w:val="006E4F93"/>
    <w:rsid w:val="006E5016"/>
    <w:rsid w:val="006E7F4D"/>
    <w:rsid w:val="006F0EA4"/>
    <w:rsid w:val="006F10FE"/>
    <w:rsid w:val="006F1174"/>
    <w:rsid w:val="006F283A"/>
    <w:rsid w:val="006F5465"/>
    <w:rsid w:val="006F5802"/>
    <w:rsid w:val="006F72BA"/>
    <w:rsid w:val="006F7AB7"/>
    <w:rsid w:val="00700135"/>
    <w:rsid w:val="0070212F"/>
    <w:rsid w:val="007023AB"/>
    <w:rsid w:val="007031B2"/>
    <w:rsid w:val="007034D5"/>
    <w:rsid w:val="007037AD"/>
    <w:rsid w:val="00704C40"/>
    <w:rsid w:val="00705180"/>
    <w:rsid w:val="00705D90"/>
    <w:rsid w:val="00706336"/>
    <w:rsid w:val="00706917"/>
    <w:rsid w:val="007078B4"/>
    <w:rsid w:val="00710A39"/>
    <w:rsid w:val="00711397"/>
    <w:rsid w:val="00711605"/>
    <w:rsid w:val="00711DF6"/>
    <w:rsid w:val="007127A5"/>
    <w:rsid w:val="00713211"/>
    <w:rsid w:val="00713B56"/>
    <w:rsid w:val="00714C7B"/>
    <w:rsid w:val="007150F4"/>
    <w:rsid w:val="007162CD"/>
    <w:rsid w:val="00716FBC"/>
    <w:rsid w:val="00717090"/>
    <w:rsid w:val="00720739"/>
    <w:rsid w:val="007217ED"/>
    <w:rsid w:val="0072253E"/>
    <w:rsid w:val="00723E1F"/>
    <w:rsid w:val="00724334"/>
    <w:rsid w:val="0072443D"/>
    <w:rsid w:val="00724630"/>
    <w:rsid w:val="007247E5"/>
    <w:rsid w:val="007248B7"/>
    <w:rsid w:val="007252AF"/>
    <w:rsid w:val="007254CA"/>
    <w:rsid w:val="00725744"/>
    <w:rsid w:val="00725D9F"/>
    <w:rsid w:val="0072650E"/>
    <w:rsid w:val="007267D2"/>
    <w:rsid w:val="00726CED"/>
    <w:rsid w:val="007302E3"/>
    <w:rsid w:val="00730CF8"/>
    <w:rsid w:val="00730EB7"/>
    <w:rsid w:val="00731A90"/>
    <w:rsid w:val="00732608"/>
    <w:rsid w:val="00733251"/>
    <w:rsid w:val="0073375B"/>
    <w:rsid w:val="00733D68"/>
    <w:rsid w:val="00734083"/>
    <w:rsid w:val="007347E7"/>
    <w:rsid w:val="007354C1"/>
    <w:rsid w:val="0073628B"/>
    <w:rsid w:val="00736DCA"/>
    <w:rsid w:val="00740A69"/>
    <w:rsid w:val="00740E4B"/>
    <w:rsid w:val="00741C61"/>
    <w:rsid w:val="007436AA"/>
    <w:rsid w:val="00745C47"/>
    <w:rsid w:val="00745E49"/>
    <w:rsid w:val="00747F88"/>
    <w:rsid w:val="0075003D"/>
    <w:rsid w:val="00751C98"/>
    <w:rsid w:val="00751D97"/>
    <w:rsid w:val="00752C55"/>
    <w:rsid w:val="00753608"/>
    <w:rsid w:val="00754938"/>
    <w:rsid w:val="007562D4"/>
    <w:rsid w:val="00756C1F"/>
    <w:rsid w:val="007573FA"/>
    <w:rsid w:val="00757AE4"/>
    <w:rsid w:val="00757EF9"/>
    <w:rsid w:val="007614A3"/>
    <w:rsid w:val="00761DBF"/>
    <w:rsid w:val="00761FCF"/>
    <w:rsid w:val="00762C40"/>
    <w:rsid w:val="00764959"/>
    <w:rsid w:val="007653F2"/>
    <w:rsid w:val="00765503"/>
    <w:rsid w:val="007661AD"/>
    <w:rsid w:val="007664B2"/>
    <w:rsid w:val="00766C93"/>
    <w:rsid w:val="007672CC"/>
    <w:rsid w:val="0076753C"/>
    <w:rsid w:val="00767B7E"/>
    <w:rsid w:val="007705E9"/>
    <w:rsid w:val="00770B44"/>
    <w:rsid w:val="00770E33"/>
    <w:rsid w:val="00771D7D"/>
    <w:rsid w:val="007727C4"/>
    <w:rsid w:val="007741D0"/>
    <w:rsid w:val="007745B7"/>
    <w:rsid w:val="007750C8"/>
    <w:rsid w:val="00776538"/>
    <w:rsid w:val="00776FE5"/>
    <w:rsid w:val="0077714E"/>
    <w:rsid w:val="00777C82"/>
    <w:rsid w:val="00777E72"/>
    <w:rsid w:val="007802BE"/>
    <w:rsid w:val="00780EEF"/>
    <w:rsid w:val="0078134C"/>
    <w:rsid w:val="00781C47"/>
    <w:rsid w:val="00781C80"/>
    <w:rsid w:val="00782189"/>
    <w:rsid w:val="00782A5E"/>
    <w:rsid w:val="007837C7"/>
    <w:rsid w:val="00783C3B"/>
    <w:rsid w:val="00784B44"/>
    <w:rsid w:val="00785465"/>
    <w:rsid w:val="00785504"/>
    <w:rsid w:val="00787365"/>
    <w:rsid w:val="00787656"/>
    <w:rsid w:val="00790C7F"/>
    <w:rsid w:val="007912D9"/>
    <w:rsid w:val="00791767"/>
    <w:rsid w:val="0079268A"/>
    <w:rsid w:val="00794859"/>
    <w:rsid w:val="00794ED5"/>
    <w:rsid w:val="00795F49"/>
    <w:rsid w:val="00797047"/>
    <w:rsid w:val="00797C88"/>
    <w:rsid w:val="007A0792"/>
    <w:rsid w:val="007A0E6C"/>
    <w:rsid w:val="007A0EF1"/>
    <w:rsid w:val="007A1013"/>
    <w:rsid w:val="007A20AC"/>
    <w:rsid w:val="007A235B"/>
    <w:rsid w:val="007A4CA9"/>
    <w:rsid w:val="007A5529"/>
    <w:rsid w:val="007A60B4"/>
    <w:rsid w:val="007A7D19"/>
    <w:rsid w:val="007A7EC2"/>
    <w:rsid w:val="007B006B"/>
    <w:rsid w:val="007B042D"/>
    <w:rsid w:val="007B05BB"/>
    <w:rsid w:val="007B0C76"/>
    <w:rsid w:val="007B3DEA"/>
    <w:rsid w:val="007B5566"/>
    <w:rsid w:val="007B556F"/>
    <w:rsid w:val="007B6E0A"/>
    <w:rsid w:val="007B6E25"/>
    <w:rsid w:val="007B764C"/>
    <w:rsid w:val="007C07E6"/>
    <w:rsid w:val="007C0FDA"/>
    <w:rsid w:val="007C118A"/>
    <w:rsid w:val="007C2007"/>
    <w:rsid w:val="007C2A7E"/>
    <w:rsid w:val="007C398A"/>
    <w:rsid w:val="007C463B"/>
    <w:rsid w:val="007C506E"/>
    <w:rsid w:val="007C636F"/>
    <w:rsid w:val="007C6C73"/>
    <w:rsid w:val="007C6DEA"/>
    <w:rsid w:val="007C7899"/>
    <w:rsid w:val="007D01E4"/>
    <w:rsid w:val="007D0FC7"/>
    <w:rsid w:val="007D12E2"/>
    <w:rsid w:val="007D16C2"/>
    <w:rsid w:val="007D22F0"/>
    <w:rsid w:val="007D39EB"/>
    <w:rsid w:val="007D4346"/>
    <w:rsid w:val="007D4512"/>
    <w:rsid w:val="007D6F55"/>
    <w:rsid w:val="007D7BA2"/>
    <w:rsid w:val="007E39AC"/>
    <w:rsid w:val="007E3D80"/>
    <w:rsid w:val="007E4EE0"/>
    <w:rsid w:val="007E7319"/>
    <w:rsid w:val="007E74E1"/>
    <w:rsid w:val="007E77A8"/>
    <w:rsid w:val="007F158E"/>
    <w:rsid w:val="007F2496"/>
    <w:rsid w:val="007F24BF"/>
    <w:rsid w:val="007F363E"/>
    <w:rsid w:val="007F491C"/>
    <w:rsid w:val="007F63CD"/>
    <w:rsid w:val="007F6702"/>
    <w:rsid w:val="00800AC4"/>
    <w:rsid w:val="00800D07"/>
    <w:rsid w:val="008025F3"/>
    <w:rsid w:val="00803BF8"/>
    <w:rsid w:val="00804D3D"/>
    <w:rsid w:val="008061C9"/>
    <w:rsid w:val="008066D8"/>
    <w:rsid w:val="008074BB"/>
    <w:rsid w:val="00811A18"/>
    <w:rsid w:val="008121AF"/>
    <w:rsid w:val="00812384"/>
    <w:rsid w:val="0081249D"/>
    <w:rsid w:val="00812E18"/>
    <w:rsid w:val="0081353A"/>
    <w:rsid w:val="00813711"/>
    <w:rsid w:val="00813C37"/>
    <w:rsid w:val="00814EA1"/>
    <w:rsid w:val="0081689B"/>
    <w:rsid w:val="00816A0F"/>
    <w:rsid w:val="00817765"/>
    <w:rsid w:val="008179B6"/>
    <w:rsid w:val="00817AC8"/>
    <w:rsid w:val="00821D08"/>
    <w:rsid w:val="00821E64"/>
    <w:rsid w:val="00821EDD"/>
    <w:rsid w:val="008223E9"/>
    <w:rsid w:val="00824D46"/>
    <w:rsid w:val="008253C4"/>
    <w:rsid w:val="008263C2"/>
    <w:rsid w:val="00826C31"/>
    <w:rsid w:val="008307C4"/>
    <w:rsid w:val="008307DB"/>
    <w:rsid w:val="00831A7E"/>
    <w:rsid w:val="00832615"/>
    <w:rsid w:val="00833398"/>
    <w:rsid w:val="00834131"/>
    <w:rsid w:val="00835A0F"/>
    <w:rsid w:val="00835D9D"/>
    <w:rsid w:val="00835FC9"/>
    <w:rsid w:val="008368F8"/>
    <w:rsid w:val="008370E3"/>
    <w:rsid w:val="00837E83"/>
    <w:rsid w:val="008418FA"/>
    <w:rsid w:val="00842590"/>
    <w:rsid w:val="00842959"/>
    <w:rsid w:val="00842C2A"/>
    <w:rsid w:val="00843390"/>
    <w:rsid w:val="00845D5F"/>
    <w:rsid w:val="00846044"/>
    <w:rsid w:val="0084645A"/>
    <w:rsid w:val="00847E3D"/>
    <w:rsid w:val="00851040"/>
    <w:rsid w:val="00851FDF"/>
    <w:rsid w:val="0085235A"/>
    <w:rsid w:val="00852548"/>
    <w:rsid w:val="00852F69"/>
    <w:rsid w:val="008533E3"/>
    <w:rsid w:val="00853F8F"/>
    <w:rsid w:val="00854138"/>
    <w:rsid w:val="00854410"/>
    <w:rsid w:val="00854489"/>
    <w:rsid w:val="008544DF"/>
    <w:rsid w:val="008547C7"/>
    <w:rsid w:val="008553B6"/>
    <w:rsid w:val="008566A5"/>
    <w:rsid w:val="008602B6"/>
    <w:rsid w:val="008606D6"/>
    <w:rsid w:val="00860AAD"/>
    <w:rsid w:val="00861058"/>
    <w:rsid w:val="00861AA6"/>
    <w:rsid w:val="00866583"/>
    <w:rsid w:val="0086722B"/>
    <w:rsid w:val="008708F3"/>
    <w:rsid w:val="00870A49"/>
    <w:rsid w:val="008711C0"/>
    <w:rsid w:val="00871354"/>
    <w:rsid w:val="00871872"/>
    <w:rsid w:val="008723D7"/>
    <w:rsid w:val="00873611"/>
    <w:rsid w:val="00873C8F"/>
    <w:rsid w:val="008745FE"/>
    <w:rsid w:val="00874FB3"/>
    <w:rsid w:val="00876012"/>
    <w:rsid w:val="00876869"/>
    <w:rsid w:val="00876F12"/>
    <w:rsid w:val="00877F7C"/>
    <w:rsid w:val="00880BE3"/>
    <w:rsid w:val="00881359"/>
    <w:rsid w:val="00882093"/>
    <w:rsid w:val="00882588"/>
    <w:rsid w:val="00884ADE"/>
    <w:rsid w:val="008856CF"/>
    <w:rsid w:val="00885864"/>
    <w:rsid w:val="008858D5"/>
    <w:rsid w:val="00887014"/>
    <w:rsid w:val="008905D5"/>
    <w:rsid w:val="00890A1D"/>
    <w:rsid w:val="00891CA6"/>
    <w:rsid w:val="008926DE"/>
    <w:rsid w:val="0089383B"/>
    <w:rsid w:val="00893E2B"/>
    <w:rsid w:val="00894323"/>
    <w:rsid w:val="0089534B"/>
    <w:rsid w:val="0089616F"/>
    <w:rsid w:val="008A0232"/>
    <w:rsid w:val="008A0C75"/>
    <w:rsid w:val="008A123A"/>
    <w:rsid w:val="008A3FC3"/>
    <w:rsid w:val="008A5622"/>
    <w:rsid w:val="008A566A"/>
    <w:rsid w:val="008A5FEA"/>
    <w:rsid w:val="008A6E73"/>
    <w:rsid w:val="008A7555"/>
    <w:rsid w:val="008A7BA9"/>
    <w:rsid w:val="008B0470"/>
    <w:rsid w:val="008B05E7"/>
    <w:rsid w:val="008B06C5"/>
    <w:rsid w:val="008B164E"/>
    <w:rsid w:val="008B271E"/>
    <w:rsid w:val="008B4923"/>
    <w:rsid w:val="008B4E74"/>
    <w:rsid w:val="008B4F06"/>
    <w:rsid w:val="008B502A"/>
    <w:rsid w:val="008B57D8"/>
    <w:rsid w:val="008B65CF"/>
    <w:rsid w:val="008B6E82"/>
    <w:rsid w:val="008B7A65"/>
    <w:rsid w:val="008C1219"/>
    <w:rsid w:val="008C123E"/>
    <w:rsid w:val="008C137D"/>
    <w:rsid w:val="008C1726"/>
    <w:rsid w:val="008C22DD"/>
    <w:rsid w:val="008C3DFD"/>
    <w:rsid w:val="008C3E28"/>
    <w:rsid w:val="008C3ED0"/>
    <w:rsid w:val="008C4203"/>
    <w:rsid w:val="008C4596"/>
    <w:rsid w:val="008C4F7D"/>
    <w:rsid w:val="008C5DA5"/>
    <w:rsid w:val="008C5E94"/>
    <w:rsid w:val="008C5EFF"/>
    <w:rsid w:val="008C6CA5"/>
    <w:rsid w:val="008C7A05"/>
    <w:rsid w:val="008D032B"/>
    <w:rsid w:val="008D0520"/>
    <w:rsid w:val="008D0581"/>
    <w:rsid w:val="008D0B8D"/>
    <w:rsid w:val="008D0D34"/>
    <w:rsid w:val="008D18DD"/>
    <w:rsid w:val="008D196A"/>
    <w:rsid w:val="008D27BC"/>
    <w:rsid w:val="008D39CD"/>
    <w:rsid w:val="008D551E"/>
    <w:rsid w:val="008E01B4"/>
    <w:rsid w:val="008E3DBA"/>
    <w:rsid w:val="008E3EF2"/>
    <w:rsid w:val="008E51C9"/>
    <w:rsid w:val="008E5BEB"/>
    <w:rsid w:val="008E6306"/>
    <w:rsid w:val="008E681C"/>
    <w:rsid w:val="008E7639"/>
    <w:rsid w:val="008F3F6A"/>
    <w:rsid w:val="008F56B7"/>
    <w:rsid w:val="008F6258"/>
    <w:rsid w:val="008F6355"/>
    <w:rsid w:val="008F68F7"/>
    <w:rsid w:val="008F79C7"/>
    <w:rsid w:val="008F7B64"/>
    <w:rsid w:val="009005A6"/>
    <w:rsid w:val="009006CF"/>
    <w:rsid w:val="00900C71"/>
    <w:rsid w:val="009020A7"/>
    <w:rsid w:val="00902A1C"/>
    <w:rsid w:val="00903384"/>
    <w:rsid w:val="009037B6"/>
    <w:rsid w:val="00906164"/>
    <w:rsid w:val="009063F3"/>
    <w:rsid w:val="009065C5"/>
    <w:rsid w:val="00906CBE"/>
    <w:rsid w:val="00906E5D"/>
    <w:rsid w:val="00910024"/>
    <w:rsid w:val="00910384"/>
    <w:rsid w:val="00910ABC"/>
    <w:rsid w:val="00914B0C"/>
    <w:rsid w:val="009163D4"/>
    <w:rsid w:val="0091643D"/>
    <w:rsid w:val="00916E33"/>
    <w:rsid w:val="009175A6"/>
    <w:rsid w:val="009204BB"/>
    <w:rsid w:val="0092093B"/>
    <w:rsid w:val="00921317"/>
    <w:rsid w:val="00922220"/>
    <w:rsid w:val="009243C8"/>
    <w:rsid w:val="00930318"/>
    <w:rsid w:val="00930669"/>
    <w:rsid w:val="00930F95"/>
    <w:rsid w:val="00932C33"/>
    <w:rsid w:val="00933EF5"/>
    <w:rsid w:val="00934497"/>
    <w:rsid w:val="00934941"/>
    <w:rsid w:val="00936920"/>
    <w:rsid w:val="00937C63"/>
    <w:rsid w:val="009401B7"/>
    <w:rsid w:val="00941B42"/>
    <w:rsid w:val="009427A1"/>
    <w:rsid w:val="00942FFE"/>
    <w:rsid w:val="0094352D"/>
    <w:rsid w:val="00946FA6"/>
    <w:rsid w:val="00951BF0"/>
    <w:rsid w:val="0095362C"/>
    <w:rsid w:val="009537CC"/>
    <w:rsid w:val="00954085"/>
    <w:rsid w:val="00954A42"/>
    <w:rsid w:val="00954C59"/>
    <w:rsid w:val="00954DE7"/>
    <w:rsid w:val="009551E0"/>
    <w:rsid w:val="00955DC1"/>
    <w:rsid w:val="0095654E"/>
    <w:rsid w:val="00956F3C"/>
    <w:rsid w:val="0096054C"/>
    <w:rsid w:val="00960892"/>
    <w:rsid w:val="00960CFB"/>
    <w:rsid w:val="00961954"/>
    <w:rsid w:val="009627C9"/>
    <w:rsid w:val="009654A2"/>
    <w:rsid w:val="009664C8"/>
    <w:rsid w:val="00970363"/>
    <w:rsid w:val="00970678"/>
    <w:rsid w:val="00971C34"/>
    <w:rsid w:val="00972112"/>
    <w:rsid w:val="00972488"/>
    <w:rsid w:val="009726D0"/>
    <w:rsid w:val="00972ED6"/>
    <w:rsid w:val="00973764"/>
    <w:rsid w:val="00973B23"/>
    <w:rsid w:val="00973E24"/>
    <w:rsid w:val="0097421D"/>
    <w:rsid w:val="00974B76"/>
    <w:rsid w:val="00976117"/>
    <w:rsid w:val="00976A23"/>
    <w:rsid w:val="0097749C"/>
    <w:rsid w:val="009800BC"/>
    <w:rsid w:val="00980575"/>
    <w:rsid w:val="009816F6"/>
    <w:rsid w:val="009843BA"/>
    <w:rsid w:val="009844D8"/>
    <w:rsid w:val="0098456D"/>
    <w:rsid w:val="009900F0"/>
    <w:rsid w:val="00990887"/>
    <w:rsid w:val="00990B9B"/>
    <w:rsid w:val="00991370"/>
    <w:rsid w:val="00991769"/>
    <w:rsid w:val="00991ACA"/>
    <w:rsid w:val="009928B5"/>
    <w:rsid w:val="00993236"/>
    <w:rsid w:val="00993617"/>
    <w:rsid w:val="00993D8C"/>
    <w:rsid w:val="00994E3D"/>
    <w:rsid w:val="009961D3"/>
    <w:rsid w:val="00996FFA"/>
    <w:rsid w:val="009974C7"/>
    <w:rsid w:val="009A08E4"/>
    <w:rsid w:val="009A0AFA"/>
    <w:rsid w:val="009A297E"/>
    <w:rsid w:val="009A310D"/>
    <w:rsid w:val="009A3A81"/>
    <w:rsid w:val="009A6127"/>
    <w:rsid w:val="009A6CA8"/>
    <w:rsid w:val="009A706D"/>
    <w:rsid w:val="009B005D"/>
    <w:rsid w:val="009B0CC1"/>
    <w:rsid w:val="009B1514"/>
    <w:rsid w:val="009B2C7D"/>
    <w:rsid w:val="009B350D"/>
    <w:rsid w:val="009B5457"/>
    <w:rsid w:val="009B68EA"/>
    <w:rsid w:val="009B69F0"/>
    <w:rsid w:val="009B6A15"/>
    <w:rsid w:val="009B713C"/>
    <w:rsid w:val="009B7798"/>
    <w:rsid w:val="009C0F18"/>
    <w:rsid w:val="009C12C6"/>
    <w:rsid w:val="009C19D4"/>
    <w:rsid w:val="009C2555"/>
    <w:rsid w:val="009C260A"/>
    <w:rsid w:val="009C2858"/>
    <w:rsid w:val="009C2DA6"/>
    <w:rsid w:val="009C35D2"/>
    <w:rsid w:val="009C363C"/>
    <w:rsid w:val="009C3D7E"/>
    <w:rsid w:val="009C4344"/>
    <w:rsid w:val="009C45BA"/>
    <w:rsid w:val="009C46C8"/>
    <w:rsid w:val="009C5B4F"/>
    <w:rsid w:val="009C6287"/>
    <w:rsid w:val="009C705A"/>
    <w:rsid w:val="009C7435"/>
    <w:rsid w:val="009C7778"/>
    <w:rsid w:val="009C7EE6"/>
    <w:rsid w:val="009D06AE"/>
    <w:rsid w:val="009D09E2"/>
    <w:rsid w:val="009D1E42"/>
    <w:rsid w:val="009D2205"/>
    <w:rsid w:val="009D282B"/>
    <w:rsid w:val="009D40E1"/>
    <w:rsid w:val="009D4B71"/>
    <w:rsid w:val="009D5C90"/>
    <w:rsid w:val="009D7148"/>
    <w:rsid w:val="009E02FD"/>
    <w:rsid w:val="009E0B27"/>
    <w:rsid w:val="009E34FA"/>
    <w:rsid w:val="009E3855"/>
    <w:rsid w:val="009E3BC7"/>
    <w:rsid w:val="009E4C74"/>
    <w:rsid w:val="009E4F03"/>
    <w:rsid w:val="009E56CC"/>
    <w:rsid w:val="009E59F1"/>
    <w:rsid w:val="009E62B6"/>
    <w:rsid w:val="009E7171"/>
    <w:rsid w:val="009F043D"/>
    <w:rsid w:val="009F06C4"/>
    <w:rsid w:val="009F0A1A"/>
    <w:rsid w:val="009F0EA5"/>
    <w:rsid w:val="009F1F30"/>
    <w:rsid w:val="009F26CA"/>
    <w:rsid w:val="009F35DA"/>
    <w:rsid w:val="009F3C0D"/>
    <w:rsid w:val="009F4034"/>
    <w:rsid w:val="009F43D0"/>
    <w:rsid w:val="009F5C5F"/>
    <w:rsid w:val="00A000F0"/>
    <w:rsid w:val="00A00568"/>
    <w:rsid w:val="00A00884"/>
    <w:rsid w:val="00A00EEB"/>
    <w:rsid w:val="00A020CE"/>
    <w:rsid w:val="00A02F62"/>
    <w:rsid w:val="00A02FA3"/>
    <w:rsid w:val="00A030C3"/>
    <w:rsid w:val="00A0399B"/>
    <w:rsid w:val="00A04803"/>
    <w:rsid w:val="00A06EBF"/>
    <w:rsid w:val="00A07169"/>
    <w:rsid w:val="00A07A7E"/>
    <w:rsid w:val="00A10147"/>
    <w:rsid w:val="00A10519"/>
    <w:rsid w:val="00A10EDE"/>
    <w:rsid w:val="00A112C9"/>
    <w:rsid w:val="00A11331"/>
    <w:rsid w:val="00A12348"/>
    <w:rsid w:val="00A131E6"/>
    <w:rsid w:val="00A1366D"/>
    <w:rsid w:val="00A13843"/>
    <w:rsid w:val="00A140B8"/>
    <w:rsid w:val="00A146A5"/>
    <w:rsid w:val="00A1552C"/>
    <w:rsid w:val="00A17466"/>
    <w:rsid w:val="00A17C63"/>
    <w:rsid w:val="00A204B3"/>
    <w:rsid w:val="00A20576"/>
    <w:rsid w:val="00A20EA1"/>
    <w:rsid w:val="00A21593"/>
    <w:rsid w:val="00A216CC"/>
    <w:rsid w:val="00A221F7"/>
    <w:rsid w:val="00A2227F"/>
    <w:rsid w:val="00A22C21"/>
    <w:rsid w:val="00A23412"/>
    <w:rsid w:val="00A24AFA"/>
    <w:rsid w:val="00A25CA2"/>
    <w:rsid w:val="00A2604E"/>
    <w:rsid w:val="00A26A3E"/>
    <w:rsid w:val="00A26EA0"/>
    <w:rsid w:val="00A3148A"/>
    <w:rsid w:val="00A31CCE"/>
    <w:rsid w:val="00A31DF2"/>
    <w:rsid w:val="00A33C95"/>
    <w:rsid w:val="00A33D1C"/>
    <w:rsid w:val="00A34F29"/>
    <w:rsid w:val="00A34FF3"/>
    <w:rsid w:val="00A35351"/>
    <w:rsid w:val="00A361C7"/>
    <w:rsid w:val="00A36723"/>
    <w:rsid w:val="00A37E89"/>
    <w:rsid w:val="00A41A23"/>
    <w:rsid w:val="00A42339"/>
    <w:rsid w:val="00A428C6"/>
    <w:rsid w:val="00A43140"/>
    <w:rsid w:val="00A44C7B"/>
    <w:rsid w:val="00A45D33"/>
    <w:rsid w:val="00A460CB"/>
    <w:rsid w:val="00A46373"/>
    <w:rsid w:val="00A46DF5"/>
    <w:rsid w:val="00A5031F"/>
    <w:rsid w:val="00A5149A"/>
    <w:rsid w:val="00A53650"/>
    <w:rsid w:val="00A53E51"/>
    <w:rsid w:val="00A5673D"/>
    <w:rsid w:val="00A56F51"/>
    <w:rsid w:val="00A57183"/>
    <w:rsid w:val="00A57A97"/>
    <w:rsid w:val="00A60693"/>
    <w:rsid w:val="00A60E29"/>
    <w:rsid w:val="00A6196D"/>
    <w:rsid w:val="00A619C0"/>
    <w:rsid w:val="00A61ADF"/>
    <w:rsid w:val="00A62012"/>
    <w:rsid w:val="00A624CB"/>
    <w:rsid w:val="00A62AC0"/>
    <w:rsid w:val="00A62E73"/>
    <w:rsid w:val="00A643E8"/>
    <w:rsid w:val="00A64A71"/>
    <w:rsid w:val="00A65818"/>
    <w:rsid w:val="00A72A9C"/>
    <w:rsid w:val="00A74FE6"/>
    <w:rsid w:val="00A75118"/>
    <w:rsid w:val="00A761A1"/>
    <w:rsid w:val="00A76BD2"/>
    <w:rsid w:val="00A80D97"/>
    <w:rsid w:val="00A81306"/>
    <w:rsid w:val="00A8267D"/>
    <w:rsid w:val="00A82E14"/>
    <w:rsid w:val="00A85118"/>
    <w:rsid w:val="00A85862"/>
    <w:rsid w:val="00A85F13"/>
    <w:rsid w:val="00A8688E"/>
    <w:rsid w:val="00A86CFE"/>
    <w:rsid w:val="00A8722B"/>
    <w:rsid w:val="00A9001E"/>
    <w:rsid w:val="00A9010D"/>
    <w:rsid w:val="00A901E9"/>
    <w:rsid w:val="00A917B6"/>
    <w:rsid w:val="00A91831"/>
    <w:rsid w:val="00A91B3B"/>
    <w:rsid w:val="00A93277"/>
    <w:rsid w:val="00A93B4F"/>
    <w:rsid w:val="00A93F87"/>
    <w:rsid w:val="00A94F7A"/>
    <w:rsid w:val="00A95D3B"/>
    <w:rsid w:val="00A95ECC"/>
    <w:rsid w:val="00A96B0F"/>
    <w:rsid w:val="00A97341"/>
    <w:rsid w:val="00A97369"/>
    <w:rsid w:val="00AA0081"/>
    <w:rsid w:val="00AA05D6"/>
    <w:rsid w:val="00AA454B"/>
    <w:rsid w:val="00AA4C1F"/>
    <w:rsid w:val="00AA4E4D"/>
    <w:rsid w:val="00AA515F"/>
    <w:rsid w:val="00AA5E38"/>
    <w:rsid w:val="00AA6335"/>
    <w:rsid w:val="00AB09ED"/>
    <w:rsid w:val="00AB0F24"/>
    <w:rsid w:val="00AB3DC0"/>
    <w:rsid w:val="00AB41F2"/>
    <w:rsid w:val="00AB4CBB"/>
    <w:rsid w:val="00AC0EBB"/>
    <w:rsid w:val="00AC125E"/>
    <w:rsid w:val="00AC296D"/>
    <w:rsid w:val="00AC37F9"/>
    <w:rsid w:val="00AC3E43"/>
    <w:rsid w:val="00AC45DF"/>
    <w:rsid w:val="00AC474D"/>
    <w:rsid w:val="00AC4DFD"/>
    <w:rsid w:val="00AC4F47"/>
    <w:rsid w:val="00AC5663"/>
    <w:rsid w:val="00AC567E"/>
    <w:rsid w:val="00AC58FD"/>
    <w:rsid w:val="00AD0F6D"/>
    <w:rsid w:val="00AD1156"/>
    <w:rsid w:val="00AD1166"/>
    <w:rsid w:val="00AD12C0"/>
    <w:rsid w:val="00AD1468"/>
    <w:rsid w:val="00AD19D2"/>
    <w:rsid w:val="00AD1A96"/>
    <w:rsid w:val="00AD1CAD"/>
    <w:rsid w:val="00AD235A"/>
    <w:rsid w:val="00AD3042"/>
    <w:rsid w:val="00AD39BC"/>
    <w:rsid w:val="00AD4A9A"/>
    <w:rsid w:val="00AD4F16"/>
    <w:rsid w:val="00AD6CCC"/>
    <w:rsid w:val="00AD793A"/>
    <w:rsid w:val="00AD7B7A"/>
    <w:rsid w:val="00AE0120"/>
    <w:rsid w:val="00AE0622"/>
    <w:rsid w:val="00AE0725"/>
    <w:rsid w:val="00AE072A"/>
    <w:rsid w:val="00AE3038"/>
    <w:rsid w:val="00AE3D4A"/>
    <w:rsid w:val="00AE5956"/>
    <w:rsid w:val="00AE619F"/>
    <w:rsid w:val="00AE695C"/>
    <w:rsid w:val="00AE6F73"/>
    <w:rsid w:val="00AE78CE"/>
    <w:rsid w:val="00AE7A88"/>
    <w:rsid w:val="00AF060F"/>
    <w:rsid w:val="00AF0F56"/>
    <w:rsid w:val="00AF13D2"/>
    <w:rsid w:val="00AF2A56"/>
    <w:rsid w:val="00AF2CBC"/>
    <w:rsid w:val="00AF3442"/>
    <w:rsid w:val="00AF45B0"/>
    <w:rsid w:val="00AF51D1"/>
    <w:rsid w:val="00AF6321"/>
    <w:rsid w:val="00AF63AB"/>
    <w:rsid w:val="00AF702E"/>
    <w:rsid w:val="00B00988"/>
    <w:rsid w:val="00B010EA"/>
    <w:rsid w:val="00B01784"/>
    <w:rsid w:val="00B01FD6"/>
    <w:rsid w:val="00B0300D"/>
    <w:rsid w:val="00B034A4"/>
    <w:rsid w:val="00B0388B"/>
    <w:rsid w:val="00B03BEE"/>
    <w:rsid w:val="00B03DAE"/>
    <w:rsid w:val="00B041AA"/>
    <w:rsid w:val="00B0517E"/>
    <w:rsid w:val="00B05188"/>
    <w:rsid w:val="00B10BD3"/>
    <w:rsid w:val="00B11314"/>
    <w:rsid w:val="00B113E3"/>
    <w:rsid w:val="00B1156A"/>
    <w:rsid w:val="00B11764"/>
    <w:rsid w:val="00B1217A"/>
    <w:rsid w:val="00B127EA"/>
    <w:rsid w:val="00B138E3"/>
    <w:rsid w:val="00B13FB5"/>
    <w:rsid w:val="00B146E2"/>
    <w:rsid w:val="00B14898"/>
    <w:rsid w:val="00B178FA"/>
    <w:rsid w:val="00B17D8E"/>
    <w:rsid w:val="00B20292"/>
    <w:rsid w:val="00B207C3"/>
    <w:rsid w:val="00B21443"/>
    <w:rsid w:val="00B22022"/>
    <w:rsid w:val="00B22468"/>
    <w:rsid w:val="00B229FD"/>
    <w:rsid w:val="00B23267"/>
    <w:rsid w:val="00B236F7"/>
    <w:rsid w:val="00B23906"/>
    <w:rsid w:val="00B23F96"/>
    <w:rsid w:val="00B257BF"/>
    <w:rsid w:val="00B27149"/>
    <w:rsid w:val="00B27230"/>
    <w:rsid w:val="00B2742E"/>
    <w:rsid w:val="00B30AB2"/>
    <w:rsid w:val="00B316BB"/>
    <w:rsid w:val="00B3279A"/>
    <w:rsid w:val="00B33AB9"/>
    <w:rsid w:val="00B34877"/>
    <w:rsid w:val="00B34909"/>
    <w:rsid w:val="00B34BB7"/>
    <w:rsid w:val="00B35B4D"/>
    <w:rsid w:val="00B362F0"/>
    <w:rsid w:val="00B36652"/>
    <w:rsid w:val="00B37855"/>
    <w:rsid w:val="00B4142C"/>
    <w:rsid w:val="00B4210F"/>
    <w:rsid w:val="00B425AB"/>
    <w:rsid w:val="00B42B94"/>
    <w:rsid w:val="00B43417"/>
    <w:rsid w:val="00B43937"/>
    <w:rsid w:val="00B44906"/>
    <w:rsid w:val="00B45279"/>
    <w:rsid w:val="00B47090"/>
    <w:rsid w:val="00B4714A"/>
    <w:rsid w:val="00B52263"/>
    <w:rsid w:val="00B532D1"/>
    <w:rsid w:val="00B53A33"/>
    <w:rsid w:val="00B54DD9"/>
    <w:rsid w:val="00B5565F"/>
    <w:rsid w:val="00B55734"/>
    <w:rsid w:val="00B55F0E"/>
    <w:rsid w:val="00B57925"/>
    <w:rsid w:val="00B601BB"/>
    <w:rsid w:val="00B602A5"/>
    <w:rsid w:val="00B61BC1"/>
    <w:rsid w:val="00B61E3E"/>
    <w:rsid w:val="00B61E91"/>
    <w:rsid w:val="00B63DD4"/>
    <w:rsid w:val="00B6432A"/>
    <w:rsid w:val="00B644A6"/>
    <w:rsid w:val="00B66750"/>
    <w:rsid w:val="00B677B8"/>
    <w:rsid w:val="00B67A79"/>
    <w:rsid w:val="00B70227"/>
    <w:rsid w:val="00B70852"/>
    <w:rsid w:val="00B714C1"/>
    <w:rsid w:val="00B722AE"/>
    <w:rsid w:val="00B72335"/>
    <w:rsid w:val="00B72D62"/>
    <w:rsid w:val="00B73AFF"/>
    <w:rsid w:val="00B75B90"/>
    <w:rsid w:val="00B767AF"/>
    <w:rsid w:val="00B775DE"/>
    <w:rsid w:val="00B77926"/>
    <w:rsid w:val="00B80511"/>
    <w:rsid w:val="00B80798"/>
    <w:rsid w:val="00B80820"/>
    <w:rsid w:val="00B80876"/>
    <w:rsid w:val="00B81C18"/>
    <w:rsid w:val="00B82C3C"/>
    <w:rsid w:val="00B82DE6"/>
    <w:rsid w:val="00B831CD"/>
    <w:rsid w:val="00B846F6"/>
    <w:rsid w:val="00B85329"/>
    <w:rsid w:val="00B85446"/>
    <w:rsid w:val="00B856E2"/>
    <w:rsid w:val="00B86C98"/>
    <w:rsid w:val="00B8701A"/>
    <w:rsid w:val="00B900AE"/>
    <w:rsid w:val="00B91B73"/>
    <w:rsid w:val="00B91B9D"/>
    <w:rsid w:val="00B92C41"/>
    <w:rsid w:val="00B93012"/>
    <w:rsid w:val="00B930C4"/>
    <w:rsid w:val="00B965B5"/>
    <w:rsid w:val="00B97219"/>
    <w:rsid w:val="00B97BCF"/>
    <w:rsid w:val="00BA1B71"/>
    <w:rsid w:val="00BA3176"/>
    <w:rsid w:val="00BA503F"/>
    <w:rsid w:val="00BA555E"/>
    <w:rsid w:val="00BA5E20"/>
    <w:rsid w:val="00BA607C"/>
    <w:rsid w:val="00BA60E5"/>
    <w:rsid w:val="00BA656F"/>
    <w:rsid w:val="00BA6734"/>
    <w:rsid w:val="00BB1613"/>
    <w:rsid w:val="00BB20B1"/>
    <w:rsid w:val="00BB3B72"/>
    <w:rsid w:val="00BB3E2A"/>
    <w:rsid w:val="00BB4428"/>
    <w:rsid w:val="00BB48A7"/>
    <w:rsid w:val="00BB7121"/>
    <w:rsid w:val="00BC0479"/>
    <w:rsid w:val="00BC1214"/>
    <w:rsid w:val="00BC1651"/>
    <w:rsid w:val="00BC16F5"/>
    <w:rsid w:val="00BC18FF"/>
    <w:rsid w:val="00BC287D"/>
    <w:rsid w:val="00BC2A38"/>
    <w:rsid w:val="00BC4315"/>
    <w:rsid w:val="00BC46EB"/>
    <w:rsid w:val="00BC50B2"/>
    <w:rsid w:val="00BC57FE"/>
    <w:rsid w:val="00BC58D5"/>
    <w:rsid w:val="00BC5F0D"/>
    <w:rsid w:val="00BC643B"/>
    <w:rsid w:val="00BC6D3C"/>
    <w:rsid w:val="00BD01DD"/>
    <w:rsid w:val="00BD0246"/>
    <w:rsid w:val="00BD0EE1"/>
    <w:rsid w:val="00BD2A41"/>
    <w:rsid w:val="00BD32E5"/>
    <w:rsid w:val="00BD36C4"/>
    <w:rsid w:val="00BD4443"/>
    <w:rsid w:val="00BD48FC"/>
    <w:rsid w:val="00BD4BC6"/>
    <w:rsid w:val="00BD57E4"/>
    <w:rsid w:val="00BD6E1A"/>
    <w:rsid w:val="00BD79DE"/>
    <w:rsid w:val="00BE0BBA"/>
    <w:rsid w:val="00BE1095"/>
    <w:rsid w:val="00BE1426"/>
    <w:rsid w:val="00BE150A"/>
    <w:rsid w:val="00BE2892"/>
    <w:rsid w:val="00BE31F9"/>
    <w:rsid w:val="00BE628A"/>
    <w:rsid w:val="00BE642E"/>
    <w:rsid w:val="00BE6767"/>
    <w:rsid w:val="00BE686C"/>
    <w:rsid w:val="00BE7599"/>
    <w:rsid w:val="00BE78EC"/>
    <w:rsid w:val="00BE79E5"/>
    <w:rsid w:val="00BE7B8F"/>
    <w:rsid w:val="00BF078F"/>
    <w:rsid w:val="00BF1EB9"/>
    <w:rsid w:val="00BF28F4"/>
    <w:rsid w:val="00BF2B34"/>
    <w:rsid w:val="00BF46EE"/>
    <w:rsid w:val="00BF6348"/>
    <w:rsid w:val="00BF646E"/>
    <w:rsid w:val="00BF75AA"/>
    <w:rsid w:val="00C00337"/>
    <w:rsid w:val="00C008BD"/>
    <w:rsid w:val="00C00A3F"/>
    <w:rsid w:val="00C00B5E"/>
    <w:rsid w:val="00C02AF6"/>
    <w:rsid w:val="00C033C7"/>
    <w:rsid w:val="00C046DC"/>
    <w:rsid w:val="00C04C1A"/>
    <w:rsid w:val="00C05333"/>
    <w:rsid w:val="00C05C52"/>
    <w:rsid w:val="00C05E81"/>
    <w:rsid w:val="00C0613C"/>
    <w:rsid w:val="00C0671F"/>
    <w:rsid w:val="00C0683F"/>
    <w:rsid w:val="00C07DD1"/>
    <w:rsid w:val="00C10880"/>
    <w:rsid w:val="00C10D05"/>
    <w:rsid w:val="00C1127A"/>
    <w:rsid w:val="00C11FD4"/>
    <w:rsid w:val="00C124CC"/>
    <w:rsid w:val="00C13970"/>
    <w:rsid w:val="00C13DF9"/>
    <w:rsid w:val="00C14FBA"/>
    <w:rsid w:val="00C15484"/>
    <w:rsid w:val="00C155CB"/>
    <w:rsid w:val="00C159E9"/>
    <w:rsid w:val="00C15EA1"/>
    <w:rsid w:val="00C174DB"/>
    <w:rsid w:val="00C17A8E"/>
    <w:rsid w:val="00C21388"/>
    <w:rsid w:val="00C217E5"/>
    <w:rsid w:val="00C2214A"/>
    <w:rsid w:val="00C22F7C"/>
    <w:rsid w:val="00C2378F"/>
    <w:rsid w:val="00C23ABB"/>
    <w:rsid w:val="00C246EC"/>
    <w:rsid w:val="00C24D14"/>
    <w:rsid w:val="00C24F70"/>
    <w:rsid w:val="00C25615"/>
    <w:rsid w:val="00C25DC2"/>
    <w:rsid w:val="00C26A06"/>
    <w:rsid w:val="00C32801"/>
    <w:rsid w:val="00C328CB"/>
    <w:rsid w:val="00C3318D"/>
    <w:rsid w:val="00C33479"/>
    <w:rsid w:val="00C36BAA"/>
    <w:rsid w:val="00C40CB7"/>
    <w:rsid w:val="00C40DB4"/>
    <w:rsid w:val="00C40ED2"/>
    <w:rsid w:val="00C41F10"/>
    <w:rsid w:val="00C432DD"/>
    <w:rsid w:val="00C4423A"/>
    <w:rsid w:val="00C453A0"/>
    <w:rsid w:val="00C45E4D"/>
    <w:rsid w:val="00C4748A"/>
    <w:rsid w:val="00C501FE"/>
    <w:rsid w:val="00C512F2"/>
    <w:rsid w:val="00C52D91"/>
    <w:rsid w:val="00C548EC"/>
    <w:rsid w:val="00C561B0"/>
    <w:rsid w:val="00C56652"/>
    <w:rsid w:val="00C56957"/>
    <w:rsid w:val="00C5729C"/>
    <w:rsid w:val="00C5784B"/>
    <w:rsid w:val="00C6031A"/>
    <w:rsid w:val="00C60A36"/>
    <w:rsid w:val="00C627CF"/>
    <w:rsid w:val="00C639FF"/>
    <w:rsid w:val="00C63AC2"/>
    <w:rsid w:val="00C63CB4"/>
    <w:rsid w:val="00C6442A"/>
    <w:rsid w:val="00C6492D"/>
    <w:rsid w:val="00C64D15"/>
    <w:rsid w:val="00C66088"/>
    <w:rsid w:val="00C66C84"/>
    <w:rsid w:val="00C67C4C"/>
    <w:rsid w:val="00C67F21"/>
    <w:rsid w:val="00C70B8F"/>
    <w:rsid w:val="00C711A6"/>
    <w:rsid w:val="00C711F3"/>
    <w:rsid w:val="00C72426"/>
    <w:rsid w:val="00C72B7E"/>
    <w:rsid w:val="00C731FC"/>
    <w:rsid w:val="00C73641"/>
    <w:rsid w:val="00C74736"/>
    <w:rsid w:val="00C74B5D"/>
    <w:rsid w:val="00C74F74"/>
    <w:rsid w:val="00C7554B"/>
    <w:rsid w:val="00C76081"/>
    <w:rsid w:val="00C76CFF"/>
    <w:rsid w:val="00C8094C"/>
    <w:rsid w:val="00C80951"/>
    <w:rsid w:val="00C81A67"/>
    <w:rsid w:val="00C8205E"/>
    <w:rsid w:val="00C8223A"/>
    <w:rsid w:val="00C82EB5"/>
    <w:rsid w:val="00C83099"/>
    <w:rsid w:val="00C8336A"/>
    <w:rsid w:val="00C83711"/>
    <w:rsid w:val="00C83DE4"/>
    <w:rsid w:val="00C84468"/>
    <w:rsid w:val="00C84510"/>
    <w:rsid w:val="00C84582"/>
    <w:rsid w:val="00C85D24"/>
    <w:rsid w:val="00C86D1E"/>
    <w:rsid w:val="00C86D51"/>
    <w:rsid w:val="00C87766"/>
    <w:rsid w:val="00C87966"/>
    <w:rsid w:val="00C87DA8"/>
    <w:rsid w:val="00C902DE"/>
    <w:rsid w:val="00C916AE"/>
    <w:rsid w:val="00C91C4F"/>
    <w:rsid w:val="00C91C74"/>
    <w:rsid w:val="00C93AAA"/>
    <w:rsid w:val="00C95FCD"/>
    <w:rsid w:val="00C968B1"/>
    <w:rsid w:val="00C97188"/>
    <w:rsid w:val="00C973B2"/>
    <w:rsid w:val="00CA0639"/>
    <w:rsid w:val="00CA11D0"/>
    <w:rsid w:val="00CA1CF9"/>
    <w:rsid w:val="00CA2E02"/>
    <w:rsid w:val="00CA583A"/>
    <w:rsid w:val="00CA5EC6"/>
    <w:rsid w:val="00CA6E22"/>
    <w:rsid w:val="00CA787C"/>
    <w:rsid w:val="00CB05ED"/>
    <w:rsid w:val="00CB1E33"/>
    <w:rsid w:val="00CB1ED4"/>
    <w:rsid w:val="00CB3880"/>
    <w:rsid w:val="00CB50E4"/>
    <w:rsid w:val="00CB5744"/>
    <w:rsid w:val="00CB7022"/>
    <w:rsid w:val="00CB7034"/>
    <w:rsid w:val="00CB7BC5"/>
    <w:rsid w:val="00CC141E"/>
    <w:rsid w:val="00CC18DD"/>
    <w:rsid w:val="00CC1C1C"/>
    <w:rsid w:val="00CC39F6"/>
    <w:rsid w:val="00CC3C11"/>
    <w:rsid w:val="00CC586D"/>
    <w:rsid w:val="00CC6A23"/>
    <w:rsid w:val="00CC7DBC"/>
    <w:rsid w:val="00CD10EA"/>
    <w:rsid w:val="00CD1BA3"/>
    <w:rsid w:val="00CD1D23"/>
    <w:rsid w:val="00CD1DDA"/>
    <w:rsid w:val="00CD1E5F"/>
    <w:rsid w:val="00CD32DE"/>
    <w:rsid w:val="00CD3612"/>
    <w:rsid w:val="00CD3B20"/>
    <w:rsid w:val="00CD3E69"/>
    <w:rsid w:val="00CD4224"/>
    <w:rsid w:val="00CD46A7"/>
    <w:rsid w:val="00CD4948"/>
    <w:rsid w:val="00CD5FBB"/>
    <w:rsid w:val="00CD6B7D"/>
    <w:rsid w:val="00CD7CE8"/>
    <w:rsid w:val="00CD7D29"/>
    <w:rsid w:val="00CE0847"/>
    <w:rsid w:val="00CE0B6C"/>
    <w:rsid w:val="00CE11D0"/>
    <w:rsid w:val="00CE2FC3"/>
    <w:rsid w:val="00CE30C5"/>
    <w:rsid w:val="00CE3BB6"/>
    <w:rsid w:val="00CE40AB"/>
    <w:rsid w:val="00CE4708"/>
    <w:rsid w:val="00CE4C50"/>
    <w:rsid w:val="00CE508B"/>
    <w:rsid w:val="00CE6858"/>
    <w:rsid w:val="00CE7450"/>
    <w:rsid w:val="00CE770C"/>
    <w:rsid w:val="00CF0CA1"/>
    <w:rsid w:val="00CF25C3"/>
    <w:rsid w:val="00CF2721"/>
    <w:rsid w:val="00CF3BA1"/>
    <w:rsid w:val="00CF50BE"/>
    <w:rsid w:val="00CF538C"/>
    <w:rsid w:val="00CF6ECA"/>
    <w:rsid w:val="00CF7625"/>
    <w:rsid w:val="00D01E66"/>
    <w:rsid w:val="00D037E4"/>
    <w:rsid w:val="00D03D6C"/>
    <w:rsid w:val="00D0410A"/>
    <w:rsid w:val="00D0506A"/>
    <w:rsid w:val="00D0618A"/>
    <w:rsid w:val="00D066FB"/>
    <w:rsid w:val="00D07D47"/>
    <w:rsid w:val="00D10FA1"/>
    <w:rsid w:val="00D1240B"/>
    <w:rsid w:val="00D1289C"/>
    <w:rsid w:val="00D13710"/>
    <w:rsid w:val="00D13A46"/>
    <w:rsid w:val="00D13E6C"/>
    <w:rsid w:val="00D151DC"/>
    <w:rsid w:val="00D1666F"/>
    <w:rsid w:val="00D17711"/>
    <w:rsid w:val="00D2071A"/>
    <w:rsid w:val="00D20C47"/>
    <w:rsid w:val="00D21CF5"/>
    <w:rsid w:val="00D22F44"/>
    <w:rsid w:val="00D2350E"/>
    <w:rsid w:val="00D25177"/>
    <w:rsid w:val="00D25306"/>
    <w:rsid w:val="00D25B94"/>
    <w:rsid w:val="00D27279"/>
    <w:rsid w:val="00D30F73"/>
    <w:rsid w:val="00D30F97"/>
    <w:rsid w:val="00D31296"/>
    <w:rsid w:val="00D313A0"/>
    <w:rsid w:val="00D31482"/>
    <w:rsid w:val="00D320AA"/>
    <w:rsid w:val="00D322A1"/>
    <w:rsid w:val="00D34329"/>
    <w:rsid w:val="00D34A47"/>
    <w:rsid w:val="00D36FE0"/>
    <w:rsid w:val="00D37590"/>
    <w:rsid w:val="00D40688"/>
    <w:rsid w:val="00D40799"/>
    <w:rsid w:val="00D41A06"/>
    <w:rsid w:val="00D42ABF"/>
    <w:rsid w:val="00D42F40"/>
    <w:rsid w:val="00D43A91"/>
    <w:rsid w:val="00D45B67"/>
    <w:rsid w:val="00D464F7"/>
    <w:rsid w:val="00D46FEC"/>
    <w:rsid w:val="00D5034A"/>
    <w:rsid w:val="00D518A5"/>
    <w:rsid w:val="00D51F49"/>
    <w:rsid w:val="00D5201A"/>
    <w:rsid w:val="00D5204E"/>
    <w:rsid w:val="00D52AE3"/>
    <w:rsid w:val="00D52AE4"/>
    <w:rsid w:val="00D5416C"/>
    <w:rsid w:val="00D55A1F"/>
    <w:rsid w:val="00D55EE8"/>
    <w:rsid w:val="00D560D1"/>
    <w:rsid w:val="00D562CB"/>
    <w:rsid w:val="00D569D1"/>
    <w:rsid w:val="00D56AD8"/>
    <w:rsid w:val="00D56C05"/>
    <w:rsid w:val="00D56C36"/>
    <w:rsid w:val="00D577F5"/>
    <w:rsid w:val="00D5785A"/>
    <w:rsid w:val="00D60B08"/>
    <w:rsid w:val="00D61CC1"/>
    <w:rsid w:val="00D62147"/>
    <w:rsid w:val="00D62769"/>
    <w:rsid w:val="00D63293"/>
    <w:rsid w:val="00D6375F"/>
    <w:rsid w:val="00D63E44"/>
    <w:rsid w:val="00D64C48"/>
    <w:rsid w:val="00D6680B"/>
    <w:rsid w:val="00D67082"/>
    <w:rsid w:val="00D71C8B"/>
    <w:rsid w:val="00D728B5"/>
    <w:rsid w:val="00D72F4F"/>
    <w:rsid w:val="00D730B6"/>
    <w:rsid w:val="00D731C4"/>
    <w:rsid w:val="00D74EB4"/>
    <w:rsid w:val="00D75296"/>
    <w:rsid w:val="00D801FC"/>
    <w:rsid w:val="00D85BE0"/>
    <w:rsid w:val="00D86351"/>
    <w:rsid w:val="00D879E4"/>
    <w:rsid w:val="00D87FD7"/>
    <w:rsid w:val="00D906FE"/>
    <w:rsid w:val="00D91466"/>
    <w:rsid w:val="00D915ED"/>
    <w:rsid w:val="00D91891"/>
    <w:rsid w:val="00D91DE4"/>
    <w:rsid w:val="00D92300"/>
    <w:rsid w:val="00D925ED"/>
    <w:rsid w:val="00D92C3E"/>
    <w:rsid w:val="00D93EF8"/>
    <w:rsid w:val="00D94AFC"/>
    <w:rsid w:val="00D95066"/>
    <w:rsid w:val="00D950E6"/>
    <w:rsid w:val="00D95774"/>
    <w:rsid w:val="00D95C46"/>
    <w:rsid w:val="00D9631C"/>
    <w:rsid w:val="00D966BA"/>
    <w:rsid w:val="00D96AE8"/>
    <w:rsid w:val="00D97047"/>
    <w:rsid w:val="00DA0DFF"/>
    <w:rsid w:val="00DA30F2"/>
    <w:rsid w:val="00DA3619"/>
    <w:rsid w:val="00DA42EA"/>
    <w:rsid w:val="00DA48C2"/>
    <w:rsid w:val="00DA4A41"/>
    <w:rsid w:val="00DA6751"/>
    <w:rsid w:val="00DA6C6A"/>
    <w:rsid w:val="00DA7AE4"/>
    <w:rsid w:val="00DB0B88"/>
    <w:rsid w:val="00DB12D2"/>
    <w:rsid w:val="00DB1652"/>
    <w:rsid w:val="00DB1C24"/>
    <w:rsid w:val="00DB203E"/>
    <w:rsid w:val="00DB416B"/>
    <w:rsid w:val="00DB495D"/>
    <w:rsid w:val="00DB5773"/>
    <w:rsid w:val="00DB58A6"/>
    <w:rsid w:val="00DB683B"/>
    <w:rsid w:val="00DB6B99"/>
    <w:rsid w:val="00DB716F"/>
    <w:rsid w:val="00DB732F"/>
    <w:rsid w:val="00DB7B9E"/>
    <w:rsid w:val="00DC001A"/>
    <w:rsid w:val="00DC2552"/>
    <w:rsid w:val="00DC3D98"/>
    <w:rsid w:val="00DC3DD8"/>
    <w:rsid w:val="00DC3E04"/>
    <w:rsid w:val="00DC4243"/>
    <w:rsid w:val="00DC61F9"/>
    <w:rsid w:val="00DD0C5B"/>
    <w:rsid w:val="00DD1EC0"/>
    <w:rsid w:val="00DD22BB"/>
    <w:rsid w:val="00DD2952"/>
    <w:rsid w:val="00DD3F56"/>
    <w:rsid w:val="00DD4F44"/>
    <w:rsid w:val="00DD686C"/>
    <w:rsid w:val="00DD6B4C"/>
    <w:rsid w:val="00DD7E0C"/>
    <w:rsid w:val="00DE2877"/>
    <w:rsid w:val="00DE2AC3"/>
    <w:rsid w:val="00DE2E40"/>
    <w:rsid w:val="00DE3598"/>
    <w:rsid w:val="00DE3E42"/>
    <w:rsid w:val="00DE3FBD"/>
    <w:rsid w:val="00DE43F5"/>
    <w:rsid w:val="00DE4952"/>
    <w:rsid w:val="00DE65FB"/>
    <w:rsid w:val="00DE67A2"/>
    <w:rsid w:val="00DF0300"/>
    <w:rsid w:val="00DF03F9"/>
    <w:rsid w:val="00DF2292"/>
    <w:rsid w:val="00DF234F"/>
    <w:rsid w:val="00DF420A"/>
    <w:rsid w:val="00DF52A2"/>
    <w:rsid w:val="00DF6089"/>
    <w:rsid w:val="00DF6DE4"/>
    <w:rsid w:val="00DF77CF"/>
    <w:rsid w:val="00DF7934"/>
    <w:rsid w:val="00E0009C"/>
    <w:rsid w:val="00E00D0A"/>
    <w:rsid w:val="00E02472"/>
    <w:rsid w:val="00E025B7"/>
    <w:rsid w:val="00E025F3"/>
    <w:rsid w:val="00E03F6C"/>
    <w:rsid w:val="00E041F0"/>
    <w:rsid w:val="00E05218"/>
    <w:rsid w:val="00E05B62"/>
    <w:rsid w:val="00E06F2A"/>
    <w:rsid w:val="00E128D8"/>
    <w:rsid w:val="00E12FBC"/>
    <w:rsid w:val="00E130C3"/>
    <w:rsid w:val="00E14AA2"/>
    <w:rsid w:val="00E15919"/>
    <w:rsid w:val="00E170ED"/>
    <w:rsid w:val="00E1743C"/>
    <w:rsid w:val="00E17EDF"/>
    <w:rsid w:val="00E2082D"/>
    <w:rsid w:val="00E215CB"/>
    <w:rsid w:val="00E21DAD"/>
    <w:rsid w:val="00E221E2"/>
    <w:rsid w:val="00E2330D"/>
    <w:rsid w:val="00E24303"/>
    <w:rsid w:val="00E27A16"/>
    <w:rsid w:val="00E320C4"/>
    <w:rsid w:val="00E33C09"/>
    <w:rsid w:val="00E344B0"/>
    <w:rsid w:val="00E345E7"/>
    <w:rsid w:val="00E354C7"/>
    <w:rsid w:val="00E356F8"/>
    <w:rsid w:val="00E375B4"/>
    <w:rsid w:val="00E37B01"/>
    <w:rsid w:val="00E406FC"/>
    <w:rsid w:val="00E40F7B"/>
    <w:rsid w:val="00E41059"/>
    <w:rsid w:val="00E419C1"/>
    <w:rsid w:val="00E41B2E"/>
    <w:rsid w:val="00E43CF5"/>
    <w:rsid w:val="00E43E48"/>
    <w:rsid w:val="00E45667"/>
    <w:rsid w:val="00E46B14"/>
    <w:rsid w:val="00E46CB5"/>
    <w:rsid w:val="00E46D60"/>
    <w:rsid w:val="00E46E1C"/>
    <w:rsid w:val="00E4765C"/>
    <w:rsid w:val="00E47C33"/>
    <w:rsid w:val="00E47D74"/>
    <w:rsid w:val="00E47F58"/>
    <w:rsid w:val="00E526BC"/>
    <w:rsid w:val="00E54280"/>
    <w:rsid w:val="00E54BB5"/>
    <w:rsid w:val="00E54BFC"/>
    <w:rsid w:val="00E55248"/>
    <w:rsid w:val="00E55A4A"/>
    <w:rsid w:val="00E5650F"/>
    <w:rsid w:val="00E56D9D"/>
    <w:rsid w:val="00E607EE"/>
    <w:rsid w:val="00E60B07"/>
    <w:rsid w:val="00E60E2E"/>
    <w:rsid w:val="00E60E67"/>
    <w:rsid w:val="00E63459"/>
    <w:rsid w:val="00E635DB"/>
    <w:rsid w:val="00E67745"/>
    <w:rsid w:val="00E67C53"/>
    <w:rsid w:val="00E70BFF"/>
    <w:rsid w:val="00E71A2D"/>
    <w:rsid w:val="00E724C5"/>
    <w:rsid w:val="00E72621"/>
    <w:rsid w:val="00E72FB3"/>
    <w:rsid w:val="00E74A73"/>
    <w:rsid w:val="00E759EB"/>
    <w:rsid w:val="00E75CA7"/>
    <w:rsid w:val="00E77B59"/>
    <w:rsid w:val="00E802C9"/>
    <w:rsid w:val="00E8095E"/>
    <w:rsid w:val="00E81E30"/>
    <w:rsid w:val="00E823C1"/>
    <w:rsid w:val="00E82C2E"/>
    <w:rsid w:val="00E82DB7"/>
    <w:rsid w:val="00E8314B"/>
    <w:rsid w:val="00E83C85"/>
    <w:rsid w:val="00E8579C"/>
    <w:rsid w:val="00E865FE"/>
    <w:rsid w:val="00E91408"/>
    <w:rsid w:val="00E91759"/>
    <w:rsid w:val="00E92AA7"/>
    <w:rsid w:val="00E95184"/>
    <w:rsid w:val="00E9654B"/>
    <w:rsid w:val="00E96D1D"/>
    <w:rsid w:val="00E975BA"/>
    <w:rsid w:val="00EA0077"/>
    <w:rsid w:val="00EA1108"/>
    <w:rsid w:val="00EA13E4"/>
    <w:rsid w:val="00EA18DB"/>
    <w:rsid w:val="00EA2FBA"/>
    <w:rsid w:val="00EA3F54"/>
    <w:rsid w:val="00EA4DC5"/>
    <w:rsid w:val="00EA530B"/>
    <w:rsid w:val="00EA53A4"/>
    <w:rsid w:val="00EA5664"/>
    <w:rsid w:val="00EA66DF"/>
    <w:rsid w:val="00EA6ADC"/>
    <w:rsid w:val="00EA79BD"/>
    <w:rsid w:val="00EA7B01"/>
    <w:rsid w:val="00EB0609"/>
    <w:rsid w:val="00EB13A7"/>
    <w:rsid w:val="00EB14DF"/>
    <w:rsid w:val="00EB1A4D"/>
    <w:rsid w:val="00EB1A54"/>
    <w:rsid w:val="00EB23BA"/>
    <w:rsid w:val="00EB2BAA"/>
    <w:rsid w:val="00EB34EC"/>
    <w:rsid w:val="00EB3A07"/>
    <w:rsid w:val="00EB459B"/>
    <w:rsid w:val="00EB54FA"/>
    <w:rsid w:val="00EB5539"/>
    <w:rsid w:val="00EB7AA3"/>
    <w:rsid w:val="00EB7E69"/>
    <w:rsid w:val="00EC05BA"/>
    <w:rsid w:val="00EC20B8"/>
    <w:rsid w:val="00EC22DB"/>
    <w:rsid w:val="00EC3642"/>
    <w:rsid w:val="00EC3F31"/>
    <w:rsid w:val="00EC52E7"/>
    <w:rsid w:val="00EC59F0"/>
    <w:rsid w:val="00EC77E8"/>
    <w:rsid w:val="00EC7E0E"/>
    <w:rsid w:val="00ED1ECB"/>
    <w:rsid w:val="00ED3698"/>
    <w:rsid w:val="00ED41A4"/>
    <w:rsid w:val="00ED4794"/>
    <w:rsid w:val="00ED4A8E"/>
    <w:rsid w:val="00ED7B59"/>
    <w:rsid w:val="00EE265C"/>
    <w:rsid w:val="00EE2827"/>
    <w:rsid w:val="00EE2E62"/>
    <w:rsid w:val="00EE2F7B"/>
    <w:rsid w:val="00EE312D"/>
    <w:rsid w:val="00EE3A4E"/>
    <w:rsid w:val="00EE5A60"/>
    <w:rsid w:val="00EE5C63"/>
    <w:rsid w:val="00EE67D7"/>
    <w:rsid w:val="00EE792D"/>
    <w:rsid w:val="00EF004E"/>
    <w:rsid w:val="00EF1951"/>
    <w:rsid w:val="00EF1E8F"/>
    <w:rsid w:val="00EF1F6C"/>
    <w:rsid w:val="00EF2C5E"/>
    <w:rsid w:val="00EF359C"/>
    <w:rsid w:val="00EF416F"/>
    <w:rsid w:val="00EF43E1"/>
    <w:rsid w:val="00EF484F"/>
    <w:rsid w:val="00EF4A3B"/>
    <w:rsid w:val="00EF4E77"/>
    <w:rsid w:val="00F000D4"/>
    <w:rsid w:val="00F00449"/>
    <w:rsid w:val="00F0095C"/>
    <w:rsid w:val="00F01129"/>
    <w:rsid w:val="00F01A00"/>
    <w:rsid w:val="00F01CCA"/>
    <w:rsid w:val="00F01F2C"/>
    <w:rsid w:val="00F02104"/>
    <w:rsid w:val="00F04EF6"/>
    <w:rsid w:val="00F06C02"/>
    <w:rsid w:val="00F06C17"/>
    <w:rsid w:val="00F06D4B"/>
    <w:rsid w:val="00F070CF"/>
    <w:rsid w:val="00F07447"/>
    <w:rsid w:val="00F07FB3"/>
    <w:rsid w:val="00F121B2"/>
    <w:rsid w:val="00F122A0"/>
    <w:rsid w:val="00F12CB5"/>
    <w:rsid w:val="00F12ED1"/>
    <w:rsid w:val="00F132DD"/>
    <w:rsid w:val="00F135F2"/>
    <w:rsid w:val="00F138B4"/>
    <w:rsid w:val="00F13C82"/>
    <w:rsid w:val="00F151C9"/>
    <w:rsid w:val="00F1565D"/>
    <w:rsid w:val="00F1632B"/>
    <w:rsid w:val="00F17EB1"/>
    <w:rsid w:val="00F2025C"/>
    <w:rsid w:val="00F202CA"/>
    <w:rsid w:val="00F223A7"/>
    <w:rsid w:val="00F22BE5"/>
    <w:rsid w:val="00F2326C"/>
    <w:rsid w:val="00F23521"/>
    <w:rsid w:val="00F23A01"/>
    <w:rsid w:val="00F26208"/>
    <w:rsid w:val="00F26A64"/>
    <w:rsid w:val="00F30308"/>
    <w:rsid w:val="00F334CB"/>
    <w:rsid w:val="00F3495A"/>
    <w:rsid w:val="00F34E2C"/>
    <w:rsid w:val="00F370BC"/>
    <w:rsid w:val="00F37143"/>
    <w:rsid w:val="00F4038A"/>
    <w:rsid w:val="00F4052A"/>
    <w:rsid w:val="00F41BAF"/>
    <w:rsid w:val="00F42470"/>
    <w:rsid w:val="00F430C2"/>
    <w:rsid w:val="00F441E6"/>
    <w:rsid w:val="00F44385"/>
    <w:rsid w:val="00F50562"/>
    <w:rsid w:val="00F507D0"/>
    <w:rsid w:val="00F50A92"/>
    <w:rsid w:val="00F50B0B"/>
    <w:rsid w:val="00F50D01"/>
    <w:rsid w:val="00F511AC"/>
    <w:rsid w:val="00F52D4E"/>
    <w:rsid w:val="00F53C3E"/>
    <w:rsid w:val="00F546B9"/>
    <w:rsid w:val="00F54C49"/>
    <w:rsid w:val="00F56BC1"/>
    <w:rsid w:val="00F56C17"/>
    <w:rsid w:val="00F57647"/>
    <w:rsid w:val="00F618C4"/>
    <w:rsid w:val="00F625E6"/>
    <w:rsid w:val="00F6487C"/>
    <w:rsid w:val="00F6544B"/>
    <w:rsid w:val="00F65774"/>
    <w:rsid w:val="00F65A34"/>
    <w:rsid w:val="00F65F4C"/>
    <w:rsid w:val="00F663D6"/>
    <w:rsid w:val="00F663D9"/>
    <w:rsid w:val="00F706A0"/>
    <w:rsid w:val="00F71447"/>
    <w:rsid w:val="00F715E9"/>
    <w:rsid w:val="00F71620"/>
    <w:rsid w:val="00F71A60"/>
    <w:rsid w:val="00F72007"/>
    <w:rsid w:val="00F72230"/>
    <w:rsid w:val="00F725DA"/>
    <w:rsid w:val="00F729F0"/>
    <w:rsid w:val="00F74F55"/>
    <w:rsid w:val="00F7536E"/>
    <w:rsid w:val="00F755D4"/>
    <w:rsid w:val="00F75652"/>
    <w:rsid w:val="00F76137"/>
    <w:rsid w:val="00F76649"/>
    <w:rsid w:val="00F7782D"/>
    <w:rsid w:val="00F80161"/>
    <w:rsid w:val="00F81085"/>
    <w:rsid w:val="00F811E7"/>
    <w:rsid w:val="00F8168B"/>
    <w:rsid w:val="00F81CF2"/>
    <w:rsid w:val="00F81F93"/>
    <w:rsid w:val="00F83E18"/>
    <w:rsid w:val="00F849C0"/>
    <w:rsid w:val="00F855D7"/>
    <w:rsid w:val="00F857D1"/>
    <w:rsid w:val="00F85F75"/>
    <w:rsid w:val="00F86296"/>
    <w:rsid w:val="00F86FD9"/>
    <w:rsid w:val="00F90A2E"/>
    <w:rsid w:val="00F91DCC"/>
    <w:rsid w:val="00F9323F"/>
    <w:rsid w:val="00F935A1"/>
    <w:rsid w:val="00F93BBA"/>
    <w:rsid w:val="00F943FE"/>
    <w:rsid w:val="00F95814"/>
    <w:rsid w:val="00F95CE9"/>
    <w:rsid w:val="00F97100"/>
    <w:rsid w:val="00FA01D9"/>
    <w:rsid w:val="00FA28F1"/>
    <w:rsid w:val="00FA2A4C"/>
    <w:rsid w:val="00FA347D"/>
    <w:rsid w:val="00FA3D6A"/>
    <w:rsid w:val="00FA473D"/>
    <w:rsid w:val="00FA5154"/>
    <w:rsid w:val="00FA5A2E"/>
    <w:rsid w:val="00FA5AEF"/>
    <w:rsid w:val="00FA7DED"/>
    <w:rsid w:val="00FB0401"/>
    <w:rsid w:val="00FB051C"/>
    <w:rsid w:val="00FB083E"/>
    <w:rsid w:val="00FB1B48"/>
    <w:rsid w:val="00FB3D9B"/>
    <w:rsid w:val="00FC1DFB"/>
    <w:rsid w:val="00FC1EF2"/>
    <w:rsid w:val="00FC3343"/>
    <w:rsid w:val="00FC33BA"/>
    <w:rsid w:val="00FC35AB"/>
    <w:rsid w:val="00FC5939"/>
    <w:rsid w:val="00FC5F35"/>
    <w:rsid w:val="00FC6134"/>
    <w:rsid w:val="00FC654D"/>
    <w:rsid w:val="00FC706D"/>
    <w:rsid w:val="00FC7767"/>
    <w:rsid w:val="00FC77CF"/>
    <w:rsid w:val="00FC794E"/>
    <w:rsid w:val="00FD0555"/>
    <w:rsid w:val="00FD06F5"/>
    <w:rsid w:val="00FD13C0"/>
    <w:rsid w:val="00FD1F02"/>
    <w:rsid w:val="00FD23D5"/>
    <w:rsid w:val="00FD2C46"/>
    <w:rsid w:val="00FD440B"/>
    <w:rsid w:val="00FD47CC"/>
    <w:rsid w:val="00FD5961"/>
    <w:rsid w:val="00FD5B55"/>
    <w:rsid w:val="00FD6DCC"/>
    <w:rsid w:val="00FD6E3B"/>
    <w:rsid w:val="00FE0D1C"/>
    <w:rsid w:val="00FE347A"/>
    <w:rsid w:val="00FE3EFA"/>
    <w:rsid w:val="00FE4A3A"/>
    <w:rsid w:val="00FE4AAC"/>
    <w:rsid w:val="00FE5C56"/>
    <w:rsid w:val="00FE5E20"/>
    <w:rsid w:val="00FE71F2"/>
    <w:rsid w:val="00FE7AAC"/>
    <w:rsid w:val="00FE7B06"/>
    <w:rsid w:val="00FE7E98"/>
    <w:rsid w:val="00FF04E5"/>
    <w:rsid w:val="00FF06BC"/>
    <w:rsid w:val="00FF06E2"/>
    <w:rsid w:val="00FF13F8"/>
    <w:rsid w:val="00FF20AC"/>
    <w:rsid w:val="00FF3801"/>
    <w:rsid w:val="00FF3A27"/>
    <w:rsid w:val="00FF3B27"/>
    <w:rsid w:val="00FF3FC3"/>
    <w:rsid w:val="00FF49C8"/>
    <w:rsid w:val="00FF4E8D"/>
    <w:rsid w:val="00FF575F"/>
    <w:rsid w:val="00FF5CFA"/>
    <w:rsid w:val="00FF751E"/>
    <w:rsid w:val="00FF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97749C"/>
    <w:pPr>
      <w:keepNext/>
      <w:keepLines/>
      <w:spacing w:before="1320" w:after="400" w:line="252" w:lineRule="auto"/>
      <w:contextualSpacing/>
      <w:outlineLvl w:val="0"/>
    </w:pPr>
    <w:rPr>
      <w:rFonts w:asciiTheme="majorHAnsi" w:hAnsiTheme="majorHAnsi"/>
      <w:b/>
      <w:sz w:val="130"/>
      <w:szCs w:val="44"/>
    </w:rPr>
  </w:style>
  <w:style w:type="paragraph" w:styleId="Heading2">
    <w:name w:val="heading 2"/>
    <w:basedOn w:val="Heading1"/>
    <w:next w:val="Normal"/>
    <w:link w:val="Heading2Char"/>
    <w:uiPriority w:val="4"/>
    <w:qFormat/>
    <w:rsid w:val="00E54BB5"/>
    <w:pPr>
      <w:pBdr>
        <w:bottom w:val="single" w:sz="24" w:space="21" w:color="20B9A3" w:themeColor="accent1"/>
      </w:pBdr>
      <w:spacing w:before="0" w:after="480" w:line="216" w:lineRule="auto"/>
      <w:outlineLvl w:val="1"/>
    </w:pPr>
    <w:rPr>
      <w:sz w:val="72"/>
    </w:rPr>
  </w:style>
  <w:style w:type="paragraph" w:styleId="Heading3">
    <w:name w:val="heading 3"/>
    <w:basedOn w:val="WhiteHeading2"/>
    <w:next w:val="Normal"/>
    <w:link w:val="Heading3Char"/>
    <w:uiPriority w:val="4"/>
    <w:qFormat/>
    <w:rsid w:val="00E54BB5"/>
    <w:pPr>
      <w:pBdr>
        <w:bottom w:val="none" w:sz="0" w:space="0" w:color="auto"/>
      </w:pBdr>
      <w:spacing w:before="300" w:after="120" w:line="280" w:lineRule="atLeast"/>
      <w:outlineLvl w:val="2"/>
    </w:pPr>
    <w:rPr>
      <w:color w:val="117479" w:themeColor="accent2"/>
    </w:rPr>
  </w:style>
  <w:style w:type="paragraph" w:styleId="Heading4">
    <w:name w:val="heading 4"/>
    <w:basedOn w:val="Normal"/>
    <w:next w:val="Normal"/>
    <w:uiPriority w:val="4"/>
    <w:qFormat/>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contextualSpacing/>
    </w:pPr>
  </w:style>
  <w:style w:type="paragraph" w:styleId="Footer">
    <w:name w:val="footer"/>
    <w:basedOn w:val="Header"/>
    <w:uiPriority w:val="99"/>
    <w:rsid w:val="00650E2C"/>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091B67"/>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uiPriority w:val="3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SS 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E54BB5"/>
    <w:rPr>
      <w:rFonts w:asciiTheme="majorHAnsi" w:hAnsiTheme="majorHAnsi"/>
      <w:b/>
      <w:sz w:val="72"/>
      <w:szCs w:val="44"/>
    </w:rPr>
  </w:style>
  <w:style w:type="paragraph" w:styleId="TOC1">
    <w:name w:val="toc 1"/>
    <w:basedOn w:val="Normal"/>
    <w:next w:val="Normal"/>
    <w:autoRedefine/>
    <w:uiPriority w:val="39"/>
    <w:rsid w:val="005E6AE4"/>
    <w:pPr>
      <w:pBdr>
        <w:top w:val="single" w:sz="24" w:space="6" w:color="20B9A3" w:themeColor="accent1"/>
        <w:between w:val="single" w:sz="24" w:space="6" w:color="20B9A3" w:themeColor="accent1"/>
      </w:pBdr>
      <w:tabs>
        <w:tab w:val="left" w:pos="5670"/>
      </w:tabs>
      <w:spacing w:before="240" w:line="240" w:lineRule="auto"/>
      <w:ind w:right="56"/>
    </w:pPr>
    <w:rPr>
      <w:b/>
      <w:noProof/>
      <w:color w:val="FFFFFF" w:themeColor="background1"/>
      <w:sz w:val="28"/>
    </w:rPr>
  </w:style>
  <w:style w:type="paragraph" w:styleId="TOC2">
    <w:name w:val="toc 2"/>
    <w:basedOn w:val="Normal"/>
    <w:next w:val="Normal"/>
    <w:autoRedefine/>
    <w:uiPriority w:val="39"/>
    <w:rsid w:val="008C6CA5"/>
    <w:pPr>
      <w:tabs>
        <w:tab w:val="left" w:pos="1320"/>
        <w:tab w:val="right" w:pos="6577"/>
      </w:tabs>
      <w:spacing w:line="240" w:lineRule="auto"/>
      <w:ind w:left="216" w:right="56"/>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pPr>
      <w:pBdr>
        <w:bottom w:val="none" w:sz="0" w:space="0" w:color="auto"/>
      </w:pBdr>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qFormat/>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91B67"/>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5"/>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table" w:styleId="PlainTable4">
    <w:name w:val="Plain Table 4"/>
    <w:basedOn w:val="TableNormal"/>
    <w:uiPriority w:val="44"/>
    <w:rsid w:val="008F62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62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A03D8"/>
    <w:rPr>
      <w:rFonts w:ascii="Times New Roman" w:hAnsi="Times New Roman"/>
      <w:sz w:val="24"/>
    </w:rPr>
  </w:style>
  <w:style w:type="character" w:customStyle="1" w:styleId="ListParagraphChar">
    <w:name w:val="List Paragraph Char"/>
    <w:aliases w:val="SS List Paragraph Char"/>
    <w:basedOn w:val="DefaultParagraphFont"/>
    <w:link w:val="ListParagraph"/>
    <w:uiPriority w:val="34"/>
    <w:rsid w:val="000A3CDB"/>
    <w:rPr>
      <w:rFonts w:asciiTheme="minorHAnsi" w:hAnsiTheme="minorHAnsi"/>
      <w:szCs w:val="24"/>
    </w:rPr>
  </w:style>
  <w:style w:type="paragraph" w:styleId="Revision">
    <w:name w:val="Revision"/>
    <w:hidden/>
    <w:uiPriority w:val="99"/>
    <w:semiHidden/>
    <w:rsid w:val="00F729F0"/>
    <w:rPr>
      <w:rFonts w:asciiTheme="minorHAnsi" w:hAnsiTheme="minorHAnsi"/>
      <w:szCs w:val="24"/>
    </w:rPr>
  </w:style>
  <w:style w:type="paragraph" w:customStyle="1" w:styleId="tablenotes">
    <w:name w:val="table notes"/>
    <w:basedOn w:val="Normal"/>
    <w:qFormat/>
    <w:rsid w:val="007B0C76"/>
    <w:pPr>
      <w:spacing w:line="240" w:lineRule="auto"/>
    </w:pPr>
    <w:rPr>
      <w:sz w:val="18"/>
    </w:rPr>
  </w:style>
  <w:style w:type="character" w:customStyle="1" w:styleId="SRCQnChar">
    <w:name w:val="SRC Qn Char"/>
    <w:basedOn w:val="DefaultParagraphFont"/>
    <w:link w:val="SRCQn"/>
    <w:locked/>
    <w:rsid w:val="00E03F6C"/>
    <w:rPr>
      <w:rFonts w:ascii="Arial" w:hAnsi="Arial" w:cs="Arial"/>
    </w:rPr>
  </w:style>
  <w:style w:type="paragraph" w:customStyle="1" w:styleId="SRCQn">
    <w:name w:val="SRC Qn"/>
    <w:basedOn w:val="Normal"/>
    <w:link w:val="SRCQnChar"/>
    <w:qFormat/>
    <w:rsid w:val="00E03F6C"/>
    <w:pPr>
      <w:spacing w:after="0" w:line="240" w:lineRule="auto"/>
      <w:ind w:left="851" w:hanging="851"/>
    </w:pPr>
    <w:rPr>
      <w:rFonts w:ascii="Arial" w:hAnsi="Arial" w:cs="Arial"/>
      <w:szCs w:val="20"/>
    </w:rPr>
  </w:style>
  <w:style w:type="character" w:customStyle="1" w:styleId="Heading3Char">
    <w:name w:val="Heading 3 Char"/>
    <w:basedOn w:val="DefaultParagraphFont"/>
    <w:link w:val="Heading3"/>
    <w:uiPriority w:val="4"/>
    <w:rsid w:val="00E96D1D"/>
    <w:rPr>
      <w:rFonts w:asciiTheme="majorHAnsi" w:hAnsiTheme="majorHAnsi"/>
      <w:b/>
      <w:color w:val="117479" w:themeColor="accent2"/>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264118528">
      <w:bodyDiv w:val="1"/>
      <w:marLeft w:val="0"/>
      <w:marRight w:val="0"/>
      <w:marTop w:val="0"/>
      <w:marBottom w:val="0"/>
      <w:divBdr>
        <w:top w:val="none" w:sz="0" w:space="0" w:color="auto"/>
        <w:left w:val="none" w:sz="0" w:space="0" w:color="auto"/>
        <w:bottom w:val="none" w:sz="0" w:space="0" w:color="auto"/>
        <w:right w:val="none" w:sz="0" w:space="0" w:color="auto"/>
      </w:divBdr>
    </w:div>
    <w:div w:id="28484641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3092766">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804852151">
      <w:bodyDiv w:val="1"/>
      <w:marLeft w:val="0"/>
      <w:marRight w:val="0"/>
      <w:marTop w:val="0"/>
      <w:marBottom w:val="0"/>
      <w:divBdr>
        <w:top w:val="none" w:sz="0" w:space="0" w:color="auto"/>
        <w:left w:val="none" w:sz="0" w:space="0" w:color="auto"/>
        <w:bottom w:val="none" w:sz="0" w:space="0" w:color="auto"/>
        <w:right w:val="none" w:sz="0" w:space="0" w:color="auto"/>
      </w:divBdr>
    </w:div>
    <w:div w:id="826558552">
      <w:bodyDiv w:val="1"/>
      <w:marLeft w:val="0"/>
      <w:marRight w:val="0"/>
      <w:marTop w:val="0"/>
      <w:marBottom w:val="0"/>
      <w:divBdr>
        <w:top w:val="none" w:sz="0" w:space="0" w:color="auto"/>
        <w:left w:val="none" w:sz="0" w:space="0" w:color="auto"/>
        <w:bottom w:val="none" w:sz="0" w:space="0" w:color="auto"/>
        <w:right w:val="none" w:sz="0" w:space="0" w:color="auto"/>
      </w:divBdr>
    </w:div>
    <w:div w:id="875001878">
      <w:bodyDiv w:val="1"/>
      <w:marLeft w:val="0"/>
      <w:marRight w:val="0"/>
      <w:marTop w:val="0"/>
      <w:marBottom w:val="0"/>
      <w:divBdr>
        <w:top w:val="none" w:sz="0" w:space="0" w:color="auto"/>
        <w:left w:val="none" w:sz="0" w:space="0" w:color="auto"/>
        <w:bottom w:val="none" w:sz="0" w:space="0" w:color="auto"/>
        <w:right w:val="none" w:sz="0" w:space="0" w:color="auto"/>
      </w:divBdr>
      <w:divsChild>
        <w:div w:id="1927155097">
          <w:marLeft w:val="274"/>
          <w:marRight w:val="0"/>
          <w:marTop w:val="160"/>
          <w:marBottom w:val="0"/>
          <w:divBdr>
            <w:top w:val="none" w:sz="0" w:space="0" w:color="auto"/>
            <w:left w:val="none" w:sz="0" w:space="0" w:color="auto"/>
            <w:bottom w:val="none" w:sz="0" w:space="0" w:color="auto"/>
            <w:right w:val="none" w:sz="0" w:space="0" w:color="auto"/>
          </w:divBdr>
        </w:div>
        <w:div w:id="2047674504">
          <w:marLeft w:val="274"/>
          <w:marRight w:val="0"/>
          <w:marTop w:val="160"/>
          <w:marBottom w:val="0"/>
          <w:divBdr>
            <w:top w:val="none" w:sz="0" w:space="0" w:color="auto"/>
            <w:left w:val="none" w:sz="0" w:space="0" w:color="auto"/>
            <w:bottom w:val="none" w:sz="0" w:space="0" w:color="auto"/>
            <w:right w:val="none" w:sz="0" w:space="0" w:color="auto"/>
          </w:divBdr>
        </w:div>
        <w:div w:id="396708864">
          <w:marLeft w:val="274"/>
          <w:marRight w:val="0"/>
          <w:marTop w:val="160"/>
          <w:marBottom w:val="0"/>
          <w:divBdr>
            <w:top w:val="none" w:sz="0" w:space="0" w:color="auto"/>
            <w:left w:val="none" w:sz="0" w:space="0" w:color="auto"/>
            <w:bottom w:val="none" w:sz="0" w:space="0" w:color="auto"/>
            <w:right w:val="none" w:sz="0" w:space="0" w:color="auto"/>
          </w:divBdr>
        </w:div>
      </w:divsChild>
    </w:div>
    <w:div w:id="913782538">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18730935">
      <w:bodyDiv w:val="1"/>
      <w:marLeft w:val="0"/>
      <w:marRight w:val="0"/>
      <w:marTop w:val="0"/>
      <w:marBottom w:val="0"/>
      <w:divBdr>
        <w:top w:val="none" w:sz="0" w:space="0" w:color="auto"/>
        <w:left w:val="none" w:sz="0" w:space="0" w:color="auto"/>
        <w:bottom w:val="none" w:sz="0" w:space="0" w:color="auto"/>
        <w:right w:val="none" w:sz="0" w:space="0" w:color="auto"/>
      </w:divBdr>
      <w:divsChild>
        <w:div w:id="313917469">
          <w:marLeft w:val="274"/>
          <w:marRight w:val="0"/>
          <w:marTop w:val="160"/>
          <w:marBottom w:val="0"/>
          <w:divBdr>
            <w:top w:val="none" w:sz="0" w:space="0" w:color="auto"/>
            <w:left w:val="none" w:sz="0" w:space="0" w:color="auto"/>
            <w:bottom w:val="none" w:sz="0" w:space="0" w:color="auto"/>
            <w:right w:val="none" w:sz="0" w:space="0" w:color="auto"/>
          </w:divBdr>
        </w:div>
        <w:div w:id="1934508502">
          <w:marLeft w:val="274"/>
          <w:marRight w:val="0"/>
          <w:marTop w:val="160"/>
          <w:marBottom w:val="0"/>
          <w:divBdr>
            <w:top w:val="none" w:sz="0" w:space="0" w:color="auto"/>
            <w:left w:val="none" w:sz="0" w:space="0" w:color="auto"/>
            <w:bottom w:val="none" w:sz="0" w:space="0" w:color="auto"/>
            <w:right w:val="none" w:sz="0" w:space="0" w:color="auto"/>
          </w:divBdr>
        </w:div>
        <w:div w:id="1689481918">
          <w:marLeft w:val="274"/>
          <w:marRight w:val="0"/>
          <w:marTop w:val="160"/>
          <w:marBottom w:val="0"/>
          <w:divBdr>
            <w:top w:val="none" w:sz="0" w:space="0" w:color="auto"/>
            <w:left w:val="none" w:sz="0" w:space="0" w:color="auto"/>
            <w:bottom w:val="none" w:sz="0" w:space="0" w:color="auto"/>
            <w:right w:val="none" w:sz="0" w:space="0" w:color="auto"/>
          </w:divBdr>
        </w:div>
        <w:div w:id="1492983274">
          <w:marLeft w:val="274"/>
          <w:marRight w:val="0"/>
          <w:marTop w:val="160"/>
          <w:marBottom w:val="0"/>
          <w:divBdr>
            <w:top w:val="none" w:sz="0" w:space="0" w:color="auto"/>
            <w:left w:val="none" w:sz="0" w:space="0" w:color="auto"/>
            <w:bottom w:val="none" w:sz="0" w:space="0" w:color="auto"/>
            <w:right w:val="none" w:sz="0" w:space="0" w:color="auto"/>
          </w:divBdr>
        </w:div>
        <w:div w:id="220991044">
          <w:marLeft w:val="274"/>
          <w:marRight w:val="0"/>
          <w:marTop w:val="160"/>
          <w:marBottom w:val="0"/>
          <w:divBdr>
            <w:top w:val="none" w:sz="0" w:space="0" w:color="auto"/>
            <w:left w:val="none" w:sz="0" w:space="0" w:color="auto"/>
            <w:bottom w:val="none" w:sz="0" w:space="0" w:color="auto"/>
            <w:right w:val="none" w:sz="0" w:space="0" w:color="auto"/>
          </w:divBdr>
        </w:div>
      </w:divsChild>
    </w:div>
    <w:div w:id="139758297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0805565">
      <w:bodyDiv w:val="1"/>
      <w:marLeft w:val="0"/>
      <w:marRight w:val="0"/>
      <w:marTop w:val="0"/>
      <w:marBottom w:val="0"/>
      <w:divBdr>
        <w:top w:val="none" w:sz="0" w:space="0" w:color="auto"/>
        <w:left w:val="none" w:sz="0" w:space="0" w:color="auto"/>
        <w:bottom w:val="none" w:sz="0" w:space="0" w:color="auto"/>
        <w:right w:val="none" w:sz="0" w:space="0" w:color="auto"/>
      </w:divBdr>
    </w:div>
    <w:div w:id="1501120254">
      <w:bodyDiv w:val="1"/>
      <w:marLeft w:val="0"/>
      <w:marRight w:val="0"/>
      <w:marTop w:val="0"/>
      <w:marBottom w:val="0"/>
      <w:divBdr>
        <w:top w:val="none" w:sz="0" w:space="0" w:color="auto"/>
        <w:left w:val="none" w:sz="0" w:space="0" w:color="auto"/>
        <w:bottom w:val="none" w:sz="0" w:space="0" w:color="auto"/>
        <w:right w:val="none" w:sz="0" w:space="0" w:color="auto"/>
      </w:divBdr>
    </w:div>
    <w:div w:id="1522275696">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761103662">
      <w:bodyDiv w:val="1"/>
      <w:marLeft w:val="0"/>
      <w:marRight w:val="0"/>
      <w:marTop w:val="0"/>
      <w:marBottom w:val="0"/>
      <w:divBdr>
        <w:top w:val="none" w:sz="0" w:space="0" w:color="auto"/>
        <w:left w:val="none" w:sz="0" w:space="0" w:color="auto"/>
        <w:bottom w:val="none" w:sz="0" w:space="0" w:color="auto"/>
        <w:right w:val="none" w:sz="0" w:space="0" w:color="auto"/>
      </w:divBdr>
    </w:div>
    <w:div w:id="1909149126">
      <w:bodyDiv w:val="1"/>
      <w:marLeft w:val="0"/>
      <w:marRight w:val="0"/>
      <w:marTop w:val="0"/>
      <w:marBottom w:val="0"/>
      <w:divBdr>
        <w:top w:val="none" w:sz="0" w:space="0" w:color="auto"/>
        <w:left w:val="none" w:sz="0" w:space="0" w:color="auto"/>
        <w:bottom w:val="none" w:sz="0" w:space="0" w:color="auto"/>
        <w:right w:val="none" w:sz="0" w:space="0" w:color="auto"/>
      </w:divBdr>
    </w:div>
    <w:div w:id="191666728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866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ta@pmc.gov.au" TargetMode="External"/><Relationship Id="rId18" Type="http://schemas.openxmlformats.org/officeDocument/2006/relationships/header" Target="header4.xml"/><Relationship Id="rId26" Type="http://schemas.openxmlformats.org/officeDocument/2006/relationships/chart" Target="charts/chart4.xml"/><Relationship Id="rId39" Type="http://schemas.openxmlformats.org/officeDocument/2006/relationships/hyperlink" Target="https://creativecommons.org/licenses/by/4.0/" TargetMode="External"/><Relationship Id="rId21" Type="http://schemas.openxmlformats.org/officeDocument/2006/relationships/footer" Target="footer5.xml"/><Relationship Id="rId34" Type="http://schemas.openxmlformats.org/officeDocument/2006/relationships/chart" Target="charts/chart11.xml"/><Relationship Id="rId42" Type="http://schemas.openxmlformats.org/officeDocument/2006/relationships/image" Target="media/image4.png"/><Relationship Id="rId47" Type="http://schemas.openxmlformats.org/officeDocument/2006/relationships/footer" Target="footer8.xml"/><Relationship Id="rId50"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chart" Target="charts/chart6.xml"/><Relationship Id="rId11" Type="http://schemas.openxmlformats.org/officeDocument/2006/relationships/image" Target="media/image1.jpeg"/><Relationship Id="rId24" Type="http://schemas.openxmlformats.org/officeDocument/2006/relationships/chart" Target="charts/chart2.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image" Target="media/image3.png"/><Relationship Id="rId45" Type="http://schemas.openxmlformats.org/officeDocument/2006/relationships/hyperlink" Target="http://www.pmc.gov.au/beta"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chart" Target="charts/chart8.xml"/><Relationship Id="rId44" Type="http://schemas.openxmlformats.org/officeDocument/2006/relationships/hyperlink" Target="mailto:media@pm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hyperlink" Target="mailto:beta@pmc.gov.a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hart" Target="charts/chart3.xml"/><Relationship Id="rId33" Type="http://schemas.openxmlformats.org/officeDocument/2006/relationships/chart" Target="charts/chart10.xml"/><Relationship Id="rId38" Type="http://schemas.openxmlformats.org/officeDocument/2006/relationships/hyperlink" Target="http://www.abs.gov.au" TargetMode="External"/><Relationship Id="rId46" Type="http://schemas.openxmlformats.org/officeDocument/2006/relationships/header" Target="header5.xml"/><Relationship Id="rId20" Type="http://schemas.openxmlformats.org/officeDocument/2006/relationships/footer" Target="footer4.xml"/><Relationship Id="rId41" Type="http://schemas.openxmlformats.org/officeDocument/2006/relationships/hyperlink" Target="https://pmc.gov.au/cc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Stacked%20bar%20charts.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xml"/></Relationships>
</file>

<file path=word/charts/_rels/chart11.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Stacked%20bar%20char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Stacked%20bar%20cha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hare.internal.pmc.gov.au/teams/ed_beta/SmallProjects/NMHC/Stigma%20Reduction%20Strategy%20Survey/Public%20report/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'[Charts.xlsx]MH Prevalence'!$A$5</c:f>
              <c:strCache>
                <c:ptCount val="1"/>
                <c:pt idx="0">
                  <c:v>This group was not asked further questions</c:v>
                </c:pt>
              </c:strCache>
            </c:strRef>
          </c:tx>
          <c:spPr>
            <a:solidFill>
              <a:schemeClr val="accent2"/>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6-545A-4279-A25B-CC1D380C00C2}"/>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6-545A-4279-A25B-CC1D380C00C2}"/>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5-545A-4279-A25B-CC1D380C00C2}"/>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extLst>
                <c:ext xmlns:c16="http://schemas.microsoft.com/office/drawing/2014/chart" uri="{C3380CC4-5D6E-409C-BE32-E72D297353CC}">
                  <c16:uniqueId val="{00000004-545A-4279-A25B-CC1D380C00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'[Charts.xlsx]MH Prevalence'!$B$4:$D$4</c:f>
              <c:strCache>
                <c:ptCount val="3"/>
                <c:pt idx="0">
                  <c:v>Last 12 months</c:v>
                </c:pt>
                <c:pt idx="1">
                  <c:v>Lifetime but not last 12 months</c:v>
                </c:pt>
                <c:pt idx="2">
                  <c:v>Never</c:v>
                </c:pt>
              </c:strCache>
            </c:strRef>
          </c:cat>
          <c:val>
            <c:numRef>
              <c:f>'[Charts.xlsx]MH Prevalence'!$B$5:$D$5</c:f>
              <c:numCache>
                <c:formatCode>0%</c:formatCode>
                <c:ptCount val="3"/>
                <c:pt idx="0">
                  <c:v>0.35</c:v>
                </c:pt>
                <c:pt idx="1">
                  <c:v>0.17</c:v>
                </c:pt>
                <c:pt idx="2">
                  <c:v>0.47</c:v>
                </c:pt>
              </c:numCache>
            </c:numRef>
          </c:val>
          <c:extLst>
            <c:ext xmlns:c16="http://schemas.microsoft.com/office/drawing/2014/chart" uri="{C3380CC4-5D6E-409C-BE32-E72D297353CC}">
              <c16:uniqueId val="{00000000-545A-4279-A25B-CC1D380C00C2}"/>
            </c:ext>
          </c:extLst>
        </c:ser>
        <c:ser>
          <c:idx val="1"/>
          <c:order val="1"/>
          <c:tx>
            <c:strRef>
              <c:f>'[Charts.xlsx]MH Prevalence'!$A$6</c:f>
              <c:strCache>
                <c:ptCount val="1"/>
                <c:pt idx="0">
                  <c:v>This group was asked subsequent questions about stigma and discrimination</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545A-4279-A25B-CC1D380C00C2}"/>
                </c:ext>
              </c:extLst>
            </c:dLbl>
            <c:dLbl>
              <c:idx val="2"/>
              <c:delete val="1"/>
              <c:extLst>
                <c:ext xmlns:c15="http://schemas.microsoft.com/office/drawing/2012/chart" uri="{CE6537A1-D6FC-4f65-9D91-7224C49458BB}"/>
                <c:ext xmlns:c16="http://schemas.microsoft.com/office/drawing/2014/chart" uri="{C3380CC4-5D6E-409C-BE32-E72D297353CC}">
                  <c16:uniqueId val="{00000003-545A-4279-A25B-CC1D380C00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'[Charts.xlsx]MH Prevalence'!$B$4:$D$4</c:f>
              <c:strCache>
                <c:ptCount val="3"/>
                <c:pt idx="0">
                  <c:v>Last 12 months</c:v>
                </c:pt>
                <c:pt idx="1">
                  <c:v>Lifetime but not last 12 months</c:v>
                </c:pt>
                <c:pt idx="2">
                  <c:v>Never</c:v>
                </c:pt>
              </c:strCache>
            </c:strRef>
          </c:cat>
          <c:val>
            <c:numRef>
              <c:f>'[Charts.xlsx]MH Prevalence'!$B$6:$D$6</c:f>
              <c:numCache>
                <c:formatCode>0%</c:formatCode>
                <c:ptCount val="3"/>
                <c:pt idx="0">
                  <c:v>0</c:v>
                </c:pt>
                <c:pt idx="1">
                  <c:v>0.01</c:v>
                </c:pt>
                <c:pt idx="2">
                  <c:v>0</c:v>
                </c:pt>
              </c:numCache>
            </c:numRef>
          </c:val>
          <c:extLst>
            <c:ext xmlns:c16="http://schemas.microsoft.com/office/drawing/2014/chart" uri="{C3380CC4-5D6E-409C-BE32-E72D297353CC}">
              <c16:uniqueId val="{00000001-545A-4279-A25B-CC1D380C00C2}"/>
            </c:ext>
          </c:extLst>
        </c:ser>
        <c:dLbls>
          <c:dLblPos val="inBase"/>
          <c:showLegendKey val="0"/>
          <c:showVal val="1"/>
          <c:showCatName val="0"/>
          <c:showSerName val="0"/>
          <c:showPercent val="0"/>
          <c:showBubbleSize val="0"/>
        </c:dLbls>
        <c:gapWidth val="150"/>
        <c:overlap val="100"/>
        <c:axId val="466078416"/>
        <c:axId val="466083664"/>
      </c:barChart>
      <c:catAx>
        <c:axId val="46607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6083664"/>
        <c:crosses val="autoZero"/>
        <c:auto val="1"/>
        <c:lblAlgn val="ctr"/>
        <c:lblOffset val="100"/>
        <c:noMultiLvlLbl val="0"/>
      </c:catAx>
      <c:valAx>
        <c:axId val="4660836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078416"/>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6940430080112961"/>
          <c:y val="8.9868413210333578E-2"/>
          <c:w val="0.79184102921132371"/>
          <c:h val="0.86356006172062805"/>
        </c:manualLayout>
      </c:layout>
      <c:barChart>
        <c:barDir val="bar"/>
        <c:grouping val="percentStacked"/>
        <c:varyColors val="0"/>
        <c:ser>
          <c:idx val="0"/>
          <c:order val="0"/>
          <c:tx>
            <c:strRef>
              <c:f>'[Stacked bar charts.xlsx]policy att'!$C$7</c:f>
              <c:strCache>
                <c:ptCount val="1"/>
                <c:pt idx="0">
                  <c:v>Agree</c:v>
                </c:pt>
              </c:strCache>
            </c:strRef>
          </c:tx>
          <c:spPr>
            <a:solidFill>
              <a:schemeClr val="accent1">
                <a:shade val="65000"/>
              </a:schemeClr>
            </a:solidFill>
            <a:ln>
              <a:noFill/>
            </a:ln>
            <a:effectLst/>
          </c:spPr>
          <c:invertIfNegative val="0"/>
          <c:dPt>
            <c:idx val="3"/>
            <c:invertIfNegative val="0"/>
            <c:bubble3D val="0"/>
            <c:extLst>
              <c:ext xmlns:c16="http://schemas.microsoft.com/office/drawing/2014/chart" uri="{C3380CC4-5D6E-409C-BE32-E72D297353CC}">
                <c16:uniqueId val="{00000000-EF81-4AEF-953F-F349FA68E3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charts.xlsx]policy att'!$A$8:$A$18</c:f>
              <c:strCache>
                <c:ptCount val="11"/>
                <c:pt idx="0">
                  <c:v>A mental health problem should not be a reason to be eligible for social welfare payments</c:v>
                </c:pt>
                <c:pt idx="1">
                  <c:v>It is reasonable for an insurance company to have exclusions for a person with a history of mental health problems, regardless of their current circumstances</c:v>
                </c:pt>
                <c:pt idx="2">
                  <c:v>It is reasonable for landlords to avoid leasing to a tenant with a mental health problem</c:v>
                </c:pt>
                <c:pt idx="3">
                  <c:v>In the legal system, evidence provided by people with a mental health problem can be trusted (Reverse)</c:v>
                </c:pt>
                <c:pt idx="4">
                  <c:v>Job applicants should have to tell the employer about a mental health problem so employers can make an informed choice</c:v>
                </c:pt>
                <c:pt idx="5">
                  <c:v>Prisoners should have access to mental healthcare at no or little cost to them (Reverse)</c:v>
                </c:pt>
                <c:pt idx="6">
                  <c:v>An employer should support the needs of a person with a mental health problem through reasonable changes to work duties (Reverse)</c:v>
                </c:pt>
                <c:pt idx="7">
                  <c:v>More needs to be done to eliminate discrimination towards people affected by mental health problems (Reverse)</c:v>
                </c:pt>
                <c:pt idx="8">
                  <c:v>People who intentionally harm themselves are just as deserving of medical treatment as those who have an accident (Reverse)</c:v>
                </c:pt>
                <c:pt idx="9">
                  <c:v>A school should support the needs of a student with a mental health problem through changes to their learning environment (Reverse)</c:v>
                </c:pt>
                <c:pt idx="10">
                  <c:v>It is just as important that there is access to affordable mental healthcare as there is access to affordable physical healthcare in Australia (Reverse)</c:v>
                </c:pt>
              </c:strCache>
            </c:strRef>
          </c:cat>
          <c:val>
            <c:numRef>
              <c:f>'[Stacked bar charts.xlsx]policy att'!$C$8:$C$18</c:f>
              <c:numCache>
                <c:formatCode>0</c:formatCode>
                <c:ptCount val="11"/>
                <c:pt idx="0">
                  <c:v>19.399999999999999</c:v>
                </c:pt>
                <c:pt idx="1">
                  <c:v>19.2</c:v>
                </c:pt>
                <c:pt idx="2">
                  <c:v>20.8</c:v>
                </c:pt>
                <c:pt idx="3">
                  <c:v>38</c:v>
                </c:pt>
                <c:pt idx="4">
                  <c:v>42.9</c:v>
                </c:pt>
                <c:pt idx="5">
                  <c:v>75.8</c:v>
                </c:pt>
                <c:pt idx="6">
                  <c:v>76.900000000000006</c:v>
                </c:pt>
                <c:pt idx="7">
                  <c:v>83</c:v>
                </c:pt>
                <c:pt idx="8">
                  <c:v>83.700000000000017</c:v>
                </c:pt>
                <c:pt idx="9">
                  <c:v>86.9</c:v>
                </c:pt>
                <c:pt idx="10">
                  <c:v>90.7</c:v>
                </c:pt>
              </c:numCache>
            </c:numRef>
          </c:val>
          <c:extLst>
            <c:ext xmlns:c16="http://schemas.microsoft.com/office/drawing/2014/chart" uri="{C3380CC4-5D6E-409C-BE32-E72D297353CC}">
              <c16:uniqueId val="{00000001-EF81-4AEF-953F-F349FA68E345}"/>
            </c:ext>
          </c:extLst>
        </c:ser>
        <c:ser>
          <c:idx val="1"/>
          <c:order val="1"/>
          <c:tx>
            <c:strRef>
              <c:f>'[Stacked bar charts.xlsx]policy att'!$D$7</c:f>
              <c:strCache>
                <c:ptCount val="1"/>
                <c:pt idx="0">
                  <c:v>Neither</c:v>
                </c:pt>
              </c:strCache>
            </c:strRef>
          </c:tx>
          <c:spPr>
            <a:solidFill>
              <a:schemeClr val="accent1"/>
            </a:solidFill>
            <a:ln>
              <a:noFill/>
            </a:ln>
            <a:effectLst/>
          </c:spPr>
          <c:invertIfNegative val="0"/>
          <c:dLbls>
            <c:dLbl>
              <c:idx val="5"/>
              <c:layout>
                <c:manualLayout>
                  <c:x val="0"/>
                  <c:y val="1.2659189305516875E-7"/>
                </c:manualLayout>
              </c:layout>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F81-4AEF-953F-F349FA68E345}"/>
                </c:ext>
              </c:extLst>
            </c:dLbl>
            <c:dLbl>
              <c:idx val="7"/>
              <c:layout>
                <c:manualLayout>
                  <c:x val="-4.3620501635768813E-3"/>
                  <c:y val="0"/>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EF81-4AEF-953F-F349FA68E345}"/>
                </c:ext>
              </c:extLst>
            </c:dLbl>
            <c:dLbl>
              <c:idx val="8"/>
              <c:layout>
                <c:manualLayout>
                  <c:x val="-6.5430752453653216E-3"/>
                  <c:y val="0"/>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EF81-4AEF-953F-F349FA68E345}"/>
                </c:ext>
              </c:extLst>
            </c:dLbl>
            <c:dLbl>
              <c:idx val="9"/>
              <c:layout>
                <c:manualLayout>
                  <c:x val="-6.5430752453653216E-3"/>
                  <c:y val="0"/>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EF81-4AEF-953F-F349FA68E345}"/>
                </c:ext>
              </c:extLst>
            </c:dLbl>
            <c:dLbl>
              <c:idx val="10"/>
              <c:layout>
                <c:manualLayout>
                  <c:x val="-4.3620501635768813E-3"/>
                  <c:y val="-1.6077170418006431E-3"/>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EF81-4AEF-953F-F349FA68E3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charts.xlsx]policy att'!$A$8:$A$18</c:f>
              <c:strCache>
                <c:ptCount val="11"/>
                <c:pt idx="0">
                  <c:v>A mental health problem should not be a reason to be eligible for social welfare payments</c:v>
                </c:pt>
                <c:pt idx="1">
                  <c:v>It is reasonable for an insurance company to have exclusions for a person with a history of mental health problems, regardless of their current circumstances</c:v>
                </c:pt>
                <c:pt idx="2">
                  <c:v>It is reasonable for landlords to avoid leasing to a tenant with a mental health problem</c:v>
                </c:pt>
                <c:pt idx="3">
                  <c:v>In the legal system, evidence provided by people with a mental health problem can be trusted (Reverse)</c:v>
                </c:pt>
                <c:pt idx="4">
                  <c:v>Job applicants should have to tell the employer about a mental health problem so employers can make an informed choice</c:v>
                </c:pt>
                <c:pt idx="5">
                  <c:v>Prisoners should have access to mental healthcare at no or little cost to them (Reverse)</c:v>
                </c:pt>
                <c:pt idx="6">
                  <c:v>An employer should support the needs of a person with a mental health problem through reasonable changes to work duties (Reverse)</c:v>
                </c:pt>
                <c:pt idx="7">
                  <c:v>More needs to be done to eliminate discrimination towards people affected by mental health problems (Reverse)</c:v>
                </c:pt>
                <c:pt idx="8">
                  <c:v>People who intentionally harm themselves are just as deserving of medical treatment as those who have an accident (Reverse)</c:v>
                </c:pt>
                <c:pt idx="9">
                  <c:v>A school should support the needs of a student with a mental health problem through changes to their learning environment (Reverse)</c:v>
                </c:pt>
                <c:pt idx="10">
                  <c:v>It is just as important that there is access to affordable mental healthcare as there is access to affordable physical healthcare in Australia (Reverse)</c:v>
                </c:pt>
              </c:strCache>
            </c:strRef>
          </c:cat>
          <c:val>
            <c:numRef>
              <c:f>'[Stacked bar charts.xlsx]policy att'!$D$8:$D$18</c:f>
              <c:numCache>
                <c:formatCode>0</c:formatCode>
                <c:ptCount val="11"/>
                <c:pt idx="0">
                  <c:v>22.7</c:v>
                </c:pt>
                <c:pt idx="1">
                  <c:v>26.1</c:v>
                </c:pt>
                <c:pt idx="2">
                  <c:v>26.8</c:v>
                </c:pt>
                <c:pt idx="3">
                  <c:v>42.3</c:v>
                </c:pt>
                <c:pt idx="4">
                  <c:v>25.5</c:v>
                </c:pt>
                <c:pt idx="5">
                  <c:v>15.6</c:v>
                </c:pt>
                <c:pt idx="6">
                  <c:v>16.900000000000002</c:v>
                </c:pt>
                <c:pt idx="7">
                  <c:v>13</c:v>
                </c:pt>
                <c:pt idx="8">
                  <c:v>10</c:v>
                </c:pt>
                <c:pt idx="9">
                  <c:v>9.6</c:v>
                </c:pt>
                <c:pt idx="10">
                  <c:v>6.9</c:v>
                </c:pt>
              </c:numCache>
            </c:numRef>
          </c:val>
          <c:extLst>
            <c:ext xmlns:c16="http://schemas.microsoft.com/office/drawing/2014/chart" uri="{C3380CC4-5D6E-409C-BE32-E72D297353CC}">
              <c16:uniqueId val="{00000007-EF81-4AEF-953F-F349FA68E345}"/>
            </c:ext>
          </c:extLst>
        </c:ser>
        <c:ser>
          <c:idx val="2"/>
          <c:order val="2"/>
          <c:tx>
            <c:strRef>
              <c:f>'[Stacked bar charts.xlsx]policy att'!$E$7</c:f>
              <c:strCache>
                <c:ptCount val="1"/>
                <c:pt idx="0">
                  <c:v>Disagree</c:v>
                </c:pt>
              </c:strCache>
            </c:strRef>
          </c:tx>
          <c:spPr>
            <a:solidFill>
              <a:schemeClr val="accent1">
                <a:tint val="65000"/>
              </a:schemeClr>
            </a:solidFill>
            <a:ln>
              <a:noFill/>
            </a:ln>
            <a:effectLst/>
          </c:spPr>
          <c:invertIfNegative val="0"/>
          <c:dLbls>
            <c:dLbl>
              <c:idx val="5"/>
              <c:layout>
                <c:manualLayout>
                  <c:x val="2.1810250817882806E-3"/>
                  <c:y val="-3.2150543079221207E-3"/>
                </c:manualLayout>
              </c:layout>
              <c:tx>
                <c:rich>
                  <a:bodyPr/>
                  <a:lstStyle/>
                  <a:p>
                    <a:fld id="{229675D8-4405-42E9-B8B4-9544DC9DE2F6}" type="VALUE">
                      <a:rPr lang="en-US" baseline="0"/>
                      <a:pPr/>
                      <a:t>[VALUE]</a:t>
                    </a:fld>
                    <a:endParaRPr lang="en-AU"/>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EF81-4AEF-953F-F349FA68E345}"/>
                </c:ext>
              </c:extLst>
            </c:dLbl>
            <c:dLbl>
              <c:idx val="6"/>
              <c:layout/>
              <c:tx>
                <c:rich>
                  <a:bodyPr/>
                  <a:lstStyle/>
                  <a:p>
                    <a:r>
                      <a:rPr lang="en-US" baseline="0"/>
                      <a:t>
</a:t>
                    </a:r>
                    <a:fld id="{FB1DDDEC-CA8A-4331-891B-AE2A701DFC10}" type="VALUE">
                      <a:rPr lang="en-US" baseline="0"/>
                      <a:pPr/>
                      <a:t>[VALUE]</a:t>
                    </a:fld>
                    <a:endParaRPr 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F81-4AEF-953F-F349FA68E345}"/>
                </c:ext>
              </c:extLst>
            </c:dLbl>
            <c:dLbl>
              <c:idx val="7"/>
              <c:layout/>
              <c:tx>
                <c:rich>
                  <a:bodyPr/>
                  <a:lstStyle/>
                  <a:p>
                    <a:r>
                      <a:rPr lang="en-US" baseline="0"/>
                      <a:t>
</a:t>
                    </a:r>
                    <a:fld id="{02ACA294-6C42-47A6-9362-2D05CBA9243A}" type="VALUE">
                      <a:rPr lang="en-US" baseline="0"/>
                      <a:pPr/>
                      <a:t>[VALUE]</a:t>
                    </a:fld>
                    <a:endParaRPr 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EF81-4AEF-953F-F349FA68E345}"/>
                </c:ext>
              </c:extLst>
            </c:dLbl>
            <c:dLbl>
              <c:idx val="8"/>
              <c:layout/>
              <c:tx>
                <c:rich>
                  <a:bodyPr/>
                  <a:lstStyle/>
                  <a:p>
                    <a:r>
                      <a:rPr lang="en-US" baseline="0"/>
                      <a:t>
</a:t>
                    </a:r>
                    <a:fld id="{96FAF9D5-9B40-488C-8C57-B28ADDBE65B6}" type="VALUE">
                      <a:rPr lang="en-US" baseline="0"/>
                      <a:pPr/>
                      <a:t>[VALUE]</a:t>
                    </a:fld>
                    <a:endParaRPr 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EF81-4AEF-953F-F349FA68E345}"/>
                </c:ext>
              </c:extLst>
            </c:dLbl>
            <c:dLbl>
              <c:idx val="9"/>
              <c:layout/>
              <c:tx>
                <c:rich>
                  <a:bodyPr/>
                  <a:lstStyle/>
                  <a:p>
                    <a:r>
                      <a:rPr lang="en-US" baseline="0"/>
                      <a:t>
</a:t>
                    </a:r>
                    <a:fld id="{A510445E-2A7B-40FB-9BFC-11FED64ED8CB}" type="VALUE">
                      <a:rPr lang="en-US" baseline="0"/>
                      <a:pPr/>
                      <a:t>[VALUE]</a:t>
                    </a:fld>
                    <a:endParaRPr 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C-EF81-4AEF-953F-F349FA68E345}"/>
                </c:ext>
              </c:extLst>
            </c:dLbl>
            <c:dLbl>
              <c:idx val="10"/>
              <c:layout/>
              <c:tx>
                <c:rich>
                  <a:bodyPr/>
                  <a:lstStyle/>
                  <a:p>
                    <a:r>
                      <a:rPr lang="en-US" baseline="0"/>
                      <a:t>
</a:t>
                    </a:r>
                    <a:fld id="{87B227C7-EF48-4078-BA36-306F401D6552}" type="VALUE">
                      <a:rPr lang="en-US" baseline="0"/>
                      <a:pPr/>
                      <a:t>[VALUE]</a:t>
                    </a:fld>
                    <a:endParaRPr 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EF81-4AEF-953F-F349FA68E3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charts.xlsx]policy att'!$A$8:$A$18</c:f>
              <c:strCache>
                <c:ptCount val="11"/>
                <c:pt idx="0">
                  <c:v>A mental health problem should not be a reason to be eligible for social welfare payments</c:v>
                </c:pt>
                <c:pt idx="1">
                  <c:v>It is reasonable for an insurance company to have exclusions for a person with a history of mental health problems, regardless of their current circumstances</c:v>
                </c:pt>
                <c:pt idx="2">
                  <c:v>It is reasonable for landlords to avoid leasing to a tenant with a mental health problem</c:v>
                </c:pt>
                <c:pt idx="3">
                  <c:v>In the legal system, evidence provided by people with a mental health problem can be trusted (Reverse)</c:v>
                </c:pt>
                <c:pt idx="4">
                  <c:v>Job applicants should have to tell the employer about a mental health problem so employers can make an informed choice</c:v>
                </c:pt>
                <c:pt idx="5">
                  <c:v>Prisoners should have access to mental healthcare at no or little cost to them (Reverse)</c:v>
                </c:pt>
                <c:pt idx="6">
                  <c:v>An employer should support the needs of a person with a mental health problem through reasonable changes to work duties (Reverse)</c:v>
                </c:pt>
                <c:pt idx="7">
                  <c:v>More needs to be done to eliminate discrimination towards people affected by mental health problems (Reverse)</c:v>
                </c:pt>
                <c:pt idx="8">
                  <c:v>People who intentionally harm themselves are just as deserving of medical treatment as those who have an accident (Reverse)</c:v>
                </c:pt>
                <c:pt idx="9">
                  <c:v>A school should support the needs of a student with a mental health problem through changes to their learning environment (Reverse)</c:v>
                </c:pt>
                <c:pt idx="10">
                  <c:v>It is just as important that there is access to affordable mental healthcare as there is access to affordable physical healthcare in Australia (Reverse)</c:v>
                </c:pt>
              </c:strCache>
            </c:strRef>
          </c:cat>
          <c:val>
            <c:numRef>
              <c:f>'[Stacked bar charts.xlsx]policy att'!$E$8:$E$18</c:f>
              <c:numCache>
                <c:formatCode>0</c:formatCode>
                <c:ptCount val="11"/>
                <c:pt idx="0">
                  <c:v>57.7</c:v>
                </c:pt>
                <c:pt idx="1">
                  <c:v>54.599999999999994</c:v>
                </c:pt>
                <c:pt idx="2">
                  <c:v>52.5</c:v>
                </c:pt>
                <c:pt idx="3">
                  <c:v>19.399999999999999</c:v>
                </c:pt>
                <c:pt idx="4">
                  <c:v>31.5</c:v>
                </c:pt>
                <c:pt idx="5">
                  <c:v>8.5</c:v>
                </c:pt>
                <c:pt idx="6">
                  <c:v>6.1999999999999993</c:v>
                </c:pt>
                <c:pt idx="7">
                  <c:v>3.9000000000000004</c:v>
                </c:pt>
                <c:pt idx="8">
                  <c:v>6.3000000000000007</c:v>
                </c:pt>
                <c:pt idx="9">
                  <c:v>3.5</c:v>
                </c:pt>
                <c:pt idx="10">
                  <c:v>2.4000000000000004</c:v>
                </c:pt>
              </c:numCache>
            </c:numRef>
          </c:val>
          <c:extLst>
            <c:ext xmlns:c16="http://schemas.microsoft.com/office/drawing/2014/chart" uri="{C3380CC4-5D6E-409C-BE32-E72D297353CC}">
              <c16:uniqueId val="{0000000E-EF81-4AEF-953F-F349FA68E345}"/>
            </c:ext>
          </c:extLst>
        </c:ser>
        <c:dLbls>
          <c:dLblPos val="ctr"/>
          <c:showLegendKey val="0"/>
          <c:showVal val="1"/>
          <c:showCatName val="0"/>
          <c:showSerName val="0"/>
          <c:showPercent val="0"/>
          <c:showBubbleSize val="0"/>
        </c:dLbls>
        <c:gapWidth val="40"/>
        <c:overlap val="100"/>
        <c:axId val="219492352"/>
        <c:axId val="219494272"/>
      </c:barChart>
      <c:catAx>
        <c:axId val="219492352"/>
        <c:scaling>
          <c:orientation val="maxMin"/>
        </c:scaling>
        <c:delete val="0"/>
        <c:axPos val="l"/>
        <c:numFmt formatCode="General"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9494272"/>
        <c:crosses val="autoZero"/>
        <c:auto val="1"/>
        <c:lblAlgn val="ctr"/>
        <c:lblOffset val="200"/>
        <c:noMultiLvlLbl val="0"/>
      </c:catAx>
      <c:valAx>
        <c:axId val="219494272"/>
        <c:scaling>
          <c:orientation val="minMax"/>
        </c:scaling>
        <c:delete val="0"/>
        <c:axPos val="t"/>
        <c:numFmt formatCode="0%" sourceLinked="1"/>
        <c:majorTickMark val="out"/>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9492352"/>
        <c:crosses val="autoZero"/>
        <c:crossBetween val="between"/>
        <c:majorUnit val="0.25"/>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000" b="0"/>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'[Charts.xlsx]Public LD exp D'!$B$4:$I$4</c:f>
              <c:strCache>
                <c:ptCount val="8"/>
                <c:pt idx="0">
                  <c:v>By people in your workplace</c:v>
                </c:pt>
                <c:pt idx="1">
                  <c:v>In finding a paid job</c:v>
                </c:pt>
                <c:pt idx="2">
                  <c:v>In applying for and getting welfare benefits or disability pensions</c:v>
                </c:pt>
                <c:pt idx="3">
                  <c:v>In education or further training</c:v>
                </c:pt>
                <c:pt idx="4">
                  <c:v>By the legal system</c:v>
                </c:pt>
                <c:pt idx="5">
                  <c:v>By a health professional when getting help for a mental health problem </c:v>
                </c:pt>
                <c:pt idx="6">
                  <c:v>By a health professional when getting help for a physical health problem</c:v>
                </c:pt>
                <c:pt idx="7">
                  <c:v>In housing (including renting and accessing public or community housing)</c:v>
                </c:pt>
              </c:strCache>
            </c:strRef>
          </c:cat>
          <c:val>
            <c:numRef>
              <c:f>'[Charts.xlsx]Public LD exp D'!$B$5:$I$5</c:f>
              <c:numCache>
                <c:formatCode>0%</c:formatCode>
                <c:ptCount val="8"/>
                <c:pt idx="0">
                  <c:v>0.37</c:v>
                </c:pt>
                <c:pt idx="1">
                  <c:v>0.34</c:v>
                </c:pt>
                <c:pt idx="2">
                  <c:v>0.31</c:v>
                </c:pt>
                <c:pt idx="3">
                  <c:v>0.27</c:v>
                </c:pt>
                <c:pt idx="4">
                  <c:v>0.27</c:v>
                </c:pt>
                <c:pt idx="5">
                  <c:v>0.25</c:v>
                </c:pt>
                <c:pt idx="6">
                  <c:v>0.24</c:v>
                </c:pt>
                <c:pt idx="7">
                  <c:v>0.2</c:v>
                </c:pt>
              </c:numCache>
            </c:numRef>
          </c:val>
          <c:extLst>
            <c:ext xmlns:c16="http://schemas.microsoft.com/office/drawing/2014/chart" uri="{C3380CC4-5D6E-409C-BE32-E72D297353CC}">
              <c16:uniqueId val="{00000000-B9D4-422B-9B6E-6495EE0052AD}"/>
            </c:ext>
          </c:extLst>
        </c:ser>
        <c:dLbls>
          <c:dLblPos val="outEnd"/>
          <c:showLegendKey val="0"/>
          <c:showVal val="1"/>
          <c:showCatName val="0"/>
          <c:showSerName val="0"/>
          <c:showPercent val="0"/>
          <c:showBubbleSize val="0"/>
        </c:dLbls>
        <c:gapWidth val="182"/>
        <c:axId val="441459400"/>
        <c:axId val="441459728"/>
      </c:barChart>
      <c:catAx>
        <c:axId val="441459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1459728"/>
        <c:crosses val="autoZero"/>
        <c:auto val="1"/>
        <c:lblAlgn val="ctr"/>
        <c:lblOffset val="100"/>
        <c:noMultiLvlLbl val="0"/>
      </c:catAx>
      <c:valAx>
        <c:axId val="441459728"/>
        <c:scaling>
          <c:orientation val="minMax"/>
          <c:max val="0.5"/>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1459400"/>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6940430080112961"/>
          <c:y val="8.9868413210333578E-2"/>
          <c:w val="0.79184102921132371"/>
          <c:h val="0.86356006172062805"/>
        </c:manualLayout>
      </c:layout>
      <c:barChart>
        <c:barDir val="bar"/>
        <c:grouping val="percentStacked"/>
        <c:varyColors val="0"/>
        <c:ser>
          <c:idx val="0"/>
          <c:order val="0"/>
          <c:tx>
            <c:strRef>
              <c:f>'[Stacked bar charts.xlsx]Self stigma neg'!$C$7</c:f>
              <c:strCache>
                <c:ptCount val="1"/>
                <c:pt idx="0">
                  <c:v>Agree</c:v>
                </c:pt>
              </c:strCache>
            </c:strRef>
          </c:tx>
          <c:spPr>
            <a:solidFill>
              <a:schemeClr val="accent1">
                <a:shade val="65000"/>
              </a:schemeClr>
            </a:solidFill>
            <a:ln>
              <a:noFill/>
            </a:ln>
            <a:effectLst/>
          </c:spPr>
          <c:invertIfNegative val="0"/>
          <c:dPt>
            <c:idx val="3"/>
            <c:invertIfNegative val="0"/>
            <c:bubble3D val="0"/>
            <c:extLst>
              <c:ext xmlns:c16="http://schemas.microsoft.com/office/drawing/2014/chart" uri="{C3380CC4-5D6E-409C-BE32-E72D297353CC}">
                <c16:uniqueId val="{00000000-9C49-4783-B912-544560F443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charts.xlsx]Self stigma neg'!$A$8:$A$13</c:f>
              <c:strCache>
                <c:ptCount val="6"/>
                <c:pt idx="0">
                  <c:v>I feel embarrassed about feeling this way</c:v>
                </c:pt>
                <c:pt idx="1">
                  <c:v>I should be able to pull myself together</c:v>
                </c:pt>
                <c:pt idx="2">
                  <c:v>I feel embarrassed about seeking professional help</c:v>
                </c:pt>
                <c:pt idx="3">
                  <c:v>I avoid talking about my mental health problems</c:v>
                </c:pt>
                <c:pt idx="4">
                  <c:v>I avoid interacting with others</c:v>
                </c:pt>
                <c:pt idx="5">
                  <c:v>I feel like a burden to other people</c:v>
                </c:pt>
              </c:strCache>
            </c:strRef>
          </c:cat>
          <c:val>
            <c:numRef>
              <c:f>'[Stacked bar charts.xlsx]Self stigma neg'!$C$8:$C$13</c:f>
              <c:numCache>
                <c:formatCode>0</c:formatCode>
                <c:ptCount val="6"/>
                <c:pt idx="0">
                  <c:v>49.409013790779994</c:v>
                </c:pt>
                <c:pt idx="1">
                  <c:v>58.387909581100004</c:v>
                </c:pt>
                <c:pt idx="2">
                  <c:v>33.252902929849995</c:v>
                </c:pt>
                <c:pt idx="3">
                  <c:v>58.531175356329996</c:v>
                </c:pt>
                <c:pt idx="4">
                  <c:v>54.821534157139993</c:v>
                </c:pt>
                <c:pt idx="5">
                  <c:v>48.504530623219999</c:v>
                </c:pt>
              </c:numCache>
            </c:numRef>
          </c:val>
          <c:extLst>
            <c:ext xmlns:c16="http://schemas.microsoft.com/office/drawing/2014/chart" uri="{C3380CC4-5D6E-409C-BE32-E72D297353CC}">
              <c16:uniqueId val="{00000001-9C49-4783-B912-544560F4433B}"/>
            </c:ext>
          </c:extLst>
        </c:ser>
        <c:ser>
          <c:idx val="1"/>
          <c:order val="1"/>
          <c:tx>
            <c:strRef>
              <c:f>'[Stacked bar charts.xlsx]Self stigma neg'!$D$7</c:f>
              <c:strCache>
                <c:ptCount val="1"/>
                <c:pt idx="0">
                  <c:v>Neither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charts.xlsx]Self stigma neg'!$A$8:$A$13</c:f>
              <c:strCache>
                <c:ptCount val="6"/>
                <c:pt idx="0">
                  <c:v>I feel embarrassed about feeling this way</c:v>
                </c:pt>
                <c:pt idx="1">
                  <c:v>I should be able to pull myself together</c:v>
                </c:pt>
                <c:pt idx="2">
                  <c:v>I feel embarrassed about seeking professional help</c:v>
                </c:pt>
                <c:pt idx="3">
                  <c:v>I avoid talking about my mental health problems</c:v>
                </c:pt>
                <c:pt idx="4">
                  <c:v>I avoid interacting with others</c:v>
                </c:pt>
                <c:pt idx="5">
                  <c:v>I feel like a burden to other people</c:v>
                </c:pt>
              </c:strCache>
            </c:strRef>
          </c:cat>
          <c:val>
            <c:numRef>
              <c:f>'[Stacked bar charts.xlsx]Self stigma neg'!$D$8:$D$13</c:f>
              <c:numCache>
                <c:formatCode>0</c:formatCode>
                <c:ptCount val="6"/>
                <c:pt idx="0">
                  <c:v>19.205790768309999</c:v>
                </c:pt>
                <c:pt idx="1">
                  <c:v>23.873892410420002</c:v>
                </c:pt>
                <c:pt idx="2">
                  <c:v>17.738438801579999</c:v>
                </c:pt>
                <c:pt idx="3">
                  <c:v>17.33408245044</c:v>
                </c:pt>
                <c:pt idx="4">
                  <c:v>19.28779723149</c:v>
                </c:pt>
                <c:pt idx="5">
                  <c:v>20.21368066198</c:v>
                </c:pt>
              </c:numCache>
            </c:numRef>
          </c:val>
          <c:extLst>
            <c:ext xmlns:c16="http://schemas.microsoft.com/office/drawing/2014/chart" uri="{C3380CC4-5D6E-409C-BE32-E72D297353CC}">
              <c16:uniqueId val="{00000002-9C49-4783-B912-544560F4433B}"/>
            </c:ext>
          </c:extLst>
        </c:ser>
        <c:ser>
          <c:idx val="2"/>
          <c:order val="2"/>
          <c:tx>
            <c:strRef>
              <c:f>'[Stacked bar charts.xlsx]Self stigma neg'!$E$7</c:f>
              <c:strCache>
                <c:ptCount val="1"/>
                <c:pt idx="0">
                  <c:v>Disagree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charts.xlsx]Self stigma neg'!$A$8:$A$13</c:f>
              <c:strCache>
                <c:ptCount val="6"/>
                <c:pt idx="0">
                  <c:v>I feel embarrassed about feeling this way</c:v>
                </c:pt>
                <c:pt idx="1">
                  <c:v>I should be able to pull myself together</c:v>
                </c:pt>
                <c:pt idx="2">
                  <c:v>I feel embarrassed about seeking professional help</c:v>
                </c:pt>
                <c:pt idx="3">
                  <c:v>I avoid talking about my mental health problems</c:v>
                </c:pt>
                <c:pt idx="4">
                  <c:v>I avoid interacting with others</c:v>
                </c:pt>
                <c:pt idx="5">
                  <c:v>I feel like a burden to other people</c:v>
                </c:pt>
              </c:strCache>
            </c:strRef>
          </c:cat>
          <c:val>
            <c:numRef>
              <c:f>'[Stacked bar charts.xlsx]Self stigma neg'!$E$8:$E$13</c:f>
              <c:numCache>
                <c:formatCode>0</c:formatCode>
                <c:ptCount val="6"/>
                <c:pt idx="0">
                  <c:v>31.25461828077</c:v>
                </c:pt>
                <c:pt idx="1">
                  <c:v>17.520031095072</c:v>
                </c:pt>
                <c:pt idx="2">
                  <c:v>48.911133856030006</c:v>
                </c:pt>
                <c:pt idx="3">
                  <c:v>23.987883549171002</c:v>
                </c:pt>
                <c:pt idx="4">
                  <c:v>25.80468924493</c:v>
                </c:pt>
                <c:pt idx="5">
                  <c:v>31.162756600749997</c:v>
                </c:pt>
              </c:numCache>
            </c:numRef>
          </c:val>
          <c:extLst>
            <c:ext xmlns:c16="http://schemas.microsoft.com/office/drawing/2014/chart" uri="{C3380CC4-5D6E-409C-BE32-E72D297353CC}">
              <c16:uniqueId val="{00000003-9C49-4783-B912-544560F4433B}"/>
            </c:ext>
          </c:extLst>
        </c:ser>
        <c:dLbls>
          <c:dLblPos val="ctr"/>
          <c:showLegendKey val="0"/>
          <c:showVal val="1"/>
          <c:showCatName val="0"/>
          <c:showSerName val="0"/>
          <c:showPercent val="0"/>
          <c:showBubbleSize val="0"/>
        </c:dLbls>
        <c:gapWidth val="40"/>
        <c:overlap val="100"/>
        <c:axId val="219492352"/>
        <c:axId val="219494272"/>
      </c:barChart>
      <c:catAx>
        <c:axId val="219492352"/>
        <c:scaling>
          <c:orientation val="maxMin"/>
        </c:scaling>
        <c:delete val="0"/>
        <c:axPos val="l"/>
        <c:numFmt formatCode="General"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9494272"/>
        <c:crosses val="autoZero"/>
        <c:auto val="1"/>
        <c:lblAlgn val="ctr"/>
        <c:lblOffset val="200"/>
        <c:noMultiLvlLbl val="0"/>
      </c:catAx>
      <c:valAx>
        <c:axId val="219494272"/>
        <c:scaling>
          <c:orientation val="minMax"/>
        </c:scaling>
        <c:delete val="0"/>
        <c:axPos val="t"/>
        <c:numFmt formatCode="0%" sourceLinked="1"/>
        <c:majorTickMark val="out"/>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9492352"/>
        <c:crosses val="autoZero"/>
        <c:crossBetween val="between"/>
        <c:majorUnit val="0.25"/>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000" b="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6940430080112961"/>
          <c:y val="8.9868413210333578E-2"/>
          <c:w val="0.79184102921132371"/>
          <c:h val="0.86356006172062805"/>
        </c:manualLayout>
      </c:layout>
      <c:barChart>
        <c:barDir val="bar"/>
        <c:grouping val="percentStacked"/>
        <c:varyColors val="0"/>
        <c:ser>
          <c:idx val="0"/>
          <c:order val="0"/>
          <c:tx>
            <c:strRef>
              <c:f>'[Stacked bar charts.xlsx]Stacked bar'!$C$7</c:f>
              <c:strCache>
                <c:ptCount val="1"/>
                <c:pt idx="0">
                  <c:v>Agree</c:v>
                </c:pt>
              </c:strCache>
            </c:strRef>
          </c:tx>
          <c:spPr>
            <a:solidFill>
              <a:schemeClr val="accent1">
                <a:shade val="65000"/>
              </a:schemeClr>
            </a:solidFill>
            <a:ln>
              <a:noFill/>
            </a:ln>
            <a:effectLst/>
          </c:spPr>
          <c:invertIfNegative val="0"/>
          <c:dPt>
            <c:idx val="3"/>
            <c:invertIfNegative val="0"/>
            <c:bubble3D val="0"/>
            <c:extLst>
              <c:ext xmlns:c16="http://schemas.microsoft.com/office/drawing/2014/chart" uri="{C3380CC4-5D6E-409C-BE32-E72D297353CC}">
                <c16:uniqueId val="{00000000-3387-473D-BA3F-DF403E45D5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charts.xlsx]Stacked bar'!$A$8:$A$11</c:f>
              <c:strCache>
                <c:ptCount val="4"/>
                <c:pt idx="0">
                  <c:v>All in all, I am satisfied with my life</c:v>
                </c:pt>
                <c:pt idx="1">
                  <c:v>Having had mental health problems has made me a stronger person</c:v>
                </c:pt>
                <c:pt idx="2">
                  <c:v>For the most part, I can live my life without mental health problems getting in the way</c:v>
                </c:pt>
                <c:pt idx="3">
                  <c:v>I feel I am living a fulfilling life</c:v>
                </c:pt>
              </c:strCache>
            </c:strRef>
          </c:cat>
          <c:val>
            <c:numRef>
              <c:f>'[Stacked bar charts.xlsx]Stacked bar'!$C$8:$C$11</c:f>
              <c:numCache>
                <c:formatCode>General</c:formatCode>
                <c:ptCount val="4"/>
                <c:pt idx="0">
                  <c:v>48</c:v>
                </c:pt>
                <c:pt idx="1">
                  <c:v>49</c:v>
                </c:pt>
                <c:pt idx="2">
                  <c:v>60</c:v>
                </c:pt>
                <c:pt idx="3">
                  <c:v>44</c:v>
                </c:pt>
              </c:numCache>
            </c:numRef>
          </c:val>
          <c:extLst>
            <c:ext xmlns:c16="http://schemas.microsoft.com/office/drawing/2014/chart" uri="{C3380CC4-5D6E-409C-BE32-E72D297353CC}">
              <c16:uniqueId val="{00000001-3387-473D-BA3F-DF403E45D5A1}"/>
            </c:ext>
          </c:extLst>
        </c:ser>
        <c:ser>
          <c:idx val="1"/>
          <c:order val="1"/>
          <c:tx>
            <c:strRef>
              <c:f>'[Stacked bar charts.xlsx]Stacked bar'!$D$7</c:f>
              <c:strCache>
                <c:ptCount val="1"/>
                <c:pt idx="0">
                  <c:v>Neither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charts.xlsx]Stacked bar'!$A$8:$A$11</c:f>
              <c:strCache>
                <c:ptCount val="4"/>
                <c:pt idx="0">
                  <c:v>All in all, I am satisfied with my life</c:v>
                </c:pt>
                <c:pt idx="1">
                  <c:v>Having had mental health problems has made me a stronger person</c:v>
                </c:pt>
                <c:pt idx="2">
                  <c:v>For the most part, I can live my life without mental health problems getting in the way</c:v>
                </c:pt>
                <c:pt idx="3">
                  <c:v>I feel I am living a fulfilling life</c:v>
                </c:pt>
              </c:strCache>
            </c:strRef>
          </c:cat>
          <c:val>
            <c:numRef>
              <c:f>'[Stacked bar charts.xlsx]Stacked bar'!$D$8:$D$11</c:f>
              <c:numCache>
                <c:formatCode>General</c:formatCode>
                <c:ptCount val="4"/>
                <c:pt idx="0">
                  <c:v>20</c:v>
                </c:pt>
                <c:pt idx="1">
                  <c:v>27</c:v>
                </c:pt>
                <c:pt idx="2">
                  <c:v>18</c:v>
                </c:pt>
                <c:pt idx="3">
                  <c:v>21</c:v>
                </c:pt>
              </c:numCache>
            </c:numRef>
          </c:val>
          <c:extLst>
            <c:ext xmlns:c16="http://schemas.microsoft.com/office/drawing/2014/chart" uri="{C3380CC4-5D6E-409C-BE32-E72D297353CC}">
              <c16:uniqueId val="{00000002-3387-473D-BA3F-DF403E45D5A1}"/>
            </c:ext>
          </c:extLst>
        </c:ser>
        <c:ser>
          <c:idx val="2"/>
          <c:order val="2"/>
          <c:tx>
            <c:strRef>
              <c:f>'[Stacked bar charts.xlsx]Stacked bar'!$E$7</c:f>
              <c:strCache>
                <c:ptCount val="1"/>
                <c:pt idx="0">
                  <c:v>Disagree</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'[Stacked bar charts.xlsx]Stacked bar'!$A$8:$A$11</c:f>
              <c:strCache>
                <c:ptCount val="4"/>
                <c:pt idx="0">
                  <c:v>All in all, I am satisfied with my life</c:v>
                </c:pt>
                <c:pt idx="1">
                  <c:v>Having had mental health problems has made me a stronger person</c:v>
                </c:pt>
                <c:pt idx="2">
                  <c:v>For the most part, I can live my life without mental health problems getting in the way</c:v>
                </c:pt>
                <c:pt idx="3">
                  <c:v>I feel I am living a fulfilling life</c:v>
                </c:pt>
              </c:strCache>
            </c:strRef>
          </c:cat>
          <c:val>
            <c:numRef>
              <c:f>'[Stacked bar charts.xlsx]Stacked bar'!$E$8:$E$11</c:f>
              <c:numCache>
                <c:formatCode>General</c:formatCode>
                <c:ptCount val="4"/>
                <c:pt idx="0">
                  <c:v>31</c:v>
                </c:pt>
                <c:pt idx="1">
                  <c:v>24</c:v>
                </c:pt>
                <c:pt idx="2">
                  <c:v>22</c:v>
                </c:pt>
                <c:pt idx="3">
                  <c:v>35</c:v>
                </c:pt>
              </c:numCache>
            </c:numRef>
          </c:val>
          <c:extLst>
            <c:ext xmlns:c16="http://schemas.microsoft.com/office/drawing/2014/chart" uri="{C3380CC4-5D6E-409C-BE32-E72D297353CC}">
              <c16:uniqueId val="{00000003-3387-473D-BA3F-DF403E45D5A1}"/>
            </c:ext>
          </c:extLst>
        </c:ser>
        <c:dLbls>
          <c:dLblPos val="ctr"/>
          <c:showLegendKey val="0"/>
          <c:showVal val="1"/>
          <c:showCatName val="0"/>
          <c:showSerName val="0"/>
          <c:showPercent val="0"/>
          <c:showBubbleSize val="0"/>
        </c:dLbls>
        <c:gapWidth val="40"/>
        <c:overlap val="100"/>
        <c:axId val="219492352"/>
        <c:axId val="219494272"/>
      </c:barChart>
      <c:catAx>
        <c:axId val="219492352"/>
        <c:scaling>
          <c:orientation val="maxMin"/>
        </c:scaling>
        <c:delete val="0"/>
        <c:axPos val="l"/>
        <c:numFmt formatCode="General"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219494272"/>
        <c:crosses val="autoZero"/>
        <c:auto val="1"/>
        <c:lblAlgn val="ctr"/>
        <c:lblOffset val="200"/>
        <c:noMultiLvlLbl val="0"/>
      </c:catAx>
      <c:valAx>
        <c:axId val="219494272"/>
        <c:scaling>
          <c:orientation val="minMax"/>
        </c:scaling>
        <c:delete val="0"/>
        <c:axPos val="t"/>
        <c:numFmt formatCode="0%" sourceLinked="1"/>
        <c:majorTickMark val="out"/>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9492352"/>
        <c:crosses val="autoZero"/>
        <c:crossBetween val="between"/>
        <c:majorUnit val="0.25"/>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000" b="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[Charts.xlsx]Anticipated!$C$4:$G$4</c:f>
              <c:strCache>
                <c:ptCount val="5"/>
                <c:pt idx="0">
                  <c:v>Concealed or hid mental health problem from others</c:v>
                </c:pt>
                <c:pt idx="1">
                  <c:v>Stopped self from having a close personal relationship</c:v>
                </c:pt>
                <c:pt idx="2">
                  <c:v>Stopped self from applying for work opportunities</c:v>
                </c:pt>
                <c:pt idx="3">
                  <c:v>Stopped self from applying for education or training courses</c:v>
                </c:pt>
                <c:pt idx="4">
                  <c:v>Stopped self from accessing healthcare</c:v>
                </c:pt>
              </c:strCache>
            </c:strRef>
          </c:cat>
          <c:val>
            <c:numRef>
              <c:f>[Charts.xlsx]Anticipated!$C$5:$G$5</c:f>
              <c:numCache>
                <c:formatCode>0%</c:formatCode>
                <c:ptCount val="5"/>
                <c:pt idx="0">
                  <c:v>0.78</c:v>
                </c:pt>
                <c:pt idx="1">
                  <c:v>0.57999999999999996</c:v>
                </c:pt>
                <c:pt idx="2">
                  <c:v>0.57999999999999996</c:v>
                </c:pt>
                <c:pt idx="3">
                  <c:v>0.48</c:v>
                </c:pt>
                <c:pt idx="4">
                  <c:v>0.42</c:v>
                </c:pt>
              </c:numCache>
            </c:numRef>
          </c:val>
          <c:extLst>
            <c:ext xmlns:c16="http://schemas.microsoft.com/office/drawing/2014/chart" uri="{C3380CC4-5D6E-409C-BE32-E72D297353CC}">
              <c16:uniqueId val="{00000000-C6C7-426A-95D4-4E6363D4A200}"/>
            </c:ext>
          </c:extLst>
        </c:ser>
        <c:dLbls>
          <c:dLblPos val="outEnd"/>
          <c:showLegendKey val="0"/>
          <c:showVal val="1"/>
          <c:showCatName val="0"/>
          <c:showSerName val="0"/>
          <c:showPercent val="0"/>
          <c:showBubbleSize val="0"/>
        </c:dLbls>
        <c:gapWidth val="182"/>
        <c:axId val="452653992"/>
        <c:axId val="452655960"/>
      </c:barChart>
      <c:catAx>
        <c:axId val="452653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2655960"/>
        <c:crosses val="autoZero"/>
        <c:auto val="1"/>
        <c:lblAlgn val="ctr"/>
        <c:lblOffset val="100"/>
        <c:noMultiLvlLbl val="0"/>
      </c:catAx>
      <c:valAx>
        <c:axId val="45265596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2653992"/>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985864927676992"/>
          <c:y val="8.6819258089976328E-2"/>
          <c:w val="0.46607756078948281"/>
          <c:h val="0.7397000789265982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'[Charts.xlsx]Private LD exp D'!$B$4:$E$4</c:f>
              <c:strCache>
                <c:ptCount val="4"/>
                <c:pt idx="0">
                  <c:v>By your family</c:v>
                </c:pt>
                <c:pt idx="1">
                  <c:v>By friends (including making friends and dating)</c:v>
                </c:pt>
                <c:pt idx="2">
                  <c:v>By your spouse or partner</c:v>
                </c:pt>
                <c:pt idx="3">
                  <c:v>By the people in your neighbourhood</c:v>
                </c:pt>
              </c:strCache>
            </c:strRef>
          </c:cat>
          <c:val>
            <c:numRef>
              <c:f>'[Charts.xlsx]Private LD exp D'!$B$5:$E$5</c:f>
              <c:numCache>
                <c:formatCode>0%</c:formatCode>
                <c:ptCount val="4"/>
                <c:pt idx="0">
                  <c:v>0.36</c:v>
                </c:pt>
                <c:pt idx="1">
                  <c:v>0.31</c:v>
                </c:pt>
                <c:pt idx="2">
                  <c:v>0.26</c:v>
                </c:pt>
                <c:pt idx="3">
                  <c:v>0.16</c:v>
                </c:pt>
              </c:numCache>
            </c:numRef>
          </c:val>
          <c:extLst>
            <c:ext xmlns:c16="http://schemas.microsoft.com/office/drawing/2014/chart" uri="{C3380CC4-5D6E-409C-BE32-E72D297353CC}">
              <c16:uniqueId val="{00000000-FEAA-49E7-AC3B-6F8ED69F42A8}"/>
            </c:ext>
          </c:extLst>
        </c:ser>
        <c:dLbls>
          <c:dLblPos val="outEnd"/>
          <c:showLegendKey val="0"/>
          <c:showVal val="1"/>
          <c:showCatName val="0"/>
          <c:showSerName val="0"/>
          <c:showPercent val="0"/>
          <c:showBubbleSize val="0"/>
        </c:dLbls>
        <c:gapWidth val="182"/>
        <c:axId val="449407480"/>
        <c:axId val="449410104"/>
      </c:barChart>
      <c:catAx>
        <c:axId val="4494074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00" b="0" i="0" u="none" strike="noStrike" kern="1200" baseline="0">
                <a:solidFill>
                  <a:sysClr val="windowText" lastClr="000000"/>
                </a:solidFill>
                <a:latin typeface="+mn-lt"/>
                <a:ea typeface="+mn-ea"/>
                <a:cs typeface="+mn-cs"/>
              </a:defRPr>
            </a:pPr>
            <a:endParaRPr lang="en-US"/>
          </a:p>
        </c:txPr>
        <c:crossAx val="449410104"/>
        <c:crosses val="autoZero"/>
        <c:auto val="1"/>
        <c:lblAlgn val="ctr"/>
        <c:lblOffset val="100"/>
        <c:noMultiLvlLbl val="0"/>
      </c:catAx>
      <c:valAx>
        <c:axId val="449410104"/>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9407480"/>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'[Charts.xlsx]Support person'!$A$1:$G$1</c:f>
              <c:strCache>
                <c:ptCount val="7"/>
                <c:pt idx="0">
                  <c:v>Family and friends who know about my support role have been understanding and supportive</c:v>
                </c:pt>
                <c:pt idx="1">
                  <c:v>I have been treated fairly by people who know about my support role</c:v>
                </c:pt>
                <c:pt idx="2">
                  <c:v>I feel my support role is valued by the person’s treating team</c:v>
                </c:pt>
                <c:pt idx="3">
                  <c:v>I have avoided telling people about my support role to avoid being judged</c:v>
                </c:pt>
                <c:pt idx="4">
                  <c:v>I have worried that people will view me unfavourably because of my support role</c:v>
                </c:pt>
                <c:pt idx="5">
                  <c:v>I have been treated unfavourably by people when they learned about my support role</c:v>
                </c:pt>
                <c:pt idx="6">
                  <c:v>I have been shunned or avoided by people who found out about my support role</c:v>
                </c:pt>
              </c:strCache>
            </c:strRef>
          </c:cat>
          <c:val>
            <c:numRef>
              <c:f>'[Charts.xlsx]Support person'!$A$2:$G$2</c:f>
              <c:numCache>
                <c:formatCode>0%</c:formatCode>
                <c:ptCount val="7"/>
                <c:pt idx="0">
                  <c:v>0.85200000000000009</c:v>
                </c:pt>
                <c:pt idx="1">
                  <c:v>0.81600000000000006</c:v>
                </c:pt>
                <c:pt idx="2">
                  <c:v>0.81400000000000006</c:v>
                </c:pt>
                <c:pt idx="3">
                  <c:v>0.46299999999999997</c:v>
                </c:pt>
                <c:pt idx="4">
                  <c:v>0.36299999999999999</c:v>
                </c:pt>
                <c:pt idx="5">
                  <c:v>0.35</c:v>
                </c:pt>
                <c:pt idx="6">
                  <c:v>0.29699999999999999</c:v>
                </c:pt>
              </c:numCache>
            </c:numRef>
          </c:val>
          <c:extLst>
            <c:ext xmlns:c16="http://schemas.microsoft.com/office/drawing/2014/chart" uri="{C3380CC4-5D6E-409C-BE32-E72D297353CC}">
              <c16:uniqueId val="{00000000-08C0-4E2B-B172-E49F48B84AB4}"/>
            </c:ext>
          </c:extLst>
        </c:ser>
        <c:dLbls>
          <c:showLegendKey val="0"/>
          <c:showVal val="0"/>
          <c:showCatName val="0"/>
          <c:showSerName val="0"/>
          <c:showPercent val="0"/>
          <c:showBubbleSize val="0"/>
        </c:dLbls>
        <c:gapWidth val="182"/>
        <c:axId val="449398624"/>
        <c:axId val="449402232"/>
      </c:barChart>
      <c:catAx>
        <c:axId val="449398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9402232"/>
        <c:crosses val="autoZero"/>
        <c:auto val="1"/>
        <c:lblAlgn val="ctr"/>
        <c:lblOffset val="100"/>
        <c:noMultiLvlLbl val="0"/>
      </c:catAx>
      <c:valAx>
        <c:axId val="449402232"/>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9398624"/>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[Charts.xlsx]Gender!$B$3</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[Charts.xlsx]Gender!$C$2:$J$2</c:f>
              <c:strCache>
                <c:ptCount val="8"/>
                <c:pt idx="0">
                  <c:v>Long term schizophrenia</c:v>
                </c:pt>
                <c:pt idx="1">
                  <c:v>Borderline personality disorder</c:v>
                </c:pt>
                <c:pt idx="2">
                  <c:v>Early Schizpohrenia</c:v>
                </c:pt>
                <c:pt idx="3">
                  <c:v>Bipolar disoder</c:v>
                </c:pt>
                <c:pt idx="4">
                  <c:v>Non-suicidal self harm</c:v>
                </c:pt>
                <c:pt idx="5">
                  <c:v>Depression</c:v>
                </c:pt>
                <c:pt idx="6">
                  <c:v>Eating disorder</c:v>
                </c:pt>
                <c:pt idx="7">
                  <c:v>Social phobia</c:v>
                </c:pt>
              </c:strCache>
            </c:strRef>
          </c:cat>
          <c:val>
            <c:numRef>
              <c:f>[Charts.xlsx]Gender!$C$3:$J$3</c:f>
              <c:numCache>
                <c:formatCode>0%</c:formatCode>
                <c:ptCount val="8"/>
                <c:pt idx="0">
                  <c:v>0.64800000000000002</c:v>
                </c:pt>
                <c:pt idx="1">
                  <c:v>0.61199999999999999</c:v>
                </c:pt>
                <c:pt idx="2">
                  <c:v>0.48399999999999999</c:v>
                </c:pt>
                <c:pt idx="3">
                  <c:v>0.41399999999999998</c:v>
                </c:pt>
                <c:pt idx="4">
                  <c:v>0.35299999999999998</c:v>
                </c:pt>
                <c:pt idx="5">
                  <c:v>0.30099999999999999</c:v>
                </c:pt>
                <c:pt idx="6">
                  <c:v>0.26100000000000001</c:v>
                </c:pt>
                <c:pt idx="7">
                  <c:v>0.16900000000000001</c:v>
                </c:pt>
              </c:numCache>
            </c:numRef>
          </c:val>
          <c:extLst>
            <c:ext xmlns:c16="http://schemas.microsoft.com/office/drawing/2014/chart" uri="{C3380CC4-5D6E-409C-BE32-E72D297353CC}">
              <c16:uniqueId val="{00000000-50CA-4D98-A346-93DC58B4330B}"/>
            </c:ext>
          </c:extLst>
        </c:ser>
        <c:ser>
          <c:idx val="1"/>
          <c:order val="1"/>
          <c:tx>
            <c:strRef>
              <c:f>[Charts.xlsx]Gender!$B$4</c:f>
              <c:strCache>
                <c:ptCount val="1"/>
                <c:pt idx="0">
                  <c:v>Female</c:v>
                </c:pt>
              </c:strCache>
            </c:strRef>
          </c:tx>
          <c:spPr>
            <a:solidFill>
              <a:schemeClr val="accent2"/>
            </a:solidFill>
            <a:ln>
              <a:noFill/>
            </a:ln>
            <a:effectLst/>
          </c:spPr>
          <c:invertIfNegative val="0"/>
          <c:dLbls>
            <c:dLbl>
              <c:idx val="0"/>
              <c:layout>
                <c:manualLayout>
                  <c:x val="-4.2735042735042739E-3"/>
                  <c:y val="-7.604562737642585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0CA-4D98-A346-93DC58B4330B}"/>
                </c:ext>
              </c:extLst>
            </c:dLbl>
            <c:dLbl>
              <c:idx val="1"/>
              <c:layout>
                <c:manualLayout>
                  <c:x val="2.136752136752137E-3"/>
                  <c:y val="-1.52091254752853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0CA-4D98-A346-93DC58B4330B}"/>
                </c:ext>
              </c:extLst>
            </c:dLbl>
            <c:dLbl>
              <c:idx val="2"/>
              <c:layout>
                <c:manualLayout>
                  <c:x val="0"/>
                  <c:y val="-1.14068441064638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0CA-4D98-A346-93DC58B4330B}"/>
                </c:ext>
              </c:extLst>
            </c:dLbl>
            <c:dLbl>
              <c:idx val="3"/>
              <c:layout>
                <c:manualLayout>
                  <c:x val="7.8346673280123027E-17"/>
                  <c:y val="-7.604562737642585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0CA-4D98-A346-93DC58B4330B}"/>
                </c:ext>
              </c:extLst>
            </c:dLbl>
            <c:dLbl>
              <c:idx val="4"/>
              <c:layout>
                <c:manualLayout>
                  <c:x val="2.136752136752137E-3"/>
                  <c:y val="-1.14068441064638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0CA-4D98-A346-93DC58B4330B}"/>
                </c:ext>
              </c:extLst>
            </c:dLbl>
            <c:dLbl>
              <c:idx val="5"/>
              <c:layout>
                <c:manualLayout>
                  <c:x val="0"/>
                  <c:y val="-3.802281368821327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0CA-4D98-A346-93DC58B4330B}"/>
                </c:ext>
              </c:extLst>
            </c:dLbl>
            <c:dLbl>
              <c:idx val="6"/>
              <c:layout>
                <c:manualLayout>
                  <c:x val="-2.136752136752137E-3"/>
                  <c:y val="-7.604562737642585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0CA-4D98-A346-93DC58B4330B}"/>
                </c:ext>
              </c:extLst>
            </c:dLbl>
            <c:dLbl>
              <c:idx val="7"/>
              <c:layout>
                <c:manualLayout>
                  <c:x val="-2.136752136752137E-3"/>
                  <c:y val="-1.140684410646387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0CA-4D98-A346-93DC58B433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[Charts.xlsx]Gender!$C$2:$J$2</c:f>
              <c:strCache>
                <c:ptCount val="8"/>
                <c:pt idx="0">
                  <c:v>Long term schizophrenia</c:v>
                </c:pt>
                <c:pt idx="1">
                  <c:v>Borderline personality disorder</c:v>
                </c:pt>
                <c:pt idx="2">
                  <c:v>Early Schizpohrenia</c:v>
                </c:pt>
                <c:pt idx="3">
                  <c:v>Bipolar disoder</c:v>
                </c:pt>
                <c:pt idx="4">
                  <c:v>Non-suicidal self harm</c:v>
                </c:pt>
                <c:pt idx="5">
                  <c:v>Depression</c:v>
                </c:pt>
                <c:pt idx="6">
                  <c:v>Eating disorder</c:v>
                </c:pt>
                <c:pt idx="7">
                  <c:v>Social phobia</c:v>
                </c:pt>
              </c:strCache>
            </c:strRef>
          </c:cat>
          <c:val>
            <c:numRef>
              <c:f>[Charts.xlsx]Gender!$C$4:$J$4</c:f>
              <c:numCache>
                <c:formatCode>0%</c:formatCode>
                <c:ptCount val="8"/>
                <c:pt idx="0">
                  <c:v>0.58699999999999997</c:v>
                </c:pt>
                <c:pt idx="1">
                  <c:v>0.56899999999999995</c:v>
                </c:pt>
                <c:pt idx="2">
                  <c:v>0.42199999999999999</c:v>
                </c:pt>
                <c:pt idx="3">
                  <c:v>0.39300000000000002</c:v>
                </c:pt>
                <c:pt idx="4">
                  <c:v>0.29499999999999998</c:v>
                </c:pt>
                <c:pt idx="5">
                  <c:v>0.19600000000000001</c:v>
                </c:pt>
                <c:pt idx="6">
                  <c:v>0.192</c:v>
                </c:pt>
                <c:pt idx="7">
                  <c:v>0.112</c:v>
                </c:pt>
              </c:numCache>
            </c:numRef>
          </c:val>
          <c:extLst>
            <c:ext xmlns:c16="http://schemas.microsoft.com/office/drawing/2014/chart" uri="{C3380CC4-5D6E-409C-BE32-E72D297353CC}">
              <c16:uniqueId val="{00000001-50CA-4D98-A346-93DC58B4330B}"/>
            </c:ext>
          </c:extLst>
        </c:ser>
        <c:dLbls>
          <c:dLblPos val="outEnd"/>
          <c:showLegendKey val="0"/>
          <c:showVal val="1"/>
          <c:showCatName val="0"/>
          <c:showSerName val="0"/>
          <c:showPercent val="0"/>
          <c:showBubbleSize val="0"/>
        </c:dLbls>
        <c:gapWidth val="219"/>
        <c:axId val="209824168"/>
        <c:axId val="209820560"/>
      </c:barChart>
      <c:catAx>
        <c:axId val="209824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820560"/>
        <c:crosses val="autoZero"/>
        <c:auto val="1"/>
        <c:lblAlgn val="ctr"/>
        <c:lblOffset val="100"/>
        <c:noMultiLvlLbl val="0"/>
      </c:catAx>
      <c:valAx>
        <c:axId val="20982056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9824168"/>
        <c:crosses val="autoZero"/>
        <c:crossBetween val="between"/>
        <c:majorUnit val="0.2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[Charts.xlsx]Age!$B$3</c:f>
              <c:strCache>
                <c:ptCount val="1"/>
                <c:pt idx="0">
                  <c:v>This problem is a sign of personal weakness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[Charts.xlsx]Age!$A$4:$A$7</c:f>
              <c:strCache>
                <c:ptCount val="4"/>
                <c:pt idx="0">
                  <c:v>18-24</c:v>
                </c:pt>
                <c:pt idx="1">
                  <c:v>25-44</c:v>
                </c:pt>
                <c:pt idx="2">
                  <c:v>45-64</c:v>
                </c:pt>
                <c:pt idx="3">
                  <c:v>65+</c:v>
                </c:pt>
              </c:strCache>
            </c:strRef>
          </c:cat>
          <c:val>
            <c:numRef>
              <c:f>[Charts.xlsx]Age!$B$4:$B$7</c:f>
              <c:numCache>
                <c:formatCode>0%</c:formatCode>
                <c:ptCount val="4"/>
                <c:pt idx="0">
                  <c:v>0.1462</c:v>
                </c:pt>
                <c:pt idx="1">
                  <c:v>0.13550000000000001</c:v>
                </c:pt>
                <c:pt idx="2">
                  <c:v>5.8799999999999998E-2</c:v>
                </c:pt>
                <c:pt idx="3">
                  <c:v>6.0300000000000006E-2</c:v>
                </c:pt>
              </c:numCache>
            </c:numRef>
          </c:val>
          <c:extLst>
            <c:ext xmlns:c16="http://schemas.microsoft.com/office/drawing/2014/chart" uri="{C3380CC4-5D6E-409C-BE32-E72D297353CC}">
              <c16:uniqueId val="{00000000-2110-4228-BBED-EB85AF43EAF5}"/>
            </c:ext>
          </c:extLst>
        </c:ser>
        <c:dLbls>
          <c:dLblPos val="outEnd"/>
          <c:showLegendKey val="0"/>
          <c:showVal val="1"/>
          <c:showCatName val="0"/>
          <c:showSerName val="0"/>
          <c:showPercent val="0"/>
          <c:showBubbleSize val="0"/>
        </c:dLbls>
        <c:gapWidth val="219"/>
        <c:overlap val="-27"/>
        <c:axId val="494113696"/>
        <c:axId val="494110744"/>
      </c:barChart>
      <c:catAx>
        <c:axId val="49411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4110744"/>
        <c:crosses val="autoZero"/>
        <c:auto val="1"/>
        <c:lblAlgn val="ctr"/>
        <c:lblOffset val="100"/>
        <c:noMultiLvlLbl val="0"/>
      </c:catAx>
      <c:valAx>
        <c:axId val="4941107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411369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[Charts.xlsx]CALD!$B$1</c:f>
              <c:strCache>
                <c:ptCount val="1"/>
                <c:pt idx="0">
                  <c:v>This problem is a sign of personal weakness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[Charts.xlsx]CALD!$A$2:$A$3</c:f>
              <c:strCache>
                <c:ptCount val="2"/>
                <c:pt idx="0">
                  <c:v>CALD</c:v>
                </c:pt>
                <c:pt idx="1">
                  <c:v>Not CALD</c:v>
                </c:pt>
              </c:strCache>
            </c:strRef>
          </c:cat>
          <c:val>
            <c:numRef>
              <c:f>[Charts.xlsx]CALD!$B$2:$B$3</c:f>
              <c:numCache>
                <c:formatCode>0%</c:formatCode>
                <c:ptCount val="2"/>
                <c:pt idx="0">
                  <c:v>0.2</c:v>
                </c:pt>
                <c:pt idx="1">
                  <c:v>0.06</c:v>
                </c:pt>
              </c:numCache>
            </c:numRef>
          </c:val>
          <c:extLst>
            <c:ext xmlns:c16="http://schemas.microsoft.com/office/drawing/2014/chart" uri="{C3380CC4-5D6E-409C-BE32-E72D297353CC}">
              <c16:uniqueId val="{00000000-BD9C-4EBF-8ABC-C5E73DEF76E6}"/>
            </c:ext>
          </c:extLst>
        </c:ser>
        <c:dLbls>
          <c:dLblPos val="outEnd"/>
          <c:showLegendKey val="0"/>
          <c:showVal val="1"/>
          <c:showCatName val="0"/>
          <c:showSerName val="0"/>
          <c:showPercent val="0"/>
          <c:showBubbleSize val="0"/>
        </c:dLbls>
        <c:gapWidth val="219"/>
        <c:overlap val="-27"/>
        <c:axId val="576169752"/>
        <c:axId val="576164832"/>
      </c:barChart>
      <c:catAx>
        <c:axId val="576169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6164832"/>
        <c:crosses val="autoZero"/>
        <c:auto val="1"/>
        <c:lblAlgn val="ctr"/>
        <c:lblOffset val="100"/>
        <c:noMultiLvlLbl val="0"/>
      </c:catAx>
      <c:valAx>
        <c:axId val="576164832"/>
        <c:scaling>
          <c:orientation val="minMax"/>
          <c:max val="0.2"/>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6169752"/>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'[Charts.xlsx]MH Condition'!$A$1:$A$12</c:f>
              <c:strCache>
                <c:ptCount val="12"/>
                <c:pt idx="0">
                  <c:v>Stress</c:v>
                </c:pt>
                <c:pt idx="1">
                  <c:v>Anxiety</c:v>
                </c:pt>
                <c:pt idx="2">
                  <c:v>Depression</c:v>
                </c:pt>
                <c:pt idx="3">
                  <c:v>Attempted suicide</c:v>
                </c:pt>
                <c:pt idx="4">
                  <c:v>OCD</c:v>
                </c:pt>
                <c:pt idx="5">
                  <c:v>Bipolar</c:v>
                </c:pt>
                <c:pt idx="6">
                  <c:v>Eating disorder</c:v>
                </c:pt>
                <c:pt idx="7">
                  <c:v>Trauma</c:v>
                </c:pt>
                <c:pt idx="8">
                  <c:v>Addiction</c:v>
                </c:pt>
                <c:pt idx="9">
                  <c:v>Self-harm</c:v>
                </c:pt>
                <c:pt idx="10">
                  <c:v>Personality disorder</c:v>
                </c:pt>
                <c:pt idx="11">
                  <c:v>Schizophrenia</c:v>
                </c:pt>
              </c:strCache>
            </c:strRef>
          </c:cat>
          <c:val>
            <c:numRef>
              <c:f>'[Charts.xlsx]MH Condition'!$B$1:$B$12</c:f>
              <c:numCache>
                <c:formatCode>0%</c:formatCode>
                <c:ptCount val="12"/>
                <c:pt idx="0">
                  <c:v>0.64</c:v>
                </c:pt>
                <c:pt idx="1">
                  <c:v>0.66</c:v>
                </c:pt>
                <c:pt idx="2">
                  <c:v>0.69</c:v>
                </c:pt>
                <c:pt idx="3">
                  <c:v>0.74</c:v>
                </c:pt>
                <c:pt idx="4">
                  <c:v>0.74</c:v>
                </c:pt>
                <c:pt idx="5">
                  <c:v>0.76</c:v>
                </c:pt>
                <c:pt idx="6">
                  <c:v>0.77</c:v>
                </c:pt>
                <c:pt idx="7">
                  <c:v>0.77</c:v>
                </c:pt>
                <c:pt idx="8">
                  <c:v>0.78</c:v>
                </c:pt>
                <c:pt idx="9">
                  <c:v>0.8</c:v>
                </c:pt>
                <c:pt idx="10">
                  <c:v>0.87</c:v>
                </c:pt>
                <c:pt idx="11">
                  <c:v>0.89</c:v>
                </c:pt>
              </c:numCache>
            </c:numRef>
          </c:val>
          <c:extLst>
            <c:ext xmlns:c16="http://schemas.microsoft.com/office/drawing/2014/chart" uri="{C3380CC4-5D6E-409C-BE32-E72D297353CC}">
              <c16:uniqueId val="{00000000-0F76-4C05-A6FA-A20633AC0D31}"/>
            </c:ext>
          </c:extLst>
        </c:ser>
        <c:dLbls>
          <c:dLblPos val="outEnd"/>
          <c:showLegendKey val="0"/>
          <c:showVal val="1"/>
          <c:showCatName val="0"/>
          <c:showSerName val="0"/>
          <c:showPercent val="0"/>
          <c:showBubbleSize val="0"/>
        </c:dLbls>
        <c:gapWidth val="219"/>
        <c:axId val="394929792"/>
        <c:axId val="394930120"/>
      </c:barChart>
      <c:catAx>
        <c:axId val="394929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4930120"/>
        <c:crosses val="autoZero"/>
        <c:auto val="1"/>
        <c:lblAlgn val="ctr"/>
        <c:lblOffset val="100"/>
        <c:noMultiLvlLbl val="0"/>
      </c:catAx>
      <c:valAx>
        <c:axId val="39493012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4929792"/>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[Charts.xlsx]LGBTI!$A$2:$A$3</c:f>
              <c:strCache>
                <c:ptCount val="2"/>
                <c:pt idx="0">
                  <c:v>LGBTQIA+</c:v>
                </c:pt>
                <c:pt idx="1">
                  <c:v>All others</c:v>
                </c:pt>
              </c:strCache>
            </c:strRef>
          </c:cat>
          <c:val>
            <c:numRef>
              <c:f>[Charts.xlsx]LGBTI!$B$2:$B$3</c:f>
              <c:numCache>
                <c:formatCode>0%</c:formatCode>
                <c:ptCount val="2"/>
                <c:pt idx="0">
                  <c:v>0.72</c:v>
                </c:pt>
                <c:pt idx="1">
                  <c:v>0.62</c:v>
                </c:pt>
              </c:numCache>
            </c:numRef>
          </c:val>
          <c:extLst>
            <c:ext xmlns:c16="http://schemas.microsoft.com/office/drawing/2014/chart" uri="{C3380CC4-5D6E-409C-BE32-E72D297353CC}">
              <c16:uniqueId val="{00000000-BA8D-43F8-ACED-34FBAD62DDE1}"/>
            </c:ext>
          </c:extLst>
        </c:ser>
        <c:dLbls>
          <c:dLblPos val="outEnd"/>
          <c:showLegendKey val="0"/>
          <c:showVal val="1"/>
          <c:showCatName val="0"/>
          <c:showSerName val="0"/>
          <c:showPercent val="0"/>
          <c:showBubbleSize val="0"/>
        </c:dLbls>
        <c:gapWidth val="219"/>
        <c:overlap val="-27"/>
        <c:axId val="576147448"/>
        <c:axId val="576147120"/>
      </c:barChart>
      <c:catAx>
        <c:axId val="57614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6147120"/>
        <c:crosses val="autoZero"/>
        <c:auto val="1"/>
        <c:lblAlgn val="ctr"/>
        <c:lblOffset val="100"/>
        <c:noMultiLvlLbl val="0"/>
      </c:catAx>
      <c:valAx>
        <c:axId val="576147120"/>
        <c:scaling>
          <c:orientation val="minMax"/>
          <c:max val="0.75000000000000011"/>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6147448"/>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Sheet1!$H$8:$K$8</c:f>
              <c:strCache>
                <c:ptCount val="4"/>
                <c:pt idx="0">
                  <c:v>18-24</c:v>
                </c:pt>
                <c:pt idx="1">
                  <c:v>24-44</c:v>
                </c:pt>
                <c:pt idx="2">
                  <c:v>45-64</c:v>
                </c:pt>
                <c:pt idx="3">
                  <c:v>65+</c:v>
                </c:pt>
              </c:strCache>
            </c:strRef>
          </c:cat>
          <c:val>
            <c:numRef>
              <c:f>Sheet1!$H$9:$K$9</c:f>
              <c:numCache>
                <c:formatCode>0%</c:formatCode>
                <c:ptCount val="4"/>
                <c:pt idx="0">
                  <c:v>0.79</c:v>
                </c:pt>
                <c:pt idx="1">
                  <c:v>0.66</c:v>
                </c:pt>
                <c:pt idx="2">
                  <c:v>0.6</c:v>
                </c:pt>
                <c:pt idx="3">
                  <c:v>0.44</c:v>
                </c:pt>
              </c:numCache>
            </c:numRef>
          </c:val>
          <c:extLst>
            <c:ext xmlns:c16="http://schemas.microsoft.com/office/drawing/2014/chart" uri="{C3380CC4-5D6E-409C-BE32-E72D297353CC}">
              <c16:uniqueId val="{00000000-FE6D-457E-832E-95075146EF58}"/>
            </c:ext>
          </c:extLst>
        </c:ser>
        <c:dLbls>
          <c:dLblPos val="outEnd"/>
          <c:showLegendKey val="0"/>
          <c:showVal val="1"/>
          <c:showCatName val="0"/>
          <c:showSerName val="0"/>
          <c:showPercent val="0"/>
          <c:showBubbleSize val="0"/>
        </c:dLbls>
        <c:gapWidth val="219"/>
        <c:overlap val="-27"/>
        <c:axId val="227128704"/>
        <c:axId val="454930176"/>
      </c:barChart>
      <c:catAx>
        <c:axId val="22712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4930176"/>
        <c:crosses val="autoZero"/>
        <c:auto val="1"/>
        <c:lblAlgn val="ctr"/>
        <c:lblOffset val="100"/>
        <c:noMultiLvlLbl val="0"/>
      </c:catAx>
      <c:valAx>
        <c:axId val="4549301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7128704"/>
        <c:crosses val="autoZero"/>
        <c:crossBetween val="between"/>
        <c:majorUnit val="0.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0.86161</cdr:x>
      <cdr:y>0.46785</cdr:y>
    </cdr:from>
    <cdr:to>
      <cdr:x>0.98048</cdr:x>
      <cdr:y>0.50723</cdr:y>
    </cdr:to>
    <cdr:sp macro="" textlink="">
      <cdr:nvSpPr>
        <cdr:cNvPr id="2" name="Text Box 2"/>
        <cdr:cNvSpPr txBox="1">
          <a:spLocks xmlns:a="http://schemas.openxmlformats.org/drawingml/2006/main" noChangeArrowheads="1"/>
        </cdr:cNvSpPr>
      </cdr:nvSpPr>
      <cdr:spPr bwMode="auto">
        <a:xfrm xmlns:a="http://schemas.openxmlformats.org/drawingml/2006/main">
          <a:off x="5017135" y="3695700"/>
          <a:ext cx="692150" cy="3111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ts val="1400"/>
            </a:lnSpc>
            <a:spcAft>
              <a:spcPts val="800"/>
            </a:spcAft>
          </a:pPr>
          <a:r>
            <a:rPr lang="en-AU" sz="900" u="none">
              <a:solidFill>
                <a:schemeClr val="tx1"/>
              </a:solidFill>
              <a:effectLst/>
              <a:latin typeface="Helvetica" panose="020B0604020202020204" pitchFamily="34" charset="0"/>
              <a:ea typeface="Times New Roman" panose="02020603050405020304" pitchFamily="18" charset="0"/>
              <a:cs typeface="Times New Roman" panose="02020603050405020304" pitchFamily="18" charset="0"/>
            </a:rPr>
            <a:t>Disagree</a:t>
          </a:r>
          <a:endParaRPr lang="en-AU" sz="1000" u="none">
            <a:solidFill>
              <a:schemeClr val="tx1"/>
            </a:solidFill>
            <a:effectLst/>
            <a:latin typeface="Helvetica"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0.96292</cdr:x>
      <cdr:y>0.49437</cdr:y>
    </cdr:from>
    <cdr:to>
      <cdr:x>0.96292</cdr:x>
      <cdr:y>0.95016</cdr:y>
    </cdr:to>
    <cdr:cxnSp macro="">
      <cdr:nvCxnSpPr>
        <cdr:cNvPr id="4" name="Straight Connector 3" descr="Rectangle - decorative "/>
        <cdr:cNvCxnSpPr/>
      </cdr:nvCxnSpPr>
      <cdr:spPr>
        <a:xfrm xmlns:a="http://schemas.openxmlformats.org/drawingml/2006/main">
          <a:off x="5607050" y="3905250"/>
          <a:ext cx="0" cy="3600450"/>
        </a:xfrm>
        <a:prstGeom xmlns:a="http://schemas.openxmlformats.org/drawingml/2006/main" prst="line">
          <a:avLst/>
        </a:prstGeom>
        <a:ln xmlns:a="http://schemas.openxmlformats.org/drawingml/2006/main" w="31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ustom 5">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117479"/>
      </a:hlink>
      <a:folHlink>
        <a:srgbClr val="4C255E"/>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DOC22-300740</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PMCdoc-213507164-64504</_dlc_DocId>
    <_dlc_DocIdUrl xmlns="d0dfa800-9ef0-44cb-8a12-633e29de1e0b">
      <Url>https://pmc01.sharepoint.com/sites/pmc-ms-cb/_layouts/15/DocIdRedir.aspx?ID=PMCdoc-213507164-64504</Url>
      <Description>PMCdoc-213507164-64504</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A70D3-74E8-4598-91D0-C263FC36A963}">
  <ds:schemaRefs>
    <ds:schemaRef ds:uri="http://schemas.microsoft.com/sharepoint/v3/contenttype/forms"/>
  </ds:schemaRefs>
</ds:datastoreItem>
</file>

<file path=customXml/itemProps2.xml><?xml version="1.0" encoding="utf-8"?>
<ds:datastoreItem xmlns:ds="http://schemas.openxmlformats.org/officeDocument/2006/customXml" ds:itemID="{6916A2D3-B881-4DDF-B5D6-D12B1F02E1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8FE6B31B-8D60-4070-A660-FAE92269F603}"/>
</file>

<file path=customXml/itemProps4.xml><?xml version="1.0" encoding="utf-8"?>
<ds:datastoreItem xmlns:ds="http://schemas.openxmlformats.org/officeDocument/2006/customXml" ds:itemID="{C1D87E9D-297B-4D58-B47B-45E3EA566C07}">
  <ds:schemaRefs>
    <ds:schemaRef ds:uri="http://schemas.openxmlformats.org/officeDocument/2006/bibliography"/>
  </ds:schemaRefs>
</ds:datastoreItem>
</file>

<file path=customXml/itemProps5.xml><?xml version="1.0" encoding="utf-8"?>
<ds:datastoreItem xmlns:ds="http://schemas.openxmlformats.org/officeDocument/2006/customXml" ds:itemID="{68098930-87CF-4A74-A782-2278ADCB8923}"/>
</file>

<file path=docProps/app.xml><?xml version="1.0" encoding="utf-8"?>
<Properties xmlns="http://schemas.openxmlformats.org/officeDocument/2006/extended-properties" xmlns:vt="http://schemas.openxmlformats.org/officeDocument/2006/docPropsVTypes">
  <Template>Normal.dotm</Template>
  <TotalTime>0</TotalTime>
  <Pages>39</Pages>
  <Words>9275</Words>
  <Characters>52224</Characters>
  <Application>Microsoft Office Word</Application>
  <DocSecurity>4</DocSecurity>
  <Lines>1065</Lines>
  <Paragraphs>602</Paragraphs>
  <ScaleCrop>false</ScaleCrop>
  <HeadingPairs>
    <vt:vector size="2" baseType="variant">
      <vt:variant>
        <vt:lpstr>Title</vt:lpstr>
      </vt:variant>
      <vt:variant>
        <vt:i4>1</vt:i4>
      </vt:variant>
    </vt:vector>
  </HeadingPairs>
  <TitlesOfParts>
    <vt:vector size="1" baseType="lpstr">
      <vt:lpstr>National Survey of Mental Health Stigma and Discrimination</vt:lpstr>
    </vt:vector>
  </TitlesOfParts>
  <Company/>
  <LinksUpToDate>false</LinksUpToDate>
  <CharactersWithSpaces>60897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Mental Health Stigma and Discrimination</dc:title>
  <dc:subject/>
  <dc:creator/>
  <cp:keywords/>
  <dc:description/>
  <cp:lastModifiedBy/>
  <cp:revision>1</cp:revision>
  <dcterms:created xsi:type="dcterms:W3CDTF">2022-11-01T05:32:00Z</dcterms:created>
  <dcterms:modified xsi:type="dcterms:W3CDTF">2022-11-01T05:32:00Z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ESearchTags">
    <vt:lpwstr>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2022-11-01T16:44:52</vt:lpwstr>
  </property>
  <property fmtid="{D5CDD505-2E9C-101B-9397-08002B2CF9AE}" pid="7" name="SecurityClassification">
    <vt:i4>1</vt:i4>
  </property>
  <property fmtid="{D5CDD505-2E9C-101B-9397-08002B2CF9AE}" pid="8" name="_dlc_DocIdItemGuid">
    <vt:lpwstr>1c76df7c-ead0-4a0d-af02-6c33e05c7db2</vt:lpwstr>
  </property>
</Properties>
</file>