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9FEC7" w14:textId="58BC3405" w:rsidR="008253C4" w:rsidRDefault="00960D38" w:rsidP="00087D4E">
      <w:pPr>
        <w:sectPr w:rsidR="008253C4" w:rsidSect="00A55A93">
          <w:headerReference w:type="first" r:id="rId11"/>
          <w:footerReference w:type="first" r:id="rId12"/>
          <w:pgSz w:w="11906" w:h="16838" w:code="9"/>
          <w:pgMar w:top="2126" w:right="720" w:bottom="567" w:left="720" w:header="567" w:footer="567" w:gutter="0"/>
          <w:pgNumType w:start="0"/>
          <w:cols w:space="708"/>
          <w:titlePg/>
          <w:docGrid w:linePitch="360"/>
        </w:sectPr>
      </w:pPr>
      <w:bookmarkStart w:id="0" w:name="_Toc432437392"/>
      <w:r>
        <w:rPr>
          <w:noProof/>
        </w:rPr>
        <mc:AlternateContent>
          <mc:Choice Requires="wps">
            <w:drawing>
              <wp:anchor distT="45720" distB="45720" distL="114300" distR="114300" simplePos="0" relativeHeight="251659264" behindDoc="0" locked="0" layoutInCell="1" allowOverlap="1" wp14:anchorId="0DA92C02" wp14:editId="4520D657">
                <wp:simplePos x="0" y="0"/>
                <wp:positionH relativeFrom="column">
                  <wp:posOffset>1755140</wp:posOffset>
                </wp:positionH>
                <wp:positionV relativeFrom="paragraph">
                  <wp:posOffset>5829300</wp:posOffset>
                </wp:positionV>
                <wp:extent cx="4925695" cy="2138680"/>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2138680"/>
                        </a:xfrm>
                        <a:prstGeom prst="rect">
                          <a:avLst/>
                        </a:prstGeom>
                        <a:solidFill>
                          <a:srgbClr val="FFFFFF"/>
                        </a:solidFill>
                        <a:ln w="9525">
                          <a:noFill/>
                          <a:miter lim="800000"/>
                          <a:headEnd/>
                          <a:tailEnd/>
                        </a:ln>
                      </wps:spPr>
                      <wps:txbx>
                        <w:txbxContent>
                          <w:p w14:paraId="1549EBFC" w14:textId="77777777" w:rsidR="00286B62" w:rsidRPr="00D06831" w:rsidRDefault="00286B62" w:rsidP="00F00E6E">
                            <w:pPr>
                              <w:pStyle w:val="Title"/>
                              <w:spacing w:after="116"/>
                            </w:pPr>
                            <w:r>
                              <w:t xml:space="preserve">Nudge </w:t>
                            </w:r>
                            <w:r w:rsidRPr="00D06831">
                              <w:t xml:space="preserve">vs </w:t>
                            </w:r>
                            <w:r w:rsidRPr="009A5B22">
                              <w:t>Superbugs</w:t>
                            </w:r>
                            <w:r w:rsidRPr="00D06831">
                              <w:t xml:space="preserve"> </w:t>
                            </w:r>
                          </w:p>
                          <w:p w14:paraId="7A8ADC65" w14:textId="77777777" w:rsidR="00286B62" w:rsidRDefault="00286B62" w:rsidP="00F00E6E">
                            <w:pPr>
                              <w:pStyle w:val="Subtitle"/>
                              <w:jc w:val="right"/>
                            </w:pPr>
                          </w:p>
                          <w:p w14:paraId="07590221" w14:textId="7F7304C4" w:rsidR="00286B62" w:rsidRPr="00F00E6E" w:rsidRDefault="00286B62" w:rsidP="00F00E6E">
                            <w:pPr>
                              <w:pStyle w:val="Subtitle"/>
                              <w:rPr>
                                <w:sz w:val="36"/>
                                <w:szCs w:val="36"/>
                              </w:rPr>
                            </w:pPr>
                            <w:bookmarkStart w:id="1" w:name="_GoBack"/>
                            <w:r w:rsidRPr="00F00E6E">
                              <w:rPr>
                                <w:sz w:val="36"/>
                                <w:szCs w:val="36"/>
                              </w:rPr>
                              <w:t xml:space="preserve">A behavioural economics trial </w:t>
                            </w:r>
                          </w:p>
                          <w:p w14:paraId="4FEED041" w14:textId="410DF01B" w:rsidR="00286B62" w:rsidRPr="00F00E6E" w:rsidRDefault="00286B62" w:rsidP="00F00E6E">
                            <w:pPr>
                              <w:pStyle w:val="Subtitle"/>
                              <w:rPr>
                                <w:sz w:val="36"/>
                                <w:szCs w:val="36"/>
                              </w:rPr>
                            </w:pPr>
                            <w:r w:rsidRPr="00F00E6E">
                              <w:rPr>
                                <w:sz w:val="36"/>
                                <w:szCs w:val="36"/>
                              </w:rPr>
                              <w:t>to reduce the overprescribing of antibiotics</w:t>
                            </w:r>
                          </w:p>
                          <w:bookmarkEnd w:id="1"/>
                          <w:p w14:paraId="4EC11F8A" w14:textId="48FD0BF1" w:rsidR="00286B62" w:rsidRDefault="00286B62" w:rsidP="00F00E6E">
                            <w:pPr>
                              <w:pStyle w:val="Subtitle"/>
                            </w:pPr>
                          </w:p>
                          <w:p w14:paraId="2EBFF365" w14:textId="3D4422F7" w:rsidR="00286B62" w:rsidRPr="00F00E6E" w:rsidRDefault="00286B62" w:rsidP="00F00E6E">
                            <w:pPr>
                              <w:pStyle w:val="Subtitle"/>
                              <w:rPr>
                                <w:b/>
                                <w:sz w:val="28"/>
                                <w:szCs w:val="28"/>
                              </w:rPr>
                            </w:pPr>
                            <w:r w:rsidRPr="00F00E6E">
                              <w:rPr>
                                <w:b/>
                                <w:sz w:val="28"/>
                                <w:szCs w:val="28"/>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92C02" id="_x0000_t202" coordsize="21600,21600" o:spt="202" path="m,l,21600r21600,l21600,xe">
                <v:stroke joinstyle="miter"/>
                <v:path gradientshapeok="t" o:connecttype="rect"/>
              </v:shapetype>
              <v:shape id="Text Box 2" o:spid="_x0000_s1026" type="#_x0000_t202" style="position:absolute;margin-left:138.2pt;margin-top:459pt;width:387.85pt;height:16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" stroked="f">
                <v:textbox>
                  <w:txbxContent>
                    <w:p w14:paraId="1549EBFC" w14:textId="77777777" w:rsidR="00286B62" w:rsidRPr="00D06831" w:rsidRDefault="00286B62" w:rsidP="00F00E6E">
                      <w:pPr>
                        <w:pStyle w:val="Title"/>
                        <w:spacing w:after="116"/>
                      </w:pPr>
                      <w:r>
                        <w:t xml:space="preserve">Nudge </w:t>
                      </w:r>
                      <w:r w:rsidRPr="00D06831">
                        <w:t xml:space="preserve">vs </w:t>
                      </w:r>
                      <w:r w:rsidRPr="009A5B22">
                        <w:t>Superbugs</w:t>
                      </w:r>
                      <w:r w:rsidRPr="00D06831">
                        <w:t xml:space="preserve"> </w:t>
                      </w:r>
                    </w:p>
                    <w:p w14:paraId="7A8ADC65" w14:textId="77777777" w:rsidR="00286B62" w:rsidRDefault="00286B62" w:rsidP="00F00E6E">
                      <w:pPr>
                        <w:pStyle w:val="Subtitle"/>
                        <w:jc w:val="right"/>
                      </w:pPr>
                    </w:p>
                    <w:p w14:paraId="07590221" w14:textId="7F7304C4" w:rsidR="00286B62" w:rsidRPr="00F00E6E" w:rsidRDefault="00286B62" w:rsidP="00F00E6E">
                      <w:pPr>
                        <w:pStyle w:val="Subtitle"/>
                        <w:rPr>
                          <w:sz w:val="36"/>
                          <w:szCs w:val="36"/>
                        </w:rPr>
                      </w:pPr>
                      <w:bookmarkStart w:id="2" w:name="_GoBack"/>
                      <w:r w:rsidRPr="00F00E6E">
                        <w:rPr>
                          <w:sz w:val="36"/>
                          <w:szCs w:val="36"/>
                        </w:rPr>
                        <w:t xml:space="preserve">A behavioural economics trial </w:t>
                      </w:r>
                    </w:p>
                    <w:p w14:paraId="4FEED041" w14:textId="410DF01B" w:rsidR="00286B62" w:rsidRPr="00F00E6E" w:rsidRDefault="00286B62" w:rsidP="00F00E6E">
                      <w:pPr>
                        <w:pStyle w:val="Subtitle"/>
                        <w:rPr>
                          <w:sz w:val="36"/>
                          <w:szCs w:val="36"/>
                        </w:rPr>
                      </w:pPr>
                      <w:r w:rsidRPr="00F00E6E">
                        <w:rPr>
                          <w:sz w:val="36"/>
                          <w:szCs w:val="36"/>
                        </w:rPr>
                        <w:t>to reduce the overprescribing of antibiotics</w:t>
                      </w:r>
                    </w:p>
                    <w:bookmarkEnd w:id="2"/>
                    <w:p w14:paraId="4EC11F8A" w14:textId="48FD0BF1" w:rsidR="00286B62" w:rsidRDefault="00286B62" w:rsidP="00F00E6E">
                      <w:pPr>
                        <w:pStyle w:val="Subtitle"/>
                      </w:pPr>
                    </w:p>
                    <w:p w14:paraId="2EBFF365" w14:textId="3D4422F7" w:rsidR="00286B62" w:rsidRPr="00F00E6E" w:rsidRDefault="00286B62" w:rsidP="00F00E6E">
                      <w:pPr>
                        <w:pStyle w:val="Subtitle"/>
                        <w:rPr>
                          <w:b/>
                          <w:sz w:val="28"/>
                          <w:szCs w:val="28"/>
                        </w:rPr>
                      </w:pPr>
                      <w:r w:rsidRPr="00F00E6E">
                        <w:rPr>
                          <w:b/>
                          <w:sz w:val="28"/>
                          <w:szCs w:val="28"/>
                        </w:rPr>
                        <w:t>June 2018</w:t>
                      </w:r>
                    </w:p>
                  </w:txbxContent>
                </v:textbox>
              </v:shape>
            </w:pict>
          </mc:Fallback>
        </mc:AlternateContent>
      </w:r>
    </w:p>
    <w:p w14:paraId="55EF7964" w14:textId="5041AC7C" w:rsidR="003C07B9" w:rsidRPr="00507269" w:rsidRDefault="00B425F8" w:rsidP="003C07B9">
      <w:pPr>
        <w:rPr>
          <w:color w:val="FFFFFF" w:themeColor="background1"/>
        </w:rPr>
      </w:pPr>
      <w:r w:rsidRPr="005D17D0">
        <w:rPr>
          <w:noProof/>
          <w:color w:val="FFFFFF" w:themeColor="background1"/>
        </w:rPr>
        <w:lastRenderedPageBreak/>
        <mc:AlternateContent>
          <mc:Choice Requires="wps">
            <w:drawing>
              <wp:anchor distT="0" distB="0" distL="114300" distR="114300" simplePos="0" relativeHeight="251665408" behindDoc="1" locked="0" layoutInCell="1" allowOverlap="1" wp14:anchorId="288FA70B" wp14:editId="56D411CE">
                <wp:simplePos x="0" y="0"/>
                <wp:positionH relativeFrom="margin">
                  <wp:posOffset>-765810</wp:posOffset>
                </wp:positionH>
                <wp:positionV relativeFrom="margin">
                  <wp:posOffset>-1254125</wp:posOffset>
                </wp:positionV>
                <wp:extent cx="7559675" cy="10691495"/>
                <wp:effectExtent l="0" t="0" r="3175" b="0"/>
                <wp:wrapNone/>
                <wp:docPr id="5" name="Rectangle 5"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CB9F" id="Rectangle 5" o:spid="_x0000_s1026" alt="&quot; &quot;" style="position:absolute;margin-left:-60.3pt;margin-top:-98.75pt;width:595.25pt;height:841.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" fillcolor="#1a2a39" stroked="f" strokeweight="2pt">
                <w10:wrap anchorx="margin" anchory="margin"/>
              </v:rect>
            </w:pict>
          </mc:Fallback>
        </mc:AlternateContent>
      </w:r>
      <w:r w:rsidR="003C07B9" w:rsidRPr="00507269">
        <w:rPr>
          <w:color w:val="FFFFFF" w:themeColor="background1"/>
        </w:rPr>
        <w:t>© Commonwealth of Australia 2018</w:t>
      </w:r>
    </w:p>
    <w:p w14:paraId="5F10C685" w14:textId="006D9FE1" w:rsidR="003C07B9" w:rsidRDefault="003B087E" w:rsidP="003C07B9">
      <w:pPr>
        <w:rPr>
          <w:color w:val="FFFFFF" w:themeColor="background1"/>
        </w:rPr>
      </w:pPr>
      <w:r w:rsidRPr="00507269">
        <w:rPr>
          <w:b/>
          <w:color w:val="FFFFFF" w:themeColor="background1"/>
        </w:rPr>
        <w:t>978-1-925363-41-8</w:t>
      </w:r>
      <w:r w:rsidR="00783BB6">
        <w:rPr>
          <w:color w:val="FFFFFF" w:themeColor="background1"/>
        </w:rPr>
        <w:t xml:space="preserve"> </w:t>
      </w:r>
      <w:r w:rsidR="00783BB6" w:rsidRPr="00F82405">
        <w:rPr>
          <w:color w:val="FFFFFF" w:themeColor="background1"/>
        </w:rPr>
        <w:t>Nudge vs Superbugs: A behavioural economics trial to reduce the overprescribing of antibiotics</w:t>
      </w:r>
      <w:r w:rsidR="003C07B9" w:rsidRPr="00507269">
        <w:rPr>
          <w:color w:val="FFFFFF" w:themeColor="background1"/>
        </w:rPr>
        <w:t xml:space="preserve"> (DOCX)</w:t>
      </w:r>
    </w:p>
    <w:p w14:paraId="7AEF3BC4" w14:textId="018B18C3" w:rsidR="00783BB6" w:rsidRPr="00507269" w:rsidRDefault="003B087E" w:rsidP="00783BB6">
      <w:pPr>
        <w:rPr>
          <w:color w:val="FFFFFF" w:themeColor="background1"/>
        </w:rPr>
      </w:pPr>
      <w:r w:rsidRPr="00507269">
        <w:rPr>
          <w:b/>
          <w:color w:val="FFFFFF" w:themeColor="background1"/>
        </w:rPr>
        <w:t>978-1-925363-42-5</w:t>
      </w:r>
      <w:r w:rsidRPr="003B087E" w:rsidDel="003B087E">
        <w:rPr>
          <w:b/>
          <w:color w:val="FFFFFF" w:themeColor="background1"/>
        </w:rPr>
        <w:t xml:space="preserve"> </w:t>
      </w:r>
      <w:r w:rsidR="00783BB6" w:rsidRPr="00507269">
        <w:rPr>
          <w:color w:val="FFFFFF" w:themeColor="background1"/>
        </w:rPr>
        <w:t>Nudge vs Superbugs: A behavioural economics trial to reduce the overprescribing of antibiotics</w:t>
      </w:r>
      <w:r w:rsidR="00783BB6">
        <w:rPr>
          <w:color w:val="FFFFFF" w:themeColor="background1"/>
        </w:rPr>
        <w:t xml:space="preserve"> (PDF</w:t>
      </w:r>
      <w:r w:rsidR="00783BB6" w:rsidRPr="00F82405">
        <w:rPr>
          <w:color w:val="FFFFFF" w:themeColor="background1"/>
        </w:rPr>
        <w:t>)</w:t>
      </w:r>
      <w:r w:rsidR="00B425F8" w:rsidRPr="00B425F8">
        <w:rPr>
          <w:noProof/>
          <w:color w:val="FFFFFF" w:themeColor="background1"/>
        </w:rPr>
        <w:t xml:space="preserve"> </w:t>
      </w:r>
    </w:p>
    <w:p w14:paraId="4053087E" w14:textId="77777777" w:rsidR="003C07B9" w:rsidRPr="00507269" w:rsidRDefault="003C07B9" w:rsidP="003C07B9">
      <w:pPr>
        <w:pStyle w:val="Heading3"/>
        <w:rPr>
          <w:color w:val="FFFFFF" w:themeColor="background1"/>
        </w:rPr>
      </w:pPr>
      <w:r w:rsidRPr="00507269">
        <w:rPr>
          <w:color w:val="FFFFFF" w:themeColor="background1"/>
        </w:rPr>
        <w:t>Copyright Notice</w:t>
      </w:r>
    </w:p>
    <w:p w14:paraId="4C7995D3" w14:textId="5C7239A5" w:rsidR="003C07B9" w:rsidRPr="00507269" w:rsidRDefault="003C07B9" w:rsidP="003C07B9">
      <w:pPr>
        <w:rPr>
          <w:color w:val="FFFFFF" w:themeColor="background1"/>
        </w:rPr>
      </w:pPr>
      <w:r w:rsidRPr="00507269">
        <w:rPr>
          <w:color w:val="FFFFFF" w:themeColor="background1"/>
        </w:rPr>
        <w:t xml:space="preserve">With the exception of the Commonwealth Coat of Arms, this work is licensed under a Creative Commons Attribution 4.0 International license (CC BY 4.0) </w:t>
      </w:r>
      <w:hyperlink r:id="rId13" w:history="1">
        <w:r w:rsidR="00854E87">
          <w:rPr>
            <w:rStyle w:val="Hyperlink"/>
            <w:color w:val="FFFFFF" w:themeColor="background1"/>
          </w:rPr>
          <w:t>https://creativecommons.org/licenses/by/4.0/deed.en</w:t>
        </w:r>
      </w:hyperlink>
    </w:p>
    <w:p w14:paraId="6F75A780" w14:textId="77777777" w:rsidR="003C07B9" w:rsidRDefault="003C07B9" w:rsidP="003C07B9">
      <w:r>
        <w:rPr>
          <w:noProof/>
        </w:rPr>
        <w:drawing>
          <wp:inline distT="0" distB="0" distL="0" distR="0" wp14:anchorId="0FA7D044" wp14:editId="0C627F0A">
            <wp:extent cx="771146" cy="307849"/>
            <wp:effectExtent l="0" t="0" r="0" b="0"/>
            <wp:docPr id="6" name="Picture 6" descr="Visual of copyright logo"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6D5FB79" w14:textId="77777777" w:rsidR="003C07B9" w:rsidRPr="00507269" w:rsidRDefault="003C07B9" w:rsidP="00507269">
      <w:pPr>
        <w:pStyle w:val="Heading3"/>
        <w:rPr>
          <w:b w:val="0"/>
          <w:color w:val="FFFFFF" w:themeColor="background1"/>
        </w:rPr>
      </w:pPr>
      <w:r w:rsidRPr="00507269">
        <w:rPr>
          <w:color w:val="FFFFFF" w:themeColor="background1"/>
        </w:rPr>
        <w:t>Third party copyright</w:t>
      </w:r>
    </w:p>
    <w:p w14:paraId="2A1D0988" w14:textId="50FCEC67" w:rsidR="003C07B9" w:rsidRDefault="003C07B9" w:rsidP="00507269">
      <w:pPr>
        <w:rPr>
          <w:color w:val="FFFFFF" w:themeColor="background1"/>
        </w:rPr>
      </w:pPr>
      <w:r w:rsidRPr="00507269">
        <w:rPr>
          <w:color w:val="FFFFFF" w:themeColor="background1"/>
        </w:rPr>
        <w:t>Wherever a third party holds copyright in this material, the copyright remains with that party. Their permission may be required to use the material. Please contact them directly.</w:t>
      </w:r>
    </w:p>
    <w:p w14:paraId="6E456216" w14:textId="77777777" w:rsidR="003C07B9" w:rsidRPr="00507269" w:rsidRDefault="003C07B9" w:rsidP="003C07B9">
      <w:pPr>
        <w:pStyle w:val="Heading3"/>
        <w:rPr>
          <w:color w:val="FFFFFF" w:themeColor="background1"/>
        </w:rPr>
      </w:pPr>
      <w:r w:rsidRPr="00507269">
        <w:rPr>
          <w:color w:val="FFFFFF" w:themeColor="background1"/>
        </w:rPr>
        <w:t>Attribution</w:t>
      </w:r>
    </w:p>
    <w:p w14:paraId="76D0D422" w14:textId="02015EBC" w:rsidR="003C07B9" w:rsidRDefault="003C07B9" w:rsidP="003C07B9">
      <w:pPr>
        <w:rPr>
          <w:color w:val="FFFFFF" w:themeColor="background1"/>
        </w:rPr>
      </w:pPr>
      <w:r w:rsidRPr="00507269">
        <w:rPr>
          <w:color w:val="FFFFFF" w:themeColor="background1"/>
        </w:rPr>
        <w:t xml:space="preserve">This publication should be attributed as follows: </w:t>
      </w:r>
      <w:r w:rsidR="00783BB6" w:rsidRPr="00F82405">
        <w:rPr>
          <w:color w:val="FFFFFF" w:themeColor="background1"/>
        </w:rPr>
        <w:t>Nudge vs Superbugs: A behavioural economics trial to reduce the overprescribing of antibiotics</w:t>
      </w:r>
    </w:p>
    <w:p w14:paraId="20E90860" w14:textId="77777777" w:rsidR="003C07B9" w:rsidRPr="00507269" w:rsidRDefault="003C07B9" w:rsidP="003C07B9">
      <w:pPr>
        <w:pStyle w:val="Heading3"/>
        <w:rPr>
          <w:color w:val="FFFFFF" w:themeColor="background1"/>
        </w:rPr>
      </w:pPr>
      <w:r w:rsidRPr="00507269">
        <w:rPr>
          <w:color w:val="FFFFFF" w:themeColor="background1"/>
        </w:rPr>
        <w:t>Use of the Coat of Arms</w:t>
      </w:r>
    </w:p>
    <w:p w14:paraId="26F31E0C" w14:textId="77777777" w:rsidR="003C07B9" w:rsidRPr="00507269" w:rsidRDefault="003C07B9" w:rsidP="003C07B9">
      <w:pPr>
        <w:rPr>
          <w:rStyle w:val="Hyperlink"/>
          <w:color w:val="FFFFFF" w:themeColor="background1"/>
        </w:rPr>
      </w:pPr>
      <w:r w:rsidRPr="00507269">
        <w:rPr>
          <w:color w:val="FFFFFF" w:themeColor="background1"/>
        </w:rPr>
        <w:t xml:space="preserve">The terms under which the Coat of Arms can be used are detailed on the following website: </w:t>
      </w:r>
      <w:hyperlink r:id="rId15" w:history="1">
        <w:r w:rsidRPr="00507269">
          <w:rPr>
            <w:rStyle w:val="Hyperlink"/>
            <w:color w:val="FFFFFF" w:themeColor="background1"/>
          </w:rPr>
          <w:t>http://www.itsanhonour.gov.au/coat-arms</w:t>
        </w:r>
      </w:hyperlink>
    </w:p>
    <w:p w14:paraId="2F3F347F" w14:textId="77777777" w:rsidR="003C07B9" w:rsidRPr="00507269" w:rsidRDefault="003C07B9">
      <w:pPr>
        <w:pStyle w:val="Heading3"/>
        <w:rPr>
          <w:color w:val="FFFFFF" w:themeColor="background1"/>
        </w:rPr>
      </w:pPr>
      <w:r w:rsidRPr="00507269">
        <w:rPr>
          <w:color w:val="FFFFFF" w:themeColor="background1"/>
        </w:rPr>
        <w:t>Other uses</w:t>
      </w:r>
    </w:p>
    <w:p w14:paraId="26CDB27F" w14:textId="77777777" w:rsidR="003C07B9" w:rsidRPr="00507269" w:rsidRDefault="003C07B9">
      <w:pPr>
        <w:rPr>
          <w:color w:val="FFFFFF" w:themeColor="background1"/>
        </w:rPr>
      </w:pPr>
      <w:r w:rsidRPr="00507269">
        <w:rPr>
          <w:color w:val="FFFFFF" w:themeColor="background1"/>
        </w:rPr>
        <w:t>Enquiries regarding this license and any other use of this document are welcome at:</w:t>
      </w:r>
    </w:p>
    <w:p w14:paraId="3C457B1E" w14:textId="37B93F3F" w:rsidR="003C07B9" w:rsidRPr="00507269" w:rsidRDefault="003C07B9" w:rsidP="003C07B9">
      <w:pPr>
        <w:rPr>
          <w:color w:val="FFFFFF" w:themeColor="background1"/>
        </w:rPr>
      </w:pPr>
      <w:r w:rsidRPr="00507269">
        <w:rPr>
          <w:color w:val="FFFFFF" w:themeColor="background1"/>
        </w:rPr>
        <w:t>Managing Director</w:t>
      </w:r>
      <w:r w:rsidRPr="00507269">
        <w:rPr>
          <w:color w:val="FFFFFF" w:themeColor="background1"/>
        </w:rPr>
        <w:br/>
        <w:t>Behavioural Economics Team of the Australian Government</w:t>
      </w:r>
      <w:r w:rsidRPr="00507269">
        <w:rPr>
          <w:color w:val="FFFFFF" w:themeColor="background1"/>
        </w:rPr>
        <w:br/>
        <w:t>Department of the Prime Minister and Cabinet</w:t>
      </w:r>
      <w:r w:rsidRPr="00507269">
        <w:rPr>
          <w:color w:val="FFFFFF" w:themeColor="background1"/>
        </w:rPr>
        <w:br/>
        <w:t>Barton ACT 2600</w:t>
      </w:r>
      <w:r w:rsidRPr="00507269">
        <w:rPr>
          <w:color w:val="FFFFFF" w:themeColor="background1"/>
        </w:rPr>
        <w:br/>
        <w:t>Email: beta@pmc.gov.au</w:t>
      </w:r>
    </w:p>
    <w:p w14:paraId="50910497" w14:textId="7C1B81ED" w:rsidR="003C07B9" w:rsidRPr="00507269" w:rsidRDefault="003C07B9" w:rsidP="003C07B9">
      <w:pPr>
        <w:rPr>
          <w:color w:val="FFFFFF" w:themeColor="background1"/>
        </w:rPr>
      </w:pPr>
      <w:r w:rsidRPr="00507269">
        <w:rPr>
          <w:color w:val="FFFFFF" w:themeColor="background1"/>
        </w:rPr>
        <w:t xml:space="preserve">The views expressed in this paper are those of the authors and do not necessarily reflect those of the </w:t>
      </w:r>
      <w:r w:rsidR="00A53E3D">
        <w:rPr>
          <w:color w:val="FFFFFF" w:themeColor="background1"/>
        </w:rPr>
        <w:t xml:space="preserve">Department of Health, the </w:t>
      </w:r>
      <w:r w:rsidRPr="00507269">
        <w:rPr>
          <w:color w:val="FFFFFF" w:themeColor="background1"/>
        </w:rPr>
        <w:t>Department of the Prime Minister and Cabinet or the Australian Government.</w:t>
      </w:r>
    </w:p>
    <w:p w14:paraId="5C4852EE" w14:textId="77777777" w:rsidR="003C07B9" w:rsidRPr="00507269" w:rsidRDefault="003C07B9" w:rsidP="003C07B9">
      <w:pPr>
        <w:rPr>
          <w:color w:val="FFFFFF" w:themeColor="background1"/>
        </w:rPr>
      </w:pPr>
    </w:p>
    <w:p w14:paraId="12061512" w14:textId="77777777" w:rsidR="003C07B9" w:rsidRPr="00507269" w:rsidRDefault="003C07B9" w:rsidP="00507269">
      <w:pPr>
        <w:rPr>
          <w:color w:val="FFFFFF" w:themeColor="background1"/>
        </w:rPr>
      </w:pPr>
    </w:p>
    <w:p w14:paraId="53EB6ED2" w14:textId="07B5A2BD" w:rsidR="005D17D0" w:rsidRPr="00D06831" w:rsidRDefault="00B425F8" w:rsidP="005D17D0">
      <w:pPr>
        <w:pStyle w:val="WhiteHeading2"/>
      </w:pPr>
      <w:r w:rsidRPr="005D17D0">
        <w:rPr>
          <w:noProof/>
        </w:rPr>
        <w:lastRenderedPageBreak/>
        <mc:AlternateContent>
          <mc:Choice Requires="wps">
            <w:drawing>
              <wp:anchor distT="0" distB="0" distL="114300" distR="114300" simplePos="0" relativeHeight="251661312" behindDoc="1" locked="0" layoutInCell="1" allowOverlap="1" wp14:anchorId="761BCCEF" wp14:editId="0124B8FD">
                <wp:simplePos x="0" y="0"/>
                <wp:positionH relativeFrom="page">
                  <wp:posOffset>27305</wp:posOffset>
                </wp:positionH>
                <wp:positionV relativeFrom="page">
                  <wp:posOffset>40640</wp:posOffset>
                </wp:positionV>
                <wp:extent cx="7559675" cy="10691495"/>
                <wp:effectExtent l="0" t="0" r="3175" b="0"/>
                <wp:wrapNone/>
                <wp:docPr id="3" name="Rectangle 3"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EA490" id="Rectangle 3" o:spid="_x0000_s1026" alt="&quot; &quot;" style="position:absolute;margin-left:2.15pt;margin-top:3.2pt;width:595.25pt;height:84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" fillcolor="#1a2a39" stroked="f" strokeweight="2pt">
                <w10:wrap anchorx="page" anchory="page"/>
              </v:rect>
            </w:pict>
          </mc:Fallback>
        </mc:AlternateContent>
      </w:r>
      <w:r w:rsidR="005D17D0" w:rsidRPr="00D06831">
        <w:t>Project Team</w:t>
      </w:r>
    </w:p>
    <w:p w14:paraId="0A075937" w14:textId="0F52B8CE" w:rsidR="005D17D0" w:rsidRPr="004161D2" w:rsidRDefault="005D17D0" w:rsidP="004161D2">
      <w:pPr>
        <w:rPr>
          <w:color w:val="FFFFFF" w:themeColor="background1"/>
        </w:rPr>
      </w:pPr>
      <w:r w:rsidRPr="004161D2">
        <w:rPr>
          <w:color w:val="FFFFFF" w:themeColor="background1"/>
        </w:rPr>
        <w:t>The trial described in this report was a collaborative effort between the Behavioural Economics and Research Team (Department of Health) and the Behavioural Economics Team of the Australian Government</w:t>
      </w:r>
      <w:r w:rsidR="00AD6E76">
        <w:rPr>
          <w:color w:val="FFFFFF" w:themeColor="background1"/>
        </w:rPr>
        <w:t xml:space="preserve"> (Department of the Prime Minister and Cabinet)</w:t>
      </w:r>
      <w:r w:rsidRPr="004161D2">
        <w:rPr>
          <w:color w:val="FFFFFF" w:themeColor="background1"/>
        </w:rPr>
        <w:t>.</w:t>
      </w:r>
    </w:p>
    <w:tbl>
      <w:tblPr>
        <w:tblStyle w:val="TableGrid"/>
        <w:tblW w:w="76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Project Team "/>
        <w:tblDescription w:val="Showing the staff of the Behavioural Economics &amp; Research Team and the Behavioural Economics Team of the Australian Government who collaborated on the project."/>
      </w:tblPr>
      <w:tblGrid>
        <w:gridCol w:w="3544"/>
        <w:gridCol w:w="4136"/>
      </w:tblGrid>
      <w:tr w:rsidR="004161D2" w:rsidRPr="004161D2" w14:paraId="18B3EFCC" w14:textId="77777777" w:rsidTr="00960D38">
        <w:trPr>
          <w:tblHeader/>
        </w:trPr>
        <w:tc>
          <w:tcPr>
            <w:tcW w:w="3544" w:type="dxa"/>
            <w:tcBorders>
              <w:right w:val="single" w:sz="4" w:space="0" w:color="FFFFFF" w:themeColor="background1"/>
            </w:tcBorders>
          </w:tcPr>
          <w:p w14:paraId="199ED98F" w14:textId="77777777" w:rsidR="004161D2" w:rsidRPr="003D2DE8" w:rsidRDefault="004161D2" w:rsidP="00CF3C64">
            <w:pPr>
              <w:spacing w:before="39" w:after="39"/>
              <w:rPr>
                <w:b/>
                <w:color w:val="FFFFFF" w:themeColor="background1"/>
              </w:rPr>
            </w:pPr>
            <w:r w:rsidRPr="003D2DE8">
              <w:rPr>
                <w:b/>
                <w:color w:val="FFFFFF" w:themeColor="background1"/>
              </w:rPr>
              <w:t xml:space="preserve">Behavioural Economics </w:t>
            </w:r>
            <w:r>
              <w:rPr>
                <w:b/>
                <w:color w:val="FFFFFF" w:themeColor="background1"/>
              </w:rPr>
              <w:br/>
            </w:r>
            <w:r w:rsidRPr="003D2DE8">
              <w:rPr>
                <w:b/>
                <w:color w:val="FFFFFF" w:themeColor="background1"/>
              </w:rPr>
              <w:t>&amp; Research Team (BERT)</w:t>
            </w:r>
            <w:r w:rsidRPr="003D2DE8">
              <w:rPr>
                <w:b/>
                <w:color w:val="FFFFFF" w:themeColor="background1"/>
              </w:rPr>
              <w:br/>
            </w:r>
            <w:r w:rsidRPr="003D2DE8">
              <w:rPr>
                <w:color w:val="FFFFFF" w:themeColor="background1"/>
              </w:rPr>
              <w:t>www.health.gov.au/bert</w:t>
            </w:r>
          </w:p>
          <w:p w14:paraId="7E0D002A" w14:textId="77777777" w:rsidR="004161D2" w:rsidRPr="003D2DE8" w:rsidRDefault="004161D2" w:rsidP="00CF3C64">
            <w:pPr>
              <w:spacing w:before="39" w:after="39"/>
              <w:rPr>
                <w:color w:val="FFFFFF" w:themeColor="background1"/>
              </w:rPr>
            </w:pPr>
          </w:p>
          <w:p w14:paraId="53CC3475" w14:textId="77777777" w:rsidR="004161D2" w:rsidRPr="003D2DE8" w:rsidRDefault="004161D2" w:rsidP="00CF3C64">
            <w:pPr>
              <w:spacing w:before="39" w:after="39"/>
              <w:rPr>
                <w:color w:val="FFFFFF" w:themeColor="background1"/>
              </w:rPr>
            </w:pPr>
            <w:r w:rsidRPr="003D2DE8">
              <w:rPr>
                <w:color w:val="FFFFFF" w:themeColor="background1"/>
              </w:rPr>
              <w:t>Ms Tiali Goodchild</w:t>
            </w:r>
          </w:p>
          <w:p w14:paraId="5C05473E" w14:textId="77777777" w:rsidR="004161D2" w:rsidRPr="003D2DE8" w:rsidRDefault="004161D2" w:rsidP="00CF3C64">
            <w:pPr>
              <w:spacing w:before="39" w:after="39"/>
              <w:rPr>
                <w:color w:val="FFFFFF" w:themeColor="background1"/>
              </w:rPr>
            </w:pPr>
            <w:r w:rsidRPr="003D2DE8">
              <w:rPr>
                <w:color w:val="FFFFFF" w:themeColor="background1"/>
              </w:rPr>
              <w:t>Mr Robert Kinnell MAPS</w:t>
            </w:r>
          </w:p>
          <w:p w14:paraId="518AEE17" w14:textId="77777777" w:rsidR="004161D2" w:rsidRPr="003D2DE8" w:rsidRDefault="004161D2" w:rsidP="00CF3C64">
            <w:pPr>
              <w:spacing w:before="39" w:after="39"/>
              <w:rPr>
                <w:color w:val="FFFFFF" w:themeColor="background1"/>
              </w:rPr>
            </w:pPr>
            <w:r w:rsidRPr="003D2DE8">
              <w:rPr>
                <w:color w:val="FFFFFF" w:themeColor="background1"/>
              </w:rPr>
              <w:t>Ms Erin Thomas</w:t>
            </w:r>
          </w:p>
          <w:p w14:paraId="59DCB6A7" w14:textId="77777777" w:rsidR="004161D2" w:rsidRPr="003D2DE8" w:rsidRDefault="004161D2" w:rsidP="00CF3C64">
            <w:pPr>
              <w:spacing w:before="39" w:after="39"/>
              <w:rPr>
                <w:color w:val="FFFFFF" w:themeColor="background1"/>
              </w:rPr>
            </w:pPr>
            <w:r w:rsidRPr="003D2DE8">
              <w:rPr>
                <w:color w:val="FFFFFF" w:themeColor="background1"/>
              </w:rPr>
              <w:t>Ms Lilia Arcos Holzinger</w:t>
            </w:r>
          </w:p>
          <w:p w14:paraId="1F414995" w14:textId="03581DC2" w:rsidR="004161D2" w:rsidRPr="004161D2" w:rsidRDefault="004161D2" w:rsidP="00CF3C64">
            <w:pPr>
              <w:spacing w:before="39" w:after="39"/>
              <w:rPr>
                <w:color w:val="FFFFFF" w:themeColor="background1"/>
                <w:szCs w:val="20"/>
              </w:rPr>
            </w:pPr>
            <w:r w:rsidRPr="003D2DE8">
              <w:rPr>
                <w:color w:val="FFFFFF" w:themeColor="background1"/>
              </w:rPr>
              <w:t>Dr Ben O’Neil</w:t>
            </w:r>
          </w:p>
        </w:tc>
        <w:tc>
          <w:tcPr>
            <w:tcW w:w="4136" w:type="dxa"/>
            <w:tcBorders>
              <w:top w:val="nil"/>
              <w:left w:val="single" w:sz="4" w:space="0" w:color="FFFFFF" w:themeColor="background1"/>
              <w:bottom w:val="nil"/>
            </w:tcBorders>
          </w:tcPr>
          <w:p w14:paraId="667A3CF8" w14:textId="77777777" w:rsidR="004161D2" w:rsidRPr="003D2DE8" w:rsidRDefault="004161D2" w:rsidP="00CF3C64">
            <w:pPr>
              <w:spacing w:before="39" w:after="39"/>
              <w:ind w:left="58"/>
              <w:rPr>
                <w:color w:val="FFFFFF" w:themeColor="background1"/>
              </w:rPr>
            </w:pPr>
            <w:r w:rsidRPr="003D2DE8">
              <w:rPr>
                <w:b/>
                <w:color w:val="FFFFFF" w:themeColor="background1"/>
              </w:rPr>
              <w:t xml:space="preserve">Behavioural Economics Team of </w:t>
            </w:r>
            <w:r>
              <w:rPr>
                <w:b/>
                <w:color w:val="FFFFFF" w:themeColor="background1"/>
              </w:rPr>
              <w:br/>
            </w:r>
            <w:r w:rsidRPr="003D2DE8">
              <w:rPr>
                <w:b/>
                <w:color w:val="FFFFFF" w:themeColor="background1"/>
              </w:rPr>
              <w:t>the Australian Government (BETA)</w:t>
            </w:r>
            <w:r w:rsidRPr="003D2DE8">
              <w:rPr>
                <w:color w:val="FFFFFF" w:themeColor="background1"/>
              </w:rPr>
              <w:br/>
              <w:t>www.pmc.gov.au/beta</w:t>
            </w:r>
          </w:p>
          <w:p w14:paraId="7A81D759" w14:textId="77777777" w:rsidR="004161D2" w:rsidRPr="003D2DE8" w:rsidRDefault="004161D2" w:rsidP="00CF3C64">
            <w:pPr>
              <w:spacing w:before="39" w:after="39"/>
              <w:ind w:left="58"/>
              <w:rPr>
                <w:color w:val="FFFFFF" w:themeColor="background1"/>
              </w:rPr>
            </w:pPr>
          </w:p>
          <w:p w14:paraId="622F68B1" w14:textId="77777777" w:rsidR="004161D2" w:rsidRPr="003D2DE8" w:rsidRDefault="004161D2" w:rsidP="00CF3C64">
            <w:pPr>
              <w:spacing w:before="39" w:after="39"/>
              <w:ind w:left="58"/>
              <w:rPr>
                <w:color w:val="FFFFFF" w:themeColor="background1"/>
              </w:rPr>
            </w:pPr>
            <w:r w:rsidRPr="003D2DE8">
              <w:rPr>
                <w:color w:val="FFFFFF" w:themeColor="background1"/>
              </w:rPr>
              <w:t>Prof Michael Hiscox</w:t>
            </w:r>
          </w:p>
          <w:p w14:paraId="4FD035C7" w14:textId="77777777" w:rsidR="004161D2" w:rsidRPr="003D2DE8" w:rsidRDefault="004161D2" w:rsidP="00CF3C64">
            <w:pPr>
              <w:spacing w:before="39" w:after="39"/>
              <w:ind w:left="58"/>
              <w:rPr>
                <w:color w:val="FFFFFF" w:themeColor="background1"/>
              </w:rPr>
            </w:pPr>
            <w:r w:rsidRPr="003D2DE8">
              <w:rPr>
                <w:color w:val="FFFFFF" w:themeColor="background1"/>
              </w:rPr>
              <w:t>Dr Scott Copley</w:t>
            </w:r>
          </w:p>
          <w:p w14:paraId="01ABE737" w14:textId="77777777" w:rsidR="004161D2" w:rsidRPr="003D2DE8" w:rsidRDefault="004161D2" w:rsidP="00CF3C64">
            <w:pPr>
              <w:spacing w:before="39" w:after="39"/>
              <w:ind w:left="58"/>
              <w:rPr>
                <w:color w:val="FFFFFF" w:themeColor="background1"/>
              </w:rPr>
            </w:pPr>
            <w:r w:rsidRPr="003D2DE8">
              <w:rPr>
                <w:color w:val="FFFFFF" w:themeColor="background1"/>
              </w:rPr>
              <w:t>Dr Jacqui Brewer</w:t>
            </w:r>
          </w:p>
          <w:p w14:paraId="3AD1ED3E" w14:textId="77777777" w:rsidR="004161D2" w:rsidRPr="003D2DE8" w:rsidRDefault="004161D2" w:rsidP="00CF3C64">
            <w:pPr>
              <w:spacing w:before="39" w:after="39"/>
              <w:ind w:left="58"/>
              <w:rPr>
                <w:color w:val="FFFFFF" w:themeColor="background1"/>
              </w:rPr>
            </w:pPr>
            <w:r w:rsidRPr="003D2DE8">
              <w:rPr>
                <w:color w:val="FFFFFF" w:themeColor="background1"/>
              </w:rPr>
              <w:t>Ms Amy Fulham</w:t>
            </w:r>
          </w:p>
          <w:p w14:paraId="3226E1DF" w14:textId="77777777" w:rsidR="004161D2" w:rsidRPr="004161D2" w:rsidRDefault="004161D2" w:rsidP="00CF3C64">
            <w:pPr>
              <w:spacing w:before="39" w:after="39"/>
              <w:rPr>
                <w:color w:val="FFFFFF" w:themeColor="background1"/>
                <w:szCs w:val="20"/>
              </w:rPr>
            </w:pPr>
          </w:p>
        </w:tc>
      </w:tr>
    </w:tbl>
    <w:p w14:paraId="4A031909" w14:textId="77777777" w:rsidR="005D17D0" w:rsidRPr="004161D2" w:rsidRDefault="005D17D0" w:rsidP="004161D2">
      <w:pPr>
        <w:pStyle w:val="Heading3"/>
        <w:rPr>
          <w:color w:val="FFFFFF" w:themeColor="background1"/>
        </w:rPr>
      </w:pPr>
      <w:r w:rsidRPr="004161D2">
        <w:rPr>
          <w:color w:val="FFFFFF" w:themeColor="background1"/>
        </w:rPr>
        <w:t>Acknowledgments</w:t>
      </w:r>
    </w:p>
    <w:p w14:paraId="73E44363" w14:textId="50F59751" w:rsidR="005D17D0" w:rsidRPr="004161D2" w:rsidRDefault="005D17D0" w:rsidP="004161D2">
      <w:pPr>
        <w:rPr>
          <w:color w:val="FFFFFF" w:themeColor="background1"/>
        </w:rPr>
      </w:pPr>
      <w:r w:rsidRPr="004161D2">
        <w:rPr>
          <w:color w:val="FFFFFF" w:themeColor="background1"/>
        </w:rPr>
        <w:t>The project team would like to thank Professor Brendan Murphy, Australia’s Chief Medical Officer</w:t>
      </w:r>
      <w:r w:rsidR="00AD6E76">
        <w:rPr>
          <w:color w:val="FFFFFF" w:themeColor="background1"/>
        </w:rPr>
        <w:t>,</w:t>
      </w:r>
      <w:r w:rsidRPr="004161D2">
        <w:rPr>
          <w:color w:val="FFFFFF" w:themeColor="background1"/>
        </w:rPr>
        <w:t xml:space="preserve"> and Mr Simon Cotterell PSM, First Assistant Secretary of the Provider Benefits Integrity Division. Without their valuable support and assistance this project would not have happened.</w:t>
      </w:r>
    </w:p>
    <w:p w14:paraId="16FA13FE" w14:textId="77777777" w:rsidR="005D17D0" w:rsidRPr="004161D2" w:rsidRDefault="005D17D0" w:rsidP="004161D2">
      <w:pPr>
        <w:rPr>
          <w:color w:val="FFFFFF" w:themeColor="background1"/>
        </w:rPr>
      </w:pPr>
      <w:r w:rsidRPr="004161D2">
        <w:rPr>
          <w:color w:val="FFFFFF" w:themeColor="background1"/>
        </w:rPr>
        <w:t>Thank you also to:</w:t>
      </w:r>
    </w:p>
    <w:p w14:paraId="12DDC7D3" w14:textId="78BAD112" w:rsidR="005D17D0" w:rsidRPr="004161D2" w:rsidRDefault="00A6293D" w:rsidP="004161D2">
      <w:pPr>
        <w:rPr>
          <w:color w:val="FFFFFF" w:themeColor="background1"/>
        </w:rPr>
      </w:pPr>
      <w:r>
        <w:rPr>
          <w:color w:val="FFFFFF" w:themeColor="background1"/>
        </w:rPr>
        <w:t>National Prescribing Service</w:t>
      </w:r>
      <w:r w:rsidRPr="004161D2">
        <w:rPr>
          <w:color w:val="FFFFFF" w:themeColor="background1"/>
        </w:rPr>
        <w:t xml:space="preserve"> </w:t>
      </w:r>
      <w:r w:rsidR="005D17D0" w:rsidRPr="004161D2">
        <w:rPr>
          <w:color w:val="FFFFFF" w:themeColor="background1"/>
        </w:rPr>
        <w:t>MedicineWise for their assistance, and the use of posters, website material and the Respiratory Tract Infection Action Plan.</w:t>
      </w:r>
    </w:p>
    <w:p w14:paraId="6147A73E" w14:textId="31F386CB" w:rsidR="005D17D0" w:rsidRPr="004161D2" w:rsidRDefault="005D17D0" w:rsidP="004161D2">
      <w:pPr>
        <w:rPr>
          <w:color w:val="FFFFFF" w:themeColor="background1"/>
        </w:rPr>
      </w:pPr>
      <w:r w:rsidRPr="004161D2">
        <w:rPr>
          <w:color w:val="FFFFFF" w:themeColor="background1"/>
        </w:rPr>
        <w:t xml:space="preserve">The Medical Advisers from </w:t>
      </w:r>
      <w:r w:rsidR="00A6293D" w:rsidRPr="004161D2">
        <w:rPr>
          <w:color w:val="FFFFFF" w:themeColor="background1"/>
        </w:rPr>
        <w:t>Provider Benefits Integrity Division</w:t>
      </w:r>
      <w:r w:rsidR="00A6293D" w:rsidRPr="004161D2" w:rsidDel="00A6293D">
        <w:rPr>
          <w:color w:val="FFFFFF" w:themeColor="background1"/>
        </w:rPr>
        <w:t xml:space="preserve"> </w:t>
      </w:r>
      <w:r w:rsidRPr="004161D2">
        <w:rPr>
          <w:color w:val="FFFFFF" w:themeColor="background1"/>
        </w:rPr>
        <w:t>for their advice and assistance, with a special thanks to Dr David Rankin.</w:t>
      </w:r>
    </w:p>
    <w:p w14:paraId="14E7DB34" w14:textId="45490761" w:rsidR="005D17D0" w:rsidRPr="004161D2" w:rsidRDefault="005D17D0" w:rsidP="004161D2">
      <w:pPr>
        <w:rPr>
          <w:color w:val="FFFFFF" w:themeColor="background1"/>
        </w:rPr>
      </w:pPr>
      <w:r w:rsidRPr="004161D2">
        <w:rPr>
          <w:color w:val="FFFFFF" w:themeColor="background1"/>
        </w:rPr>
        <w:t xml:space="preserve">Mr Scott Pryor from </w:t>
      </w:r>
      <w:r w:rsidR="00A6293D" w:rsidRPr="004161D2">
        <w:rPr>
          <w:color w:val="FFFFFF" w:themeColor="background1"/>
        </w:rPr>
        <w:t>Provider Benefits Integrity Division</w:t>
      </w:r>
      <w:r w:rsidR="00A6293D">
        <w:rPr>
          <w:color w:val="FFFFFF" w:themeColor="background1"/>
        </w:rPr>
        <w:t>’s</w:t>
      </w:r>
      <w:r w:rsidR="00A6293D" w:rsidRPr="004161D2" w:rsidDel="00A6293D">
        <w:rPr>
          <w:color w:val="FFFFFF" w:themeColor="background1"/>
        </w:rPr>
        <w:t xml:space="preserve"> </w:t>
      </w:r>
      <w:r w:rsidRPr="004161D2">
        <w:rPr>
          <w:color w:val="FFFFFF" w:themeColor="background1"/>
        </w:rPr>
        <w:t>data analytics team.</w:t>
      </w:r>
    </w:p>
    <w:p w14:paraId="1DD12007" w14:textId="5E3C4134" w:rsidR="005D17D0" w:rsidRPr="004161D2" w:rsidRDefault="005D17D0" w:rsidP="004161D2">
      <w:pPr>
        <w:rPr>
          <w:color w:val="FFFFFF" w:themeColor="background1"/>
        </w:rPr>
      </w:pPr>
      <w:r w:rsidRPr="004161D2">
        <w:rPr>
          <w:color w:val="FFFFFF" w:themeColor="background1"/>
        </w:rPr>
        <w:t>Our other colleagues in the Department of Health with special thanks to the Office of Health Protection, Health Call Centre staff, and the Technology Assessment and Access Division.</w:t>
      </w:r>
    </w:p>
    <w:p w14:paraId="16D7813A" w14:textId="369706CC" w:rsidR="00095C85" w:rsidRDefault="004161D2" w:rsidP="004161D2">
      <w:pPr>
        <w:rPr>
          <w:color w:val="FFFFFF" w:themeColor="background1"/>
        </w:rPr>
      </w:pPr>
      <w:r w:rsidRPr="004161D2">
        <w:rPr>
          <w:color w:val="FFFFFF" w:themeColor="background1"/>
        </w:rPr>
        <w:t>We would also like to acknowledge those organisations we consulted on the project including the Australian Medical Association, Royal Australian College of General Practitioners and the Australian College of Rural and Remote Medicine.</w:t>
      </w:r>
    </w:p>
    <w:p w14:paraId="650266E8" w14:textId="28B0F7A1" w:rsidR="00095C85" w:rsidRDefault="00095C85" w:rsidP="00095C85">
      <w:pPr>
        <w:rPr>
          <w:color w:val="FFFFFF" w:themeColor="background1"/>
        </w:rPr>
      </w:pPr>
      <w:r w:rsidRPr="00EE5231">
        <w:rPr>
          <w:color w:val="FFFFFF" w:themeColor="background1"/>
        </w:rPr>
        <w:t>The trial was pre-registered on the BETA website and the American Economic Association registry:</w:t>
      </w:r>
    </w:p>
    <w:p w14:paraId="28189483" w14:textId="528436BF" w:rsidR="00095C85" w:rsidRPr="007E5ACB" w:rsidRDefault="00286B62" w:rsidP="00095C85">
      <w:pPr>
        <w:rPr>
          <w:rStyle w:val="Hyperlink"/>
          <w:color w:val="FFFFFF" w:themeColor="background1"/>
        </w:rPr>
      </w:pPr>
      <w:hyperlink r:id="rId16" w:history="1">
        <w:r w:rsidR="00095C85" w:rsidRPr="007E5ACB">
          <w:rPr>
            <w:rStyle w:val="Hyperlink"/>
            <w:color w:val="FFFFFF" w:themeColor="background1"/>
          </w:rPr>
          <w:t>https://www.pmc.gov.au/domestic-policy/behavioural-economics/beta-registered-trials?page=1</w:t>
        </w:r>
      </w:hyperlink>
    </w:p>
    <w:p w14:paraId="7C57DC4B" w14:textId="5CBE3BE8" w:rsidR="00095C85" w:rsidRPr="004161D2" w:rsidRDefault="00286B62" w:rsidP="004161D2">
      <w:pPr>
        <w:rPr>
          <w:color w:val="FFFFFF" w:themeColor="background1"/>
        </w:rPr>
      </w:pPr>
      <w:hyperlink r:id="rId17" w:history="1">
        <w:r w:rsidR="00095C85" w:rsidRPr="007E5ACB">
          <w:rPr>
            <w:rStyle w:val="Hyperlink"/>
            <w:color w:val="FFFFFF" w:themeColor="background1"/>
          </w:rPr>
          <w:t>https://www.socialscienceregistry.org/trials/2420</w:t>
        </w:r>
      </w:hyperlink>
    </w:p>
    <w:sdt>
      <w:sdtPr>
        <w:rPr>
          <w:rFonts w:asciiTheme="minorHAnsi" w:eastAsia="Times New Roman" w:hAnsiTheme="minorHAnsi" w:cs="Times New Roman"/>
          <w:b w:val="0"/>
          <w:bCs w:val="0"/>
          <w:noProof/>
          <w:color w:val="000000" w:themeColor="text1"/>
          <w:sz w:val="22"/>
          <w:szCs w:val="24"/>
        </w:rPr>
        <w:id w:val="667208857"/>
        <w:docPartObj>
          <w:docPartGallery w:val="Table of Contents"/>
          <w:docPartUnique/>
        </w:docPartObj>
      </w:sdtPr>
      <w:sdtEndPr>
        <w:rPr>
          <w:b/>
          <w:color w:val="FFFFFF" w:themeColor="background1"/>
          <w:sz w:val="20"/>
        </w:rPr>
      </w:sdtEndPr>
      <w:sdtContent>
        <w:p w14:paraId="4D8F5002" w14:textId="7AB1DFF2" w:rsidR="00322B54" w:rsidRDefault="00B425F8" w:rsidP="00322B54">
          <w:pPr>
            <w:pStyle w:val="TOCHeading"/>
          </w:pPr>
          <w:r w:rsidRPr="005D17D0">
            <w:rPr>
              <w:noProof/>
            </w:rPr>
            <mc:AlternateContent>
              <mc:Choice Requires="wps">
                <w:drawing>
                  <wp:anchor distT="0" distB="0" distL="114300" distR="114300" simplePos="0" relativeHeight="251663360" behindDoc="1" locked="0" layoutInCell="1" allowOverlap="1" wp14:anchorId="4C151252" wp14:editId="1B041C6D">
                    <wp:simplePos x="0" y="0"/>
                    <wp:positionH relativeFrom="page">
                      <wp:posOffset>19050</wp:posOffset>
                    </wp:positionH>
                    <wp:positionV relativeFrom="page">
                      <wp:posOffset>41275</wp:posOffset>
                    </wp:positionV>
                    <wp:extent cx="7559675" cy="10691495"/>
                    <wp:effectExtent l="0" t="0" r="3175" b="0"/>
                    <wp:wrapNone/>
                    <wp:docPr id="2" name="Rectangle 2"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C3969" id="Rectangle 2" o:spid="_x0000_s1026" alt="&quot; &quot;" style="position:absolute;margin-left:1.5pt;margin-top:3.25pt;width:595.25pt;height:84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" fillcolor="#1a2a39" stroked="f" strokeweight="2pt">
                    <w10:wrap anchorx="page" anchory="page"/>
                  </v:rect>
                </w:pict>
              </mc:Fallback>
            </mc:AlternateContent>
          </w:r>
          <w:r w:rsidR="00322B54">
            <w:t>Contents</w:t>
          </w:r>
        </w:p>
        <w:p w14:paraId="32832005" w14:textId="77777777" w:rsidR="00776545" w:rsidRDefault="009A5726">
          <w:pPr>
            <w:pStyle w:val="TOC1"/>
            <w:rPr>
              <w:rFonts w:eastAsiaTheme="minorEastAsia" w:cstheme="minorBidi"/>
              <w:b w:val="0"/>
              <w:color w:val="auto"/>
              <w:sz w:val="24"/>
              <w:lang w:val="en-US" w:eastAsia="en-US"/>
            </w:rPr>
          </w:pPr>
          <w:r>
            <w:fldChar w:fldCharType="begin"/>
          </w:r>
          <w:r>
            <w:instrText xml:space="preserve"> TOC \t "Heading 1,1,Heading 2 TOC,2" </w:instrText>
          </w:r>
          <w:r>
            <w:fldChar w:fldCharType="separate"/>
          </w:r>
          <w:r w:rsidR="00776545">
            <w:t>Executive summary</w:t>
          </w:r>
          <w:r w:rsidR="00776545">
            <w:tab/>
          </w:r>
          <w:r w:rsidR="00776545">
            <w:fldChar w:fldCharType="begin"/>
          </w:r>
          <w:r w:rsidR="00776545">
            <w:instrText xml:space="preserve"> PAGEREF _Toc516822200 \h </w:instrText>
          </w:r>
          <w:r w:rsidR="00776545">
            <w:fldChar w:fldCharType="separate"/>
          </w:r>
          <w:r w:rsidR="00B425F8">
            <w:t>4</w:t>
          </w:r>
          <w:r w:rsidR="00776545">
            <w:fldChar w:fldCharType="end"/>
          </w:r>
        </w:p>
        <w:p w14:paraId="6B7022E0" w14:textId="77777777" w:rsidR="00776545" w:rsidRDefault="00776545">
          <w:pPr>
            <w:pStyle w:val="TOC1"/>
            <w:rPr>
              <w:rFonts w:eastAsiaTheme="minorEastAsia" w:cstheme="minorBidi"/>
              <w:b w:val="0"/>
              <w:color w:val="auto"/>
              <w:sz w:val="24"/>
              <w:lang w:val="en-US" w:eastAsia="en-US"/>
            </w:rPr>
          </w:pPr>
          <w:r>
            <w:t>Introduction</w:t>
          </w:r>
          <w:r>
            <w:tab/>
          </w:r>
          <w:r>
            <w:fldChar w:fldCharType="begin"/>
          </w:r>
          <w:r>
            <w:instrText xml:space="preserve"> PAGEREF _Toc516822201 \h </w:instrText>
          </w:r>
          <w:r>
            <w:fldChar w:fldCharType="separate"/>
          </w:r>
          <w:r w:rsidR="00B425F8">
            <w:t>7</w:t>
          </w:r>
          <w:r>
            <w:fldChar w:fldCharType="end"/>
          </w:r>
        </w:p>
        <w:p w14:paraId="47F6DB05" w14:textId="77777777" w:rsidR="00776545" w:rsidRDefault="00776545">
          <w:pPr>
            <w:pStyle w:val="TOC1"/>
            <w:rPr>
              <w:rFonts w:eastAsiaTheme="minorEastAsia" w:cstheme="minorBidi"/>
              <w:b w:val="0"/>
              <w:color w:val="auto"/>
              <w:sz w:val="24"/>
              <w:lang w:val="en-US" w:eastAsia="en-US"/>
            </w:rPr>
          </w:pPr>
          <w:r>
            <w:t>A behavioural economics approach</w:t>
          </w:r>
          <w:r>
            <w:tab/>
          </w:r>
          <w:r>
            <w:fldChar w:fldCharType="begin"/>
          </w:r>
          <w:r>
            <w:instrText xml:space="preserve"> PAGEREF _Toc516822202 \h </w:instrText>
          </w:r>
          <w:r>
            <w:fldChar w:fldCharType="separate"/>
          </w:r>
          <w:r w:rsidR="00B425F8">
            <w:t>10</w:t>
          </w:r>
          <w:r>
            <w:fldChar w:fldCharType="end"/>
          </w:r>
        </w:p>
        <w:p w14:paraId="643D1B2B" w14:textId="77777777" w:rsidR="00776545" w:rsidRDefault="00776545">
          <w:pPr>
            <w:pStyle w:val="TOC1"/>
            <w:rPr>
              <w:rFonts w:eastAsiaTheme="minorEastAsia" w:cstheme="minorBidi"/>
              <w:b w:val="0"/>
              <w:color w:val="auto"/>
              <w:sz w:val="24"/>
              <w:lang w:val="en-US" w:eastAsia="en-US"/>
            </w:rPr>
          </w:pPr>
          <w:r>
            <w:t>What we did</w:t>
          </w:r>
          <w:r>
            <w:tab/>
          </w:r>
          <w:r>
            <w:fldChar w:fldCharType="begin"/>
          </w:r>
          <w:r>
            <w:instrText xml:space="preserve"> PAGEREF _Toc516822203 \h </w:instrText>
          </w:r>
          <w:r>
            <w:fldChar w:fldCharType="separate"/>
          </w:r>
          <w:r w:rsidR="00B425F8">
            <w:t>15</w:t>
          </w:r>
          <w:r>
            <w:fldChar w:fldCharType="end"/>
          </w:r>
        </w:p>
        <w:p w14:paraId="17481DFC" w14:textId="77777777" w:rsidR="00776545" w:rsidRDefault="00776545">
          <w:pPr>
            <w:pStyle w:val="TOC1"/>
            <w:rPr>
              <w:rFonts w:eastAsiaTheme="minorEastAsia" w:cstheme="minorBidi"/>
              <w:b w:val="0"/>
              <w:color w:val="auto"/>
              <w:sz w:val="24"/>
              <w:lang w:val="en-US" w:eastAsia="en-US"/>
            </w:rPr>
          </w:pPr>
          <w:r>
            <w:t>Results</w:t>
          </w:r>
          <w:r>
            <w:tab/>
          </w:r>
          <w:r>
            <w:fldChar w:fldCharType="begin"/>
          </w:r>
          <w:r>
            <w:instrText xml:space="preserve"> PAGEREF _Toc516822204 \h </w:instrText>
          </w:r>
          <w:r>
            <w:fldChar w:fldCharType="separate"/>
          </w:r>
          <w:r w:rsidR="00B425F8">
            <w:t>22</w:t>
          </w:r>
          <w:r>
            <w:fldChar w:fldCharType="end"/>
          </w:r>
        </w:p>
        <w:p w14:paraId="44B30C76" w14:textId="3528D64C" w:rsidR="00776545" w:rsidRDefault="00776545">
          <w:pPr>
            <w:pStyle w:val="TOC1"/>
            <w:rPr>
              <w:rFonts w:eastAsiaTheme="minorEastAsia" w:cstheme="minorBidi"/>
              <w:b w:val="0"/>
              <w:color w:val="auto"/>
              <w:sz w:val="24"/>
              <w:lang w:val="en-US" w:eastAsia="en-US"/>
            </w:rPr>
          </w:pPr>
          <w:r>
            <w:t>Limitations</w:t>
          </w:r>
          <w:r>
            <w:tab/>
          </w:r>
          <w:r>
            <w:fldChar w:fldCharType="begin"/>
          </w:r>
          <w:r>
            <w:instrText xml:space="preserve"> PAGEREF _Toc516822205 \h </w:instrText>
          </w:r>
          <w:r>
            <w:fldChar w:fldCharType="separate"/>
          </w:r>
          <w:r w:rsidR="00B425F8">
            <w:t>27</w:t>
          </w:r>
          <w:r>
            <w:fldChar w:fldCharType="end"/>
          </w:r>
        </w:p>
        <w:p w14:paraId="23F1E263" w14:textId="77777777" w:rsidR="00776545" w:rsidRDefault="00776545">
          <w:pPr>
            <w:pStyle w:val="TOC1"/>
            <w:rPr>
              <w:rFonts w:eastAsiaTheme="minorEastAsia" w:cstheme="minorBidi"/>
              <w:b w:val="0"/>
              <w:color w:val="auto"/>
              <w:sz w:val="24"/>
              <w:lang w:val="en-US" w:eastAsia="en-US"/>
            </w:rPr>
          </w:pPr>
          <w:r>
            <w:t>Discussion and conclusion</w:t>
          </w:r>
          <w:r>
            <w:tab/>
          </w:r>
          <w:r>
            <w:fldChar w:fldCharType="begin"/>
          </w:r>
          <w:r>
            <w:instrText xml:space="preserve"> PAGEREF _Toc516822206 \h </w:instrText>
          </w:r>
          <w:r>
            <w:fldChar w:fldCharType="separate"/>
          </w:r>
          <w:r w:rsidR="00B425F8">
            <w:t>28</w:t>
          </w:r>
          <w:r>
            <w:fldChar w:fldCharType="end"/>
          </w:r>
        </w:p>
        <w:p w14:paraId="1186A970" w14:textId="77777777" w:rsidR="00776545" w:rsidRDefault="00776545">
          <w:pPr>
            <w:pStyle w:val="TOC1"/>
            <w:rPr>
              <w:rFonts w:eastAsiaTheme="minorEastAsia" w:cstheme="minorBidi"/>
              <w:b w:val="0"/>
              <w:color w:val="auto"/>
              <w:sz w:val="24"/>
              <w:lang w:val="en-US" w:eastAsia="en-US"/>
            </w:rPr>
          </w:pPr>
          <w:r>
            <w:t>Appendices</w:t>
          </w:r>
          <w:r>
            <w:tab/>
          </w:r>
          <w:r>
            <w:fldChar w:fldCharType="begin"/>
          </w:r>
          <w:r>
            <w:instrText xml:space="preserve"> PAGEREF _Toc516822207 \h </w:instrText>
          </w:r>
          <w:r>
            <w:fldChar w:fldCharType="separate"/>
          </w:r>
          <w:r w:rsidR="00B425F8">
            <w:t>31</w:t>
          </w:r>
          <w:r>
            <w:fldChar w:fldCharType="end"/>
          </w:r>
        </w:p>
        <w:p w14:paraId="761EED60" w14:textId="77777777" w:rsidR="00776545" w:rsidRDefault="00776545">
          <w:pPr>
            <w:pStyle w:val="TOC2"/>
            <w:rPr>
              <w:rFonts w:eastAsiaTheme="minorEastAsia" w:cstheme="minorBidi"/>
              <w:b w:val="0"/>
              <w:color w:val="auto"/>
              <w:sz w:val="24"/>
              <w:lang w:val="en-US" w:eastAsia="en-US"/>
            </w:rPr>
          </w:pPr>
          <w:r>
            <w:t>Appendix A: Technical details</w:t>
          </w:r>
          <w:r>
            <w:tab/>
          </w:r>
          <w:r>
            <w:fldChar w:fldCharType="begin"/>
          </w:r>
          <w:r>
            <w:instrText xml:space="preserve"> PAGEREF _Toc516822208 \h </w:instrText>
          </w:r>
          <w:r>
            <w:fldChar w:fldCharType="separate"/>
          </w:r>
          <w:r w:rsidR="00B425F8">
            <w:t>31</w:t>
          </w:r>
          <w:r>
            <w:fldChar w:fldCharType="end"/>
          </w:r>
        </w:p>
        <w:p w14:paraId="1B8564DA" w14:textId="77777777" w:rsidR="00776545" w:rsidRDefault="00776545">
          <w:pPr>
            <w:pStyle w:val="TOC2"/>
            <w:rPr>
              <w:rFonts w:eastAsiaTheme="minorEastAsia" w:cstheme="minorBidi"/>
              <w:b w:val="0"/>
              <w:color w:val="auto"/>
              <w:sz w:val="24"/>
              <w:lang w:val="en-US" w:eastAsia="en-US"/>
            </w:rPr>
          </w:pPr>
          <w:r>
            <w:rPr>
              <w:lang w:eastAsia="en-US"/>
            </w:rPr>
            <w:t>Appendix B: Statistical tables</w:t>
          </w:r>
          <w:r>
            <w:tab/>
          </w:r>
          <w:r>
            <w:fldChar w:fldCharType="begin"/>
          </w:r>
          <w:r>
            <w:instrText xml:space="preserve"> PAGEREF _Toc516822209 \h </w:instrText>
          </w:r>
          <w:r>
            <w:fldChar w:fldCharType="separate"/>
          </w:r>
          <w:r w:rsidR="00B425F8">
            <w:t>36</w:t>
          </w:r>
          <w:r>
            <w:fldChar w:fldCharType="end"/>
          </w:r>
        </w:p>
        <w:p w14:paraId="677AC51A" w14:textId="77777777" w:rsidR="00776545" w:rsidRDefault="00776545">
          <w:pPr>
            <w:pStyle w:val="TOC2"/>
            <w:rPr>
              <w:rFonts w:eastAsiaTheme="minorEastAsia" w:cstheme="minorBidi"/>
              <w:b w:val="0"/>
              <w:color w:val="auto"/>
              <w:sz w:val="24"/>
              <w:lang w:val="en-US" w:eastAsia="en-US"/>
            </w:rPr>
          </w:pPr>
          <w:r>
            <w:t>Appendix C: Letters</w:t>
          </w:r>
          <w:r>
            <w:tab/>
          </w:r>
          <w:r>
            <w:fldChar w:fldCharType="begin"/>
          </w:r>
          <w:r>
            <w:instrText xml:space="preserve"> PAGEREF _Toc516822210 \h </w:instrText>
          </w:r>
          <w:r>
            <w:fldChar w:fldCharType="separate"/>
          </w:r>
          <w:r w:rsidR="00B425F8">
            <w:t>43</w:t>
          </w:r>
          <w:r>
            <w:fldChar w:fldCharType="end"/>
          </w:r>
        </w:p>
        <w:p w14:paraId="6BE86257" w14:textId="77777777" w:rsidR="00776545" w:rsidRDefault="00776545">
          <w:pPr>
            <w:pStyle w:val="TOC1"/>
            <w:rPr>
              <w:rFonts w:eastAsiaTheme="minorEastAsia" w:cstheme="minorBidi"/>
              <w:b w:val="0"/>
              <w:color w:val="auto"/>
              <w:sz w:val="24"/>
              <w:lang w:val="en-US" w:eastAsia="en-US"/>
            </w:rPr>
          </w:pPr>
          <w:r>
            <w:t>References</w:t>
          </w:r>
          <w:r>
            <w:tab/>
          </w:r>
          <w:r>
            <w:fldChar w:fldCharType="begin"/>
          </w:r>
          <w:r>
            <w:instrText xml:space="preserve"> PAGEREF _Toc516822211 \h </w:instrText>
          </w:r>
          <w:r>
            <w:fldChar w:fldCharType="separate"/>
          </w:r>
          <w:r w:rsidR="00B425F8">
            <w:t>55</w:t>
          </w:r>
          <w:r>
            <w:fldChar w:fldCharType="end"/>
          </w:r>
        </w:p>
        <w:p w14:paraId="79DDF227" w14:textId="0C8B48E0" w:rsidR="00322B54" w:rsidRDefault="009A5726" w:rsidP="009A5726">
          <w:pPr>
            <w:pStyle w:val="TOC2"/>
          </w:pPr>
          <w:r>
            <w:rPr>
              <w:sz w:val="28"/>
            </w:rPr>
            <w:fldChar w:fldCharType="end"/>
          </w:r>
        </w:p>
      </w:sdtContent>
    </w:sdt>
    <w:p w14:paraId="0247D17D" w14:textId="77777777" w:rsidR="00322B54" w:rsidRDefault="00322B54" w:rsidP="00AA4959">
      <w:pPr>
        <w:pStyle w:val="TOC1"/>
      </w:pPr>
      <w:r>
        <w:br w:type="page"/>
      </w:r>
    </w:p>
    <w:bookmarkEnd w:id="0"/>
    <w:p w14:paraId="2054BDFB" w14:textId="587B2959" w:rsidR="008253C4" w:rsidRDefault="008253C4" w:rsidP="00087D4E">
      <w:pPr>
        <w:rPr>
          <w:b/>
          <w:noProof/>
          <w:color w:val="FFFFFF" w:themeColor="background1"/>
          <w:sz w:val="28"/>
        </w:rPr>
        <w:sectPr w:rsidR="008253C4" w:rsidSect="006D6BBA">
          <w:headerReference w:type="default" r:id="rId18"/>
          <w:footerReference w:type="default" r:id="rId19"/>
          <w:pgSz w:w="11906" w:h="16838" w:code="9"/>
          <w:pgMar w:top="2041" w:right="2381" w:bottom="1701" w:left="1247" w:header="720" w:footer="851" w:gutter="0"/>
          <w:cols w:space="708"/>
          <w:docGrid w:linePitch="360"/>
        </w:sectPr>
      </w:pPr>
    </w:p>
    <w:p w14:paraId="6E0911A2" w14:textId="611351C0" w:rsidR="004B4BC0" w:rsidRDefault="003F129E" w:rsidP="007E5ACB">
      <w:pPr>
        <w:pStyle w:val="Heading1"/>
      </w:pPr>
      <w:bookmarkStart w:id="3" w:name="_Toc513196435"/>
      <w:bookmarkStart w:id="4" w:name="_Toc516822200"/>
      <w:r>
        <w:lastRenderedPageBreak/>
        <w:t xml:space="preserve">Executive </w:t>
      </w:r>
      <w:r w:rsidR="004C2E86">
        <w:t>s</w:t>
      </w:r>
      <w:r>
        <w:t>ummary</w:t>
      </w:r>
      <w:bookmarkEnd w:id="3"/>
      <w:bookmarkEnd w:id="4"/>
    </w:p>
    <w:p w14:paraId="6CF670AE" w14:textId="77777777" w:rsidR="007210D0" w:rsidRPr="008A1F58" w:rsidRDefault="007210D0" w:rsidP="0043441F">
      <w:pPr>
        <w:pStyle w:val="Heading2"/>
        <w:rPr>
          <w:color w:val="2158A8"/>
        </w:rPr>
      </w:pPr>
      <w:r w:rsidRPr="008A1F58">
        <w:rPr>
          <w:color w:val="2158A8"/>
        </w:rPr>
        <w:t>The problem</w:t>
      </w:r>
    </w:p>
    <w:p w14:paraId="17B7116A" w14:textId="073D3B62" w:rsidR="00831965" w:rsidRDefault="00831965" w:rsidP="00831965">
      <w:r w:rsidRPr="00296191">
        <w:t xml:space="preserve">Antimicrobial resistance (AMR) </w:t>
      </w:r>
      <w:r>
        <w:t xml:space="preserve">is one of the biggest threats to human health today. AMR </w:t>
      </w:r>
      <w:r w:rsidRPr="00296191">
        <w:t xml:space="preserve">occurs when </w:t>
      </w:r>
      <w:r>
        <w:t xml:space="preserve">microorganisms, such as </w:t>
      </w:r>
      <w:r w:rsidRPr="00296191">
        <w:t>bacteria</w:t>
      </w:r>
      <w:r>
        <w:t>,</w:t>
      </w:r>
      <w:r w:rsidRPr="00296191">
        <w:t xml:space="preserve"> become resistant to</w:t>
      </w:r>
      <w:r>
        <w:t xml:space="preserve"> an</w:t>
      </w:r>
      <w:r w:rsidRPr="00296191">
        <w:t xml:space="preserve"> antimicrobial medicine</w:t>
      </w:r>
      <w:r>
        <w:t>,</w:t>
      </w:r>
      <w:r w:rsidRPr="00296191">
        <w:t xml:space="preserve"> such as antibiotics</w:t>
      </w:r>
      <w:r>
        <w:t>.</w:t>
      </w:r>
      <w:r w:rsidRPr="00296191">
        <w:t xml:space="preserve"> Resistant infections are more difficult to treat and, in some case</w:t>
      </w:r>
      <w:r w:rsidR="00BD732F">
        <w:t>s</w:t>
      </w:r>
      <w:r w:rsidRPr="00296191">
        <w:t>, untreatable</w:t>
      </w:r>
      <w:r>
        <w:t>. It can affect anyone, of any age, and in any country.</w:t>
      </w:r>
    </w:p>
    <w:p w14:paraId="35B5FE9A" w14:textId="5D413A47" w:rsidR="00831965" w:rsidRPr="007210D0" w:rsidRDefault="00831965" w:rsidP="00831965">
      <w:r>
        <w:t xml:space="preserve">Australians use a lot of antibiotics and this increases the chance for bacteria to develop resistance to antibiotics. </w:t>
      </w:r>
    </w:p>
    <w:p w14:paraId="21F51CB5" w14:textId="77777777" w:rsidR="00831965" w:rsidRPr="00100D65" w:rsidRDefault="00831965" w:rsidP="00831965">
      <w:r>
        <w:t xml:space="preserve">Within Australia, </w:t>
      </w:r>
      <w:r w:rsidRPr="00100D65">
        <w:t xml:space="preserve">General Practitioners (GPs) currently prescribe the greatest portion of antibiotics due to the types of illnesses seen and the large volumes of patients. This makes GPs important partners in efforts to minimise </w:t>
      </w:r>
      <w:r>
        <w:t>AMR</w:t>
      </w:r>
      <w:r w:rsidRPr="00100D65">
        <w:t xml:space="preserve"> by helping limit community prescribing to only those clinical situations where evidence shows antibiotics to be of proven value.</w:t>
      </w:r>
    </w:p>
    <w:p w14:paraId="00D7EA1F" w14:textId="77777777" w:rsidR="007210D0" w:rsidRPr="008A1F58" w:rsidRDefault="00100D65" w:rsidP="0043441F">
      <w:pPr>
        <w:pStyle w:val="Heading2"/>
        <w:rPr>
          <w:color w:val="2158A8"/>
        </w:rPr>
      </w:pPr>
      <w:r w:rsidRPr="008A1F58">
        <w:rPr>
          <w:color w:val="2158A8"/>
        </w:rPr>
        <w:t>What we did</w:t>
      </w:r>
    </w:p>
    <w:p w14:paraId="763D53D7" w14:textId="7CE33D09" w:rsidR="003C39FF" w:rsidRDefault="003C39FF" w:rsidP="003C39FF">
      <w:r>
        <w:t xml:space="preserve">We applied behavioural </w:t>
      </w:r>
      <w:r w:rsidR="0061269B">
        <w:t>insights</w:t>
      </w:r>
      <w:r>
        <w:t xml:space="preserve"> to design </w:t>
      </w:r>
      <w:r w:rsidR="001074AC" w:rsidRPr="007B0642">
        <w:rPr>
          <w:rFonts w:cs="Arial"/>
        </w:rPr>
        <w:t xml:space="preserve">letters </w:t>
      </w:r>
      <w:r w:rsidR="001074AC">
        <w:rPr>
          <w:rFonts w:cs="Arial"/>
        </w:rPr>
        <w:t xml:space="preserve">sent by </w:t>
      </w:r>
      <w:r w:rsidR="00831965">
        <w:rPr>
          <w:rFonts w:cs="Arial"/>
        </w:rPr>
        <w:t>the Australia</w:t>
      </w:r>
      <w:r w:rsidR="00D00026">
        <w:rPr>
          <w:rFonts w:cs="Arial"/>
        </w:rPr>
        <w:t>n</w:t>
      </w:r>
      <w:r w:rsidR="00831965">
        <w:rPr>
          <w:rFonts w:cs="Arial"/>
        </w:rPr>
        <w:t xml:space="preserve"> Government’s</w:t>
      </w:r>
      <w:r w:rsidR="008E5D8A" w:rsidRPr="007B0642">
        <w:rPr>
          <w:rFonts w:cs="Arial"/>
        </w:rPr>
        <w:t xml:space="preserve"> </w:t>
      </w:r>
      <w:r w:rsidR="001074AC" w:rsidRPr="007B0642">
        <w:rPr>
          <w:rFonts w:cs="Arial"/>
        </w:rPr>
        <w:t>Chief Medical Officer (CMO) to high</w:t>
      </w:r>
      <w:r w:rsidR="001074AC" w:rsidRPr="007B0642">
        <w:rPr>
          <w:rFonts w:cs="Arial"/>
        </w:rPr>
        <w:noBreakHyphen/>
        <w:t>prescribing GPs</w:t>
      </w:r>
      <w:r w:rsidRPr="007B0642">
        <w:rPr>
          <w:rFonts w:cs="Arial"/>
        </w:rPr>
        <w:t>.</w:t>
      </w:r>
      <w:r>
        <w:rPr>
          <w:rFonts w:cs="Arial"/>
        </w:rPr>
        <w:t xml:space="preserve"> </w:t>
      </w:r>
      <w:r>
        <w:t>In particular, we use</w:t>
      </w:r>
      <w:r w:rsidR="00B43729">
        <w:t>d</w:t>
      </w:r>
      <w:r>
        <w:t xml:space="preserve"> peer comparison by comparing GPs’ </w:t>
      </w:r>
      <w:r w:rsidRPr="00401F23">
        <w:t xml:space="preserve">prescribing rates </w:t>
      </w:r>
      <w:r>
        <w:t xml:space="preserve">with those of </w:t>
      </w:r>
      <w:r w:rsidRPr="00401F23">
        <w:t>other GPs in their region</w:t>
      </w:r>
      <w:r>
        <w:t>.</w:t>
      </w:r>
    </w:p>
    <w:p w14:paraId="5BB323E0" w14:textId="4019FBCF" w:rsidR="0002783D" w:rsidRDefault="003C39FF" w:rsidP="00196826">
      <w:r>
        <w:t>W</w:t>
      </w:r>
      <w:r w:rsidR="003363B4">
        <w:t xml:space="preserve">e </w:t>
      </w:r>
      <w:r w:rsidR="003363B4" w:rsidRPr="00100D65">
        <w:t xml:space="preserve">undertook a </w:t>
      </w:r>
      <w:r w:rsidR="00B43729">
        <w:t>r</w:t>
      </w:r>
      <w:r w:rsidR="003363B4" w:rsidRPr="00100D65">
        <w:t xml:space="preserve">andomised </w:t>
      </w:r>
      <w:r w:rsidR="00B43729">
        <w:t>c</w:t>
      </w:r>
      <w:r w:rsidR="003363B4" w:rsidRPr="00100D65">
        <w:t xml:space="preserve">ontrolled </w:t>
      </w:r>
      <w:r w:rsidR="00B43729">
        <w:t>t</w:t>
      </w:r>
      <w:r w:rsidR="003363B4" w:rsidRPr="00100D65">
        <w:t xml:space="preserve">rial (RCT) </w:t>
      </w:r>
      <w:r w:rsidR="001074AC">
        <w:t xml:space="preserve">involving 6,649 GPs </w:t>
      </w:r>
      <w:r>
        <w:t xml:space="preserve">to test </w:t>
      </w:r>
      <w:r w:rsidR="001074AC">
        <w:t>the impact of our letters</w:t>
      </w:r>
      <w:r w:rsidR="003363B4" w:rsidRPr="00100D65">
        <w:t xml:space="preserve">. </w:t>
      </w:r>
      <w:r>
        <w:t xml:space="preserve">Just as </w:t>
      </w:r>
      <w:r w:rsidR="00734C86">
        <w:t>RCTs are regarded as the ‘gold standard’ for testing clinical interventions</w:t>
      </w:r>
      <w:r>
        <w:t>, they are</w:t>
      </w:r>
      <w:r w:rsidR="00734C86">
        <w:t xml:space="preserve"> increasingly being used to determine what works in public policy. </w:t>
      </w:r>
    </w:p>
    <w:p w14:paraId="3AB351DE" w14:textId="3EE36C27" w:rsidR="00204641" w:rsidRDefault="003363B4" w:rsidP="003363B4">
      <w:r>
        <w:t xml:space="preserve">As part of </w:t>
      </w:r>
      <w:r w:rsidR="00734C86">
        <w:t>our</w:t>
      </w:r>
      <w:r>
        <w:t xml:space="preserve"> RCT, </w:t>
      </w:r>
      <w:r w:rsidR="008E5D8A">
        <w:t xml:space="preserve">the </w:t>
      </w:r>
      <w:r>
        <w:t>CMO wrote to GPs whose prescribing rates were in the top 30 per</w:t>
      </w:r>
      <w:r w:rsidR="001074AC">
        <w:t> </w:t>
      </w:r>
      <w:r>
        <w:t>cent for their region</w:t>
      </w:r>
      <w:r w:rsidR="003C39FF">
        <w:t xml:space="preserve">. </w:t>
      </w:r>
      <w:r>
        <w:rPr>
          <w:rFonts w:cs="Arial"/>
        </w:rPr>
        <w:t xml:space="preserve">The letters </w:t>
      </w:r>
      <w:r w:rsidR="006316FD">
        <w:rPr>
          <w:rFonts w:cs="Arial"/>
        </w:rPr>
        <w:t xml:space="preserve">aimed </w:t>
      </w:r>
      <w:r>
        <w:rPr>
          <w:rFonts w:cs="Arial"/>
        </w:rPr>
        <w:t xml:space="preserve">to </w:t>
      </w:r>
      <w:r w:rsidRPr="007B0642">
        <w:rPr>
          <w:rFonts w:cs="Arial"/>
        </w:rPr>
        <w:t>prompt</w:t>
      </w:r>
      <w:r>
        <w:rPr>
          <w:rFonts w:cs="Arial"/>
        </w:rPr>
        <w:t xml:space="preserve"> GPs </w:t>
      </w:r>
      <w:r w:rsidRPr="007B0642">
        <w:rPr>
          <w:rFonts w:cs="Arial"/>
        </w:rPr>
        <w:t>to reflect on whether there were opportunities to reduce prescribing where appropriate and safe.</w:t>
      </w:r>
      <w:r>
        <w:rPr>
          <w:rFonts w:cs="Arial"/>
        </w:rPr>
        <w:t xml:space="preserve"> </w:t>
      </w:r>
      <w:r>
        <w:t xml:space="preserve">The letters were sent on </w:t>
      </w:r>
      <w:r w:rsidR="00AD6E76">
        <w:t>9 </w:t>
      </w:r>
      <w:r>
        <w:t xml:space="preserve">June 2017, just before the rapid increase in prescribing </w:t>
      </w:r>
      <w:r w:rsidR="00036F57">
        <w:t>which</w:t>
      </w:r>
      <w:r>
        <w:t xml:space="preserve"> occurs during the cold and flu season.</w:t>
      </w:r>
    </w:p>
    <w:p w14:paraId="5E10B07A" w14:textId="77777777" w:rsidR="00CF3C64" w:rsidRDefault="00CF3C64">
      <w:pPr>
        <w:spacing w:before="0" w:after="0" w:line="240" w:lineRule="auto"/>
      </w:pPr>
      <w:r>
        <w:br w:type="page"/>
      </w:r>
    </w:p>
    <w:p w14:paraId="0C5882B9" w14:textId="30238777" w:rsidR="00100D65" w:rsidRDefault="00100D65" w:rsidP="00100D65">
      <w:r>
        <w:lastRenderedPageBreak/>
        <w:t xml:space="preserve">GPs received </w:t>
      </w:r>
      <w:r w:rsidR="003C39FF">
        <w:t xml:space="preserve">one of four </w:t>
      </w:r>
      <w:r>
        <w:t>different versions of the letter</w:t>
      </w:r>
      <w:r w:rsidR="009F21DE">
        <w:t xml:space="preserve"> from the CMO</w:t>
      </w:r>
      <w:r>
        <w:t>:</w:t>
      </w:r>
    </w:p>
    <w:p w14:paraId="3A9BBB37" w14:textId="711B1219" w:rsidR="00100D65" w:rsidRPr="001215E8" w:rsidRDefault="008617E8" w:rsidP="00FE4030">
      <w:pPr>
        <w:pStyle w:val="ListParagraph"/>
        <w:numPr>
          <w:ilvl w:val="0"/>
          <w:numId w:val="6"/>
        </w:numPr>
        <w:rPr>
          <w:rFonts w:cs="Arial"/>
        </w:rPr>
      </w:pPr>
      <w:r w:rsidRPr="00EB3D07">
        <w:rPr>
          <w:rFonts w:cs="Arial"/>
          <w:b/>
        </w:rPr>
        <w:t>E</w:t>
      </w:r>
      <w:r w:rsidR="00100D65" w:rsidRPr="00EB3D07">
        <w:rPr>
          <w:rFonts w:cs="Arial"/>
          <w:b/>
        </w:rPr>
        <w:t>ducation-only</w:t>
      </w:r>
      <w:r w:rsidR="00100D65" w:rsidRPr="002076F4">
        <w:rPr>
          <w:rFonts w:cs="Arial"/>
          <w:b/>
        </w:rPr>
        <w:t xml:space="preserve"> </w:t>
      </w:r>
      <w:r w:rsidR="00100D65" w:rsidRPr="002076F4">
        <w:rPr>
          <w:rFonts w:cs="Arial"/>
        </w:rPr>
        <w:t>letter c</w:t>
      </w:r>
      <w:r w:rsidR="00100D65" w:rsidRPr="001215E8">
        <w:rPr>
          <w:rFonts w:cs="Arial"/>
        </w:rPr>
        <w:t>ontain</w:t>
      </w:r>
      <w:r w:rsidR="00ED6FAB">
        <w:rPr>
          <w:rFonts w:cs="Arial"/>
        </w:rPr>
        <w:t>ing</w:t>
      </w:r>
      <w:r w:rsidR="00100D65" w:rsidRPr="001215E8">
        <w:rPr>
          <w:rFonts w:cs="Arial"/>
        </w:rPr>
        <w:t xml:space="preserve"> the us</w:t>
      </w:r>
      <w:r w:rsidR="00734C86">
        <w:rPr>
          <w:rFonts w:cs="Arial"/>
        </w:rPr>
        <w:t>ual education messages about AMR, antibiotic</w:t>
      </w:r>
      <w:r w:rsidR="00100D65" w:rsidRPr="001215E8">
        <w:rPr>
          <w:rFonts w:cs="Arial"/>
        </w:rPr>
        <w:t xml:space="preserve"> prescribing and two National Prescribing Service (NPS) posters.</w:t>
      </w:r>
    </w:p>
    <w:p w14:paraId="0369F5D1" w14:textId="1AE5E633" w:rsidR="00100D65" w:rsidRPr="001215E8" w:rsidRDefault="008617E8" w:rsidP="00FE4030">
      <w:pPr>
        <w:pStyle w:val="ListParagraph"/>
        <w:numPr>
          <w:ilvl w:val="0"/>
          <w:numId w:val="6"/>
        </w:numPr>
        <w:rPr>
          <w:rFonts w:cs="Arial"/>
        </w:rPr>
      </w:pPr>
      <w:r w:rsidRPr="00EB3D07">
        <w:rPr>
          <w:rFonts w:cs="Arial"/>
          <w:b/>
        </w:rPr>
        <w:t>E</w:t>
      </w:r>
      <w:r w:rsidR="0096784A" w:rsidRPr="00EB3D07">
        <w:rPr>
          <w:rFonts w:cs="Arial"/>
          <w:b/>
        </w:rPr>
        <w:t xml:space="preserve">ducation </w:t>
      </w:r>
      <w:r w:rsidR="00855FB3" w:rsidRPr="00EB3D07">
        <w:rPr>
          <w:rFonts w:cs="Arial"/>
          <w:b/>
        </w:rPr>
        <w:t xml:space="preserve">with </w:t>
      </w:r>
      <w:r w:rsidR="00D7656C" w:rsidRPr="00EB3D07">
        <w:rPr>
          <w:rFonts w:cs="Arial"/>
          <w:b/>
        </w:rPr>
        <w:t>peer comparison</w:t>
      </w:r>
      <w:r w:rsidR="00100D65" w:rsidRPr="002076F4">
        <w:rPr>
          <w:rFonts w:cs="Arial"/>
          <w:b/>
        </w:rPr>
        <w:t xml:space="preserve"> </w:t>
      </w:r>
      <w:r w:rsidR="009F21DE">
        <w:rPr>
          <w:rFonts w:cs="Arial"/>
        </w:rPr>
        <w:t xml:space="preserve">letter </w:t>
      </w:r>
      <w:r w:rsidR="00100D65" w:rsidRPr="001215E8">
        <w:rPr>
          <w:rFonts w:cs="Arial"/>
        </w:rPr>
        <w:t>includ</w:t>
      </w:r>
      <w:r w:rsidR="00ED6FAB">
        <w:rPr>
          <w:rFonts w:cs="Arial"/>
        </w:rPr>
        <w:t>ing</w:t>
      </w:r>
      <w:r w:rsidR="00100D65" w:rsidRPr="001215E8">
        <w:rPr>
          <w:rFonts w:cs="Arial"/>
        </w:rPr>
        <w:t xml:space="preserve"> </w:t>
      </w:r>
      <w:r w:rsidR="003C39FF">
        <w:rPr>
          <w:rFonts w:cs="Arial"/>
        </w:rPr>
        <w:t xml:space="preserve">the </w:t>
      </w:r>
      <w:r w:rsidR="0061269B">
        <w:rPr>
          <w:rFonts w:cs="Arial"/>
        </w:rPr>
        <w:t xml:space="preserve">same </w:t>
      </w:r>
      <w:r w:rsidR="003C39FF">
        <w:rPr>
          <w:rFonts w:cs="Arial"/>
        </w:rPr>
        <w:t xml:space="preserve">education information </w:t>
      </w:r>
      <w:r w:rsidR="0061269B">
        <w:rPr>
          <w:rFonts w:cs="Arial"/>
        </w:rPr>
        <w:t xml:space="preserve">as the </w:t>
      </w:r>
      <w:r w:rsidR="0061269B">
        <w:rPr>
          <w:rFonts w:cs="Arial"/>
          <w:i/>
        </w:rPr>
        <w:t xml:space="preserve">education-only </w:t>
      </w:r>
      <w:r w:rsidR="0061269B">
        <w:rPr>
          <w:rFonts w:cs="Arial"/>
        </w:rPr>
        <w:t xml:space="preserve">letter </w:t>
      </w:r>
      <w:r w:rsidR="003C39FF">
        <w:rPr>
          <w:rFonts w:cs="Arial"/>
        </w:rPr>
        <w:t xml:space="preserve">and </w:t>
      </w:r>
      <w:r w:rsidR="00100D65" w:rsidRPr="001215E8">
        <w:rPr>
          <w:rFonts w:cs="Arial"/>
        </w:rPr>
        <w:t>a tagline providing the GP with their prescribing rate compared to peer</w:t>
      </w:r>
      <w:r w:rsidR="003C39FF">
        <w:rPr>
          <w:rFonts w:cs="Arial"/>
        </w:rPr>
        <w:t>s</w:t>
      </w:r>
      <w:r w:rsidR="00100D65" w:rsidRPr="001215E8">
        <w:rPr>
          <w:rFonts w:cs="Arial"/>
        </w:rPr>
        <w:t xml:space="preserve"> in their region.</w:t>
      </w:r>
    </w:p>
    <w:p w14:paraId="1307F552" w14:textId="69168B48" w:rsidR="00100D65" w:rsidRPr="001F0BA6" w:rsidRDefault="008617E8" w:rsidP="00FE4030">
      <w:pPr>
        <w:pStyle w:val="ListParagraph"/>
        <w:numPr>
          <w:ilvl w:val="0"/>
          <w:numId w:val="11"/>
        </w:numPr>
        <w:jc w:val="both"/>
        <w:rPr>
          <w:rFonts w:cs="Arial"/>
        </w:rPr>
      </w:pPr>
      <w:r w:rsidRPr="00EB3D07">
        <w:rPr>
          <w:rFonts w:cs="Arial"/>
          <w:b/>
        </w:rPr>
        <w:t>P</w:t>
      </w:r>
      <w:r w:rsidR="00D7656C" w:rsidRPr="00EB3D07">
        <w:rPr>
          <w:rFonts w:cs="Arial"/>
          <w:b/>
        </w:rPr>
        <w:t>eer comparison</w:t>
      </w:r>
      <w:r w:rsidR="00100D65" w:rsidRPr="00EB3D07">
        <w:rPr>
          <w:rFonts w:cs="Arial"/>
          <w:b/>
        </w:rPr>
        <w:t xml:space="preserve"> </w:t>
      </w:r>
      <w:r w:rsidR="00855FB3" w:rsidRPr="00EB3D07">
        <w:rPr>
          <w:rFonts w:cs="Arial"/>
          <w:b/>
        </w:rPr>
        <w:t xml:space="preserve">with </w:t>
      </w:r>
      <w:r w:rsidR="003F31E9" w:rsidRPr="00EB3D07">
        <w:rPr>
          <w:rFonts w:cs="Arial"/>
          <w:b/>
        </w:rPr>
        <w:t>graph</w:t>
      </w:r>
      <w:r w:rsidR="009F21DE" w:rsidRPr="002076F4">
        <w:rPr>
          <w:rFonts w:cs="Arial"/>
        </w:rPr>
        <w:t xml:space="preserve"> </w:t>
      </w:r>
      <w:r w:rsidR="009F21DE" w:rsidRPr="001F0BA6">
        <w:rPr>
          <w:rFonts w:cs="Arial"/>
        </w:rPr>
        <w:t>letter</w:t>
      </w:r>
      <w:r w:rsidR="00100D65" w:rsidRPr="001F0BA6">
        <w:rPr>
          <w:rFonts w:cs="Arial"/>
        </w:rPr>
        <w:t xml:space="preserve"> includ</w:t>
      </w:r>
      <w:r w:rsidR="00ED6FAB" w:rsidRPr="001F0BA6">
        <w:rPr>
          <w:rFonts w:cs="Arial"/>
        </w:rPr>
        <w:t>ing</w:t>
      </w:r>
      <w:r w:rsidR="00100D65" w:rsidRPr="001F0BA6">
        <w:rPr>
          <w:rFonts w:cs="Arial"/>
        </w:rPr>
        <w:t xml:space="preserve"> the </w:t>
      </w:r>
      <w:r w:rsidR="003C39FF" w:rsidRPr="001F0BA6">
        <w:rPr>
          <w:rFonts w:cs="Arial"/>
        </w:rPr>
        <w:t xml:space="preserve">peer comparison </w:t>
      </w:r>
      <w:r w:rsidR="00100D65" w:rsidRPr="001F0BA6">
        <w:rPr>
          <w:rFonts w:cs="Arial"/>
        </w:rPr>
        <w:t>tagline along with a visual</w:t>
      </w:r>
      <w:r w:rsidR="009F21DE" w:rsidRPr="001F0BA6">
        <w:rPr>
          <w:rFonts w:cs="Arial"/>
        </w:rPr>
        <w:t xml:space="preserve"> attention-grabbing</w:t>
      </w:r>
      <w:r w:rsidR="00100D65" w:rsidRPr="001F0BA6">
        <w:rPr>
          <w:rFonts w:cs="Arial"/>
        </w:rPr>
        <w:t xml:space="preserve"> graph.</w:t>
      </w:r>
    </w:p>
    <w:p w14:paraId="335B0C94" w14:textId="168298B0" w:rsidR="009F21DE" w:rsidRPr="009F21DE" w:rsidRDefault="008617E8" w:rsidP="00FE4030">
      <w:pPr>
        <w:pStyle w:val="ListParagraph"/>
        <w:numPr>
          <w:ilvl w:val="0"/>
          <w:numId w:val="6"/>
        </w:numPr>
        <w:rPr>
          <w:rFonts w:cs="Arial"/>
        </w:rPr>
      </w:pPr>
      <w:r w:rsidRPr="00EB3D07">
        <w:rPr>
          <w:rFonts w:cs="Arial"/>
          <w:b/>
        </w:rPr>
        <w:t>P</w:t>
      </w:r>
      <w:r w:rsidR="00D7656C" w:rsidRPr="00EB3D07">
        <w:rPr>
          <w:rFonts w:cs="Arial"/>
          <w:b/>
        </w:rPr>
        <w:t>eer comparison</w:t>
      </w:r>
      <w:r w:rsidR="009F21DE" w:rsidRPr="00EB3D07">
        <w:rPr>
          <w:rFonts w:cs="Arial"/>
          <w:b/>
        </w:rPr>
        <w:t xml:space="preserve"> </w:t>
      </w:r>
      <w:r w:rsidR="00D0643D" w:rsidRPr="00EB3D07">
        <w:rPr>
          <w:rFonts w:cs="Arial"/>
          <w:b/>
        </w:rPr>
        <w:t>with</w:t>
      </w:r>
      <w:r w:rsidR="0096784A" w:rsidRPr="00EB3D07">
        <w:rPr>
          <w:rFonts w:cs="Arial"/>
          <w:b/>
        </w:rPr>
        <w:t xml:space="preserve"> </w:t>
      </w:r>
      <w:r w:rsidR="009F21DE" w:rsidRPr="00EB3D07">
        <w:rPr>
          <w:rFonts w:cs="Arial"/>
          <w:b/>
        </w:rPr>
        <w:t>delayed prescribing</w:t>
      </w:r>
      <w:r w:rsidR="009F21DE" w:rsidRPr="009F21DE">
        <w:rPr>
          <w:rFonts w:cs="Arial"/>
        </w:rPr>
        <w:t xml:space="preserve"> </w:t>
      </w:r>
      <w:r w:rsidR="009F21DE">
        <w:rPr>
          <w:rFonts w:cs="Arial"/>
        </w:rPr>
        <w:t xml:space="preserve">letter </w:t>
      </w:r>
      <w:r w:rsidR="009F21DE" w:rsidRPr="009F21DE">
        <w:rPr>
          <w:rFonts w:cs="Arial"/>
        </w:rPr>
        <w:t>includ</w:t>
      </w:r>
      <w:r w:rsidR="00ED6FAB">
        <w:rPr>
          <w:rFonts w:cs="Arial"/>
        </w:rPr>
        <w:t>ing</w:t>
      </w:r>
      <w:r w:rsidR="009F21DE" w:rsidRPr="009F21DE">
        <w:rPr>
          <w:rFonts w:cs="Arial"/>
        </w:rPr>
        <w:t xml:space="preserve"> the </w:t>
      </w:r>
      <w:r w:rsidR="004A7590">
        <w:rPr>
          <w:rFonts w:cs="Arial"/>
        </w:rPr>
        <w:t xml:space="preserve">peer comparison </w:t>
      </w:r>
      <w:r w:rsidR="009F21DE">
        <w:rPr>
          <w:rFonts w:cs="Arial"/>
        </w:rPr>
        <w:t>tagline</w:t>
      </w:r>
      <w:r w:rsidR="009F21DE" w:rsidRPr="009F21DE">
        <w:rPr>
          <w:rFonts w:cs="Arial"/>
        </w:rPr>
        <w:t xml:space="preserve"> with </w:t>
      </w:r>
      <w:r w:rsidR="003C39FF">
        <w:rPr>
          <w:rFonts w:cs="Arial"/>
        </w:rPr>
        <w:t xml:space="preserve">delayed </w:t>
      </w:r>
      <w:r w:rsidR="009F21DE" w:rsidRPr="009F21DE">
        <w:rPr>
          <w:rFonts w:cs="Arial"/>
        </w:rPr>
        <w:t xml:space="preserve">prescribing </w:t>
      </w:r>
      <w:r w:rsidR="003C39FF">
        <w:rPr>
          <w:rFonts w:cs="Arial"/>
        </w:rPr>
        <w:t xml:space="preserve">material </w:t>
      </w:r>
      <w:r w:rsidR="009F21DE" w:rsidRPr="009F21DE">
        <w:rPr>
          <w:rFonts w:cs="Arial"/>
        </w:rPr>
        <w:t>(stickers and the NPS’s action plan for managing respiratory tract infections).</w:t>
      </w:r>
    </w:p>
    <w:p w14:paraId="259529A9" w14:textId="38DDFDA0" w:rsidR="00100D65" w:rsidRPr="008A1F58" w:rsidRDefault="009F21DE" w:rsidP="00503187">
      <w:pPr>
        <w:pStyle w:val="Heading2"/>
        <w:rPr>
          <w:color w:val="2158A8"/>
        </w:rPr>
      </w:pPr>
      <w:r w:rsidRPr="008A1F58">
        <w:rPr>
          <w:color w:val="2158A8"/>
        </w:rPr>
        <w:t>What we found</w:t>
      </w:r>
    </w:p>
    <w:p w14:paraId="666BEFB1" w14:textId="01F9BF91" w:rsidR="009F21DE" w:rsidDel="00E54283" w:rsidRDefault="009F21DE" w:rsidP="009F21DE">
      <w:r w:rsidDel="00E54283">
        <w:t>Overall</w:t>
      </w:r>
      <w:r w:rsidRPr="009F21DE" w:rsidDel="00E54283">
        <w:t xml:space="preserve">, </w:t>
      </w:r>
      <w:r w:rsidR="00D7656C">
        <w:t xml:space="preserve">we estimate </w:t>
      </w:r>
      <w:r w:rsidR="00512A22">
        <w:t>that</w:t>
      </w:r>
      <w:r w:rsidRPr="009F21DE">
        <w:t xml:space="preserve"> </w:t>
      </w:r>
      <w:r w:rsidR="00512A22" w:rsidRPr="009F21DE" w:rsidDel="00E54283">
        <w:t xml:space="preserve">126,352 </w:t>
      </w:r>
      <w:r w:rsidR="00512A22">
        <w:t xml:space="preserve">fewer </w:t>
      </w:r>
      <w:r w:rsidRPr="009F21DE" w:rsidDel="00E54283">
        <w:t xml:space="preserve">scripts </w:t>
      </w:r>
      <w:r w:rsidR="00512A22">
        <w:t xml:space="preserve">were </w:t>
      </w:r>
      <w:r w:rsidRPr="009F21DE" w:rsidDel="00E54283">
        <w:t xml:space="preserve">filled over the six-month period </w:t>
      </w:r>
      <w:r w:rsidR="00512A22">
        <w:t>as a result of the letters</w:t>
      </w:r>
      <w:r w:rsidRPr="009F21DE" w:rsidDel="00E54283">
        <w:t xml:space="preserve">. </w:t>
      </w:r>
    </w:p>
    <w:p w14:paraId="55D73516" w14:textId="35B8FCC5" w:rsidR="00512A22" w:rsidRDefault="002803AC" w:rsidP="009F21DE">
      <w:r>
        <w:t>The</w:t>
      </w:r>
      <w:r w:rsidR="0050251A">
        <w:t xml:space="preserve"> three</w:t>
      </w:r>
      <w:r>
        <w:t xml:space="preserve"> l</w:t>
      </w:r>
      <w:r w:rsidR="000A3A03" w:rsidRPr="000A3A03">
        <w:t xml:space="preserve">etters containing </w:t>
      </w:r>
      <w:r w:rsidR="00CC0CE3">
        <w:t>peer comparison information</w:t>
      </w:r>
      <w:r w:rsidR="00512A22">
        <w:t xml:space="preserve"> outperformed the </w:t>
      </w:r>
      <w:r w:rsidR="00512A22" w:rsidRPr="00796EE6">
        <w:t>education</w:t>
      </w:r>
      <w:r w:rsidR="0050251A" w:rsidRPr="00796EE6">
        <w:t>-only</w:t>
      </w:r>
      <w:r w:rsidR="00512A22">
        <w:t xml:space="preserve"> letter, and resulted in a</w:t>
      </w:r>
      <w:r w:rsidR="000A3A03" w:rsidRPr="000A3A03">
        <w:t xml:space="preserve"> substantial </w:t>
      </w:r>
      <w:r w:rsidR="00512A22" w:rsidRPr="000A3A03">
        <w:t>reduc</w:t>
      </w:r>
      <w:r w:rsidR="00512A22">
        <w:t xml:space="preserve">tion in </w:t>
      </w:r>
      <w:r w:rsidR="00512A22" w:rsidRPr="000A3A03">
        <w:t>prescription</w:t>
      </w:r>
      <w:r w:rsidR="000A3A03" w:rsidRPr="000A3A03">
        <w:t xml:space="preserve"> rates</w:t>
      </w:r>
      <w:r w:rsidR="00512A22">
        <w:t>.</w:t>
      </w:r>
      <w:r w:rsidR="000A3A03" w:rsidRPr="000A3A03">
        <w:t xml:space="preserve"> </w:t>
      </w:r>
      <w:r w:rsidR="000A3A03">
        <w:t>Compared to</w:t>
      </w:r>
      <w:r w:rsidR="00F52148">
        <w:t xml:space="preserve"> GPs who did not receive a letter</w:t>
      </w:r>
      <w:r w:rsidR="000A3A03">
        <w:t>, t</w:t>
      </w:r>
      <w:r w:rsidR="000A3A03" w:rsidRPr="0065061F">
        <w:t xml:space="preserve">he </w:t>
      </w:r>
      <w:r w:rsidR="00CC0CE3">
        <w:t>peer comparison</w:t>
      </w:r>
      <w:r w:rsidR="000A3A03" w:rsidRPr="0065061F">
        <w:t xml:space="preserve"> letters resulted in a 9.</w:t>
      </w:r>
      <w:r w:rsidR="00100B46">
        <w:t>3</w:t>
      </w:r>
      <w:r w:rsidR="000A3A03" w:rsidRPr="0065061F">
        <w:t xml:space="preserve"> to 12.</w:t>
      </w:r>
      <w:r w:rsidR="00100B46">
        <w:t>3</w:t>
      </w:r>
      <w:r w:rsidR="000A3A03" w:rsidRPr="0065061F">
        <w:t xml:space="preserve"> per</w:t>
      </w:r>
      <w:r w:rsidR="00E5121D">
        <w:t> </w:t>
      </w:r>
      <w:r w:rsidR="000A3A03" w:rsidRPr="0065061F">
        <w:t>cent reduction in prescri</w:t>
      </w:r>
      <w:r w:rsidR="00FE2904">
        <w:t>ption</w:t>
      </w:r>
      <w:r w:rsidR="000A3A03" w:rsidRPr="0065061F">
        <w:t xml:space="preserve"> rates over </w:t>
      </w:r>
      <w:r w:rsidR="000A3A03">
        <w:t>six</w:t>
      </w:r>
      <w:r w:rsidR="000A3A03" w:rsidRPr="0065061F">
        <w:t xml:space="preserve"> months.</w:t>
      </w:r>
      <w:r w:rsidR="000A3A03">
        <w:t xml:space="preserve"> </w:t>
      </w:r>
      <w:r w:rsidR="009658EA">
        <w:t>In comparison</w:t>
      </w:r>
      <w:r w:rsidR="00734C86">
        <w:t>,</w:t>
      </w:r>
      <w:r w:rsidR="00512A22">
        <w:t xml:space="preserve"> the </w:t>
      </w:r>
      <w:r w:rsidR="00512A22" w:rsidRPr="00734C86">
        <w:rPr>
          <w:i/>
        </w:rPr>
        <w:t>education</w:t>
      </w:r>
      <w:r w:rsidR="00734C86" w:rsidRPr="00734C86">
        <w:rPr>
          <w:i/>
        </w:rPr>
        <w:t>-only</w:t>
      </w:r>
      <w:r w:rsidR="009658EA">
        <w:t xml:space="preserve"> letter reduced antibiotic prescriptions by 3.2 per cent over six months.</w:t>
      </w:r>
    </w:p>
    <w:p w14:paraId="6658E115" w14:textId="056C62E9" w:rsidR="00D57A29" w:rsidRDefault="003C39FF" w:rsidP="00196826">
      <w:pPr>
        <w:rPr>
          <w:b/>
        </w:rPr>
      </w:pPr>
      <w:r>
        <w:t xml:space="preserve">The </w:t>
      </w:r>
      <w:r w:rsidRPr="003C39FF">
        <w:rPr>
          <w:i/>
        </w:rPr>
        <w:t xml:space="preserve">peer comparison </w:t>
      </w:r>
      <w:r w:rsidR="00E62BDB">
        <w:rPr>
          <w:i/>
        </w:rPr>
        <w:t>with</w:t>
      </w:r>
      <w:r w:rsidRPr="003C39FF">
        <w:rPr>
          <w:i/>
        </w:rPr>
        <w:t xml:space="preserve"> graph</w:t>
      </w:r>
      <w:r>
        <w:t xml:space="preserve"> performed best</w:t>
      </w:r>
      <w:r w:rsidR="0065061F">
        <w:t>. This letter reduced prescri</w:t>
      </w:r>
      <w:r w:rsidR="00FE2904">
        <w:t>ption</w:t>
      </w:r>
      <w:r w:rsidR="0065061F">
        <w:t xml:space="preserve"> rates by 12.</w:t>
      </w:r>
      <w:r w:rsidR="00100B46">
        <w:t>3 </w:t>
      </w:r>
      <w:r w:rsidR="0065061F">
        <w:t>per</w:t>
      </w:r>
      <w:r w:rsidR="00E5121D">
        <w:t> </w:t>
      </w:r>
      <w:r w:rsidR="0065061F">
        <w:t>cent over the six-month period, and by 14.6 per</w:t>
      </w:r>
      <w:r w:rsidR="00E5121D">
        <w:t> </w:t>
      </w:r>
      <w:r w:rsidR="0065061F">
        <w:t>cent in the best performing month.</w:t>
      </w:r>
    </w:p>
    <w:p w14:paraId="5ADFC6FC" w14:textId="77777777" w:rsidR="00F5776E" w:rsidRPr="000F5351" w:rsidRDefault="00F5776E" w:rsidP="000F5351">
      <w:pPr>
        <w:pStyle w:val="Heading30"/>
      </w:pPr>
      <w:r w:rsidRPr="000F5351">
        <w:t>Main findings for six months combined (prescription rates)</w:t>
      </w:r>
    </w:p>
    <w:p w14:paraId="55E18684" w14:textId="7F3493E9" w:rsidR="00F5776E" w:rsidRDefault="001A6C37" w:rsidP="00F5776E">
      <w:r>
        <w:rPr>
          <w:noProof/>
        </w:rPr>
        <w:drawing>
          <wp:inline distT="0" distB="0" distL="0" distR="0" wp14:anchorId="1CFC5DDB" wp14:editId="1FC8342C">
            <wp:extent cx="5932170" cy="3182620"/>
            <wp:effectExtent l="0" t="0" r="0" b="0"/>
            <wp:docPr id="17" name="Picture 17"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1A7BA4D0" w14:textId="77777777" w:rsidR="0065061F" w:rsidRPr="008A1F58" w:rsidRDefault="0065061F" w:rsidP="00503187">
      <w:pPr>
        <w:pStyle w:val="Heading2"/>
        <w:rPr>
          <w:color w:val="2158A8"/>
        </w:rPr>
      </w:pPr>
      <w:r w:rsidRPr="008A1F58">
        <w:rPr>
          <w:color w:val="2158A8"/>
        </w:rPr>
        <w:lastRenderedPageBreak/>
        <w:t>Conclusion</w:t>
      </w:r>
    </w:p>
    <w:p w14:paraId="146E719E" w14:textId="29A0BFE6" w:rsidR="00273FCB" w:rsidRDefault="0065061F" w:rsidP="00273FCB">
      <w:pPr>
        <w:rPr>
          <w:rFonts w:cs="Arial"/>
        </w:rPr>
      </w:pPr>
      <w:r>
        <w:rPr>
          <w:rFonts w:cs="Arial"/>
        </w:rPr>
        <w:t xml:space="preserve">The results of our trial </w:t>
      </w:r>
      <w:r w:rsidRPr="00B5796E">
        <w:rPr>
          <w:rFonts w:cs="Arial"/>
        </w:rPr>
        <w:t xml:space="preserve">demonstrate a </w:t>
      </w:r>
      <w:r w:rsidR="00CC0CE3">
        <w:rPr>
          <w:rFonts w:cs="Arial"/>
        </w:rPr>
        <w:t>peer comparison</w:t>
      </w:r>
      <w:r w:rsidRPr="00B5796E">
        <w:rPr>
          <w:rFonts w:cs="Arial"/>
        </w:rPr>
        <w:t xml:space="preserve"> </w:t>
      </w:r>
      <w:r>
        <w:rPr>
          <w:rFonts w:cs="Arial"/>
        </w:rPr>
        <w:t xml:space="preserve">letter from </w:t>
      </w:r>
      <w:r w:rsidR="00E5121D">
        <w:rPr>
          <w:rFonts w:cs="Arial"/>
        </w:rPr>
        <w:t xml:space="preserve">a respected authority – </w:t>
      </w:r>
      <w:r>
        <w:rPr>
          <w:rFonts w:cs="Arial"/>
        </w:rPr>
        <w:t xml:space="preserve">Australia’s </w:t>
      </w:r>
      <w:r w:rsidR="0050251A">
        <w:rPr>
          <w:rFonts w:cs="Arial"/>
        </w:rPr>
        <w:t>CMO</w:t>
      </w:r>
      <w:r>
        <w:rPr>
          <w:rFonts w:cs="Arial"/>
        </w:rPr>
        <w:t xml:space="preserve"> </w:t>
      </w:r>
      <w:r w:rsidR="00E5121D">
        <w:rPr>
          <w:rFonts w:cs="Arial"/>
        </w:rPr>
        <w:t xml:space="preserve">– </w:t>
      </w:r>
      <w:r w:rsidRPr="00B5796E">
        <w:rPr>
          <w:rFonts w:cs="Arial"/>
        </w:rPr>
        <w:t xml:space="preserve">can </w:t>
      </w:r>
      <w:r w:rsidR="0098438B">
        <w:rPr>
          <w:rFonts w:cs="Arial"/>
        </w:rPr>
        <w:t>have large</w:t>
      </w:r>
      <w:r w:rsidR="0098438B" w:rsidRPr="00B5796E">
        <w:rPr>
          <w:rFonts w:cs="Arial"/>
        </w:rPr>
        <w:t xml:space="preserve"> </w:t>
      </w:r>
      <w:r w:rsidRPr="00B5796E">
        <w:rPr>
          <w:rFonts w:cs="Arial"/>
        </w:rPr>
        <w:t>impact</w:t>
      </w:r>
      <w:r w:rsidR="0098438B">
        <w:rPr>
          <w:rFonts w:cs="Arial"/>
        </w:rPr>
        <w:t>s on</w:t>
      </w:r>
      <w:r w:rsidRPr="00B5796E">
        <w:rPr>
          <w:rFonts w:cs="Arial"/>
        </w:rPr>
        <w:t xml:space="preserve"> </w:t>
      </w:r>
      <w:r>
        <w:rPr>
          <w:rFonts w:cs="Arial"/>
        </w:rPr>
        <w:t xml:space="preserve">antibiotic </w:t>
      </w:r>
      <w:r w:rsidRPr="00B5796E">
        <w:rPr>
          <w:rFonts w:cs="Arial"/>
        </w:rPr>
        <w:t xml:space="preserve">prescribing </w:t>
      </w:r>
      <w:r w:rsidR="0098438B">
        <w:rPr>
          <w:rFonts w:cs="Arial"/>
        </w:rPr>
        <w:t>by</w:t>
      </w:r>
      <w:r w:rsidRPr="00B5796E">
        <w:rPr>
          <w:rFonts w:cs="Arial"/>
        </w:rPr>
        <w:t xml:space="preserve"> </w:t>
      </w:r>
      <w:r>
        <w:rPr>
          <w:rFonts w:cs="Arial"/>
        </w:rPr>
        <w:t xml:space="preserve">Australian </w:t>
      </w:r>
      <w:r w:rsidRPr="00B5796E">
        <w:rPr>
          <w:rFonts w:cs="Arial"/>
        </w:rPr>
        <w:t>GPs.</w:t>
      </w:r>
      <w:r w:rsidR="00273FCB">
        <w:rPr>
          <w:rFonts w:cs="Arial"/>
        </w:rPr>
        <w:t xml:space="preserve"> </w:t>
      </w:r>
      <w:r w:rsidR="00534727">
        <w:rPr>
          <w:rFonts w:cs="Arial"/>
        </w:rPr>
        <w:br/>
      </w:r>
      <w:r w:rsidR="0098438B">
        <w:rPr>
          <w:rFonts w:cs="Arial"/>
        </w:rPr>
        <w:t>The study</w:t>
      </w:r>
      <w:r w:rsidR="00273FCB">
        <w:rPr>
          <w:rFonts w:cs="Arial"/>
        </w:rPr>
        <w:t xml:space="preserve"> also demonstrate</w:t>
      </w:r>
      <w:r w:rsidR="0061269B">
        <w:rPr>
          <w:rFonts w:cs="Arial"/>
        </w:rPr>
        <w:t>s</w:t>
      </w:r>
      <w:r w:rsidR="00273FCB">
        <w:rPr>
          <w:rFonts w:cs="Arial"/>
        </w:rPr>
        <w:t xml:space="preserve"> letters incorporating </w:t>
      </w:r>
      <w:r w:rsidR="0098438B">
        <w:rPr>
          <w:rFonts w:cs="Arial"/>
        </w:rPr>
        <w:t>peer comparison</w:t>
      </w:r>
      <w:r w:rsidR="00273FCB">
        <w:rPr>
          <w:rFonts w:cs="Arial"/>
        </w:rPr>
        <w:t xml:space="preserve"> information outperform</w:t>
      </w:r>
      <w:r w:rsidR="0098438B">
        <w:rPr>
          <w:rFonts w:cs="Arial"/>
        </w:rPr>
        <w:t>ed</w:t>
      </w:r>
      <w:r w:rsidR="00273FCB">
        <w:rPr>
          <w:rFonts w:cs="Arial"/>
        </w:rPr>
        <w:t xml:space="preserve"> education letters </w:t>
      </w:r>
      <w:r w:rsidR="0098438B">
        <w:rPr>
          <w:rFonts w:cs="Arial"/>
        </w:rPr>
        <w:t>about AMR</w:t>
      </w:r>
      <w:r w:rsidR="00273FCB">
        <w:rPr>
          <w:rFonts w:cs="Arial"/>
        </w:rPr>
        <w:t>.</w:t>
      </w:r>
    </w:p>
    <w:p w14:paraId="6C097AC2" w14:textId="51283E93" w:rsidR="00273FCB" w:rsidRDefault="00273FCB" w:rsidP="00273FCB">
      <w:pPr>
        <w:rPr>
          <w:rFonts w:cs="Arial"/>
        </w:rPr>
      </w:pPr>
      <w:r>
        <w:rPr>
          <w:rFonts w:cs="Arial"/>
        </w:rPr>
        <w:t>Our findings can help inform future efforts to reduce the risk of AMR caused by the overprescribing of antibiotics. They suggest antibiotic stewardship programs can maximise their effects by using</w:t>
      </w:r>
      <w:r w:rsidR="00546E93">
        <w:rPr>
          <w:rFonts w:cs="Arial"/>
        </w:rPr>
        <w:t xml:space="preserve"> peer comparison</w:t>
      </w:r>
      <w:r>
        <w:rPr>
          <w:rFonts w:cs="Arial"/>
        </w:rPr>
        <w:t xml:space="preserve"> feedback to assist doctors to reflect on their prescribing practices.</w:t>
      </w:r>
    </w:p>
    <w:p w14:paraId="7947BCB9" w14:textId="3A20936B" w:rsidR="00534727" w:rsidRDefault="00273FCB" w:rsidP="00273FCB">
      <w:r>
        <w:t xml:space="preserve">While our trial focused on the antibiotic prescribing of GPs, </w:t>
      </w:r>
      <w:r w:rsidR="00ED6FAB">
        <w:t xml:space="preserve">our </w:t>
      </w:r>
      <w:r>
        <w:t xml:space="preserve">successful results </w:t>
      </w:r>
      <w:r w:rsidR="00683B4F">
        <w:br/>
      </w:r>
      <w:r>
        <w:t xml:space="preserve">should inspire policy makers to test similar </w:t>
      </w:r>
      <w:r w:rsidR="0098438B">
        <w:t>peer comparison</w:t>
      </w:r>
      <w:r>
        <w:t xml:space="preserve"> interventions</w:t>
      </w:r>
      <w:r w:rsidR="00D33397">
        <w:t xml:space="preserve"> and their impact</w:t>
      </w:r>
      <w:r w:rsidR="00ED6FAB">
        <w:t>s</w:t>
      </w:r>
      <w:r w:rsidR="00D33397">
        <w:t xml:space="preserve"> over time</w:t>
      </w:r>
      <w:r>
        <w:t>.</w:t>
      </w:r>
    </w:p>
    <w:p w14:paraId="77C4C492" w14:textId="77777777" w:rsidR="00534727" w:rsidRDefault="00534727">
      <w:pPr>
        <w:spacing w:before="0" w:after="0" w:line="240" w:lineRule="auto"/>
      </w:pPr>
      <w:r>
        <w:br w:type="page"/>
      </w:r>
    </w:p>
    <w:p w14:paraId="171F0398" w14:textId="77777777" w:rsidR="009843BA" w:rsidRPr="003E23AC" w:rsidRDefault="00326D12" w:rsidP="002076F4">
      <w:pPr>
        <w:pStyle w:val="Heading1"/>
      </w:pPr>
      <w:bookmarkStart w:id="5" w:name="_Toc513196436"/>
      <w:bookmarkStart w:id="6" w:name="_Toc516822201"/>
      <w:r>
        <w:lastRenderedPageBreak/>
        <w:t>Introduction</w:t>
      </w:r>
      <w:bookmarkEnd w:id="5"/>
      <w:bookmarkEnd w:id="6"/>
    </w:p>
    <w:p w14:paraId="4E954281" w14:textId="7D9B5374" w:rsidR="0065205B" w:rsidRDefault="0065205B" w:rsidP="00160AAA">
      <w:pPr>
        <w:pStyle w:val="Intro"/>
      </w:pPr>
      <w:r w:rsidRPr="0065205B">
        <w:t xml:space="preserve">“Antimicrobial resistance is one of the biggest threats to human health today. It is our joint responsibility to change the way we use antibiotics so </w:t>
      </w:r>
      <w:r w:rsidRPr="00160AAA">
        <w:t>that</w:t>
      </w:r>
      <w:r w:rsidRPr="0065205B">
        <w:t xml:space="preserve"> our next generations can continue to benefit from these important medicines.”</w:t>
      </w:r>
    </w:p>
    <w:p w14:paraId="7C73BF8F" w14:textId="6C62AC2A" w:rsidR="0065205B" w:rsidRDefault="005107AE" w:rsidP="00534727">
      <w:pPr>
        <w:pStyle w:val="SourceNotesText"/>
      </w:pPr>
      <w:r w:rsidRPr="005107AE">
        <w:t xml:space="preserve">Professor </w:t>
      </w:r>
      <w:r w:rsidR="00E616ED" w:rsidRPr="005107AE">
        <w:t>Brendan Murphy, Australian Government Chief Medical Officer.</w:t>
      </w:r>
    </w:p>
    <w:p w14:paraId="5E1F038A" w14:textId="77777777" w:rsidR="00534727" w:rsidRDefault="00534727" w:rsidP="00296191"/>
    <w:p w14:paraId="36978C6D" w14:textId="5B8DF9F2" w:rsidR="00296191" w:rsidRDefault="00296191" w:rsidP="00296191">
      <w:r w:rsidRPr="00296191">
        <w:t xml:space="preserve">Globally, AMR is recognised as a serious threat to human </w:t>
      </w:r>
      <w:r w:rsidR="00831965">
        <w:t>health. The World Health Organiz</w:t>
      </w:r>
      <w:r w:rsidRPr="00296191">
        <w:t>ation (WHO)</w:t>
      </w:r>
      <w:r w:rsidR="006316FD">
        <w:t xml:space="preserve"> </w:t>
      </w:r>
      <w:r w:rsidRPr="00296191">
        <w:t>describe</w:t>
      </w:r>
      <w:r w:rsidR="006316FD">
        <w:t>s</w:t>
      </w:r>
      <w:r w:rsidRPr="00296191">
        <w:t xml:space="preserve"> AMR as one of the key global health issues facing our generation</w:t>
      </w:r>
      <w:r w:rsidR="00337420">
        <w:t xml:space="preserve"> (WHO, 2018)</w:t>
      </w:r>
      <w:r w:rsidR="00546E93">
        <w:t>.</w:t>
      </w:r>
      <w:r w:rsidRPr="00296191">
        <w:t xml:space="preserve"> </w:t>
      </w:r>
      <w:r w:rsidR="006316FD">
        <w:t>AMR</w:t>
      </w:r>
      <w:r w:rsidR="009835A8" w:rsidRPr="002D6005">
        <w:t xml:space="preserve"> is increasing at a pace exceed</w:t>
      </w:r>
      <w:r w:rsidR="00F33B84">
        <w:t>ing</w:t>
      </w:r>
      <w:r w:rsidR="009835A8" w:rsidRPr="002D6005">
        <w:t xml:space="preserve"> our capacity to develop new antimicrobial drugs</w:t>
      </w:r>
      <w:r w:rsidR="009835A8">
        <w:t xml:space="preserve"> </w:t>
      </w:r>
      <w:r w:rsidR="00F33B84">
        <w:t>able to</w:t>
      </w:r>
      <w:r w:rsidR="009835A8">
        <w:t xml:space="preserve"> target resistant bacteria</w:t>
      </w:r>
      <w:r w:rsidR="009835A8" w:rsidRPr="002D6005">
        <w:t xml:space="preserve">, very few of which have been brought to market in recent years. </w:t>
      </w:r>
      <w:r w:rsidRPr="00296191">
        <w:t>If not addressed, there are concerns AMR could take modern medical practice back to the pre-antibiotic era, when simple infections caused significant harm</w:t>
      </w:r>
      <w:r w:rsidR="00337420">
        <w:t xml:space="preserve"> (Department of Health and Department of Agriculture, 2015)</w:t>
      </w:r>
      <w:r w:rsidRPr="00296191">
        <w:t xml:space="preserve">. </w:t>
      </w:r>
    </w:p>
    <w:p w14:paraId="27B0748D" w14:textId="610F78F9" w:rsidR="00831965" w:rsidRPr="00296191" w:rsidRDefault="00831965" w:rsidP="00296191">
      <w:r w:rsidRPr="00831965">
        <w:t>Resistant infections are more difficult to treat and, in some cases, untreatable. AMR can lead to longer hospital stays, higher medical costs and, in some circumstances, death.</w:t>
      </w:r>
    </w:p>
    <w:p w14:paraId="6EF3055D" w14:textId="7F18064F" w:rsidR="00296191" w:rsidRDefault="00296191" w:rsidP="00EE33F3">
      <w:r w:rsidRPr="00296191">
        <w:t>The global unrestrained use of antibiotics across human and animal health and agriculture is largely responsible for accelerating the AMR process</w:t>
      </w:r>
      <w:r w:rsidR="00734C86">
        <w:t xml:space="preserve"> (Chan, 2011)</w:t>
      </w:r>
      <w:r w:rsidRPr="00296191">
        <w:t xml:space="preserve">. When we use antibiotics, some bacteria die but resistant bacteria can survive and even multiply. Overuse or inappropriate use of antibiotics makes resistant bacteria more common. The more we use antibiotics, the more bacteria </w:t>
      </w:r>
      <w:r w:rsidR="00256447">
        <w:t>can</w:t>
      </w:r>
      <w:r w:rsidRPr="00296191">
        <w:t xml:space="preserve"> become resistant</w:t>
      </w:r>
      <w:r w:rsidR="00256447">
        <w:t>.</w:t>
      </w:r>
      <w:r w:rsidRPr="00296191">
        <w:t xml:space="preserve">  </w:t>
      </w:r>
    </w:p>
    <w:p w14:paraId="7C21C3D5" w14:textId="2114F066" w:rsidR="00296191" w:rsidRDefault="00296191" w:rsidP="00EE33F3">
      <w:r w:rsidRPr="00296191">
        <w:t>As AMR continues to grow, Australia is likely to experience clinical situations already seen in other countries where</w:t>
      </w:r>
      <w:r w:rsidR="00337420">
        <w:t xml:space="preserve"> (Department of Health and Department of Agriculture, 2015)</w:t>
      </w:r>
      <w:r w:rsidRPr="00296191">
        <w:t>:</w:t>
      </w:r>
    </w:p>
    <w:p w14:paraId="3662B6BE" w14:textId="77777777" w:rsidR="00296191" w:rsidRPr="002D6005" w:rsidRDefault="00296191" w:rsidP="00FE4030">
      <w:pPr>
        <w:pStyle w:val="ListParagraph"/>
        <w:numPr>
          <w:ilvl w:val="0"/>
          <w:numId w:val="4"/>
        </w:numPr>
      </w:pPr>
      <w:r w:rsidRPr="002D6005">
        <w:t>Routine surgical procedures, such as caesarean sections, become much higher risk.</w:t>
      </w:r>
    </w:p>
    <w:p w14:paraId="04097450" w14:textId="77777777" w:rsidR="00296191" w:rsidRPr="002D6005" w:rsidRDefault="00296191" w:rsidP="00FE4030">
      <w:pPr>
        <w:pStyle w:val="ListParagraph"/>
        <w:numPr>
          <w:ilvl w:val="0"/>
          <w:numId w:val="3"/>
        </w:numPr>
      </w:pPr>
      <w:r w:rsidRPr="002D6005">
        <w:t xml:space="preserve">Transplant programs have to be halted and Intensive Care Units closed to deal with contamination </w:t>
      </w:r>
      <w:r w:rsidR="00326D12">
        <w:t xml:space="preserve">by </w:t>
      </w:r>
      <w:r w:rsidRPr="002D6005">
        <w:t>highly resistant organisms.</w:t>
      </w:r>
    </w:p>
    <w:p w14:paraId="79BFDA01" w14:textId="0F162ED6" w:rsidR="00296191" w:rsidRPr="002D6005" w:rsidRDefault="00296191" w:rsidP="00FE4030">
      <w:pPr>
        <w:pStyle w:val="ListParagraph"/>
        <w:numPr>
          <w:ilvl w:val="0"/>
          <w:numId w:val="3"/>
        </w:numPr>
      </w:pPr>
      <w:r w:rsidRPr="002D6005">
        <w:t>Pneumonia, gonorrhoea and urinary tract infections becom</w:t>
      </w:r>
      <w:r w:rsidR="00CA025C">
        <w:t>e</w:t>
      </w:r>
      <w:r w:rsidRPr="002D6005">
        <w:t xml:space="preserve"> increasingly difficult </w:t>
      </w:r>
      <w:r w:rsidR="00534727">
        <w:br/>
      </w:r>
      <w:r w:rsidRPr="002D6005">
        <w:t>to treat.</w:t>
      </w:r>
    </w:p>
    <w:p w14:paraId="501B5A5D" w14:textId="5FD17B88" w:rsidR="00534727" w:rsidRDefault="005010BC" w:rsidP="00FE4030">
      <w:pPr>
        <w:pStyle w:val="ListParagraph"/>
        <w:numPr>
          <w:ilvl w:val="0"/>
          <w:numId w:val="3"/>
        </w:numPr>
      </w:pPr>
      <w:r>
        <w:t>M</w:t>
      </w:r>
      <w:r w:rsidR="00296191" w:rsidRPr="002D6005">
        <w:t>edical costs</w:t>
      </w:r>
      <w:r>
        <w:t xml:space="preserve"> </w:t>
      </w:r>
      <w:r w:rsidR="00296191" w:rsidRPr="002D6005">
        <w:t>and mortality rates attributable to infection increase.</w:t>
      </w:r>
    </w:p>
    <w:p w14:paraId="027CF6D6" w14:textId="77777777" w:rsidR="00534727" w:rsidRDefault="00534727">
      <w:pPr>
        <w:spacing w:before="0" w:after="0" w:line="240" w:lineRule="auto"/>
      </w:pPr>
      <w:r>
        <w:br w:type="page"/>
      </w:r>
    </w:p>
    <w:p w14:paraId="44668152" w14:textId="0ECD6B0A" w:rsidR="00296191" w:rsidRDefault="00296191" w:rsidP="00296191">
      <w:r w:rsidRPr="00296191">
        <w:lastRenderedPageBreak/>
        <w:t>In June 2015, the Australian Government released the National Antimicrobial Resistance Strategy 2015–2019 (the Strategy)</w:t>
      </w:r>
      <w:r w:rsidR="00256447">
        <w:t>—</w:t>
      </w:r>
      <w:r w:rsidRPr="00296191">
        <w:t>the first nationally coordinated</w:t>
      </w:r>
      <w:r w:rsidR="00EF48EC">
        <w:t>,</w:t>
      </w:r>
      <w:r w:rsidRPr="00296191">
        <w:t xml:space="preserve"> multi-sectoral response to AMR in Australia. The Strategy align</w:t>
      </w:r>
      <w:r w:rsidR="00256447">
        <w:t>s</w:t>
      </w:r>
      <w:r w:rsidRPr="00296191">
        <w:t xml:space="preserve"> with the </w:t>
      </w:r>
      <w:r w:rsidR="00DB508F">
        <w:t>WHO</w:t>
      </w:r>
      <w:r w:rsidRPr="00296191">
        <w:t xml:space="preserve">’s Global Action Plan on Antimicrobial Resistance. It was jointly developed with the Australian Government Departments of Health and Agriculture and Water Resources in consultation with experts and stakeholders from across the human and animal health, food and agriculture sectors (a ‘One-Health’ approach). </w:t>
      </w:r>
    </w:p>
    <w:p w14:paraId="6AD12A18" w14:textId="50249AC4" w:rsidR="00831965" w:rsidRPr="00296191" w:rsidRDefault="00831965" w:rsidP="00296191">
      <w:r>
        <w:t>The Strategy recognises that c</w:t>
      </w:r>
      <w:r w:rsidRPr="00296191">
        <w:t>oncerted efforts are needed in Australia to reduce the inappropriate use of antibiotics across general practice, hospitals, laboratories</w:t>
      </w:r>
      <w:r>
        <w:t>, the agricultural industry</w:t>
      </w:r>
      <w:r w:rsidRPr="00296191">
        <w:t xml:space="preserve"> and </w:t>
      </w:r>
      <w:r>
        <w:t xml:space="preserve">the </w:t>
      </w:r>
      <w:r w:rsidRPr="00296191">
        <w:t>animal health profession.</w:t>
      </w:r>
    </w:p>
    <w:p w14:paraId="1C4A7523" w14:textId="77777777" w:rsidR="00326D12" w:rsidRPr="008A1F58" w:rsidRDefault="00326D12" w:rsidP="00EE33F3">
      <w:pPr>
        <w:pStyle w:val="Heading2"/>
        <w:rPr>
          <w:color w:val="2158A8"/>
        </w:rPr>
      </w:pPr>
      <w:r w:rsidRPr="008A1F58">
        <w:rPr>
          <w:color w:val="2158A8"/>
        </w:rPr>
        <w:t>Australia has a high consumption of antibiotics</w:t>
      </w:r>
    </w:p>
    <w:p w14:paraId="6F7C8C5D" w14:textId="0EC451E1" w:rsidR="00296191" w:rsidRDefault="00296191" w:rsidP="003B49E9">
      <w:r w:rsidRPr="00296191">
        <w:t xml:space="preserve">In the health setting, the appropriate and judicious use of antibiotics is essential to slowing the emergence of resistance. </w:t>
      </w:r>
      <w:r w:rsidRPr="00296191" w:rsidDel="003B49E9">
        <w:t>In this context, the high rate of consumption of antibiotics in Australia is an area of immediate concern.</w:t>
      </w:r>
      <w:r w:rsidR="00125753" w:rsidDel="003B49E9">
        <w:t xml:space="preserve"> </w:t>
      </w:r>
      <w:r w:rsidR="00125753">
        <w:t>In 2015,</w:t>
      </w:r>
      <w:r w:rsidRPr="00296191">
        <w:t xml:space="preserve"> Australia’s antibiotic prescribing rate </w:t>
      </w:r>
      <w:r w:rsidR="00125753">
        <w:t>of 23.5</w:t>
      </w:r>
      <w:r w:rsidRPr="00296191">
        <w:t xml:space="preserve"> Defined Daily Doses (DDDs) per 1000 people </w:t>
      </w:r>
      <w:r w:rsidR="00125753">
        <w:t>was</w:t>
      </w:r>
      <w:r w:rsidRPr="00296191">
        <w:t xml:space="preserve"> higher than the OECD average </w:t>
      </w:r>
      <w:r w:rsidR="00683B4F">
        <w:br/>
      </w:r>
      <w:r w:rsidRPr="00296191">
        <w:t>(</w:t>
      </w:r>
      <w:r w:rsidR="00125753">
        <w:t>20.6</w:t>
      </w:r>
      <w:r w:rsidRPr="00296191">
        <w:t xml:space="preserve"> DDDs per 1000 people per day</w:t>
      </w:r>
      <w:r w:rsidR="0044704D">
        <w:t>; OECD, 20</w:t>
      </w:r>
      <w:r w:rsidR="00125753">
        <w:t>17</w:t>
      </w:r>
      <w:r w:rsidRPr="00296191">
        <w:t xml:space="preserve">). </w:t>
      </w:r>
    </w:p>
    <w:p w14:paraId="629026C2" w14:textId="7D5E0655" w:rsidR="001C48D9" w:rsidRPr="008A1F58" w:rsidRDefault="001C48D9" w:rsidP="00EE33F3">
      <w:pPr>
        <w:pStyle w:val="Heading2"/>
        <w:rPr>
          <w:color w:val="2158A8"/>
        </w:rPr>
      </w:pPr>
      <w:r w:rsidRPr="008A1F58">
        <w:rPr>
          <w:color w:val="2158A8"/>
        </w:rPr>
        <w:t>GPs are important partners in limiting AMR</w:t>
      </w:r>
    </w:p>
    <w:p w14:paraId="4F2BC76D" w14:textId="3F952EA0" w:rsidR="00546E93" w:rsidRPr="00100D65" w:rsidRDefault="00546E93" w:rsidP="00546E93">
      <w:r>
        <w:t>Within Australia</w:t>
      </w:r>
      <w:r w:rsidR="00125753">
        <w:t>,</w:t>
      </w:r>
      <w:r>
        <w:t xml:space="preserve"> </w:t>
      </w:r>
      <w:r w:rsidRPr="00100D65">
        <w:t>GPs currently prescribe the greatest portion of antibiotics due to the large volumes of patients</w:t>
      </w:r>
      <w:r w:rsidR="00796EE6">
        <w:t xml:space="preserve"> and types of illnesses they see</w:t>
      </w:r>
      <w:r w:rsidR="00CA4CCF">
        <w:t xml:space="preserve"> (Department of Health and Department of Agriculture, 2015)</w:t>
      </w:r>
      <w:r w:rsidRPr="00100D65">
        <w:t xml:space="preserve">. This makes GPs important partners in efforts to minimise </w:t>
      </w:r>
      <w:r w:rsidR="00130119">
        <w:t xml:space="preserve">AMR </w:t>
      </w:r>
      <w:r w:rsidRPr="00100D65">
        <w:t>by helping limit community prescribing to clinical situations where evidence shows antibiotics to be of proven value.</w:t>
      </w:r>
    </w:p>
    <w:p w14:paraId="5D8E9077" w14:textId="43D4B7A5" w:rsidR="00296191" w:rsidRPr="00296191" w:rsidRDefault="00296191" w:rsidP="00296191">
      <w:r w:rsidRPr="00296191">
        <w:t>The rate of antimicrobial prescriptions in GP consultations has shown a small decline from 2010 to 2015</w:t>
      </w:r>
      <w:r w:rsidR="00125753">
        <w:t xml:space="preserve"> (ACSQHC, </w:t>
      </w:r>
      <w:r w:rsidR="00125753" w:rsidRPr="00125753">
        <w:t>2017)</w:t>
      </w:r>
      <w:r w:rsidRPr="00296191">
        <w:t xml:space="preserve">. Recent research estimates GPs are prescribing antibiotics for acute respiratory infections (ARIs) </w:t>
      </w:r>
      <w:r w:rsidR="00546E93">
        <w:t xml:space="preserve">at rates </w:t>
      </w:r>
      <w:r w:rsidRPr="00296191">
        <w:t xml:space="preserve">up to </w:t>
      </w:r>
      <w:r w:rsidR="00597893">
        <w:t>nine</w:t>
      </w:r>
      <w:r w:rsidRPr="00296191">
        <w:t xml:space="preserve"> times higher than recommend</w:t>
      </w:r>
      <w:r w:rsidR="00A368B6">
        <w:t>ed by the Therapeutic Guidelines (McCullough et al., 2017)</w:t>
      </w:r>
      <w:r w:rsidRPr="00296191">
        <w:t>.</w:t>
      </w:r>
    </w:p>
    <w:p w14:paraId="41490656" w14:textId="20BE34A0" w:rsidR="00EE33F3" w:rsidRDefault="00296191" w:rsidP="00A91F65">
      <w:r w:rsidRPr="00296191">
        <w:t>This suggests there is scope to reduce antibiotic prescribing in primary healthcare settings</w:t>
      </w:r>
      <w:r w:rsidR="005010BC">
        <w:t xml:space="preserve"> without harming access to necessary treatments</w:t>
      </w:r>
      <w:r w:rsidRPr="00296191">
        <w:t>. Any reduction</w:t>
      </w:r>
      <w:r w:rsidR="005010BC">
        <w:t xml:space="preserve"> in prescribing in the primary care setting</w:t>
      </w:r>
      <w:r w:rsidRPr="00296191">
        <w:t xml:space="preserve"> would likely have significant impact on Australia’s </w:t>
      </w:r>
      <w:r w:rsidR="005010BC">
        <w:t xml:space="preserve">overall </w:t>
      </w:r>
      <w:r w:rsidRPr="00296191">
        <w:t xml:space="preserve">prescribing rates due to the large </w:t>
      </w:r>
      <w:r w:rsidR="005010BC">
        <w:t>portion</w:t>
      </w:r>
      <w:r w:rsidRPr="00296191">
        <w:t xml:space="preserve"> of antibiotics prescribed by GPs. </w:t>
      </w:r>
    </w:p>
    <w:p w14:paraId="7AB3C612" w14:textId="77777777" w:rsidR="00EE33F3" w:rsidRDefault="00EE33F3">
      <w:pPr>
        <w:spacing w:before="0" w:after="0" w:line="240" w:lineRule="auto"/>
      </w:pPr>
      <w:r>
        <w:br w:type="page"/>
      </w:r>
    </w:p>
    <w:p w14:paraId="079694A5" w14:textId="77777777" w:rsidR="00CB500F" w:rsidRPr="00CB500F" w:rsidRDefault="00CB500F" w:rsidP="000F5351">
      <w:pPr>
        <w:pStyle w:val="Whoweare-Body"/>
        <w:spacing w:after="0"/>
        <w:outlineLvl w:val="2"/>
        <w:rPr>
          <w:rFonts w:asciiTheme="minorHAnsi" w:hAnsiTheme="minorHAnsi" w:cstheme="minorHAnsi"/>
          <w:b w:val="0"/>
        </w:rPr>
      </w:pPr>
      <w:r w:rsidRPr="00CB500F">
        <w:rPr>
          <w:rFonts w:asciiTheme="minorHAnsi" w:hAnsiTheme="minorHAnsi" w:cstheme="minorHAnsi"/>
          <w:b w:val="0"/>
        </w:rPr>
        <w:lastRenderedPageBreak/>
        <w:t>Antibiotics don’t work for colds, flus and coughs</w:t>
      </w:r>
    </w:p>
    <w:p w14:paraId="36D1396F" w14:textId="77777777" w:rsidR="00CB500F" w:rsidRPr="00AF1B2C" w:rsidRDefault="00CB500F" w:rsidP="00AF1B2C">
      <w:pPr>
        <w:pStyle w:val="Textbox"/>
      </w:pPr>
      <w:r w:rsidRPr="00AF1B2C">
        <w:t>Antibiotics only work on infections caused by bacteria, not a virus.</w:t>
      </w:r>
    </w:p>
    <w:p w14:paraId="139539B5" w14:textId="77777777" w:rsidR="00CB500F" w:rsidRPr="00AF1B2C" w:rsidRDefault="00CB500F" w:rsidP="00AF1B2C">
      <w:pPr>
        <w:pStyle w:val="Textbox"/>
      </w:pPr>
      <w:r w:rsidRPr="00AF1B2C">
        <w:t>Acute respiratory infections (ARIs) are among the most common problems seen by GPs in Australia (Del Mar et al., 2017). An ARI is an infection of the ears, nose, sinuses, throat and/or lungs.</w:t>
      </w:r>
    </w:p>
    <w:p w14:paraId="5ED39B2F" w14:textId="77777777" w:rsidR="00CB500F" w:rsidRPr="00AF1B2C" w:rsidRDefault="00CB500F" w:rsidP="00AF1B2C">
      <w:pPr>
        <w:pStyle w:val="Textbox"/>
      </w:pPr>
      <w:r w:rsidRPr="00AF1B2C">
        <w:t>ARIs are caused by viruses, not bacteria. However, in the early stages it can be difficult to determine if an infection is an ARI or the start of a more serious infection.</w:t>
      </w:r>
    </w:p>
    <w:p w14:paraId="76F55062" w14:textId="77777777" w:rsidR="00CB500F" w:rsidRPr="00AF1B2C" w:rsidRDefault="00CB500F" w:rsidP="00AF1B2C">
      <w:pPr>
        <w:pStyle w:val="Textbox"/>
      </w:pPr>
      <w:r w:rsidRPr="00AF1B2C">
        <w:t>The common cold and the flu are caused by viruses. This means antibiotics won’t make patients feel better or help them recover faster when they have a cold or the flu.</w:t>
      </w:r>
    </w:p>
    <w:p w14:paraId="48616CB7" w14:textId="3C19B889" w:rsidR="00CB500F" w:rsidRPr="00AF1B2C" w:rsidRDefault="00CB500F" w:rsidP="00AF1B2C">
      <w:pPr>
        <w:pStyle w:val="Textbox"/>
      </w:pPr>
      <w:r w:rsidRPr="00AF1B2C">
        <w:t>In the past, it was common practice for doctors to prescribe antibiotics for an ARI just in case the primary infection, or a secondary infection, was caused by a bacterial infection. However, today antibiotics are not recommended to be routinely prescribed for many ARIs.</w:t>
      </w:r>
    </w:p>
    <w:p w14:paraId="10CB24DC" w14:textId="77777777" w:rsidR="009835A8" w:rsidRPr="008A1F58" w:rsidRDefault="009835A8" w:rsidP="00BC1341">
      <w:pPr>
        <w:pStyle w:val="Heading2"/>
        <w:rPr>
          <w:color w:val="2158A8"/>
        </w:rPr>
      </w:pPr>
      <w:r w:rsidRPr="008A1F58">
        <w:rPr>
          <w:color w:val="2158A8"/>
        </w:rPr>
        <w:t>Why do GPs overprescribe antibiotics?</w:t>
      </w:r>
    </w:p>
    <w:p w14:paraId="5C51BBE0" w14:textId="77777777" w:rsidR="009835A8" w:rsidRPr="003E23AC" w:rsidRDefault="009835A8" w:rsidP="009835A8">
      <w:r w:rsidRPr="003E23AC">
        <w:t>A GP may overprescribe antibiotics for several reasons</w:t>
      </w:r>
      <w:r w:rsidR="00A55755">
        <w:t xml:space="preserve"> (Del Mar et al., 2017)</w:t>
      </w:r>
      <w:r w:rsidRPr="003E23AC">
        <w:t>:</w:t>
      </w:r>
    </w:p>
    <w:p w14:paraId="46A163CE" w14:textId="013571F2" w:rsidR="009835A8" w:rsidRPr="003E23AC" w:rsidRDefault="009835A8" w:rsidP="00FE4030">
      <w:pPr>
        <w:pStyle w:val="ListParagraph"/>
        <w:numPr>
          <w:ilvl w:val="0"/>
          <w:numId w:val="5"/>
        </w:numPr>
      </w:pPr>
      <w:r w:rsidRPr="003E23AC">
        <w:t xml:space="preserve">In the early stages of an </w:t>
      </w:r>
      <w:r w:rsidR="00C63FAC">
        <w:t>ARI</w:t>
      </w:r>
      <w:r w:rsidRPr="003E23AC">
        <w:t>, it can</w:t>
      </w:r>
      <w:r w:rsidR="00C63FAC">
        <w:t xml:space="preserve"> be difficult to tell whether an </w:t>
      </w:r>
      <w:r w:rsidRPr="003E23AC">
        <w:t xml:space="preserve">infection is mild or the start of a more serious illness (e.g. pneumonia, meningitis). GPs </w:t>
      </w:r>
      <w:r w:rsidR="00160F3C">
        <w:t>may</w:t>
      </w:r>
      <w:r w:rsidRPr="003E23AC">
        <w:t xml:space="preserve"> prescribe antibiotics to minimise </w:t>
      </w:r>
      <w:r w:rsidR="00AA3623">
        <w:t xml:space="preserve">this </w:t>
      </w:r>
      <w:r w:rsidRPr="003E23AC">
        <w:t>risk.</w:t>
      </w:r>
    </w:p>
    <w:p w14:paraId="387EB119" w14:textId="56802E62" w:rsidR="009835A8" w:rsidRPr="003E23AC" w:rsidRDefault="009835A8" w:rsidP="00FE4030">
      <w:pPr>
        <w:pStyle w:val="ListParagraph"/>
        <w:numPr>
          <w:ilvl w:val="0"/>
          <w:numId w:val="5"/>
        </w:numPr>
      </w:pPr>
      <w:r w:rsidRPr="003E23AC">
        <w:t>Illness</w:t>
      </w:r>
      <w:r w:rsidR="00444DB4">
        <w:t>es</w:t>
      </w:r>
      <w:r w:rsidRPr="003E23AC">
        <w:t xml:space="preserve"> like colds and flus are caused by viruses (for which antibiotics don’t work) but can cause similar symptoms to bacterial infections.</w:t>
      </w:r>
    </w:p>
    <w:p w14:paraId="6F5CEF0F" w14:textId="77777777" w:rsidR="009835A8" w:rsidRPr="003E23AC" w:rsidRDefault="009835A8" w:rsidP="00FE4030">
      <w:pPr>
        <w:pStyle w:val="ListParagraph"/>
        <w:numPr>
          <w:ilvl w:val="0"/>
          <w:numId w:val="5"/>
        </w:numPr>
      </w:pPr>
      <w:r w:rsidRPr="003E23AC">
        <w:t>GPs can be under time pressure to see a large number of patients and providing an antibiotic script may be a faster way to complete a consultation rather than explain why an antibiotic is unnecessary.</w:t>
      </w:r>
    </w:p>
    <w:p w14:paraId="5B4C10A1" w14:textId="06632DC8" w:rsidR="009835A8" w:rsidRPr="003E23AC" w:rsidRDefault="009835A8" w:rsidP="00FE4030">
      <w:pPr>
        <w:pStyle w:val="ListParagraph"/>
        <w:numPr>
          <w:ilvl w:val="0"/>
          <w:numId w:val="5"/>
        </w:numPr>
      </w:pPr>
      <w:r w:rsidRPr="003E23AC">
        <w:t xml:space="preserve">A GP may perceive refusing </w:t>
      </w:r>
      <w:r w:rsidR="00597893">
        <w:t xml:space="preserve">to prescribe </w:t>
      </w:r>
      <w:r w:rsidRPr="003E23AC">
        <w:t xml:space="preserve">antibiotics </w:t>
      </w:r>
      <w:r w:rsidR="005010BC">
        <w:t xml:space="preserve">to patients </w:t>
      </w:r>
      <w:r w:rsidR="00B66971">
        <w:t>c</w:t>
      </w:r>
      <w:r w:rsidRPr="003E23AC">
        <w:t>ould threaten</w:t>
      </w:r>
      <w:r w:rsidR="005010BC">
        <w:t xml:space="preserve"> the doctor-patient relationship, which is </w:t>
      </w:r>
      <w:r w:rsidRPr="003E23AC">
        <w:t>an important part of GP practice.</w:t>
      </w:r>
    </w:p>
    <w:p w14:paraId="3A8051F3" w14:textId="6A840281" w:rsidR="005F34F5" w:rsidRDefault="009835A8" w:rsidP="00A91F65">
      <w:r w:rsidRPr="003E23AC">
        <w:t xml:space="preserve">At the same time, the reasons to avoid </w:t>
      </w:r>
      <w:r w:rsidR="00D709C0">
        <w:t xml:space="preserve">prescribing </w:t>
      </w:r>
      <w:r w:rsidRPr="003E23AC">
        <w:t>antibiotics are not always salient</w:t>
      </w:r>
      <w:r w:rsidR="009824D7">
        <w:t xml:space="preserve"> or immediate</w:t>
      </w:r>
      <w:r w:rsidR="00A55755">
        <w:t xml:space="preserve"> (Mehrotra &amp; Linder, 2016)</w:t>
      </w:r>
      <w:r w:rsidRPr="003E23AC">
        <w:t xml:space="preserve">. The link between prescribing to a patient and its potential impact on AMR is not directly observable or tangible at the time of prescribing. </w:t>
      </w:r>
      <w:r w:rsidR="00D709C0">
        <w:t>Whil</w:t>
      </w:r>
      <w:r w:rsidR="007E314E">
        <w:t>e</w:t>
      </w:r>
      <w:r w:rsidR="00D709C0">
        <w:t xml:space="preserve"> f</w:t>
      </w:r>
      <w:r w:rsidRPr="003E23AC">
        <w:t xml:space="preserve">eedback from the patient and their condition is immediate and visible, AMR is a long-term consequence not yet widely seen in general practice. </w:t>
      </w:r>
    </w:p>
    <w:p w14:paraId="39DAF51C" w14:textId="77777777" w:rsidR="005F34F5" w:rsidRDefault="005F34F5">
      <w:pPr>
        <w:spacing w:before="0" w:after="0" w:line="240" w:lineRule="auto"/>
      </w:pPr>
      <w:r>
        <w:br w:type="page"/>
      </w:r>
    </w:p>
    <w:p w14:paraId="625A0313" w14:textId="77777777" w:rsidR="009835A8" w:rsidRPr="003E23AC" w:rsidRDefault="009835A8" w:rsidP="002076F4">
      <w:pPr>
        <w:pStyle w:val="Heading1"/>
      </w:pPr>
      <w:bookmarkStart w:id="7" w:name="_Toc513196437"/>
      <w:bookmarkStart w:id="8" w:name="_Toc516822202"/>
      <w:r>
        <w:lastRenderedPageBreak/>
        <w:t>A behavioural economics approach</w:t>
      </w:r>
      <w:bookmarkEnd w:id="7"/>
      <w:bookmarkEnd w:id="8"/>
    </w:p>
    <w:p w14:paraId="3234CF23" w14:textId="151AB956" w:rsidR="00B204F1" w:rsidRPr="007B0642" w:rsidRDefault="00B204F1" w:rsidP="0033231F">
      <w:r w:rsidRPr="007B0642">
        <w:t>We developed four letters for the CMO to send to high</w:t>
      </w:r>
      <w:r w:rsidRPr="007B0642">
        <w:noBreakHyphen/>
        <w:t xml:space="preserve">prescribing GPs to prompt them to reflect on whether there were opportunities to reduce prescribing where appropriate and safe. We applied insights from behavioural economics in the design of the letters. This section describes the relevant behavioural insights and gives an overview of how we applied </w:t>
      </w:r>
      <w:r w:rsidR="00827759">
        <w:t>them</w:t>
      </w:r>
      <w:r w:rsidRPr="007B0642">
        <w:t xml:space="preserve"> to the </w:t>
      </w:r>
      <w:r w:rsidR="009824D7">
        <w:t xml:space="preserve">design of the </w:t>
      </w:r>
      <w:r w:rsidRPr="007B0642">
        <w:t>letter</w:t>
      </w:r>
      <w:r w:rsidR="009824D7">
        <w:t>s</w:t>
      </w:r>
      <w:r w:rsidRPr="007B0642">
        <w:t>.</w:t>
      </w:r>
    </w:p>
    <w:p w14:paraId="78C8012E" w14:textId="77777777" w:rsidR="007B0642" w:rsidRPr="00555DB4" w:rsidRDefault="007B0642" w:rsidP="005F34F5">
      <w:pPr>
        <w:pStyle w:val="Heading2"/>
        <w:rPr>
          <w:color w:val="2158A8"/>
        </w:rPr>
      </w:pPr>
      <w:r w:rsidRPr="00555DB4">
        <w:rPr>
          <w:color w:val="2158A8"/>
        </w:rPr>
        <w:t>What is behavioural economics?</w:t>
      </w:r>
    </w:p>
    <w:p w14:paraId="2BE22AE9" w14:textId="361E9788" w:rsidR="009835A8" w:rsidRDefault="009835A8" w:rsidP="0033231F">
      <w:r w:rsidRPr="00727B08">
        <w:t xml:space="preserve">Behavioural economics </w:t>
      </w:r>
      <w:r w:rsidR="009824D7">
        <w:t xml:space="preserve">examines </w:t>
      </w:r>
      <w:r w:rsidRPr="00727B08">
        <w:t>how people make decisions</w:t>
      </w:r>
      <w:r w:rsidR="009824D7">
        <w:t>,</w:t>
      </w:r>
      <w:r w:rsidRPr="00727B08">
        <w:t xml:space="preserve"> taking into account </w:t>
      </w:r>
      <w:r w:rsidR="009824D7">
        <w:t xml:space="preserve">critical insights from psychology about </w:t>
      </w:r>
      <w:r w:rsidRPr="00727B08">
        <w:t>the social, cognitive and emotional aspects of people’s choices</w:t>
      </w:r>
      <w:r w:rsidR="005D7814">
        <w:t>.</w:t>
      </w:r>
      <w:r w:rsidRPr="00727B08">
        <w:t xml:space="preserve"> </w:t>
      </w:r>
      <w:r w:rsidRPr="002D5401">
        <w:t xml:space="preserve">It recognises </w:t>
      </w:r>
      <w:r w:rsidR="005D7814">
        <w:t>people’s judgements</w:t>
      </w:r>
      <w:r w:rsidRPr="002D5401">
        <w:t xml:space="preserve"> are systematically biased</w:t>
      </w:r>
      <w:r w:rsidR="005D7814">
        <w:t xml:space="preserve"> and limited</w:t>
      </w:r>
      <w:r w:rsidR="00CD1715">
        <w:t>. F</w:t>
      </w:r>
      <w:r w:rsidRPr="002D5401">
        <w:t xml:space="preserve">or example, we </w:t>
      </w:r>
      <w:r w:rsidR="00CD1715">
        <w:t>often forget things or overlook important details</w:t>
      </w:r>
      <w:r w:rsidR="004C2659">
        <w:t>,</w:t>
      </w:r>
      <w:r w:rsidR="00CD1715">
        <w:t xml:space="preserve"> </w:t>
      </w:r>
      <w:r w:rsidRPr="002D5401">
        <w:t>and make decisions conflict</w:t>
      </w:r>
      <w:r w:rsidR="00521170">
        <w:t>ing</w:t>
      </w:r>
      <w:r w:rsidRPr="002D5401">
        <w:t xml:space="preserve"> with our own interests</w:t>
      </w:r>
      <w:r w:rsidR="00CD1715">
        <w:t xml:space="preserve">, such as by giving in to immediate temptations rather than doing the things </w:t>
      </w:r>
      <w:r w:rsidR="00036F57">
        <w:t>which</w:t>
      </w:r>
      <w:r w:rsidR="00CD1715">
        <w:t xml:space="preserve"> are best for us in the long term</w:t>
      </w:r>
      <w:r w:rsidRPr="002D5401">
        <w:t>.</w:t>
      </w:r>
    </w:p>
    <w:p w14:paraId="778123FB" w14:textId="07051E1D" w:rsidR="00AF1B2C" w:rsidRPr="00CB500F" w:rsidRDefault="00AF1B2C" w:rsidP="000F5351">
      <w:pPr>
        <w:pStyle w:val="Whoweare-Body"/>
        <w:spacing w:after="0"/>
        <w:outlineLvl w:val="2"/>
        <w:rPr>
          <w:rFonts w:asciiTheme="minorHAnsi" w:hAnsiTheme="minorHAnsi" w:cstheme="minorHAnsi"/>
          <w:b w:val="0"/>
        </w:rPr>
      </w:pPr>
      <w:r w:rsidRPr="00AF1B2C">
        <w:rPr>
          <w:rFonts w:asciiTheme="minorHAnsi" w:hAnsiTheme="minorHAnsi" w:cstheme="minorHAnsi"/>
          <w:b w:val="0"/>
        </w:rPr>
        <w:t>Why is behavioural economics useful?</w:t>
      </w:r>
    </w:p>
    <w:p w14:paraId="30124E50" w14:textId="77777777" w:rsidR="00AF1B2C" w:rsidRDefault="00AF1B2C" w:rsidP="00AF1B2C">
      <w:pPr>
        <w:pStyle w:val="Textbox"/>
      </w:pPr>
      <w:r w:rsidRPr="00C53FCF">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9530E41" w14:textId="77777777" w:rsidR="00AF1B2C" w:rsidRPr="00AF1B2C" w:rsidRDefault="00AF1B2C" w:rsidP="00AF1B2C">
      <w:pPr>
        <w:pStyle w:val="Textbox"/>
        <w:rPr>
          <w:b/>
        </w:rPr>
      </w:pPr>
      <w:r w:rsidRPr="00AF1B2C">
        <w:rPr>
          <w:b/>
        </w:rPr>
        <w:t xml:space="preserve">What are behavioural insights and how are they useful for policy design?  </w:t>
      </w:r>
    </w:p>
    <w:p w14:paraId="1256C07D" w14:textId="77777777" w:rsidR="00AF1B2C" w:rsidRPr="00655273" w:rsidRDefault="00AF1B2C" w:rsidP="00AF1B2C">
      <w:pPr>
        <w:pStyle w:val="Textbox"/>
      </w:pPr>
      <w:r w:rsidRPr="00655273">
        <w:t xml:space="preserve">Behavioural </w:t>
      </w:r>
      <w:r>
        <w:t>economics</w:t>
      </w:r>
      <w:r w:rsidRPr="00655273">
        <w:t xml:space="preserve"> appl</w:t>
      </w:r>
      <w:r>
        <w:t>ies</w:t>
      </w:r>
      <w:r w:rsidRPr="00655273">
        <w:t xml:space="preserve"> behavioural </w:t>
      </w:r>
      <w:r>
        <w:t xml:space="preserve">insights </w:t>
      </w:r>
      <w:r w:rsidRPr="00655273">
        <w:t xml:space="preserve">to the real world by drawing on empirically-tested results. These tools can inform the design of government interventions to improve the welfare of citizens. </w:t>
      </w:r>
    </w:p>
    <w:p w14:paraId="402AC63B" w14:textId="54F74620" w:rsidR="00AF1B2C" w:rsidRPr="00AF1B2C" w:rsidRDefault="00AF1B2C" w:rsidP="00AF1B2C">
      <w:pPr>
        <w:pStyle w:val="Textbox"/>
      </w:pPr>
      <w:r w:rsidRPr="00655273">
        <w:t xml:space="preserve">Rather than expect citizens to be optimal decision makers, drawing on behavioural insights ensures policy makers design policies that go with the grain of human behaviour. For example, citizens may struggle to act in a way that aligns with their own best interests, such as saving </w:t>
      </w:r>
      <w:r>
        <w:t xml:space="preserve">more </w:t>
      </w:r>
      <w:r w:rsidRPr="00655273">
        <w:t>money in case of an emergency. Policy makers can apply behavioural insights that preserve freedom, but help people align actions with intentions – for example by helping citizens to set a plan to save regularly.</w:t>
      </w:r>
    </w:p>
    <w:p w14:paraId="0F12DFCF" w14:textId="77777777" w:rsidR="00AF1B2C" w:rsidRDefault="00AF1B2C">
      <w:pPr>
        <w:spacing w:before="0" w:after="0" w:line="240" w:lineRule="auto"/>
        <w:rPr>
          <w:rFonts w:asciiTheme="majorHAnsi" w:hAnsiTheme="majorHAnsi"/>
          <w:b/>
          <w:color w:val="2158A8"/>
          <w:sz w:val="24"/>
          <w:szCs w:val="44"/>
        </w:rPr>
      </w:pPr>
      <w:r>
        <w:rPr>
          <w:color w:val="2158A8"/>
        </w:rPr>
        <w:br w:type="page"/>
      </w:r>
    </w:p>
    <w:p w14:paraId="672928AD" w14:textId="2D4A1BA2" w:rsidR="009835A8" w:rsidRPr="008A1F58" w:rsidRDefault="007E2E4E" w:rsidP="0033231F">
      <w:pPr>
        <w:pStyle w:val="Heading2"/>
        <w:spacing w:before="163" w:after="81"/>
        <w:rPr>
          <w:color w:val="2158A8"/>
        </w:rPr>
      </w:pPr>
      <w:r w:rsidRPr="008A1F58">
        <w:rPr>
          <w:color w:val="2158A8"/>
        </w:rPr>
        <w:lastRenderedPageBreak/>
        <w:t xml:space="preserve">Peer comparison </w:t>
      </w:r>
      <w:r w:rsidR="009835A8" w:rsidRPr="008A1F58">
        <w:rPr>
          <w:color w:val="2158A8"/>
        </w:rPr>
        <w:t>feedback</w:t>
      </w:r>
    </w:p>
    <w:p w14:paraId="310A6C36" w14:textId="7F801409" w:rsidR="001726AA" w:rsidRDefault="001726AA" w:rsidP="001726AA">
      <w:r>
        <w:t xml:space="preserve">GPs may have concerns about AMR and its effects </w:t>
      </w:r>
      <w:r w:rsidR="00521170">
        <w:t xml:space="preserve">but </w:t>
      </w:r>
      <w:r>
        <w:t>don’t necessarily know how their prescribing rates compare to other GPs</w:t>
      </w:r>
      <w:r w:rsidR="000564AB">
        <w:t>. This makes</w:t>
      </w:r>
      <w:r>
        <w:t xml:space="preserve"> </w:t>
      </w:r>
      <w:r w:rsidR="00D33397">
        <w:t>it more difficult for GPs to reflect</w:t>
      </w:r>
      <w:r>
        <w:t xml:space="preserve"> on whether their </w:t>
      </w:r>
      <w:r w:rsidR="000564AB">
        <w:t xml:space="preserve">prescribing </w:t>
      </w:r>
      <w:r w:rsidR="00E62E36">
        <w:t>behaviours</w:t>
      </w:r>
      <w:r w:rsidR="00872F0D">
        <w:t xml:space="preserve"> </w:t>
      </w:r>
      <w:r>
        <w:t>are appropriate.</w:t>
      </w:r>
    </w:p>
    <w:p w14:paraId="168E41C1" w14:textId="0344C247" w:rsidR="0042315E" w:rsidRDefault="00004553" w:rsidP="00A53E3D">
      <w:r>
        <w:t>Peer comparison feedback</w:t>
      </w:r>
      <w:r w:rsidR="009835A8">
        <w:t xml:space="preserve"> </w:t>
      </w:r>
      <w:r w:rsidR="004A5C48">
        <w:t xml:space="preserve">provides </w:t>
      </w:r>
      <w:r w:rsidR="009835A8">
        <w:t>information to individuals on how their own behaviour compares to their peers</w:t>
      </w:r>
      <w:r w:rsidR="006A28C5">
        <w:t xml:space="preserve"> (see </w:t>
      </w:r>
      <w:r w:rsidR="001D039E">
        <w:t>b</w:t>
      </w:r>
      <w:r w:rsidR="006A28C5">
        <w:t>ox)</w:t>
      </w:r>
      <w:r w:rsidR="009835A8">
        <w:t xml:space="preserve">. It is based on the innate human </w:t>
      </w:r>
      <w:r w:rsidR="006A28C5">
        <w:t xml:space="preserve">tendency </w:t>
      </w:r>
      <w:r w:rsidR="009835A8">
        <w:t xml:space="preserve">to look to others </w:t>
      </w:r>
      <w:r w:rsidR="006A28C5">
        <w:t xml:space="preserve">to guide </w:t>
      </w:r>
      <w:r w:rsidR="009835A8">
        <w:t xml:space="preserve">how we should act. Effective </w:t>
      </w:r>
      <w:r w:rsidR="007E2E4E">
        <w:t xml:space="preserve">peer comparison </w:t>
      </w:r>
      <w:r w:rsidR="009835A8">
        <w:t>feedback is often targeted at</w:t>
      </w:r>
      <w:r w:rsidR="00521170">
        <w:t xml:space="preserve"> informing</w:t>
      </w:r>
      <w:r w:rsidR="009835A8">
        <w:t xml:space="preserve"> outliers</w:t>
      </w:r>
      <w:r w:rsidR="00521170">
        <w:t xml:space="preserve"> their behaviour</w:t>
      </w:r>
      <w:r w:rsidR="009835A8">
        <w:t xml:space="preserve"> </w:t>
      </w:r>
      <w:r w:rsidR="00521170">
        <w:t>is</w:t>
      </w:r>
      <w:r w:rsidR="009835A8">
        <w:t xml:space="preserve"> above or below </w:t>
      </w:r>
      <w:r w:rsidR="00E54542">
        <w:t>the</w:t>
      </w:r>
      <w:r w:rsidR="001244E3">
        <w:t xml:space="preserve"> </w:t>
      </w:r>
      <w:r w:rsidR="009835A8">
        <w:t>average</w:t>
      </w:r>
      <w:r w:rsidR="00E54542">
        <w:t xml:space="preserve"> of their peers</w:t>
      </w:r>
      <w:r w:rsidR="009835A8">
        <w:t xml:space="preserve">. </w:t>
      </w:r>
      <w:r w:rsidR="00521170">
        <w:t>This comparison</w:t>
      </w:r>
      <w:r w:rsidR="009835A8">
        <w:t xml:space="preserve"> can motivate </w:t>
      </w:r>
      <w:r w:rsidR="00521170">
        <w:t xml:space="preserve">individuals </w:t>
      </w:r>
      <w:r w:rsidR="009835A8">
        <w:t>to change their behaviour to be closer to the average – that is, to adjust their behaviour towards what is “normal” for their peer group.</w:t>
      </w:r>
    </w:p>
    <w:p w14:paraId="7FDDCD25" w14:textId="77777777" w:rsidR="00A53E3D" w:rsidRDefault="00A53E3D" w:rsidP="00A53E3D"/>
    <w:tbl>
      <w:tblPr>
        <w:tblStyle w:val="TableGrid"/>
        <w:tblW w:w="0" w:type="auto"/>
        <w:tblBorders>
          <w:top w:val="single" w:sz="8" w:space="0" w:color="117478" w:themeColor="accent3"/>
          <w:left w:val="single" w:sz="8" w:space="0" w:color="117478" w:themeColor="accent3"/>
          <w:bottom w:val="single" w:sz="8" w:space="0" w:color="117478" w:themeColor="accent3"/>
          <w:right w:val="single" w:sz="8" w:space="0" w:color="117478" w:themeColor="accent3"/>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Caption w:val="The effects of peer comparison"/>
        <w:tblDescription w:val="Text box with examples of the effectiveness of peer comparison information in leading to behaviour change."/>
      </w:tblPr>
      <w:tblGrid>
        <w:gridCol w:w="1184"/>
        <w:gridCol w:w="7034"/>
      </w:tblGrid>
      <w:tr w:rsidR="009835A8" w14:paraId="30F5B3A4" w14:textId="77777777" w:rsidTr="00960D38">
        <w:trPr>
          <w:tblHeader/>
        </w:trPr>
        <w:tc>
          <w:tcPr>
            <w:tcW w:w="8218" w:type="dxa"/>
            <w:gridSpan w:val="2"/>
          </w:tcPr>
          <w:p w14:paraId="50B33DFB" w14:textId="4BCFA9F7" w:rsidR="009835A8" w:rsidRDefault="009835A8" w:rsidP="001919C9">
            <w:pPr>
              <w:pStyle w:val="Heading3"/>
              <w:spacing w:before="19" w:after="39"/>
              <w:jc w:val="center"/>
            </w:pPr>
            <w:r w:rsidRPr="00121637">
              <w:t xml:space="preserve">The Effects of </w:t>
            </w:r>
            <w:r w:rsidR="007E2E4E">
              <w:t>Peer Comparison</w:t>
            </w:r>
          </w:p>
          <w:p w14:paraId="075DB502" w14:textId="65004843" w:rsidR="009835A8" w:rsidRDefault="009835A8" w:rsidP="001919C9">
            <w:pPr>
              <w:spacing w:before="39" w:after="39"/>
              <w:jc w:val="center"/>
            </w:pPr>
            <w:r w:rsidRPr="00121637">
              <w:t xml:space="preserve">Behavioural science offers many examples of </w:t>
            </w:r>
            <w:r w:rsidR="00827759">
              <w:t xml:space="preserve">the effectiveness of </w:t>
            </w:r>
            <w:r w:rsidR="007E2E4E">
              <w:t>peer comparison information</w:t>
            </w:r>
            <w:r w:rsidR="00246CDE">
              <w:t xml:space="preserve"> in leading to behaviour </w:t>
            </w:r>
            <w:r w:rsidRPr="00121637">
              <w:t>change:</w:t>
            </w:r>
          </w:p>
        </w:tc>
      </w:tr>
      <w:tr w:rsidR="009835A8" w14:paraId="22D1ECEB" w14:textId="77777777" w:rsidTr="007A3D6E">
        <w:tc>
          <w:tcPr>
            <w:tcW w:w="1184" w:type="dxa"/>
          </w:tcPr>
          <w:p w14:paraId="5CF970F8" w14:textId="77777777" w:rsidR="009835A8" w:rsidRDefault="009835A8" w:rsidP="00240A07">
            <w:pPr>
              <w:spacing w:before="19" w:after="39"/>
              <w:jc w:val="center"/>
            </w:pPr>
            <w:r>
              <w:rPr>
                <w:noProof/>
              </w:rPr>
              <w:drawing>
                <wp:inline distT="0" distB="0" distL="0" distR="0" wp14:anchorId="19B5BC41" wp14:editId="095FA981">
                  <wp:extent cx="475200" cy="522000"/>
                  <wp:effectExtent l="0" t="0" r="1270" b="0"/>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a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00" cy="522000"/>
                          </a:xfrm>
                          <a:prstGeom prst="rect">
                            <a:avLst/>
                          </a:prstGeom>
                        </pic:spPr>
                      </pic:pic>
                    </a:graphicData>
                  </a:graphic>
                </wp:inline>
              </w:drawing>
            </w:r>
          </w:p>
        </w:tc>
        <w:tc>
          <w:tcPr>
            <w:tcW w:w="7034" w:type="dxa"/>
          </w:tcPr>
          <w:p w14:paraId="686FC47D" w14:textId="7FC26582" w:rsidR="009835A8" w:rsidRDefault="009835A8" w:rsidP="00286AAD">
            <w:pPr>
              <w:pStyle w:val="Tabletext0"/>
              <w:spacing w:before="39" w:after="26"/>
            </w:pPr>
            <w:r w:rsidRPr="00121637">
              <w:t xml:space="preserve">People with overdue tax returns were prompted to lodge their return using </w:t>
            </w:r>
            <w:r w:rsidR="00D62E64" w:rsidRPr="0033231F">
              <w:t>peer</w:t>
            </w:r>
            <w:r w:rsidR="00D62E64">
              <w:t xml:space="preserve"> comparison</w:t>
            </w:r>
            <w:r w:rsidR="000A7CC8">
              <w:t xml:space="preserve"> </w:t>
            </w:r>
            <w:r w:rsidRPr="00121637">
              <w:t>letters (“Nine out of ten people pay their tax on time”). Recipients of these letters were nearly four times more likely to pay their tax</w:t>
            </w:r>
            <w:r w:rsidR="006C545A">
              <w:t xml:space="preserve"> (see Halpern &amp; Gallagher, 2015)</w:t>
            </w:r>
            <w:r w:rsidRPr="00121637">
              <w:t xml:space="preserve">. </w:t>
            </w:r>
          </w:p>
        </w:tc>
      </w:tr>
      <w:tr w:rsidR="009835A8" w14:paraId="6B254A5D" w14:textId="77777777" w:rsidTr="007A3D6E">
        <w:tc>
          <w:tcPr>
            <w:tcW w:w="1184" w:type="dxa"/>
          </w:tcPr>
          <w:p w14:paraId="6A7AB05C" w14:textId="77777777" w:rsidR="009835A8" w:rsidRDefault="009835A8" w:rsidP="00240A07">
            <w:pPr>
              <w:spacing w:before="19" w:after="39"/>
              <w:jc w:val="center"/>
            </w:pPr>
            <w:r>
              <w:rPr>
                <w:noProof/>
              </w:rPr>
              <w:drawing>
                <wp:inline distT="0" distB="0" distL="0" distR="0" wp14:anchorId="657458CB" wp14:editId="0EEF5A26">
                  <wp:extent cx="525600" cy="525600"/>
                  <wp:effectExtent l="0" t="0" r="8255" b="8255"/>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Lightbul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600" cy="525600"/>
                          </a:xfrm>
                          <a:prstGeom prst="rect">
                            <a:avLst/>
                          </a:prstGeom>
                        </pic:spPr>
                      </pic:pic>
                    </a:graphicData>
                  </a:graphic>
                </wp:inline>
              </w:drawing>
            </w:r>
          </w:p>
        </w:tc>
        <w:tc>
          <w:tcPr>
            <w:tcW w:w="7034" w:type="dxa"/>
          </w:tcPr>
          <w:p w14:paraId="7FCCB413" w14:textId="5FBD253C" w:rsidR="009835A8" w:rsidRDefault="00FE2904" w:rsidP="0033231F">
            <w:pPr>
              <w:pStyle w:val="Tabletext0"/>
              <w:spacing w:before="39" w:after="26"/>
            </w:pPr>
            <w:r>
              <w:t xml:space="preserve">In the United States (US), </w:t>
            </w:r>
            <w:r w:rsidR="002D6C4B">
              <w:t xml:space="preserve">an </w:t>
            </w:r>
            <w:r w:rsidR="009835A8" w:rsidRPr="00121637">
              <w:t xml:space="preserve">electricity company </w:t>
            </w:r>
            <w:r w:rsidR="002D6C4B">
              <w:t>(</w:t>
            </w:r>
            <w:r w:rsidR="009835A8" w:rsidRPr="00121637">
              <w:t>OPOWER</w:t>
            </w:r>
            <w:r w:rsidR="002D6C4B">
              <w:t>)</w:t>
            </w:r>
            <w:r w:rsidR="009835A8" w:rsidRPr="00121637">
              <w:t xml:space="preserve"> used </w:t>
            </w:r>
            <w:r w:rsidR="00D62E64">
              <w:t>peer comparison</w:t>
            </w:r>
            <w:r w:rsidR="009835A8" w:rsidRPr="00121637">
              <w:t xml:space="preserve"> messages </w:t>
            </w:r>
            <w:r w:rsidR="004A5C48">
              <w:t xml:space="preserve">to </w:t>
            </w:r>
            <w:r w:rsidR="009835A8" w:rsidRPr="00121637">
              <w:t>compar</w:t>
            </w:r>
            <w:r w:rsidR="004A5C48">
              <w:t>e</w:t>
            </w:r>
            <w:r w:rsidR="009835A8" w:rsidRPr="00121637">
              <w:t xml:space="preserve"> a person’s electricity usage to their neighbours</w:t>
            </w:r>
            <w:r w:rsidR="000A7CC8">
              <w:t>’</w:t>
            </w:r>
            <w:r w:rsidR="009835A8" w:rsidRPr="00121637">
              <w:t xml:space="preserve">. </w:t>
            </w:r>
            <w:r w:rsidR="000508BB">
              <w:t>As a result</w:t>
            </w:r>
            <w:r w:rsidR="00E54542">
              <w:t>,</w:t>
            </w:r>
            <w:r w:rsidR="000508BB">
              <w:t xml:space="preserve"> </w:t>
            </w:r>
            <w:r w:rsidR="009835A8" w:rsidRPr="00121637">
              <w:t xml:space="preserve">estimated electricity consumption </w:t>
            </w:r>
            <w:r w:rsidR="000508BB">
              <w:t xml:space="preserve">was reduced </w:t>
            </w:r>
            <w:r w:rsidR="009835A8" w:rsidRPr="00121637">
              <w:t>by</w:t>
            </w:r>
            <w:r w:rsidR="000508BB">
              <w:t xml:space="preserve"> </w:t>
            </w:r>
            <w:r w:rsidR="009835A8" w:rsidRPr="00121637">
              <w:t>2</w:t>
            </w:r>
            <w:r w:rsidR="00872F0D">
              <w:t> </w:t>
            </w:r>
            <w:r w:rsidR="000A7CC8">
              <w:t>per cent</w:t>
            </w:r>
            <w:r w:rsidR="00544044">
              <w:t xml:space="preserve"> (see Allcot</w:t>
            </w:r>
            <w:r w:rsidR="002A0852">
              <w:t>t</w:t>
            </w:r>
            <w:r w:rsidR="00544044">
              <w:t>, 2011)</w:t>
            </w:r>
            <w:r w:rsidR="009835A8" w:rsidRPr="00121637">
              <w:t>.</w:t>
            </w:r>
            <w:r w:rsidR="00544044">
              <w:t xml:space="preserve"> </w:t>
            </w:r>
          </w:p>
        </w:tc>
      </w:tr>
      <w:tr w:rsidR="009835A8" w14:paraId="51AC60F1" w14:textId="77777777" w:rsidTr="007A3D6E">
        <w:tc>
          <w:tcPr>
            <w:tcW w:w="1184" w:type="dxa"/>
          </w:tcPr>
          <w:p w14:paraId="10A2CF98" w14:textId="77777777" w:rsidR="009835A8" w:rsidRDefault="009835A8" w:rsidP="00240A07">
            <w:pPr>
              <w:spacing w:before="19" w:after="39"/>
              <w:jc w:val="center"/>
            </w:pPr>
            <w:r>
              <w:rPr>
                <w:noProof/>
              </w:rPr>
              <w:drawing>
                <wp:inline distT="0" distB="0" distL="0" distR="0" wp14:anchorId="1FD14278" wp14:editId="7666EC1F">
                  <wp:extent cx="568800" cy="489600"/>
                  <wp:effectExtent l="0" t="0" r="3175" b="5715"/>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ow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800" cy="489600"/>
                          </a:xfrm>
                          <a:prstGeom prst="rect">
                            <a:avLst/>
                          </a:prstGeom>
                        </pic:spPr>
                      </pic:pic>
                    </a:graphicData>
                  </a:graphic>
                </wp:inline>
              </w:drawing>
            </w:r>
          </w:p>
        </w:tc>
        <w:tc>
          <w:tcPr>
            <w:tcW w:w="7034" w:type="dxa"/>
          </w:tcPr>
          <w:p w14:paraId="5102ACCB" w14:textId="77777777" w:rsidR="009835A8" w:rsidRDefault="009835A8" w:rsidP="0033231F">
            <w:pPr>
              <w:pStyle w:val="Tabletext0"/>
              <w:spacing w:before="39" w:after="26"/>
            </w:pPr>
            <w:r w:rsidRPr="00D76346">
              <w:t>A sign hung in a hotel room stating 75% of guests re-use their towels more than once increased the amount of towel re-use by 7%</w:t>
            </w:r>
            <w:r w:rsidR="00544044">
              <w:t xml:space="preserve"> (see Goldstein, Cialdini &amp; Griskevicius, 2008)</w:t>
            </w:r>
            <w:r w:rsidRPr="00D76346">
              <w:t xml:space="preserve">. </w:t>
            </w:r>
          </w:p>
          <w:p w14:paraId="6EABD8E3" w14:textId="77777777" w:rsidR="009835A8" w:rsidRDefault="009835A8" w:rsidP="0033231F">
            <w:pPr>
              <w:pStyle w:val="Tabletext0"/>
              <w:spacing w:before="39" w:after="26"/>
            </w:pPr>
          </w:p>
        </w:tc>
      </w:tr>
      <w:tr w:rsidR="009835A8" w14:paraId="1603ECFB" w14:textId="77777777" w:rsidTr="007A3D6E">
        <w:tc>
          <w:tcPr>
            <w:tcW w:w="1184" w:type="dxa"/>
          </w:tcPr>
          <w:p w14:paraId="5D0FEDB8" w14:textId="77777777" w:rsidR="009835A8" w:rsidRDefault="009835A8" w:rsidP="00240A07">
            <w:pPr>
              <w:spacing w:before="19" w:after="39"/>
              <w:jc w:val="center"/>
            </w:pPr>
            <w:r>
              <w:rPr>
                <w:noProof/>
              </w:rPr>
              <w:drawing>
                <wp:inline distT="0" distB="0" distL="0" distR="0" wp14:anchorId="3F436F04" wp14:editId="219F7FD8">
                  <wp:extent cx="536400" cy="504000"/>
                  <wp:effectExtent l="0" t="0" r="0" b="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medical boar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400" cy="504000"/>
                          </a:xfrm>
                          <a:prstGeom prst="rect">
                            <a:avLst/>
                          </a:prstGeom>
                        </pic:spPr>
                      </pic:pic>
                    </a:graphicData>
                  </a:graphic>
                </wp:inline>
              </w:drawing>
            </w:r>
          </w:p>
        </w:tc>
        <w:tc>
          <w:tcPr>
            <w:tcW w:w="7034" w:type="dxa"/>
          </w:tcPr>
          <w:p w14:paraId="471F8276" w14:textId="23A6DBFC" w:rsidR="009835A8" w:rsidRDefault="009835A8" w:rsidP="0033231F">
            <w:pPr>
              <w:pStyle w:val="Tabletext0"/>
              <w:spacing w:before="39" w:after="26"/>
            </w:pPr>
            <w:r>
              <w:t>Messages incorporat</w:t>
            </w:r>
            <w:r w:rsidR="00521170">
              <w:t>ing</w:t>
            </w:r>
            <w:r>
              <w:t xml:space="preserve"> </w:t>
            </w:r>
            <w:r w:rsidR="00D62E64">
              <w:t>peer comparison information</w:t>
            </w:r>
            <w:r>
              <w:t xml:space="preserve"> about the high proportion of patients who attend medical appointments on time led to a 32% reduction in no-shows</w:t>
            </w:r>
            <w:r w:rsidR="009173BB">
              <w:t xml:space="preserve"> (see Martin, Bassi &amp; Dunbar-Rees, 2012)</w:t>
            </w:r>
            <w:r>
              <w:t xml:space="preserve">. </w:t>
            </w:r>
          </w:p>
          <w:p w14:paraId="1EDCC1CF" w14:textId="77777777" w:rsidR="009835A8" w:rsidRDefault="009835A8" w:rsidP="0033231F">
            <w:pPr>
              <w:pStyle w:val="Tabletext0"/>
              <w:spacing w:before="39" w:after="26"/>
            </w:pPr>
          </w:p>
        </w:tc>
      </w:tr>
      <w:tr w:rsidR="009835A8" w14:paraId="75F3FFB1" w14:textId="77777777" w:rsidTr="007A3D6E">
        <w:tc>
          <w:tcPr>
            <w:tcW w:w="1184" w:type="dxa"/>
          </w:tcPr>
          <w:p w14:paraId="2FA7174D" w14:textId="77777777" w:rsidR="009835A8" w:rsidRDefault="009835A8" w:rsidP="00240A07">
            <w:pPr>
              <w:spacing w:before="19" w:after="39"/>
              <w:jc w:val="center"/>
            </w:pPr>
            <w:r>
              <w:rPr>
                <w:noProof/>
              </w:rPr>
              <w:drawing>
                <wp:inline distT="0" distB="0" distL="0" distR="0" wp14:anchorId="31EC9433" wp14:editId="7211A394">
                  <wp:extent cx="442800" cy="543600"/>
                  <wp:effectExtent l="0" t="0" r="0" b="889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be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800" cy="543600"/>
                          </a:xfrm>
                          <a:prstGeom prst="rect">
                            <a:avLst/>
                          </a:prstGeom>
                        </pic:spPr>
                      </pic:pic>
                    </a:graphicData>
                  </a:graphic>
                </wp:inline>
              </w:drawing>
            </w:r>
          </w:p>
        </w:tc>
        <w:tc>
          <w:tcPr>
            <w:tcW w:w="7034" w:type="dxa"/>
          </w:tcPr>
          <w:p w14:paraId="7E7BFF09" w14:textId="4A63DE7F" w:rsidR="009835A8" w:rsidRDefault="009835A8" w:rsidP="00286AAD">
            <w:pPr>
              <w:pStyle w:val="Tabletext0"/>
              <w:spacing w:before="39" w:after="26"/>
            </w:pPr>
            <w:r w:rsidRPr="00E8395D">
              <w:t xml:space="preserve">A US-based </w:t>
            </w:r>
            <w:r w:rsidR="000508BB">
              <w:t>study</w:t>
            </w:r>
            <w:r w:rsidR="000508BB" w:rsidRPr="00E8395D">
              <w:t xml:space="preserve"> </w:t>
            </w:r>
            <w:r w:rsidR="00D0643D">
              <w:t>providing</w:t>
            </w:r>
            <w:r w:rsidR="00D0643D" w:rsidRPr="00E8395D">
              <w:t xml:space="preserve"> </w:t>
            </w:r>
            <w:r w:rsidR="00D0643D">
              <w:t xml:space="preserve">first-year intercollegiate athletes with personalised </w:t>
            </w:r>
            <w:r w:rsidR="000508BB">
              <w:t>peer comparison</w:t>
            </w:r>
            <w:r w:rsidR="00D0643D">
              <w:t xml:space="preserve"> feedback </w:t>
            </w:r>
            <w:r w:rsidR="00ED49FD">
              <w:t xml:space="preserve">substantially </w:t>
            </w:r>
            <w:r w:rsidR="00D0643D">
              <w:t xml:space="preserve">reduced heavy drinking </w:t>
            </w:r>
            <w:r w:rsidR="00ED49FD">
              <w:t>among the treatment group, while the control group saw an increase in heavy drinking</w:t>
            </w:r>
            <w:r w:rsidR="00182D0A">
              <w:t xml:space="preserve"> </w:t>
            </w:r>
            <w:r w:rsidR="00BA1E82">
              <w:t xml:space="preserve">(see </w:t>
            </w:r>
            <w:r w:rsidR="00ED49FD">
              <w:t>Doumas, Haustveit &amp; Coll, 2010</w:t>
            </w:r>
            <w:r w:rsidR="00BA1E82">
              <w:t>)</w:t>
            </w:r>
            <w:r w:rsidRPr="00E8395D">
              <w:t xml:space="preserve">. </w:t>
            </w:r>
          </w:p>
        </w:tc>
      </w:tr>
    </w:tbl>
    <w:p w14:paraId="77DF4EAE" w14:textId="77777777" w:rsidR="00F5776E" w:rsidRDefault="00F5776E" w:rsidP="00FE4030"/>
    <w:p w14:paraId="6E9860E1" w14:textId="77777777" w:rsidR="00F5776E" w:rsidRDefault="00F5776E">
      <w:pPr>
        <w:spacing w:before="0" w:after="0" w:line="240" w:lineRule="auto"/>
      </w:pPr>
      <w:r>
        <w:br w:type="page"/>
      </w:r>
    </w:p>
    <w:p w14:paraId="1585405A" w14:textId="4CDA5269" w:rsidR="00FE4030" w:rsidRDefault="000564AB" w:rsidP="00FE4030">
      <w:r>
        <w:lastRenderedPageBreak/>
        <w:t xml:space="preserve">Recently, </w:t>
      </w:r>
      <w:r w:rsidR="007E2E4E">
        <w:t>peer comparison</w:t>
      </w:r>
      <w:r>
        <w:t xml:space="preserve"> feedback was used successfully in a large RCT to reduce antibiotic prescribing rates </w:t>
      </w:r>
      <w:r w:rsidR="00804465">
        <w:t>amongst GPs</w:t>
      </w:r>
      <w:r>
        <w:t xml:space="preserve"> in the United Kingdom (UK</w:t>
      </w:r>
      <w:r w:rsidR="00BA1E82">
        <w:t>; Hallsworth et al., 2016)</w:t>
      </w:r>
      <w:r>
        <w:t>.  The UK’s CMO wrote to GPs belonging to 1,581 group practices whose antibiotic prescribing rate was in the top 20 per cent for their local area. The letter informed GPs their practice was prescribing antibiotics at a rate higher than 80 per cent of other practices in their local area. Compared to a control group, the practices whose GPs received the CMO’s letters reduced prescribing by 3.3 pe</w:t>
      </w:r>
      <w:r w:rsidR="00FE4030">
        <w:t>r cent over a six</w:t>
      </w:r>
      <w:r w:rsidR="00FE4030">
        <w:noBreakHyphen/>
        <w:t>month period.</w:t>
      </w:r>
    </w:p>
    <w:p w14:paraId="489283C2" w14:textId="1CD6CF9C" w:rsidR="000564AB" w:rsidRPr="00D33397" w:rsidRDefault="000564AB" w:rsidP="00D35443">
      <w:pPr>
        <w:pStyle w:val="Heading3"/>
      </w:pPr>
      <w:r w:rsidRPr="00D33397">
        <w:t xml:space="preserve">Individual versus </w:t>
      </w:r>
      <w:r w:rsidR="001E5850">
        <w:t>g</w:t>
      </w:r>
      <w:r w:rsidRPr="00D33397">
        <w:t xml:space="preserve">roup </w:t>
      </w:r>
      <w:r w:rsidR="001E5850">
        <w:t>f</w:t>
      </w:r>
      <w:r w:rsidRPr="00D33397">
        <w:t>eedback</w:t>
      </w:r>
    </w:p>
    <w:p w14:paraId="12AEA809" w14:textId="082A1DBD" w:rsidR="006316FD" w:rsidRDefault="009A2525" w:rsidP="00E54542">
      <w:r w:rsidRPr="00D33397">
        <w:t>An important aspect of the design of letters for this trial was considering</w:t>
      </w:r>
      <w:r w:rsidR="005D66D7">
        <w:t xml:space="preserve"> whether to provide feedback based on</w:t>
      </w:r>
      <w:r w:rsidRPr="00D33397">
        <w:t xml:space="preserve"> individual </w:t>
      </w:r>
      <w:r w:rsidR="005D66D7">
        <w:t xml:space="preserve">or group </w:t>
      </w:r>
      <w:r w:rsidR="005D66D7" w:rsidRPr="00FE4030">
        <w:t>behaviour</w:t>
      </w:r>
      <w:r w:rsidRPr="00FE4030">
        <w:t xml:space="preserve">. </w:t>
      </w:r>
      <w:r w:rsidR="001215E8" w:rsidRPr="00FE4030">
        <w:t>The</w:t>
      </w:r>
      <w:r w:rsidR="001215E8" w:rsidRPr="00ED680D">
        <w:t xml:space="preserve"> UK study focused on the behaviour of GP practices (that is, groups of GPs) rather than individuals. While individual GPs received a letter, the feedback </w:t>
      </w:r>
      <w:r w:rsidR="00DC6991">
        <w:t>provided</w:t>
      </w:r>
      <w:r w:rsidR="001215E8" w:rsidRPr="00ED680D">
        <w:t xml:space="preserve"> was about how </w:t>
      </w:r>
      <w:r w:rsidR="006A28C5">
        <w:t xml:space="preserve">they and </w:t>
      </w:r>
      <w:r w:rsidR="001215E8" w:rsidRPr="00ED680D">
        <w:t>their colleagues</w:t>
      </w:r>
      <w:r w:rsidR="006A28C5">
        <w:t>,</w:t>
      </w:r>
      <w:r w:rsidR="001215E8" w:rsidRPr="00ED680D">
        <w:t xml:space="preserve"> as a group</w:t>
      </w:r>
      <w:r w:rsidR="006A28C5">
        <w:t>,</w:t>
      </w:r>
      <w:r w:rsidR="001215E8" w:rsidRPr="00ED680D">
        <w:t xml:space="preserve"> were prescribing.</w:t>
      </w:r>
      <w:r w:rsidRPr="009A2525">
        <w:t xml:space="preserve"> </w:t>
      </w:r>
      <w:r w:rsidR="00810B34">
        <w:t>GPs needed to work collectively to reduce the prescribing of their group practice</w:t>
      </w:r>
      <w:r w:rsidR="0025145F">
        <w:t xml:space="preserve"> despite antibiotic prescribing being an individual action</w:t>
      </w:r>
      <w:r w:rsidR="00810B34">
        <w:t>.</w:t>
      </w:r>
      <w:r w:rsidR="000616FE">
        <w:t xml:space="preserve"> </w:t>
      </w:r>
    </w:p>
    <w:p w14:paraId="51711C16" w14:textId="77E76052" w:rsidR="008E0A1B" w:rsidRDefault="0025145F" w:rsidP="00221202">
      <w:r>
        <w:t xml:space="preserve">When operating in a group, social </w:t>
      </w:r>
      <w:r w:rsidR="00C17DEE">
        <w:t>psychologists</w:t>
      </w:r>
      <w:r>
        <w:t xml:space="preserve"> suggest the feelings of responsibility for achieving outcomes can be diffused across group members. </w:t>
      </w:r>
      <w:r w:rsidR="00165901">
        <w:t>In other words, people can “hide in the crowd” (</w:t>
      </w:r>
      <w:r w:rsidR="00BA1E82">
        <w:t>Latane, Williams &amp; Harkins, 1979</w:t>
      </w:r>
      <w:r w:rsidR="00165901">
        <w:t xml:space="preserve">). When receiving group prescribing information, a </w:t>
      </w:r>
      <w:r w:rsidR="00DE779B">
        <w:t xml:space="preserve">GP </w:t>
      </w:r>
      <w:r w:rsidR="00165901">
        <w:t xml:space="preserve">may believe other </w:t>
      </w:r>
      <w:r w:rsidR="00DE779B">
        <w:t xml:space="preserve">GPs </w:t>
      </w:r>
      <w:r w:rsidR="00165901">
        <w:t>in the practice are responsible for the high</w:t>
      </w:r>
      <w:r w:rsidR="001A4FF5">
        <w:noBreakHyphen/>
      </w:r>
      <w:r w:rsidR="00F323E5">
        <w:t>prescribing</w:t>
      </w:r>
      <w:r w:rsidR="00165901">
        <w:t xml:space="preserve"> levels</w:t>
      </w:r>
      <w:r w:rsidR="00A846D1">
        <w:t xml:space="preserve"> because </w:t>
      </w:r>
      <w:r w:rsidR="00C17DEE">
        <w:t>each individual</w:t>
      </w:r>
      <w:r w:rsidR="001A4FF5">
        <w:t>’</w:t>
      </w:r>
      <w:r w:rsidR="00C17DEE">
        <w:t>s</w:t>
      </w:r>
      <w:r w:rsidR="00A846D1">
        <w:t xml:space="preserve"> contribut</w:t>
      </w:r>
      <w:r w:rsidR="00C17DEE">
        <w:t>ion</w:t>
      </w:r>
      <w:r w:rsidR="00827759">
        <w:t xml:space="preserve"> remains unclear</w:t>
      </w:r>
      <w:r w:rsidR="00A846D1">
        <w:t>. The</w:t>
      </w:r>
      <w:r w:rsidR="00DE779B">
        <w:t xml:space="preserve"> GP</w:t>
      </w:r>
      <w:r w:rsidR="00A846D1">
        <w:t xml:space="preserve"> </w:t>
      </w:r>
      <w:r w:rsidR="00B74E71">
        <w:t>may also be uncertain about</w:t>
      </w:r>
      <w:r w:rsidR="00A846D1">
        <w:t xml:space="preserve"> how much </w:t>
      </w:r>
      <w:r w:rsidR="002E2CDA">
        <w:t xml:space="preserve">to </w:t>
      </w:r>
      <w:r w:rsidR="00F323E5">
        <w:t xml:space="preserve">reduce their prescribing </w:t>
      </w:r>
      <w:r w:rsidR="00286AAD">
        <w:t>–</w:t>
      </w:r>
      <w:r w:rsidR="00A846D1">
        <w:t xml:space="preserve"> if at all. </w:t>
      </w:r>
      <w:r w:rsidR="008E0A1B">
        <w:t xml:space="preserve">As a result, </w:t>
      </w:r>
      <w:r w:rsidR="00B74E71">
        <w:t xml:space="preserve">the practice’s overall prescribing rate may not reduce as much as </w:t>
      </w:r>
      <w:r w:rsidR="0003181B">
        <w:t>expected</w:t>
      </w:r>
      <w:r w:rsidR="00B74E71">
        <w:t xml:space="preserve">. </w:t>
      </w:r>
    </w:p>
    <w:p w14:paraId="7B4F6862" w14:textId="20B5B4C5" w:rsidR="0003181B" w:rsidRDefault="00827759" w:rsidP="00C36424">
      <w:r>
        <w:t>To reduce</w:t>
      </w:r>
      <w:r w:rsidR="0003181B">
        <w:t xml:space="preserve"> the effect of hiding in a group </w:t>
      </w:r>
      <w:r>
        <w:t>i</w:t>
      </w:r>
      <w:r w:rsidR="0003181B" w:rsidRPr="00ED680D">
        <w:t>t</w:t>
      </w:r>
      <w:r w:rsidR="0003181B">
        <w:t xml:space="preserve"> is recommended individual</w:t>
      </w:r>
      <w:r w:rsidR="0003181B" w:rsidRPr="00ED680D">
        <w:t xml:space="preserve"> contributions are identified and measured against a standard</w:t>
      </w:r>
      <w:r w:rsidR="00BA1E82">
        <w:t xml:space="preserve"> (Karau &amp; Williams, 1993)</w:t>
      </w:r>
      <w:r w:rsidR="0003181B" w:rsidRPr="00ED680D">
        <w:t xml:space="preserve">. </w:t>
      </w:r>
      <w:r w:rsidR="0003181B" w:rsidRPr="008D62BC">
        <w:t xml:space="preserve">Targeting feedback at individual GPs rather than groups of GPs provides </w:t>
      </w:r>
      <w:r>
        <w:t>a</w:t>
      </w:r>
      <w:r w:rsidRPr="008D62BC">
        <w:t xml:space="preserve"> </w:t>
      </w:r>
      <w:r w:rsidR="0003181B" w:rsidRPr="008D62BC">
        <w:t xml:space="preserve">potential </w:t>
      </w:r>
      <w:r>
        <w:t>way</w:t>
      </w:r>
      <w:r w:rsidR="004A7E28">
        <w:t xml:space="preserve"> </w:t>
      </w:r>
      <w:r w:rsidR="0003181B">
        <w:t>to increase individual accountability and the effectiveness of a peer comparison intervention</w:t>
      </w:r>
      <w:r w:rsidR="0003181B" w:rsidRPr="008D62BC">
        <w:t>.</w:t>
      </w:r>
    </w:p>
    <w:p w14:paraId="019542DA" w14:textId="56325A78" w:rsidR="00597594" w:rsidRDefault="00597594">
      <w:pPr>
        <w:spacing w:before="0" w:after="0" w:line="240" w:lineRule="auto"/>
      </w:pPr>
      <w:r>
        <w:br w:type="page"/>
      </w:r>
    </w:p>
    <w:p w14:paraId="30646320" w14:textId="673D6C4F" w:rsidR="009835A8" w:rsidRPr="008A1F58" w:rsidRDefault="009835A8" w:rsidP="00FE4030">
      <w:pPr>
        <w:pStyle w:val="Heading2"/>
        <w:rPr>
          <w:color w:val="2158A8"/>
        </w:rPr>
      </w:pPr>
      <w:r w:rsidRPr="008A1F58">
        <w:rPr>
          <w:color w:val="2158A8"/>
        </w:rPr>
        <w:lastRenderedPageBreak/>
        <w:t>Overview of our approach</w:t>
      </w:r>
    </w:p>
    <w:p w14:paraId="163B8F48" w14:textId="38698A11" w:rsidR="00FA43DF" w:rsidRDefault="00FA43DF" w:rsidP="008E3B70">
      <w:pPr>
        <w:jc w:val="both"/>
        <w:rPr>
          <w:rFonts w:cs="Arial"/>
        </w:rPr>
      </w:pPr>
      <w:r>
        <w:rPr>
          <w:rFonts w:cs="Arial"/>
        </w:rPr>
        <w:t>W</w:t>
      </w:r>
      <w:r w:rsidR="008E3B70" w:rsidRPr="00727B08">
        <w:rPr>
          <w:rFonts w:cs="Arial"/>
        </w:rPr>
        <w:t xml:space="preserve">e </w:t>
      </w:r>
      <w:r w:rsidR="008E3B70">
        <w:rPr>
          <w:rFonts w:cs="Arial"/>
        </w:rPr>
        <w:t xml:space="preserve">designed and tested the impact of </w:t>
      </w:r>
      <w:r w:rsidR="00DE779B">
        <w:rPr>
          <w:rFonts w:cs="Arial"/>
        </w:rPr>
        <w:t xml:space="preserve">four </w:t>
      </w:r>
      <w:r w:rsidR="008E3B70" w:rsidRPr="00727B08">
        <w:rPr>
          <w:rFonts w:cs="Arial"/>
        </w:rPr>
        <w:t xml:space="preserve">different letters </w:t>
      </w:r>
      <w:r w:rsidR="008E3B70">
        <w:rPr>
          <w:rFonts w:cs="Arial"/>
        </w:rPr>
        <w:t>(</w:t>
      </w:r>
      <w:r w:rsidR="008E3B70" w:rsidRPr="00727B08">
        <w:rPr>
          <w:rFonts w:cs="Arial"/>
        </w:rPr>
        <w:t>and associated materials</w:t>
      </w:r>
      <w:r w:rsidR="008E3B70">
        <w:rPr>
          <w:rFonts w:cs="Arial"/>
        </w:rPr>
        <w:t>)</w:t>
      </w:r>
      <w:r w:rsidR="008E3B70" w:rsidRPr="00727B08">
        <w:rPr>
          <w:rFonts w:cs="Arial"/>
        </w:rPr>
        <w:t xml:space="preserve"> </w:t>
      </w:r>
      <w:r w:rsidR="008E3B70">
        <w:rPr>
          <w:rFonts w:cs="Arial"/>
        </w:rPr>
        <w:t xml:space="preserve">on </w:t>
      </w:r>
      <w:r>
        <w:rPr>
          <w:rFonts w:cs="Arial"/>
        </w:rPr>
        <w:t>the subsequent antibiotic prescribing</w:t>
      </w:r>
      <w:r w:rsidR="008E3B70">
        <w:rPr>
          <w:rFonts w:cs="Arial"/>
        </w:rPr>
        <w:t xml:space="preserve"> rates</w:t>
      </w:r>
      <w:r>
        <w:rPr>
          <w:rFonts w:cs="Arial"/>
        </w:rPr>
        <w:t xml:space="preserve"> of Australian GPs</w:t>
      </w:r>
      <w:r w:rsidR="00872F0D">
        <w:rPr>
          <w:rFonts w:cs="Arial"/>
        </w:rPr>
        <w:t xml:space="preserve">. </w:t>
      </w:r>
    </w:p>
    <w:p w14:paraId="05F469AB" w14:textId="47366F7D" w:rsidR="008E3B70" w:rsidRDefault="008E3B70" w:rsidP="008E3B70">
      <w:pPr>
        <w:jc w:val="both"/>
        <w:rPr>
          <w:rFonts w:cs="Arial"/>
        </w:rPr>
      </w:pPr>
      <w:r>
        <w:rPr>
          <w:rFonts w:cs="Arial"/>
        </w:rPr>
        <w:t xml:space="preserve">There were </w:t>
      </w:r>
      <w:r w:rsidR="00872F0D">
        <w:rPr>
          <w:rFonts w:cs="Arial"/>
        </w:rPr>
        <w:t>five</w:t>
      </w:r>
      <w:r>
        <w:rPr>
          <w:rFonts w:cs="Arial"/>
        </w:rPr>
        <w:t xml:space="preserve"> distinctive features of our </w:t>
      </w:r>
      <w:r w:rsidR="00286AAD">
        <w:rPr>
          <w:rFonts w:cs="Arial"/>
        </w:rPr>
        <w:t xml:space="preserve">letter </w:t>
      </w:r>
      <w:r>
        <w:rPr>
          <w:rFonts w:cs="Arial"/>
        </w:rPr>
        <w:t>designs</w:t>
      </w:r>
      <w:r w:rsidR="00FA43DF">
        <w:rPr>
          <w:rFonts w:cs="Arial"/>
        </w:rPr>
        <w:t>.</w:t>
      </w:r>
    </w:p>
    <w:p w14:paraId="1D321E3D" w14:textId="02672307" w:rsidR="009835A8" w:rsidRPr="00FE4030" w:rsidRDefault="004202BF" w:rsidP="00796467">
      <w:pPr>
        <w:pStyle w:val="Heading3"/>
        <w:numPr>
          <w:ilvl w:val="0"/>
          <w:numId w:val="28"/>
        </w:numPr>
        <w:rPr>
          <w:rFonts w:cs="Arial"/>
        </w:rPr>
      </w:pPr>
      <w:r w:rsidRPr="00FE4030">
        <w:t>Peer comparison</w:t>
      </w:r>
      <w:r w:rsidR="00BB4ED6" w:rsidRPr="00FE4030">
        <w:t xml:space="preserve"> with i</w:t>
      </w:r>
      <w:r w:rsidR="009835A8" w:rsidRPr="00FE4030">
        <w:t>ndivi</w:t>
      </w:r>
      <w:r w:rsidR="008E3B70" w:rsidRPr="00FE4030">
        <w:t>dual and personalised feedback</w:t>
      </w:r>
    </w:p>
    <w:p w14:paraId="4654E4AF" w14:textId="57A8F892" w:rsidR="009835A8" w:rsidRDefault="00FA43DF" w:rsidP="00E54542">
      <w:r>
        <w:rPr>
          <w:rFonts w:cs="Arial"/>
        </w:rPr>
        <w:t>W</w:t>
      </w:r>
      <w:r w:rsidR="009835A8" w:rsidRPr="00727B08">
        <w:rPr>
          <w:rFonts w:cs="Arial"/>
        </w:rPr>
        <w:t xml:space="preserve">e personalised the </w:t>
      </w:r>
      <w:r>
        <w:rPr>
          <w:rFonts w:cs="Arial"/>
        </w:rPr>
        <w:t xml:space="preserve">GPs’ </w:t>
      </w:r>
      <w:r w:rsidR="009835A8" w:rsidRPr="00727B08">
        <w:rPr>
          <w:rFonts w:cs="Arial"/>
        </w:rPr>
        <w:t xml:space="preserve">feedback by </w:t>
      </w:r>
      <w:r>
        <w:rPr>
          <w:rFonts w:cs="Arial"/>
        </w:rPr>
        <w:t>p</w:t>
      </w:r>
      <w:r w:rsidR="009835A8" w:rsidRPr="00727B08">
        <w:rPr>
          <w:rFonts w:cs="Arial"/>
        </w:rPr>
        <w:t xml:space="preserve">roviding </w:t>
      </w:r>
      <w:r w:rsidR="009835A8">
        <w:rPr>
          <w:rFonts w:cs="Arial"/>
        </w:rPr>
        <w:t>individual</w:t>
      </w:r>
      <w:r w:rsidR="009835A8" w:rsidRPr="00727B08">
        <w:rPr>
          <w:rFonts w:cs="Arial"/>
        </w:rPr>
        <w:t xml:space="preserve"> </w:t>
      </w:r>
      <w:r w:rsidR="009835A8">
        <w:rPr>
          <w:rFonts w:cs="Arial"/>
        </w:rPr>
        <w:t>prescribing rates relative to other GPs in their region</w:t>
      </w:r>
      <w:r w:rsidR="009835A8" w:rsidRPr="00727B08">
        <w:rPr>
          <w:rFonts w:cs="Arial"/>
        </w:rPr>
        <w:t xml:space="preserve"> (</w:t>
      </w:r>
      <w:r w:rsidR="00D31931">
        <w:rPr>
          <w:rFonts w:cs="Arial"/>
        </w:rPr>
        <w:t>e.g.</w:t>
      </w:r>
      <w:r w:rsidR="009835A8" w:rsidRPr="00727B08">
        <w:rPr>
          <w:rFonts w:cs="Arial"/>
        </w:rPr>
        <w:t xml:space="preserve"> “You prescribe more antibiotics than 85</w:t>
      </w:r>
      <w:r w:rsidR="006F257C">
        <w:rPr>
          <w:rFonts w:cs="Arial"/>
        </w:rPr>
        <w:t> </w:t>
      </w:r>
      <w:r w:rsidR="00FA7626">
        <w:rPr>
          <w:rFonts w:cs="Arial"/>
        </w:rPr>
        <w:t>per cent</w:t>
      </w:r>
      <w:r w:rsidR="009835A8" w:rsidRPr="00727B08">
        <w:rPr>
          <w:rFonts w:cs="Arial"/>
        </w:rPr>
        <w:t xml:space="preserve"> of prescribers in the ACT region”).</w:t>
      </w:r>
      <w:r w:rsidR="009835A8">
        <w:rPr>
          <w:rFonts w:cs="Arial"/>
        </w:rPr>
        <w:t xml:space="preserve"> We also gave their actual percentile (e.g. 74</w:t>
      </w:r>
      <w:r w:rsidR="009835A8" w:rsidRPr="00A22C98">
        <w:rPr>
          <w:rFonts w:cs="Arial"/>
        </w:rPr>
        <w:t>th</w:t>
      </w:r>
      <w:r w:rsidR="009835A8">
        <w:rPr>
          <w:rFonts w:cs="Arial"/>
        </w:rPr>
        <w:t xml:space="preserve">, 91th or 89th percentile). </w:t>
      </w:r>
      <w:r w:rsidR="00190084">
        <w:t>Another recent study seeking to reduce overprescribing of antibiotics used individual peer comparisons, although it differed from our study in other respects (Meeker et al. 2016; see conclusion for further discussion).</w:t>
      </w:r>
    </w:p>
    <w:p w14:paraId="440DADD9" w14:textId="577EA4AC" w:rsidR="00FA43DF" w:rsidRPr="00FE4030" w:rsidRDefault="009835A8" w:rsidP="00796467">
      <w:pPr>
        <w:pStyle w:val="Heading3"/>
        <w:numPr>
          <w:ilvl w:val="0"/>
          <w:numId w:val="28"/>
        </w:numPr>
      </w:pPr>
      <w:r w:rsidRPr="00FE4030">
        <w:t>Target</w:t>
      </w:r>
      <w:r w:rsidR="00A95254" w:rsidRPr="00FE4030">
        <w:t>ing</w:t>
      </w:r>
      <w:r w:rsidRPr="00FE4030">
        <w:t xml:space="preserve"> the top 30 per cent</w:t>
      </w:r>
    </w:p>
    <w:p w14:paraId="5BD34768" w14:textId="49B7731F" w:rsidR="009835A8" w:rsidRDefault="009835A8" w:rsidP="00F03FE4">
      <w:pPr>
        <w:rPr>
          <w:rFonts w:cs="Arial"/>
        </w:rPr>
      </w:pPr>
      <w:r>
        <w:t xml:space="preserve">We targeted </w:t>
      </w:r>
      <w:r w:rsidRPr="006B3548">
        <w:t xml:space="preserve">GPs across Australia whose antibiotic prescribing rates were in the top 30 per cent </w:t>
      </w:r>
      <w:r w:rsidR="00286AAD">
        <w:t>of</w:t>
      </w:r>
      <w:r w:rsidR="00286AAD" w:rsidRPr="006B3548">
        <w:t xml:space="preserve"> </w:t>
      </w:r>
      <w:r w:rsidRPr="006B3548">
        <w:t>their geographic region</w:t>
      </w:r>
      <w:r>
        <w:t xml:space="preserve">. </w:t>
      </w:r>
      <w:r>
        <w:rPr>
          <w:rFonts w:cs="Arial"/>
        </w:rPr>
        <w:t>We wanted to</w:t>
      </w:r>
      <w:r w:rsidRPr="00727B08">
        <w:rPr>
          <w:rFonts w:cs="Arial"/>
        </w:rPr>
        <w:t xml:space="preserve"> test whether the power of </w:t>
      </w:r>
      <w:r w:rsidR="004202BF">
        <w:rPr>
          <w:rFonts w:cs="Arial"/>
        </w:rPr>
        <w:t>peer comparison information</w:t>
      </w:r>
      <w:r w:rsidR="00FA43DF">
        <w:rPr>
          <w:rFonts w:cs="Arial"/>
        </w:rPr>
        <w:t xml:space="preserve"> would vary depending on a person’s position relative to the average</w:t>
      </w:r>
      <w:r w:rsidRPr="00727B08">
        <w:rPr>
          <w:rFonts w:cs="Arial"/>
        </w:rPr>
        <w:t xml:space="preserve">. For example, </w:t>
      </w:r>
      <w:r w:rsidR="00831965">
        <w:rPr>
          <w:rFonts w:cs="Arial"/>
        </w:rPr>
        <w:t>whether peer comparison would</w:t>
      </w:r>
      <w:r w:rsidRPr="00727B08">
        <w:rPr>
          <w:rFonts w:cs="Arial"/>
        </w:rPr>
        <w:t xml:space="preserve"> work </w:t>
      </w:r>
      <w:r w:rsidR="00831965">
        <w:rPr>
          <w:rFonts w:cs="Arial"/>
        </w:rPr>
        <w:t xml:space="preserve">less effectively </w:t>
      </w:r>
      <w:r w:rsidRPr="00727B08">
        <w:rPr>
          <w:rFonts w:cs="Arial"/>
        </w:rPr>
        <w:t>for those at the 70</w:t>
      </w:r>
      <w:r w:rsidR="00B04418" w:rsidRPr="00B97D29">
        <w:rPr>
          <w:rFonts w:cs="Arial"/>
          <w:vertAlign w:val="superscript"/>
        </w:rPr>
        <w:t>th</w:t>
      </w:r>
      <w:r w:rsidRPr="00B97D29">
        <w:rPr>
          <w:rFonts w:cs="Arial"/>
          <w:vertAlign w:val="superscript"/>
        </w:rPr>
        <w:t xml:space="preserve"> </w:t>
      </w:r>
      <w:r w:rsidRPr="00727B08">
        <w:rPr>
          <w:rFonts w:cs="Arial"/>
        </w:rPr>
        <w:t xml:space="preserve">percentile </w:t>
      </w:r>
      <w:r w:rsidR="00831965">
        <w:rPr>
          <w:rFonts w:cs="Arial"/>
        </w:rPr>
        <w:t>compared to the 90</w:t>
      </w:r>
      <w:r w:rsidR="00831965" w:rsidRPr="00B97D29">
        <w:rPr>
          <w:rFonts w:cs="Arial"/>
          <w:vertAlign w:val="superscript"/>
        </w:rPr>
        <w:t>th</w:t>
      </w:r>
      <w:r w:rsidR="00831965">
        <w:rPr>
          <w:rFonts w:cs="Arial"/>
        </w:rPr>
        <w:t xml:space="preserve"> percentile.</w:t>
      </w:r>
    </w:p>
    <w:p w14:paraId="39DC1BF6" w14:textId="3451EF0D" w:rsidR="00FA43DF" w:rsidRPr="00FA43DF" w:rsidRDefault="008E3B70" w:rsidP="00796467">
      <w:pPr>
        <w:pStyle w:val="Heading3"/>
        <w:numPr>
          <w:ilvl w:val="0"/>
          <w:numId w:val="28"/>
        </w:numPr>
      </w:pPr>
      <w:r w:rsidRPr="00FA43DF">
        <w:t>More than one letter</w:t>
      </w:r>
    </w:p>
    <w:p w14:paraId="4C297C8A" w14:textId="77777777" w:rsidR="001726AA" w:rsidRDefault="009835A8" w:rsidP="00FA43DF">
      <w:pPr>
        <w:pStyle w:val="ListNumber"/>
        <w:numPr>
          <w:ilvl w:val="0"/>
          <w:numId w:val="0"/>
        </w:numPr>
      </w:pPr>
      <w:r w:rsidRPr="00727B08">
        <w:t>We compared four different letters and associated materials to see if one approach had a grea</w:t>
      </w:r>
      <w:r w:rsidR="001726AA">
        <w:t>ter impact on prescribing rates:</w:t>
      </w:r>
    </w:p>
    <w:p w14:paraId="6E9BA19B" w14:textId="67EE27DA" w:rsidR="008F7948" w:rsidRPr="001215E8" w:rsidRDefault="008F7948" w:rsidP="00FE4030">
      <w:pPr>
        <w:pStyle w:val="ListParagraph"/>
        <w:numPr>
          <w:ilvl w:val="0"/>
          <w:numId w:val="6"/>
        </w:numPr>
        <w:rPr>
          <w:rFonts w:cs="Arial"/>
        </w:rPr>
      </w:pPr>
      <w:r w:rsidRPr="00D35443">
        <w:rPr>
          <w:rFonts w:cs="Arial"/>
          <w:i/>
        </w:rPr>
        <w:t>Education-only</w:t>
      </w:r>
      <w:r w:rsidRPr="00FE4030">
        <w:rPr>
          <w:rFonts w:cs="Arial"/>
        </w:rPr>
        <w:t xml:space="preserve"> </w:t>
      </w:r>
      <w:r w:rsidR="00471BFD">
        <w:rPr>
          <w:rFonts w:cs="Arial"/>
        </w:rPr>
        <w:t xml:space="preserve">letter </w:t>
      </w:r>
      <w:r>
        <w:rPr>
          <w:rFonts w:cs="Arial"/>
        </w:rPr>
        <w:t>–</w:t>
      </w:r>
      <w:r w:rsidRPr="001215E8">
        <w:rPr>
          <w:rFonts w:cs="Arial"/>
        </w:rPr>
        <w:t xml:space="preserve"> contained </w:t>
      </w:r>
      <w:r w:rsidR="004202BF">
        <w:rPr>
          <w:rFonts w:cs="Arial"/>
        </w:rPr>
        <w:t>standard information</w:t>
      </w:r>
      <w:r w:rsidRPr="001215E8">
        <w:rPr>
          <w:rFonts w:cs="Arial"/>
        </w:rPr>
        <w:t xml:space="preserve"> about </w:t>
      </w:r>
      <w:r w:rsidR="00471BFD">
        <w:rPr>
          <w:rFonts w:cs="Arial"/>
        </w:rPr>
        <w:t xml:space="preserve">AMR </w:t>
      </w:r>
      <w:r w:rsidRPr="001215E8">
        <w:rPr>
          <w:rFonts w:cs="Arial"/>
        </w:rPr>
        <w:t>and two National Prescribing Service (NPS) posters.</w:t>
      </w:r>
    </w:p>
    <w:p w14:paraId="6393B197" w14:textId="06038A58" w:rsidR="008F7948" w:rsidRPr="001215E8" w:rsidRDefault="0017371E" w:rsidP="00FE4030">
      <w:pPr>
        <w:pStyle w:val="ListParagraph"/>
        <w:numPr>
          <w:ilvl w:val="0"/>
          <w:numId w:val="6"/>
        </w:numPr>
        <w:rPr>
          <w:rFonts w:cs="Arial"/>
        </w:rPr>
      </w:pPr>
      <w:r w:rsidRPr="00D35443">
        <w:rPr>
          <w:rFonts w:cs="Arial"/>
          <w:i/>
        </w:rPr>
        <w:t>Education with peer comparison letter</w:t>
      </w:r>
      <w:r w:rsidR="00FE4030" w:rsidRPr="00FE4030">
        <w:rPr>
          <w:rFonts w:cs="Arial"/>
        </w:rPr>
        <w:t xml:space="preserve"> </w:t>
      </w:r>
      <w:r w:rsidR="008F7948">
        <w:rPr>
          <w:rFonts w:cs="Arial"/>
        </w:rPr>
        <w:t xml:space="preserve">– </w:t>
      </w:r>
      <w:r w:rsidR="008F7948" w:rsidRPr="001215E8">
        <w:rPr>
          <w:rFonts w:cs="Arial"/>
        </w:rPr>
        <w:t xml:space="preserve">the same as the </w:t>
      </w:r>
      <w:r w:rsidR="00471BFD">
        <w:rPr>
          <w:rFonts w:cs="Arial"/>
        </w:rPr>
        <w:t>education-only</w:t>
      </w:r>
      <w:r w:rsidR="00471BFD" w:rsidRPr="001215E8">
        <w:rPr>
          <w:rFonts w:cs="Arial"/>
        </w:rPr>
        <w:t xml:space="preserve"> </w:t>
      </w:r>
      <w:r w:rsidR="008F7948" w:rsidRPr="001215E8">
        <w:rPr>
          <w:rFonts w:cs="Arial"/>
        </w:rPr>
        <w:t xml:space="preserve">letter but </w:t>
      </w:r>
      <w:r w:rsidR="008E5D8A">
        <w:rPr>
          <w:rFonts w:cs="Arial"/>
        </w:rPr>
        <w:t>with</w:t>
      </w:r>
      <w:r w:rsidR="008F7948" w:rsidRPr="001215E8">
        <w:rPr>
          <w:rFonts w:cs="Arial"/>
        </w:rPr>
        <w:t xml:space="preserve"> a tagline providing the GP with information about their percentile prescribing rate compared to their peer</w:t>
      </w:r>
      <w:r w:rsidR="004202BF">
        <w:rPr>
          <w:rFonts w:cs="Arial"/>
        </w:rPr>
        <w:t>s</w:t>
      </w:r>
      <w:r w:rsidR="008F7948" w:rsidRPr="001215E8">
        <w:rPr>
          <w:rFonts w:cs="Arial"/>
        </w:rPr>
        <w:t xml:space="preserve"> in their</w:t>
      </w:r>
      <w:r w:rsidR="004202BF">
        <w:rPr>
          <w:rFonts w:cs="Arial"/>
        </w:rPr>
        <w:t xml:space="preserve"> </w:t>
      </w:r>
      <w:r w:rsidR="008F7948" w:rsidRPr="001215E8">
        <w:rPr>
          <w:rFonts w:cs="Arial"/>
        </w:rPr>
        <w:t>region.</w:t>
      </w:r>
    </w:p>
    <w:p w14:paraId="3410D87B" w14:textId="3C3195E1" w:rsidR="008F7948" w:rsidRPr="001215E8" w:rsidRDefault="004202BF" w:rsidP="00FE4030">
      <w:pPr>
        <w:pStyle w:val="ListParagraph"/>
        <w:numPr>
          <w:ilvl w:val="0"/>
          <w:numId w:val="6"/>
        </w:numPr>
        <w:jc w:val="both"/>
        <w:rPr>
          <w:rFonts w:cs="Arial"/>
        </w:rPr>
      </w:pPr>
      <w:r w:rsidRPr="00D35443">
        <w:rPr>
          <w:rFonts w:cs="Arial"/>
          <w:i/>
        </w:rPr>
        <w:t>Peer comparison</w:t>
      </w:r>
      <w:r w:rsidR="008F7948" w:rsidRPr="00D35443">
        <w:rPr>
          <w:rFonts w:cs="Arial"/>
          <w:i/>
        </w:rPr>
        <w:t xml:space="preserve"> with </w:t>
      </w:r>
      <w:r w:rsidR="00804465" w:rsidRPr="00D35443">
        <w:rPr>
          <w:rFonts w:cs="Arial"/>
          <w:i/>
        </w:rPr>
        <w:t>graph</w:t>
      </w:r>
      <w:r w:rsidRPr="00D35443">
        <w:rPr>
          <w:rFonts w:cs="Arial"/>
          <w:i/>
        </w:rPr>
        <w:t xml:space="preserve"> letter</w:t>
      </w:r>
      <w:r w:rsidR="008F7948">
        <w:rPr>
          <w:rFonts w:cs="Arial"/>
        </w:rPr>
        <w:t xml:space="preserve"> –</w:t>
      </w:r>
      <w:r w:rsidR="008F7948" w:rsidRPr="001215E8">
        <w:rPr>
          <w:rFonts w:cs="Arial"/>
        </w:rPr>
        <w:t xml:space="preserve"> included the tagline comparing the GP to their peers along with a </w:t>
      </w:r>
      <w:r w:rsidR="00FA43DF">
        <w:rPr>
          <w:rFonts w:cs="Arial"/>
        </w:rPr>
        <w:t>visual</w:t>
      </w:r>
      <w:r>
        <w:rPr>
          <w:rFonts w:cs="Arial"/>
        </w:rPr>
        <w:t>, attention grabbing</w:t>
      </w:r>
      <w:r w:rsidR="00FA43DF">
        <w:rPr>
          <w:rFonts w:cs="Arial"/>
        </w:rPr>
        <w:t xml:space="preserve"> </w:t>
      </w:r>
      <w:r w:rsidR="008F7948" w:rsidRPr="001215E8">
        <w:rPr>
          <w:rFonts w:cs="Arial"/>
        </w:rPr>
        <w:t>graph</w:t>
      </w:r>
      <w:r>
        <w:rPr>
          <w:rFonts w:cs="Arial"/>
        </w:rPr>
        <w:t xml:space="preserve"> to make the comparison more salient</w:t>
      </w:r>
      <w:r w:rsidR="008F7948" w:rsidRPr="001215E8">
        <w:rPr>
          <w:rFonts w:cs="Arial"/>
        </w:rPr>
        <w:t>.</w:t>
      </w:r>
    </w:p>
    <w:p w14:paraId="054DAC5F" w14:textId="132CD32D" w:rsidR="008F7948" w:rsidRDefault="00D62E64" w:rsidP="00FE4030">
      <w:pPr>
        <w:pStyle w:val="ListParagraph"/>
        <w:numPr>
          <w:ilvl w:val="0"/>
          <w:numId w:val="6"/>
        </w:numPr>
        <w:rPr>
          <w:rFonts w:cs="Arial"/>
        </w:rPr>
      </w:pPr>
      <w:r w:rsidRPr="00D35443">
        <w:rPr>
          <w:rFonts w:cs="Arial"/>
          <w:i/>
        </w:rPr>
        <w:t>Peer comparison</w:t>
      </w:r>
      <w:r w:rsidR="00F03FE4" w:rsidRPr="00D35443">
        <w:rPr>
          <w:rFonts w:cs="Arial"/>
          <w:i/>
        </w:rPr>
        <w:t xml:space="preserve"> </w:t>
      </w:r>
      <w:r w:rsidR="008F7948" w:rsidRPr="00D35443">
        <w:rPr>
          <w:rFonts w:cs="Arial"/>
          <w:i/>
        </w:rPr>
        <w:t>with delayed prescribing</w:t>
      </w:r>
      <w:r w:rsidR="004202BF" w:rsidRPr="00D35443">
        <w:rPr>
          <w:rFonts w:cs="Arial"/>
          <w:i/>
        </w:rPr>
        <w:t xml:space="preserve"> letter</w:t>
      </w:r>
      <w:r w:rsidR="008F7948" w:rsidRPr="00FE4030">
        <w:rPr>
          <w:rFonts w:cs="Arial"/>
        </w:rPr>
        <w:t xml:space="preserve"> </w:t>
      </w:r>
      <w:r w:rsidR="008F7948" w:rsidRPr="00FB4F74">
        <w:rPr>
          <w:rFonts w:cs="Arial"/>
        </w:rPr>
        <w:t>–</w:t>
      </w:r>
      <w:r w:rsidR="008F7948" w:rsidRPr="001215E8">
        <w:rPr>
          <w:rFonts w:cs="Arial"/>
        </w:rPr>
        <w:t xml:space="preserve"> included the </w:t>
      </w:r>
      <w:r w:rsidR="004202BF">
        <w:rPr>
          <w:rFonts w:cs="Arial"/>
        </w:rPr>
        <w:t>same</w:t>
      </w:r>
      <w:r w:rsidR="008F7948" w:rsidRPr="001215E8">
        <w:rPr>
          <w:rFonts w:cs="Arial"/>
        </w:rPr>
        <w:t xml:space="preserve"> tagline </w:t>
      </w:r>
      <w:r w:rsidR="004202BF">
        <w:rPr>
          <w:rFonts w:cs="Arial"/>
        </w:rPr>
        <w:t xml:space="preserve">comparing the GP to their peers </w:t>
      </w:r>
      <w:r w:rsidR="008F7948" w:rsidRPr="001215E8">
        <w:rPr>
          <w:rFonts w:cs="Arial"/>
        </w:rPr>
        <w:t>with additional material for wait-and-see prescribing (i.e. delayed prescribing stickers and the NPS’s action plan for managing respiratory tract infections).</w:t>
      </w:r>
    </w:p>
    <w:p w14:paraId="5E80D019" w14:textId="0EBC471F" w:rsidR="00796467" w:rsidRDefault="00796467">
      <w:pPr>
        <w:spacing w:before="0" w:after="0" w:line="240" w:lineRule="auto"/>
        <w:rPr>
          <w:rFonts w:cs="Arial"/>
          <w:i/>
        </w:rPr>
      </w:pPr>
      <w:r>
        <w:rPr>
          <w:rFonts w:cs="Arial"/>
          <w:i/>
        </w:rPr>
        <w:br w:type="page"/>
      </w:r>
    </w:p>
    <w:p w14:paraId="0FDA6925" w14:textId="292D457D" w:rsidR="00FA43DF" w:rsidRPr="00FA43DF" w:rsidRDefault="008E3B70" w:rsidP="00796467">
      <w:pPr>
        <w:pStyle w:val="Heading3"/>
        <w:numPr>
          <w:ilvl w:val="0"/>
          <w:numId w:val="28"/>
        </w:numPr>
      </w:pPr>
      <w:r w:rsidRPr="00FA43DF">
        <w:lastRenderedPageBreak/>
        <w:t xml:space="preserve">The </w:t>
      </w:r>
      <w:r w:rsidR="001E5850">
        <w:t>m</w:t>
      </w:r>
      <w:r w:rsidRPr="00FA43DF">
        <w:t xml:space="preserve">essenger </w:t>
      </w:r>
      <w:r w:rsidR="001E5850">
        <w:t>e</w:t>
      </w:r>
      <w:r w:rsidRPr="00FA43DF">
        <w:t>ffect</w:t>
      </w:r>
    </w:p>
    <w:p w14:paraId="49005F7F" w14:textId="178D30DF" w:rsidR="00FA43DF" w:rsidRDefault="00FA43DF" w:rsidP="00FA43DF">
      <w:r>
        <w:t>P</w:t>
      </w:r>
      <w:r w:rsidRPr="00B953A8">
        <w:t>eople are influenced by who is communicating with them. Messages from trusted, high profile individuals increase the credibility of the message</w:t>
      </w:r>
      <w:r w:rsidR="00132E7A">
        <w:t xml:space="preserve"> (Pornpitakpan, 2006)</w:t>
      </w:r>
      <w:r w:rsidRPr="00B953A8">
        <w:t>.</w:t>
      </w:r>
      <w:r>
        <w:t xml:space="preserve"> In our trial, we attempt</w:t>
      </w:r>
      <w:r w:rsidR="00444DB4">
        <w:t>ed</w:t>
      </w:r>
      <w:r>
        <w:t xml:space="preserve"> to utilise this messenger effect by having all four letters </w:t>
      </w:r>
      <w:r w:rsidR="00A33E8F">
        <w:t>sent from</w:t>
      </w:r>
      <w:r>
        <w:t xml:space="preserve"> </w:t>
      </w:r>
      <w:r w:rsidRPr="00B953A8">
        <w:t xml:space="preserve">Australia’s </w:t>
      </w:r>
      <w:r>
        <w:t>CMO</w:t>
      </w:r>
      <w:r w:rsidRPr="00B953A8">
        <w:t>.</w:t>
      </w:r>
      <w:r w:rsidR="00FE4030">
        <w:t xml:space="preserve"> </w:t>
      </w:r>
    </w:p>
    <w:p w14:paraId="2E5C67AD" w14:textId="0D305253" w:rsidR="00FA43DF" w:rsidRPr="00FA43DF" w:rsidRDefault="008E3B70" w:rsidP="00796467">
      <w:pPr>
        <w:pStyle w:val="Heading3"/>
        <w:numPr>
          <w:ilvl w:val="0"/>
          <w:numId w:val="28"/>
        </w:numPr>
      </w:pPr>
      <w:r w:rsidRPr="00FA43DF">
        <w:t>Timing</w:t>
      </w:r>
    </w:p>
    <w:p w14:paraId="06B8BECC" w14:textId="3B60F6C4" w:rsidR="00221202" w:rsidRDefault="008E3B70" w:rsidP="00D35443">
      <w:r>
        <w:t xml:space="preserve">Antibiotic prescriptions increase during the winter months, due to the cold and flu season. </w:t>
      </w:r>
      <w:r w:rsidR="00F03FE4">
        <w:t xml:space="preserve">While antibiotics do not work for colds and flus, more people get sick with both viral and bacterial infections in the winter months </w:t>
      </w:r>
      <w:r w:rsidR="00827759">
        <w:t>and more</w:t>
      </w:r>
      <w:r w:rsidR="00F03FE4">
        <w:t xml:space="preserve"> antibiotics </w:t>
      </w:r>
      <w:r w:rsidR="00827759">
        <w:t>are</w:t>
      </w:r>
      <w:r w:rsidR="00F03FE4">
        <w:t xml:space="preserve"> prescribed. </w:t>
      </w:r>
      <w:r>
        <w:t xml:space="preserve">The letters were sent </w:t>
      </w:r>
      <w:r w:rsidR="00A33E8F">
        <w:t>on 9</w:t>
      </w:r>
      <w:r>
        <w:t xml:space="preserve"> June</w:t>
      </w:r>
      <w:r w:rsidR="008E5D8A">
        <w:t xml:space="preserve"> 2017</w:t>
      </w:r>
      <w:r>
        <w:t xml:space="preserve"> to coincide with this yearly spike in antibiotic use. </w:t>
      </w:r>
    </w:p>
    <w:p w14:paraId="2FA1A047" w14:textId="77777777" w:rsidR="00512FF9" w:rsidRPr="00655273" w:rsidRDefault="00546BA5" w:rsidP="00D3544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1</w:t>
      </w:r>
      <w:r w:rsidR="00AD3544">
        <w:rPr>
          <w:noProof/>
        </w:rPr>
        <w:fldChar w:fldCharType="end"/>
      </w:r>
      <w:r w:rsidRPr="00655273">
        <w:t xml:space="preserve">: </w:t>
      </w:r>
      <w:r w:rsidR="00FA43DF" w:rsidRPr="00655273">
        <w:t xml:space="preserve">Antibiotic prescriptions </w:t>
      </w:r>
      <w:r w:rsidR="007210D0" w:rsidRPr="00655273">
        <w:t>are higher</w:t>
      </w:r>
      <w:r w:rsidR="00FA43DF" w:rsidRPr="00655273">
        <w:t xml:space="preserve"> during </w:t>
      </w:r>
      <w:r w:rsidR="00512FF9" w:rsidRPr="00655273">
        <w:t>the cold and flu season</w:t>
      </w:r>
    </w:p>
    <w:p w14:paraId="668E7E3C" w14:textId="3CFEA563" w:rsidR="00FA43DF" w:rsidRDefault="001A6C37" w:rsidP="00DB50EF">
      <w:pPr>
        <w:jc w:val="center"/>
      </w:pPr>
      <w:r>
        <w:rPr>
          <w:noProof/>
        </w:rPr>
        <w:drawing>
          <wp:inline distT="0" distB="0" distL="0" distR="0" wp14:anchorId="49A34D92" wp14:editId="23FC6F70">
            <wp:extent cx="4803775" cy="2670175"/>
            <wp:effectExtent l="0" t="0" r="0" b="0"/>
            <wp:docPr id="19" name="Picture 19" descr="Line graph showing antibiotic prescriptions (number of scripts filled) from June 2016 to May 2017. Antibiotic prescriptions are higher during the cold and flu season, with a peak ocurring around August/September. " title="Antibiotic prescriptions are higher during the cold and flu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775" cy="2670175"/>
                    </a:xfrm>
                    <a:prstGeom prst="rect">
                      <a:avLst/>
                    </a:prstGeom>
                    <a:noFill/>
                  </pic:spPr>
                </pic:pic>
              </a:graphicData>
            </a:graphic>
          </wp:inline>
        </w:drawing>
      </w:r>
    </w:p>
    <w:p w14:paraId="6ECD9AE1" w14:textId="1617F46D" w:rsidR="00C03BC2" w:rsidRPr="00D35443" w:rsidRDefault="00FA43DF" w:rsidP="00D35443">
      <w:pPr>
        <w:pStyle w:val="SourceNotesText"/>
      </w:pPr>
      <w:r w:rsidRPr="00D35443">
        <w:t>Antibiotic prescriptions are usually highest between June and November, due to the cold and flu season. This graph presents monthly prescription data for 22,305 GPs from June 2016 to May 2017.</w:t>
      </w:r>
      <w:r w:rsidR="00C03BC2" w:rsidRPr="00D35443">
        <w:br w:type="page"/>
      </w:r>
    </w:p>
    <w:p w14:paraId="60BB9ACE" w14:textId="7B12F466" w:rsidR="003E23AC" w:rsidRPr="003E23AC" w:rsidRDefault="003E23AC" w:rsidP="00D35443">
      <w:pPr>
        <w:pStyle w:val="Heading1"/>
      </w:pPr>
      <w:bookmarkStart w:id="9" w:name="_Toc513196438"/>
      <w:bookmarkStart w:id="10" w:name="_Toc516822203"/>
      <w:r w:rsidRPr="003E23AC">
        <w:lastRenderedPageBreak/>
        <w:t>What we did</w:t>
      </w:r>
      <w:bookmarkEnd w:id="9"/>
      <w:bookmarkEnd w:id="10"/>
    </w:p>
    <w:p w14:paraId="182EAE6D" w14:textId="6BA16D40" w:rsidR="00C64684" w:rsidRPr="00D35443" w:rsidRDefault="00C64684" w:rsidP="00D35443">
      <w:r w:rsidRPr="00D35443">
        <w:t>We designed four letters to prompt high-prescribing GPs to reflect on whether there were opportunities to reduce prescribing where appropriate and safe. Three letters made use of peer group comparisons</w:t>
      </w:r>
      <w:r w:rsidR="006A11CB" w:rsidRPr="00D35443">
        <w:t>,</w:t>
      </w:r>
      <w:r w:rsidRPr="00D35443">
        <w:t xml:space="preserve"> whil</w:t>
      </w:r>
      <w:r w:rsidR="006A11CB" w:rsidRPr="00D35443">
        <w:t>e</w:t>
      </w:r>
      <w:r w:rsidRPr="00D35443">
        <w:t xml:space="preserve"> the fourth was presented in the format of a</w:t>
      </w:r>
      <w:r w:rsidR="008E5D8A" w:rsidRPr="00D35443">
        <w:t>n</w:t>
      </w:r>
      <w:r w:rsidRPr="00D35443">
        <w:t xml:space="preserve"> education campaign.</w:t>
      </w:r>
    </w:p>
    <w:p w14:paraId="51E63A0D" w14:textId="60E4BA06" w:rsidR="004B2D56" w:rsidRDefault="004B2D56" w:rsidP="00FB4F74">
      <w:r>
        <w:t>Initially, we designed several draft letters using behavioural economi</w:t>
      </w:r>
      <w:r w:rsidR="000C31C1">
        <w:t>c concepts, academic literature</w:t>
      </w:r>
      <w:r>
        <w:t xml:space="preserve"> and material from the NPS. We </w:t>
      </w:r>
      <w:r w:rsidR="00781838">
        <w:t xml:space="preserve">then </w:t>
      </w:r>
      <w:r>
        <w:t xml:space="preserve">tested and refined the letters through consultation with internal stakeholders in the Department of Health, including focus groups with medical advisers in the Provider Benefits Integrity Division </w:t>
      </w:r>
      <w:r w:rsidR="00A6293D">
        <w:t xml:space="preserve">(PBID) </w:t>
      </w:r>
      <w:r>
        <w:t xml:space="preserve">(who work as GPs part-time within a practice). </w:t>
      </w:r>
    </w:p>
    <w:p w14:paraId="084DF63E" w14:textId="1A191CB3" w:rsidR="004B2D56" w:rsidRDefault="004B2D56" w:rsidP="00FB4F74">
      <w:r>
        <w:t>Once</w:t>
      </w:r>
      <w:r w:rsidR="006A11CB">
        <w:t xml:space="preserve"> the letters were</w:t>
      </w:r>
      <w:r>
        <w:t xml:space="preserve"> finalised, </w:t>
      </w:r>
      <w:r w:rsidR="008E5D8A">
        <w:t>the</w:t>
      </w:r>
      <w:r w:rsidR="008E5D8A" w:rsidRPr="000E2DEA">
        <w:t xml:space="preserve"> </w:t>
      </w:r>
      <w:r w:rsidRPr="000E2DEA">
        <w:t>CMO</w:t>
      </w:r>
      <w:r>
        <w:t xml:space="preserve"> provided them to </w:t>
      </w:r>
      <w:r w:rsidRPr="000E2DEA">
        <w:t>the Australian Medical Association (AMA), Royal Australian College of General Practitioners (RACGP) and the Australian College of Rural and Remote Medicine (ACRRM)</w:t>
      </w:r>
      <w:r>
        <w:t xml:space="preserve"> for their input and comment</w:t>
      </w:r>
      <w:r w:rsidRPr="000E2DEA">
        <w:t>.</w:t>
      </w:r>
    </w:p>
    <w:p w14:paraId="31EC631E" w14:textId="747D52E1" w:rsidR="00240A07" w:rsidRPr="00240A07" w:rsidRDefault="00240A07" w:rsidP="00FB4F74">
      <w:r w:rsidRPr="00240A07">
        <w:t>This</w:t>
      </w:r>
      <w:r>
        <w:t xml:space="preserve"> section describes the design of the four letters and how we tested them using a</w:t>
      </w:r>
      <w:r w:rsidR="00781838">
        <w:t>n</w:t>
      </w:r>
      <w:r>
        <w:t xml:space="preserve"> RCT.</w:t>
      </w:r>
    </w:p>
    <w:p w14:paraId="54A35163" w14:textId="0C8C781D" w:rsidR="00066CB9" w:rsidRPr="008A1F58" w:rsidRDefault="00066CB9" w:rsidP="00D35443">
      <w:pPr>
        <w:pStyle w:val="Heading2"/>
        <w:rPr>
          <w:color w:val="2158A8"/>
        </w:rPr>
      </w:pPr>
      <w:r w:rsidRPr="008A1F58">
        <w:rPr>
          <w:color w:val="2158A8"/>
        </w:rPr>
        <w:t>Education-only letter</w:t>
      </w:r>
    </w:p>
    <w:p w14:paraId="68ADB5B8" w14:textId="236226D0" w:rsidR="00960D38" w:rsidRPr="003D1881" w:rsidRDefault="00960D38" w:rsidP="00066CB9">
      <w:pPr>
        <w:jc w:val="both"/>
      </w:pPr>
      <w:r>
        <w:rPr>
          <w:noProof/>
        </w:rPr>
        <w:drawing>
          <wp:inline distT="0" distB="0" distL="0" distR="0" wp14:anchorId="0777C8FE" wp14:editId="3E419FFE">
            <wp:extent cx="5256530" cy="1670745"/>
            <wp:effectExtent l="0" t="0" r="1270" b="5715"/>
            <wp:docPr id="4" name="Picture 4" descr="This picture shows a snapshot of the education-only letter and the two educational materials that were attached to the letter. " title="Education-only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56530" cy="1670745"/>
                    </a:xfrm>
                    <a:prstGeom prst="rect">
                      <a:avLst/>
                    </a:prstGeom>
                  </pic:spPr>
                </pic:pic>
              </a:graphicData>
            </a:graphic>
          </wp:inline>
        </w:drawing>
      </w:r>
    </w:p>
    <w:p w14:paraId="04FCCADE" w14:textId="0CB8FAB3" w:rsidR="001726AA" w:rsidRPr="001726AA" w:rsidRDefault="001726AA" w:rsidP="000F5351">
      <w:pPr>
        <w:pStyle w:val="Heading30"/>
      </w:pPr>
      <w:r w:rsidRPr="001726AA">
        <w:t>Does reminding GPs about what they</w:t>
      </w:r>
      <w:r w:rsidR="00FC7ACF">
        <w:t xml:space="preserve"> already</w:t>
      </w:r>
      <w:r w:rsidRPr="001726AA">
        <w:t xml:space="preserve"> know </w:t>
      </w:r>
      <w:r>
        <w:t xml:space="preserve">about AMR </w:t>
      </w:r>
      <w:r w:rsidRPr="001726AA">
        <w:t>influence their behaviour - perhaps by ensuring the issue stays front of mind?</w:t>
      </w:r>
    </w:p>
    <w:p w14:paraId="4E1DF78E" w14:textId="33B5F5FC" w:rsidR="00115C30" w:rsidRDefault="00066CB9" w:rsidP="00115C30">
      <w:pPr>
        <w:jc w:val="both"/>
      </w:pPr>
      <w:r w:rsidRPr="00ED680D">
        <w:t xml:space="preserve">Education campaigns involving marketing materials </w:t>
      </w:r>
      <w:r>
        <w:t>like</w:t>
      </w:r>
      <w:r w:rsidRPr="00ED680D">
        <w:t xml:space="preserve"> posters and leaflets are a common approach to addressing </w:t>
      </w:r>
      <w:r w:rsidR="00221202">
        <w:t>inappropriate prescribing of antibiotics</w:t>
      </w:r>
      <w:r w:rsidRPr="00ED680D">
        <w:t xml:space="preserve">. However, GPs are highly trained professionals who have good knowledge of AMR and how to prescribe antibiotics appropriately. </w:t>
      </w:r>
      <w:r w:rsidR="00221202">
        <w:t xml:space="preserve">We were interested in knowing if reminding GPs about AMR and appropriate prescribing could influence </w:t>
      </w:r>
      <w:r w:rsidR="00827759">
        <w:t xml:space="preserve">their </w:t>
      </w:r>
      <w:r w:rsidR="00221202">
        <w:t>behaviour, perhaps by keeping the issue front</w:t>
      </w:r>
      <w:r w:rsidR="00A6293D">
        <w:t>-</w:t>
      </w:r>
      <w:r w:rsidR="00221202">
        <w:t>of</w:t>
      </w:r>
      <w:r w:rsidR="00A6293D">
        <w:t>-</w:t>
      </w:r>
      <w:r w:rsidR="00221202">
        <w:t>mind when they are issu</w:t>
      </w:r>
      <w:r w:rsidR="00827759">
        <w:t>ing</w:t>
      </w:r>
      <w:r w:rsidR="00221202">
        <w:t xml:space="preserve"> scripts.</w:t>
      </w:r>
      <w:r w:rsidR="00115C30">
        <w:br w:type="page"/>
      </w:r>
    </w:p>
    <w:p w14:paraId="0EAFF51F" w14:textId="5F1BF1F4" w:rsidR="00586BF2" w:rsidRDefault="00066CB9" w:rsidP="00115C30">
      <w:r w:rsidRPr="00ED680D">
        <w:lastRenderedPageBreak/>
        <w:t xml:space="preserve">The </w:t>
      </w:r>
      <w:r w:rsidRPr="0017371E">
        <w:rPr>
          <w:i/>
        </w:rPr>
        <w:t>education-only group</w:t>
      </w:r>
      <w:r w:rsidRPr="00987D1A">
        <w:t xml:space="preserve"> </w:t>
      </w:r>
      <w:r w:rsidRPr="00ED680D">
        <w:t xml:space="preserve">letter was designed to be a typical letter </w:t>
      </w:r>
      <w:r w:rsidR="00A345C4">
        <w:t>which</w:t>
      </w:r>
      <w:r w:rsidR="00A345C4" w:rsidRPr="00ED680D">
        <w:t xml:space="preserve"> </w:t>
      </w:r>
      <w:r w:rsidRPr="00ED680D">
        <w:t>might have been sent as part of a large education campaign. The letter described the growing threat of AMR and how GPs can help by prescribing appropriately. Attached to the letter were two posters from the NPS used in a previous AMR campaign. One was intended for patients and the other for GPs. The posters outlined what patients and doctors can do to reduce the overprescribing of antibiotics, which the doctors could place in a prominent place in their practice.</w:t>
      </w:r>
    </w:p>
    <w:p w14:paraId="0F5B52FF" w14:textId="0CCE83AA" w:rsidR="00066CB9" w:rsidRPr="008A1F58" w:rsidRDefault="00987D1A" w:rsidP="004A2352">
      <w:pPr>
        <w:pStyle w:val="Heading2"/>
        <w:rPr>
          <w:color w:val="2158A8"/>
        </w:rPr>
      </w:pPr>
      <w:r w:rsidRPr="008A1F58">
        <w:rPr>
          <w:color w:val="2158A8"/>
        </w:rPr>
        <w:t>Peer comparison</w:t>
      </w:r>
      <w:r w:rsidR="00066CB9" w:rsidRPr="008A1F58">
        <w:rPr>
          <w:color w:val="2158A8"/>
        </w:rPr>
        <w:t xml:space="preserve"> letters</w:t>
      </w:r>
    </w:p>
    <w:p w14:paraId="3D8BC4F9" w14:textId="6A6EB22A" w:rsidR="001726AA" w:rsidRPr="008D1FF4" w:rsidRDefault="001726AA" w:rsidP="000F5351">
      <w:pPr>
        <w:pStyle w:val="Heading30"/>
      </w:pPr>
      <w:r w:rsidRPr="008D1FF4">
        <w:t xml:space="preserve">Does targeting feedback at individuals lead to a greater behavioural response than </w:t>
      </w:r>
      <w:r w:rsidR="00827759">
        <w:t>targeting</w:t>
      </w:r>
      <w:r w:rsidRPr="008D1FF4">
        <w:t xml:space="preserve"> at groups?</w:t>
      </w:r>
    </w:p>
    <w:p w14:paraId="7FC4B1F4" w14:textId="77777777" w:rsidR="004A2352" w:rsidRDefault="00066CB9" w:rsidP="004A2352">
      <w:r w:rsidRPr="00A66974">
        <w:t>In our trial, we were interested to see what would happen if we targeted feedback on antibiotic prescribing at the individual GP level. We used the following tagline:</w:t>
      </w:r>
    </w:p>
    <w:p w14:paraId="2B04720B" w14:textId="4A87658A" w:rsidR="00066CB9" w:rsidRPr="004A2352" w:rsidRDefault="004A2352" w:rsidP="004A2352">
      <w:pPr>
        <w:jc w:val="center"/>
        <w:rPr>
          <w:rFonts w:cs="Arial"/>
        </w:rPr>
      </w:pPr>
      <w:r>
        <w:br/>
      </w:r>
      <w:r w:rsidR="00066CB9" w:rsidRPr="008D62BC">
        <w:rPr>
          <w:rFonts w:cs="Arial"/>
          <w:i/>
        </w:rPr>
        <w:t>You prescribe more antibiotics than [X]% of pre</w:t>
      </w:r>
      <w:r>
        <w:rPr>
          <w:rFonts w:cs="Arial"/>
          <w:i/>
        </w:rPr>
        <w:t>scribers in the [local region].</w:t>
      </w:r>
      <w:r>
        <w:rPr>
          <w:rFonts w:cs="Arial"/>
          <w:i/>
        </w:rPr>
        <w:br/>
      </w:r>
    </w:p>
    <w:p w14:paraId="6497E5C9" w14:textId="53F4A445" w:rsidR="00066CB9" w:rsidRDefault="00066CB9" w:rsidP="00132E7A">
      <w:pPr>
        <w:rPr>
          <w:rFonts w:cs="Arial"/>
        </w:rPr>
      </w:pPr>
      <w:r w:rsidRPr="00A66974">
        <w:rPr>
          <w:rFonts w:cs="Arial"/>
        </w:rPr>
        <w:t>The tagline was personalised by providing each GP with their percentile ranking (</w:t>
      </w:r>
      <w:r w:rsidR="00537EE0">
        <w:rPr>
          <w:rFonts w:cs="Arial"/>
        </w:rPr>
        <w:t xml:space="preserve">between </w:t>
      </w:r>
      <w:r w:rsidRPr="00A66974">
        <w:rPr>
          <w:rFonts w:cs="Arial"/>
        </w:rPr>
        <w:t>70 per</w:t>
      </w:r>
      <w:r w:rsidR="000D4E62">
        <w:rPr>
          <w:rFonts w:cs="Arial"/>
        </w:rPr>
        <w:t xml:space="preserve"> </w:t>
      </w:r>
      <w:r w:rsidRPr="00A66974">
        <w:rPr>
          <w:rFonts w:cs="Arial"/>
        </w:rPr>
        <w:t xml:space="preserve">cent </w:t>
      </w:r>
      <w:r w:rsidR="007B0642">
        <w:rPr>
          <w:rFonts w:cs="Arial"/>
        </w:rPr>
        <w:t>and</w:t>
      </w:r>
      <w:r w:rsidRPr="00A66974">
        <w:rPr>
          <w:rFonts w:cs="Arial"/>
        </w:rPr>
        <w:t xml:space="preserve"> 100 per</w:t>
      </w:r>
      <w:r w:rsidR="00537EE0">
        <w:rPr>
          <w:rFonts w:cs="Arial"/>
        </w:rPr>
        <w:t xml:space="preserve"> </w:t>
      </w:r>
      <w:r w:rsidRPr="00A66974">
        <w:rPr>
          <w:rFonts w:cs="Arial"/>
        </w:rPr>
        <w:t xml:space="preserve">cent). We expected this personalised feedback would have a larger impact on subsequent prescribing rates than </w:t>
      </w:r>
      <w:r w:rsidR="003F47B3">
        <w:rPr>
          <w:rFonts w:cs="Arial"/>
        </w:rPr>
        <w:t xml:space="preserve">if </w:t>
      </w:r>
      <w:r w:rsidR="008D1FF4">
        <w:rPr>
          <w:rFonts w:cs="Arial"/>
        </w:rPr>
        <w:t>feedback was targeted at groups of GPs</w:t>
      </w:r>
      <w:r w:rsidRPr="00A66974">
        <w:rPr>
          <w:rFonts w:cs="Arial"/>
        </w:rPr>
        <w:t>.</w:t>
      </w:r>
    </w:p>
    <w:p w14:paraId="0BE0251E" w14:textId="77777777" w:rsidR="00D74385" w:rsidRDefault="0017371E" w:rsidP="00D74385">
      <w:pPr>
        <w:pStyle w:val="Heading3"/>
        <w:numPr>
          <w:ilvl w:val="0"/>
          <w:numId w:val="17"/>
        </w:numPr>
      </w:pPr>
      <w:r>
        <w:t xml:space="preserve">Education </w:t>
      </w:r>
      <w:r w:rsidR="00987D1A">
        <w:t>with peer comparison information</w:t>
      </w:r>
    </w:p>
    <w:p w14:paraId="5A8DCDCD" w14:textId="33BF44D1" w:rsidR="001726AA" w:rsidRPr="008D1FF4" w:rsidRDefault="00D974E4" w:rsidP="002076F4">
      <w:pPr>
        <w:pStyle w:val="Heading4"/>
      </w:pPr>
      <w:r>
        <w:rPr>
          <w:noProof/>
        </w:rPr>
        <w:drawing>
          <wp:inline distT="0" distB="0" distL="0" distR="0" wp14:anchorId="4BBFCA1C" wp14:editId="7A3BF0CA">
            <wp:extent cx="5256918" cy="1648744"/>
            <wp:effectExtent l="0" t="0" r="1270" b="8890"/>
            <wp:docPr id="10" name="Picture 10" descr="This picture shows a snapshot of the education and peer comparison letter, along with the two educational materials that were attached to the letter. " title="Education with peer comparison inform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852"/>
                    <a:stretch/>
                  </pic:blipFill>
                  <pic:spPr bwMode="auto">
                    <a:xfrm>
                      <a:off x="0" y="0"/>
                      <a:ext cx="5256530" cy="1648622"/>
                    </a:xfrm>
                    <a:prstGeom prst="rect">
                      <a:avLst/>
                    </a:prstGeom>
                    <a:ln>
                      <a:noFill/>
                    </a:ln>
                    <a:extLst>
                      <a:ext uri="{53640926-AAD7-44D8-BBD7-CCE9431645EC}">
                        <a14:shadowObscured xmlns:a14="http://schemas.microsoft.com/office/drawing/2010/main"/>
                      </a:ext>
                    </a:extLst>
                  </pic:spPr>
                </pic:pic>
              </a:graphicData>
            </a:graphic>
          </wp:inline>
        </w:drawing>
      </w:r>
      <w:r w:rsidR="001726AA" w:rsidRPr="008D1FF4">
        <w:t xml:space="preserve">What is the effect of adding </w:t>
      </w:r>
      <w:r w:rsidR="00427DED">
        <w:t xml:space="preserve">peer </w:t>
      </w:r>
      <w:r w:rsidR="00987D1A">
        <w:t>comparison</w:t>
      </w:r>
      <w:r w:rsidR="001726AA" w:rsidRPr="008D1FF4">
        <w:t xml:space="preserve"> information to an education letter?</w:t>
      </w:r>
    </w:p>
    <w:p w14:paraId="0D1D11D5" w14:textId="77777777" w:rsidR="00066CB9" w:rsidRDefault="00066CB9" w:rsidP="00221202">
      <w:r w:rsidRPr="00ED680D">
        <w:t xml:space="preserve">The </w:t>
      </w:r>
      <w:r w:rsidR="0017371E" w:rsidRPr="00512FF9">
        <w:rPr>
          <w:i/>
        </w:rPr>
        <w:t>education</w:t>
      </w:r>
      <w:r w:rsidRPr="00512FF9">
        <w:rPr>
          <w:i/>
        </w:rPr>
        <w:t xml:space="preserve"> </w:t>
      </w:r>
      <w:r w:rsidR="00F06826" w:rsidRPr="00512FF9">
        <w:rPr>
          <w:i/>
        </w:rPr>
        <w:t xml:space="preserve">with </w:t>
      </w:r>
      <w:r w:rsidR="00427DED" w:rsidRPr="00512FF9">
        <w:rPr>
          <w:i/>
        </w:rPr>
        <w:t>peer comparison</w:t>
      </w:r>
      <w:r w:rsidR="00427DED" w:rsidRPr="009B5572">
        <w:t xml:space="preserve"> information</w:t>
      </w:r>
      <w:r w:rsidR="00427DED" w:rsidRPr="00D74385">
        <w:t xml:space="preserve"> </w:t>
      </w:r>
      <w:r w:rsidRPr="00ED680D">
        <w:t>group was sent the same letter as</w:t>
      </w:r>
      <w:r w:rsidR="007B0642">
        <w:t xml:space="preserve"> the education-only</w:t>
      </w:r>
      <w:r w:rsidR="0017371E">
        <w:t xml:space="preserve"> </w:t>
      </w:r>
      <w:r w:rsidR="00427DED">
        <w:t>letter</w:t>
      </w:r>
      <w:r w:rsidR="007B0642">
        <w:t xml:space="preserve"> group (see </w:t>
      </w:r>
      <w:r w:rsidRPr="00ED680D">
        <w:t xml:space="preserve">above) but </w:t>
      </w:r>
      <w:r w:rsidR="00F06826">
        <w:t>w</w:t>
      </w:r>
      <w:r w:rsidRPr="00ED680D">
        <w:t xml:space="preserve">e added the </w:t>
      </w:r>
      <w:r w:rsidR="00427DED">
        <w:t>comparison</w:t>
      </w:r>
      <w:r w:rsidRPr="00ED680D">
        <w:t xml:space="preserve"> tagline to the beginning of the letter.</w:t>
      </w:r>
      <w:r>
        <w:t xml:space="preserve"> </w:t>
      </w:r>
      <w:r w:rsidRPr="00ED680D">
        <w:t xml:space="preserve">This enabled us to see what the impact of adding </w:t>
      </w:r>
      <w:r w:rsidR="00427DED">
        <w:t xml:space="preserve">peer comparison </w:t>
      </w:r>
      <w:r w:rsidRPr="00ED680D">
        <w:t>feedback would have on an education message.</w:t>
      </w:r>
    </w:p>
    <w:p w14:paraId="42310B09" w14:textId="6E813E18" w:rsidR="002076F4" w:rsidRDefault="002076F4">
      <w:pPr>
        <w:spacing w:before="0" w:after="0" w:line="240" w:lineRule="auto"/>
      </w:pPr>
      <w:r>
        <w:br w:type="page"/>
      </w:r>
    </w:p>
    <w:p w14:paraId="2F41E27C" w14:textId="21AF3FB2" w:rsidR="00066CB9" w:rsidRPr="007B0642" w:rsidRDefault="00427DED" w:rsidP="00D74385">
      <w:pPr>
        <w:pStyle w:val="Heading3"/>
        <w:numPr>
          <w:ilvl w:val="0"/>
          <w:numId w:val="17"/>
        </w:numPr>
      </w:pPr>
      <w:r>
        <w:lastRenderedPageBreak/>
        <w:t>Peer comparison</w:t>
      </w:r>
      <w:r w:rsidR="00066CB9" w:rsidRPr="007B0642">
        <w:t xml:space="preserve"> with </w:t>
      </w:r>
      <w:r w:rsidR="00512FF9">
        <w:t>graph</w:t>
      </w:r>
    </w:p>
    <w:p w14:paraId="0D9A7B2D" w14:textId="3B7E3B1A" w:rsidR="00066CB9" w:rsidRDefault="00D974E4" w:rsidP="00066CB9">
      <w:pPr>
        <w:jc w:val="both"/>
        <w:rPr>
          <w:noProof/>
        </w:rPr>
      </w:pPr>
      <w:r>
        <w:rPr>
          <w:noProof/>
        </w:rPr>
        <w:drawing>
          <wp:inline distT="0" distB="0" distL="0" distR="0" wp14:anchorId="74AE1FBF" wp14:editId="3EFB0D72">
            <wp:extent cx="2462213" cy="1537244"/>
            <wp:effectExtent l="0" t="0" r="0" b="6350"/>
            <wp:docPr id="14" name="Picture 14" descr="This picture shows a snapshot of the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66151" cy="1539703"/>
                    </a:xfrm>
                    <a:prstGeom prst="rect">
                      <a:avLst/>
                    </a:prstGeom>
                  </pic:spPr>
                </pic:pic>
              </a:graphicData>
            </a:graphic>
          </wp:inline>
        </w:drawing>
      </w:r>
    </w:p>
    <w:p w14:paraId="7A7435CD" w14:textId="77777777" w:rsidR="001726AA" w:rsidRPr="001215E8" w:rsidRDefault="001726AA" w:rsidP="002076F4">
      <w:pPr>
        <w:pStyle w:val="Heading4"/>
      </w:pPr>
      <w:r w:rsidRPr="001215E8">
        <w:t xml:space="preserve">Can the impact of a shorter letter be </w:t>
      </w:r>
      <w:r w:rsidR="00FC7ACF" w:rsidRPr="001215E8">
        <w:t xml:space="preserve">as </w:t>
      </w:r>
      <w:r w:rsidRPr="001215E8">
        <w:t>powerful as a longer one?</w:t>
      </w:r>
    </w:p>
    <w:p w14:paraId="05CB85DF" w14:textId="77777777" w:rsidR="00221202" w:rsidRDefault="00066CB9" w:rsidP="00953E4A">
      <w:r w:rsidRPr="00ED680D">
        <w:t>Our attention is limited</w:t>
      </w:r>
      <w:r w:rsidR="00132E7A">
        <w:t xml:space="preserve"> (Halpern</w:t>
      </w:r>
      <w:r w:rsidR="00655273">
        <w:t xml:space="preserve"> </w:t>
      </w:r>
      <w:r w:rsidR="00132E7A">
        <w:t>et al., 2010)</w:t>
      </w:r>
      <w:r w:rsidRPr="00ED680D">
        <w:t xml:space="preserve">. We are exposed to too much information on a daily basis for us to process it all. Instead, we focus our limited attention on information </w:t>
      </w:r>
      <w:r w:rsidR="00A345C4">
        <w:t>which</w:t>
      </w:r>
      <w:r w:rsidR="00A345C4" w:rsidRPr="00ED680D">
        <w:t xml:space="preserve"> </w:t>
      </w:r>
      <w:r w:rsidRPr="00ED680D">
        <w:t xml:space="preserve">appears more </w:t>
      </w:r>
      <w:r w:rsidR="00427DED">
        <w:t>salient</w:t>
      </w:r>
      <w:r w:rsidR="00427DED" w:rsidRPr="00ED680D">
        <w:t xml:space="preserve"> </w:t>
      </w:r>
      <w:r w:rsidRPr="00ED680D">
        <w:t xml:space="preserve">or relevant to us than other stimuli. </w:t>
      </w:r>
      <w:r w:rsidR="00D53EDC">
        <w:t>O</w:t>
      </w:r>
      <w:r w:rsidRPr="00ED680D">
        <w:t>ur capacity to recognise important information can</w:t>
      </w:r>
      <w:r w:rsidR="00D53EDC">
        <w:t>, however,</w:t>
      </w:r>
      <w:r w:rsidRPr="00ED680D">
        <w:t xml:space="preserve"> be reduced when we have much to think about or are exposed to lots of information.</w:t>
      </w:r>
      <w:r w:rsidR="00221202">
        <w:t xml:space="preserve"> </w:t>
      </w:r>
    </w:p>
    <w:p w14:paraId="70AEEB13" w14:textId="6679C2D5" w:rsidR="00066CB9" w:rsidRPr="00ED680D" w:rsidRDefault="00066CB9" w:rsidP="00953E4A">
      <w:r w:rsidRPr="00ED680D">
        <w:t>People are more likely to act on information that attracts their attention</w:t>
      </w:r>
      <w:r>
        <w:t>.</w:t>
      </w:r>
      <w:r w:rsidRPr="00ED680D">
        <w:t xml:space="preserve"> GPs receive large amounts of mail and an education letter may not be salient enough to stand out from other correspondence. Furthermore, as GPs are already well informed about AMR, the education message may not hold their attention because it is not new but simply a reminder of something they already know.</w:t>
      </w:r>
    </w:p>
    <w:p w14:paraId="017D303E" w14:textId="6834419D" w:rsidR="00066CB9" w:rsidRPr="00ED680D" w:rsidRDefault="00066CB9" w:rsidP="00221202">
      <w:pPr>
        <w:rPr>
          <w:rFonts w:cs="Arial"/>
        </w:rPr>
      </w:pPr>
      <w:r w:rsidRPr="00ED680D">
        <w:rPr>
          <w:rFonts w:cs="Arial"/>
        </w:rPr>
        <w:t>We were interested in seeing if we could increase the saliency of a letter by using a strong visual cue. In addition, we wondered if a shorter letter would be as effective as a longer education letter.</w:t>
      </w:r>
    </w:p>
    <w:p w14:paraId="46901780" w14:textId="458DCA40" w:rsidR="00512FF9" w:rsidRDefault="00066CB9" w:rsidP="00221202">
      <w:r w:rsidRPr="00ED680D">
        <w:t xml:space="preserve">The </w:t>
      </w:r>
      <w:r w:rsidR="00427DED">
        <w:rPr>
          <w:i/>
        </w:rPr>
        <w:t xml:space="preserve">peer comparison with </w:t>
      </w:r>
      <w:r w:rsidR="00512FF9">
        <w:rPr>
          <w:i/>
        </w:rPr>
        <w:t>graph</w:t>
      </w:r>
      <w:r w:rsidRPr="00ED680D">
        <w:t xml:space="preserve"> group </w:t>
      </w:r>
      <w:r>
        <w:t>received</w:t>
      </w:r>
      <w:r w:rsidRPr="00ED680D">
        <w:t xml:space="preserve"> a short letter </w:t>
      </w:r>
      <w:r w:rsidR="00036F57">
        <w:t>which</w:t>
      </w:r>
      <w:r>
        <w:t xml:space="preserve"> </w:t>
      </w:r>
      <w:r w:rsidRPr="00ED680D">
        <w:t xml:space="preserve">included the </w:t>
      </w:r>
      <w:r w:rsidR="00427DED">
        <w:t>peer comparison</w:t>
      </w:r>
      <w:r w:rsidRPr="00ED680D">
        <w:t xml:space="preserve"> tagline along with a coloured graph showing how the GP</w:t>
      </w:r>
      <w:r w:rsidR="00781838">
        <w:t>’</w:t>
      </w:r>
      <w:r w:rsidRPr="00ED680D">
        <w:t>s prescribing compared to their peers. The graph was designed to attract attention and visually emphasise</w:t>
      </w:r>
      <w:r w:rsidR="00781838">
        <w:t>d</w:t>
      </w:r>
      <w:r w:rsidRPr="00ED680D">
        <w:t xml:space="preserve"> how the GP</w:t>
      </w:r>
      <w:r w:rsidR="00781838">
        <w:t>’</w:t>
      </w:r>
      <w:r w:rsidRPr="00ED680D">
        <w:t xml:space="preserve">s prescribing was higher than </w:t>
      </w:r>
      <w:r w:rsidR="003D64CD">
        <w:t>his or her</w:t>
      </w:r>
      <w:r w:rsidR="003D64CD" w:rsidRPr="00ED680D">
        <w:t xml:space="preserve"> </w:t>
      </w:r>
      <w:r w:rsidRPr="00ED680D">
        <w:t xml:space="preserve">peers. </w:t>
      </w:r>
      <w:r w:rsidR="00781838">
        <w:t>W</w:t>
      </w:r>
      <w:r w:rsidRPr="00ED680D">
        <w:t>e made the letter shorter, more direct and with less educational focus.</w:t>
      </w:r>
    </w:p>
    <w:p w14:paraId="0735E6BD" w14:textId="5629BF83" w:rsidR="002076F4" w:rsidRDefault="002076F4">
      <w:pPr>
        <w:spacing w:before="0" w:after="0" w:line="240" w:lineRule="auto"/>
      </w:pPr>
      <w:r>
        <w:br w:type="page"/>
      </w:r>
    </w:p>
    <w:p w14:paraId="20E2678A" w14:textId="39999880" w:rsidR="00066CB9" w:rsidRPr="00C03BC2" w:rsidRDefault="00427DED" w:rsidP="002076F4">
      <w:pPr>
        <w:pStyle w:val="Heading3"/>
        <w:numPr>
          <w:ilvl w:val="0"/>
          <w:numId w:val="17"/>
        </w:numPr>
      </w:pPr>
      <w:r>
        <w:lastRenderedPageBreak/>
        <w:t>Peer comparison information</w:t>
      </w:r>
      <w:r w:rsidR="00240A07" w:rsidRPr="00C03BC2">
        <w:t xml:space="preserve"> with </w:t>
      </w:r>
      <w:r w:rsidR="005C1559">
        <w:t>d</w:t>
      </w:r>
      <w:r w:rsidR="00240A07" w:rsidRPr="00C03BC2">
        <w:t xml:space="preserve">elayed </w:t>
      </w:r>
      <w:r w:rsidR="005C1559">
        <w:t>p</w:t>
      </w:r>
      <w:r w:rsidR="00240A07" w:rsidRPr="00C03BC2">
        <w:t>rescribing</w:t>
      </w:r>
      <w:r w:rsidR="00066CB9" w:rsidRPr="00C03BC2">
        <w:t xml:space="preserve"> </w:t>
      </w:r>
    </w:p>
    <w:p w14:paraId="28AACB09" w14:textId="0A8DAD64" w:rsidR="00066CB9" w:rsidRDefault="00D974E4" w:rsidP="00066CB9">
      <w:pPr>
        <w:jc w:val="both"/>
        <w:rPr>
          <w:noProof/>
        </w:rPr>
      </w:pPr>
      <w:r>
        <w:rPr>
          <w:noProof/>
        </w:rPr>
        <w:drawing>
          <wp:inline distT="0" distB="0" distL="0" distR="0" wp14:anchorId="784181E8" wp14:editId="6CAE1270">
            <wp:extent cx="5256530" cy="1652213"/>
            <wp:effectExtent l="0" t="0" r="1270" b="5715"/>
            <wp:docPr id="15" name="Picture 15" descr="This picture shows a snapshot of the peer comparison information with delayed prescribing letter, along with delayed prescribing  materials that were attached to the letter. " title="Peer comparison information with delayed prescribing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6530" cy="1652213"/>
                    </a:xfrm>
                    <a:prstGeom prst="rect">
                      <a:avLst/>
                    </a:prstGeom>
                  </pic:spPr>
                </pic:pic>
              </a:graphicData>
            </a:graphic>
          </wp:inline>
        </w:drawing>
      </w:r>
    </w:p>
    <w:p w14:paraId="3B3BF10F" w14:textId="77777777" w:rsidR="00FC7ACF" w:rsidRPr="001215E8" w:rsidRDefault="00FC7ACF" w:rsidP="002076F4">
      <w:pPr>
        <w:pStyle w:val="Heading4"/>
      </w:pPr>
      <w:r w:rsidRPr="001215E8">
        <w:t xml:space="preserve">Does providing GPs with a patient-focused strategy improve the effects of </w:t>
      </w:r>
      <w:r w:rsidR="00427DED">
        <w:t>peer comparison</w:t>
      </w:r>
      <w:r w:rsidRPr="001215E8">
        <w:t xml:space="preserve"> information?</w:t>
      </w:r>
    </w:p>
    <w:p w14:paraId="059BAFA8" w14:textId="2E9CD5C3" w:rsidR="00066CB9" w:rsidRPr="00CE1050" w:rsidRDefault="00A345C4" w:rsidP="00221202">
      <w:r>
        <w:t>GP</w:t>
      </w:r>
      <w:r w:rsidRPr="00CE1050">
        <w:t xml:space="preserve">s </w:t>
      </w:r>
      <w:r w:rsidR="00066CB9" w:rsidRPr="00CE1050">
        <w:t xml:space="preserve">have reported one reason </w:t>
      </w:r>
      <w:r w:rsidR="00F0438F">
        <w:t>for</w:t>
      </w:r>
      <w:r w:rsidR="00F0438F" w:rsidRPr="00CE1050">
        <w:t xml:space="preserve"> </w:t>
      </w:r>
      <w:r w:rsidR="00066CB9" w:rsidRPr="00CE1050">
        <w:t>prescrib</w:t>
      </w:r>
      <w:r w:rsidR="00F0438F">
        <w:t>ing</w:t>
      </w:r>
      <w:r w:rsidR="00066CB9" w:rsidRPr="00CE1050">
        <w:t xml:space="preserve"> antibiotics is to meet patient expectations</w:t>
      </w:r>
      <w:r w:rsidR="00E27C39">
        <w:t xml:space="preserve"> (Fletcher-Lartey, 2016; Sargent et al., 2016)</w:t>
      </w:r>
      <w:r w:rsidR="00066CB9" w:rsidRPr="00CE1050">
        <w:t xml:space="preserve">. </w:t>
      </w:r>
      <w:r>
        <w:t>GPs</w:t>
      </w:r>
      <w:r w:rsidRPr="00CE1050">
        <w:t xml:space="preserve"> </w:t>
      </w:r>
      <w:r w:rsidR="00066CB9" w:rsidRPr="00CE1050">
        <w:t xml:space="preserve">may feel pressured to prescribe antibiotics as patients expect to receive something </w:t>
      </w:r>
      <w:r w:rsidR="0038288F">
        <w:t>to</w:t>
      </w:r>
      <w:r w:rsidR="00066CB9" w:rsidRPr="00CE1050">
        <w:t xml:space="preserve"> resolve their illness. </w:t>
      </w:r>
      <w:r w:rsidR="00F0438F">
        <w:t>GPs</w:t>
      </w:r>
      <w:r w:rsidR="00F0438F" w:rsidRPr="00CE1050">
        <w:t xml:space="preserve"> </w:t>
      </w:r>
      <w:r w:rsidR="00066CB9" w:rsidRPr="00CE1050">
        <w:t>also report educating patients the</w:t>
      </w:r>
      <w:r>
        <w:t>ir illness</w:t>
      </w:r>
      <w:r w:rsidR="00066CB9" w:rsidRPr="00CE1050">
        <w:t xml:space="preserve"> do</w:t>
      </w:r>
      <w:r>
        <w:t>es</w:t>
      </w:r>
      <w:r w:rsidR="00066CB9" w:rsidRPr="00CE1050">
        <w:t>n’t require an antibiotic is often time-consuming and difficult. It can be quicker and easier to write a script.</w:t>
      </w:r>
    </w:p>
    <w:p w14:paraId="40AE8664" w14:textId="547C40CA" w:rsidR="00066CB9" w:rsidRPr="00CE1050" w:rsidRDefault="00066CB9" w:rsidP="00221202">
      <w:r w:rsidRPr="00CE1050">
        <w:t xml:space="preserve">We were interested in seeing whether </w:t>
      </w:r>
      <w:r w:rsidR="00240A07">
        <w:t xml:space="preserve">we could </w:t>
      </w:r>
      <w:r w:rsidR="00240A07" w:rsidRPr="00CE1050">
        <w:t xml:space="preserve">improve the effect of the </w:t>
      </w:r>
      <w:r w:rsidR="003D64CD">
        <w:rPr>
          <w:i/>
        </w:rPr>
        <w:t>peer comparison</w:t>
      </w:r>
      <w:r w:rsidR="00240A07" w:rsidRPr="00CE1050">
        <w:t xml:space="preserve"> tagline </w:t>
      </w:r>
      <w:r w:rsidR="00240A07">
        <w:t xml:space="preserve">by </w:t>
      </w:r>
      <w:r w:rsidRPr="00CE1050">
        <w:t>providing GPs with a strategy they could implement with their patients.</w:t>
      </w:r>
      <w:r w:rsidR="00240A07">
        <w:t xml:space="preserve"> </w:t>
      </w:r>
      <w:r w:rsidRPr="00CE1050">
        <w:t xml:space="preserve">Delayed prescribing is a method </w:t>
      </w:r>
      <w:r w:rsidR="0038288F">
        <w:t>in which</w:t>
      </w:r>
      <w:r w:rsidR="0038288F" w:rsidRPr="00CE1050">
        <w:t xml:space="preserve"> </w:t>
      </w:r>
      <w:r w:rsidRPr="00CE1050">
        <w:t>the GP provi</w:t>
      </w:r>
      <w:r w:rsidR="0038288F">
        <w:t>des</w:t>
      </w:r>
      <w:r w:rsidRPr="00CE1050">
        <w:t xml:space="preserve"> an antibiotic script but asks the patient to wait </w:t>
      </w:r>
      <w:r w:rsidR="0038288F">
        <w:t>and</w:t>
      </w:r>
      <w:r w:rsidRPr="00CE1050">
        <w:t xml:space="preserve"> see if they improve before filling the script</w:t>
      </w:r>
      <w:r w:rsidR="00E27C39">
        <w:t xml:space="preserve"> (Sargent et al., 2016)</w:t>
      </w:r>
      <w:r w:rsidRPr="00CE1050">
        <w:t>. This approach can help meet patients’ expectations by providing them with a script. At the same time, research has shown delayed prescribing</w:t>
      </w:r>
      <w:r w:rsidR="005010BC">
        <w:t xml:space="preserve"> is an effective strategy for reducing antibiotic use, including for </w:t>
      </w:r>
      <w:r w:rsidR="00152B85">
        <w:t>ARIs</w:t>
      </w:r>
      <w:r w:rsidR="005010BC">
        <w:t xml:space="preserve"> for which antibiotics offer little to no benefit</w:t>
      </w:r>
      <w:r w:rsidRPr="00CE1050">
        <w:t xml:space="preserve"> </w:t>
      </w:r>
      <w:r w:rsidR="00D50E75">
        <w:br/>
      </w:r>
      <w:r w:rsidR="00E27C39">
        <w:t>(Sargent et al</w:t>
      </w:r>
      <w:r w:rsidR="00C841C1">
        <w:t>.,</w:t>
      </w:r>
      <w:r w:rsidR="003D64CD">
        <w:t xml:space="preserve"> </w:t>
      </w:r>
      <w:r w:rsidR="00C841C1">
        <w:t>2016</w:t>
      </w:r>
      <w:r w:rsidR="00E27C39">
        <w:t>)</w:t>
      </w:r>
      <w:r w:rsidRPr="00CE1050">
        <w:t>.</w:t>
      </w:r>
    </w:p>
    <w:p w14:paraId="2F627465" w14:textId="581CAC8C" w:rsidR="00066CB9" w:rsidRDefault="00066CB9" w:rsidP="002076F4">
      <w:r w:rsidRPr="00CE1050">
        <w:t>The</w:t>
      </w:r>
      <w:r w:rsidR="003D64CD">
        <w:t xml:space="preserve"> </w:t>
      </w:r>
      <w:r w:rsidR="003D64CD">
        <w:rPr>
          <w:i/>
        </w:rPr>
        <w:t>peer comparison with d</w:t>
      </w:r>
      <w:r w:rsidRPr="00CE1050">
        <w:rPr>
          <w:i/>
        </w:rPr>
        <w:t>elayed prescribing</w:t>
      </w:r>
      <w:r w:rsidRPr="00CE1050">
        <w:t xml:space="preserve"> letter included the peer</w:t>
      </w:r>
      <w:r w:rsidR="00444DB4">
        <w:t xml:space="preserve"> </w:t>
      </w:r>
      <w:r w:rsidRPr="00CE1050">
        <w:t xml:space="preserve">comparison tagline along with a suggestion to use the delayed prescribing approach. To assist in its implementation, GPs were provided with delayed prescribing stickers </w:t>
      </w:r>
      <w:r w:rsidR="00036F57">
        <w:t>which</w:t>
      </w:r>
      <w:r w:rsidRPr="00CE1050">
        <w:t xml:space="preserve"> could be placed on an antibiotic script to encourage the patient to wait </w:t>
      </w:r>
      <w:r w:rsidR="0038288F">
        <w:t>and</w:t>
      </w:r>
      <w:r w:rsidRPr="00CE1050">
        <w:t xml:space="preserve"> see if they improve</w:t>
      </w:r>
      <w:r w:rsidR="00444DB4">
        <w:t>d</w:t>
      </w:r>
      <w:r w:rsidRPr="00CE1050">
        <w:t xml:space="preserve"> before filling it. </w:t>
      </w:r>
      <w:r w:rsidR="00240A07">
        <w:t>The letter a</w:t>
      </w:r>
      <w:r w:rsidRPr="00CE1050">
        <w:t>lso included</w:t>
      </w:r>
      <w:r>
        <w:t xml:space="preserve"> the</w:t>
      </w:r>
      <w:r w:rsidRPr="00CE1050">
        <w:t xml:space="preserve"> </w:t>
      </w:r>
      <w:r w:rsidRPr="00297D44">
        <w:rPr>
          <w:i/>
        </w:rPr>
        <w:t>Respiratory Tract Infection Action Plan</w:t>
      </w:r>
      <w:r w:rsidRPr="00CE1050">
        <w:rPr>
          <w:i/>
        </w:rPr>
        <w:t xml:space="preserve"> </w:t>
      </w:r>
      <w:r w:rsidRPr="00CE1050">
        <w:t xml:space="preserve">that was developed by the NPS </w:t>
      </w:r>
      <w:r>
        <w:t>and</w:t>
      </w:r>
      <w:r w:rsidRPr="00CE1050">
        <w:t xml:space="preserve"> could be used to provide patients with clear, personalised advice on how to manage symptoms without antibiotics.</w:t>
      </w:r>
    </w:p>
    <w:p w14:paraId="21271203" w14:textId="72EAB775" w:rsidR="002076F4" w:rsidRDefault="002076F4">
      <w:pPr>
        <w:spacing w:before="0" w:after="0" w:line="240" w:lineRule="auto"/>
      </w:pPr>
      <w:r>
        <w:br w:type="page"/>
      </w:r>
    </w:p>
    <w:p w14:paraId="283DC227" w14:textId="77777777" w:rsidR="002076F4" w:rsidRPr="008A1F58" w:rsidRDefault="00066CB9" w:rsidP="002076F4">
      <w:pPr>
        <w:pStyle w:val="Heading2"/>
        <w:rPr>
          <w:color w:val="2158A8"/>
        </w:rPr>
      </w:pPr>
      <w:r w:rsidRPr="008A1F58">
        <w:rPr>
          <w:color w:val="2158A8"/>
        </w:rPr>
        <w:lastRenderedPageBreak/>
        <w:t>How we tested the letters</w:t>
      </w:r>
    </w:p>
    <w:p w14:paraId="6F18003C" w14:textId="3DCE5A80" w:rsidR="00066CB9" w:rsidRDefault="00066CB9" w:rsidP="002076F4">
      <w:r w:rsidRPr="00A22C98">
        <w:t xml:space="preserve">We ran a cluster RCT to test </w:t>
      </w:r>
      <w:r>
        <w:t>the effectiveness of the letters.</w:t>
      </w:r>
      <w:r w:rsidRPr="00535A0C">
        <w:t xml:space="preserve"> </w:t>
      </w:r>
      <w:r w:rsidRPr="00A22C98">
        <w:t>The trial involved five experimental arms: the four different letters, and a control group that received no letter.</w:t>
      </w:r>
      <w:r w:rsidR="008C0934">
        <w:t xml:space="preserve"> </w:t>
      </w:r>
      <w:r w:rsidR="008C0934" w:rsidRPr="007B0642">
        <w:t>The trial was clustered by clinic, that is, all high</w:t>
      </w:r>
      <w:r w:rsidR="008C0934" w:rsidRPr="007B0642">
        <w:noBreakHyphen/>
        <w:t>prescribing GPs within the same clinic were allocated to the same experimental group</w:t>
      </w:r>
      <w:r w:rsidR="008C0934">
        <w:t xml:space="preserve">. For more information on how RCTs work, see </w:t>
      </w:r>
      <w:r w:rsidR="00152B85">
        <w:t>b</w:t>
      </w:r>
      <w:r w:rsidR="008C0934">
        <w:t>ox.</w:t>
      </w:r>
    </w:p>
    <w:p w14:paraId="79CB8D99" w14:textId="54773634" w:rsidR="00AF1B2C" w:rsidRPr="00CB500F" w:rsidRDefault="00AF1B2C" w:rsidP="000F5351">
      <w:pPr>
        <w:pStyle w:val="Heading30"/>
      </w:pPr>
      <w:r w:rsidRPr="00AF1B2C">
        <w:t>What is a randomised controlled trial?</w:t>
      </w:r>
    </w:p>
    <w:p w14:paraId="19E6E6F8" w14:textId="77777777" w:rsidR="00AF1B2C" w:rsidRPr="00655273" w:rsidRDefault="00AF1B2C" w:rsidP="00AF1B2C">
      <w:pPr>
        <w:pStyle w:val="Textbox"/>
      </w:pPr>
      <w:r w:rsidRPr="00655273">
        <w:t>Well-designed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w:t>
      </w:r>
      <w:r>
        <w:t>-</w:t>
      </w:r>
      <w:r w:rsidRPr="00655273">
        <w:t>as</w:t>
      </w:r>
      <w:r>
        <w:t>-</w:t>
      </w:r>
      <w:r w:rsidRPr="00655273">
        <w:t>usual experience. On average, the difference in outcomes between people in a treatment group and in the control group reflects the causal impact of the new policy.</w:t>
      </w:r>
    </w:p>
    <w:p w14:paraId="4288A3F6" w14:textId="37C614E1" w:rsidR="00066CB9" w:rsidRDefault="00066CB9" w:rsidP="004135E5">
      <w:pPr>
        <w:rPr>
          <w:rFonts w:eastAsia="Calibri"/>
        </w:rPr>
      </w:pPr>
      <w:r w:rsidRPr="00CE1050">
        <w:rPr>
          <w:rFonts w:cs="Arial"/>
        </w:rPr>
        <w:t>The trial aimed to prompt</w:t>
      </w:r>
      <w:r>
        <w:rPr>
          <w:rFonts w:cs="Arial"/>
        </w:rPr>
        <w:t xml:space="preserve"> high-prescribing</w:t>
      </w:r>
      <w:r w:rsidRPr="00CE1050">
        <w:rPr>
          <w:rFonts w:cs="Arial"/>
        </w:rPr>
        <w:t xml:space="preserve"> </w:t>
      </w:r>
      <w:r w:rsidRPr="004100B7">
        <w:rPr>
          <w:rFonts w:cs="Arial"/>
        </w:rPr>
        <w:t>GPs to reduce prescribing where appropriate and safe</w:t>
      </w:r>
      <w:r w:rsidRPr="00CE1050">
        <w:rPr>
          <w:rFonts w:cs="Arial"/>
        </w:rPr>
        <w:t>.</w:t>
      </w:r>
      <w:r>
        <w:rPr>
          <w:rFonts w:cs="Arial"/>
        </w:rPr>
        <w:t xml:space="preserve"> </w:t>
      </w:r>
      <w:r>
        <w:rPr>
          <w:rFonts w:eastAsia="Calibri"/>
        </w:rPr>
        <w:t xml:space="preserve">A secondary aim was to test whether </w:t>
      </w:r>
      <w:r w:rsidR="00427DED">
        <w:rPr>
          <w:rFonts w:eastAsia="Calibri"/>
        </w:rPr>
        <w:t>peer comparison information</w:t>
      </w:r>
      <w:r>
        <w:rPr>
          <w:rFonts w:eastAsia="Calibri"/>
        </w:rPr>
        <w:t xml:space="preserve"> led to higher reductions in prescribing rates compared to the standard educational letters.</w:t>
      </w:r>
    </w:p>
    <w:p w14:paraId="0F06E285" w14:textId="77777777" w:rsidR="00A21457" w:rsidRDefault="008C0934" w:rsidP="008C0934">
      <w:r w:rsidRPr="008C0934">
        <w:t>We compared the prescription rates for each group and hypothesised</w:t>
      </w:r>
      <w:r w:rsidR="00427DED">
        <w:t xml:space="preserve"> that</w:t>
      </w:r>
      <w:r w:rsidR="00A21457">
        <w:t>:</w:t>
      </w:r>
      <w:r w:rsidRPr="008C0934">
        <w:t xml:space="preserve"> </w:t>
      </w:r>
    </w:p>
    <w:p w14:paraId="162CCD1A" w14:textId="195CEF4B" w:rsidR="00A21457" w:rsidRDefault="008C0934" w:rsidP="00FE4030">
      <w:pPr>
        <w:pStyle w:val="ListParagraph"/>
        <w:numPr>
          <w:ilvl w:val="0"/>
          <w:numId w:val="7"/>
        </w:numPr>
      </w:pPr>
      <w:r w:rsidRPr="008C0934">
        <w:t xml:space="preserve">GPs </w:t>
      </w:r>
      <w:r w:rsidR="00427DED">
        <w:t xml:space="preserve">in the treatment groups </w:t>
      </w:r>
      <w:r w:rsidRPr="008C0934">
        <w:t>would have lower prescription rates</w:t>
      </w:r>
      <w:r w:rsidR="00427DED">
        <w:t xml:space="preserve"> subsequently</w:t>
      </w:r>
      <w:r w:rsidRPr="008C0934">
        <w:t xml:space="preserve"> than </w:t>
      </w:r>
      <w:r w:rsidR="009B5572">
        <w:t>GPs in the control group</w:t>
      </w:r>
      <w:r w:rsidR="00A21457">
        <w:t>;</w:t>
      </w:r>
      <w:r w:rsidRPr="008C0934">
        <w:t xml:space="preserve"> and </w:t>
      </w:r>
      <w:r w:rsidR="00427DED">
        <w:t xml:space="preserve"> </w:t>
      </w:r>
    </w:p>
    <w:p w14:paraId="598294EB" w14:textId="35DFC92C" w:rsidR="0017630F" w:rsidRDefault="008C0934" w:rsidP="00196826">
      <w:pPr>
        <w:pStyle w:val="ListParagraph"/>
        <w:numPr>
          <w:ilvl w:val="0"/>
          <w:numId w:val="7"/>
        </w:numPr>
      </w:pPr>
      <w:r w:rsidRPr="008C0934">
        <w:t>GPs who received a letter</w:t>
      </w:r>
      <w:r w:rsidR="00A21457">
        <w:t xml:space="preserve"> with </w:t>
      </w:r>
      <w:r w:rsidR="003D64CD">
        <w:t xml:space="preserve">peer </w:t>
      </w:r>
      <w:r w:rsidR="00A21457">
        <w:t>comparison in</w:t>
      </w:r>
      <w:r w:rsidR="006D1ADA">
        <w:t xml:space="preserve">formation showing how far above </w:t>
      </w:r>
      <w:r w:rsidR="00A21457">
        <w:t>average they were in term</w:t>
      </w:r>
      <w:r w:rsidR="00D53EDC">
        <w:t>s</w:t>
      </w:r>
      <w:r w:rsidR="00A21457">
        <w:t xml:space="preserve"> of prescribing</w:t>
      </w:r>
      <w:r w:rsidRPr="008C0934">
        <w:t xml:space="preserve"> would have lower</w:t>
      </w:r>
      <w:r w:rsidR="00EA0A2A">
        <w:t xml:space="preserve"> </w:t>
      </w:r>
      <w:r w:rsidR="00EA0A2A" w:rsidRPr="008C0934">
        <w:t>prescription</w:t>
      </w:r>
      <w:r w:rsidRPr="008C0934">
        <w:t xml:space="preserve"> rates than </w:t>
      </w:r>
      <w:r w:rsidR="00EA0A2A">
        <w:t>GPs</w:t>
      </w:r>
      <w:r w:rsidR="00EA0A2A" w:rsidRPr="008C0934">
        <w:t xml:space="preserve"> </w:t>
      </w:r>
      <w:r w:rsidRPr="008C0934">
        <w:t xml:space="preserve">who received </w:t>
      </w:r>
      <w:r>
        <w:t>an education</w:t>
      </w:r>
      <w:r>
        <w:noBreakHyphen/>
      </w:r>
      <w:r w:rsidRPr="008C0934">
        <w:t xml:space="preserve">only letter.  </w:t>
      </w:r>
    </w:p>
    <w:p w14:paraId="5A976B01" w14:textId="75FF2D87" w:rsidR="00066CB9" w:rsidRDefault="007B0642" w:rsidP="004135E5">
      <w:r>
        <w:t>On 9 June 2017, t</w:t>
      </w:r>
      <w:r w:rsidR="00066CB9" w:rsidRPr="000D4C5C">
        <w:t xml:space="preserve">he </w:t>
      </w:r>
      <w:r w:rsidR="00066CB9">
        <w:t>letters were sent to</w:t>
      </w:r>
      <w:r w:rsidR="00066CB9" w:rsidRPr="000D4C5C">
        <w:t xml:space="preserve"> GPs </w:t>
      </w:r>
      <w:r w:rsidR="00066CB9">
        <w:t xml:space="preserve">across Australia </w:t>
      </w:r>
      <w:r w:rsidR="00066CB9" w:rsidRPr="000D4C5C">
        <w:t>whose antibiotic prescribing rates were in the top 30 per cent for their geographic region. In total, there were 6</w:t>
      </w:r>
      <w:r w:rsidR="00444DB4">
        <w:t>,</w:t>
      </w:r>
      <w:r w:rsidR="00066CB9" w:rsidRPr="000D4C5C">
        <w:t>649 doctors included in the trial. Of those, 5</w:t>
      </w:r>
      <w:r w:rsidR="001074AC">
        <w:t>,</w:t>
      </w:r>
      <w:r w:rsidR="00066CB9" w:rsidRPr="000D4C5C">
        <w:t>311 received a letter and 1</w:t>
      </w:r>
      <w:r w:rsidR="00444DB4">
        <w:t>,</w:t>
      </w:r>
      <w:r w:rsidR="00066CB9" w:rsidRPr="000D4C5C">
        <w:t xml:space="preserve">338 </w:t>
      </w:r>
      <w:r w:rsidR="00EA0A2A">
        <w:t xml:space="preserve">did not </w:t>
      </w:r>
      <w:r w:rsidR="00D53EDC">
        <w:t>(</w:t>
      </w:r>
      <w:r w:rsidR="00066CB9" w:rsidRPr="000D4C5C">
        <w:t>the control group</w:t>
      </w:r>
      <w:r w:rsidR="00D53EDC">
        <w:t>)</w:t>
      </w:r>
      <w:r w:rsidR="00066CB9" w:rsidRPr="000D4C5C">
        <w:t>.</w:t>
      </w:r>
    </w:p>
    <w:p w14:paraId="7DF0DD67" w14:textId="6E0E5619" w:rsidR="003071E5" w:rsidRDefault="00066CB9" w:rsidP="00507269">
      <w:pPr>
        <w:spacing w:before="0" w:after="0" w:line="240" w:lineRule="auto"/>
      </w:pPr>
      <w:r w:rsidRPr="00ED680D">
        <w:t>The 6</w:t>
      </w:r>
      <w:r>
        <w:t>,</w:t>
      </w:r>
      <w:r w:rsidRPr="00ED680D">
        <w:t xml:space="preserve">649 doctors were </w:t>
      </w:r>
      <w:r w:rsidR="00244A27">
        <w:t xml:space="preserve">grouped by clinic and </w:t>
      </w:r>
      <w:r w:rsidRPr="00ED680D">
        <w:t xml:space="preserve">randomly allocated into </w:t>
      </w:r>
      <w:r>
        <w:t xml:space="preserve">the </w:t>
      </w:r>
      <w:r w:rsidRPr="00ED680D">
        <w:t>five groups</w:t>
      </w:r>
      <w:r w:rsidR="00A21457">
        <w:t xml:space="preserve"> </w:t>
      </w:r>
      <w:r w:rsidR="003C149C">
        <w:t xml:space="preserve">listed </w:t>
      </w:r>
      <w:r w:rsidR="002E2CDA">
        <w:t>(see</w:t>
      </w:r>
      <w:r w:rsidR="003D64CD">
        <w:t xml:space="preserve"> </w:t>
      </w:r>
      <w:r w:rsidR="003D64CD">
        <w:fldChar w:fldCharType="begin"/>
      </w:r>
      <w:r w:rsidR="003D64CD">
        <w:instrText xml:space="preserve"> REF _Ref514070752 \h </w:instrText>
      </w:r>
      <w:r w:rsidR="003D64CD">
        <w:fldChar w:fldCharType="separate"/>
      </w:r>
      <w:r w:rsidR="00B425F8" w:rsidRPr="002E2CDA">
        <w:t xml:space="preserve">Table </w:t>
      </w:r>
      <w:r w:rsidR="00B425F8">
        <w:rPr>
          <w:noProof/>
        </w:rPr>
        <w:t>1</w:t>
      </w:r>
      <w:r w:rsidR="003D64CD">
        <w:fldChar w:fldCharType="end"/>
      </w:r>
      <w:r w:rsidR="002E2CDA">
        <w:t>)</w:t>
      </w:r>
      <w:r w:rsidRPr="00ED680D">
        <w:t xml:space="preserve">. </w:t>
      </w:r>
    </w:p>
    <w:p w14:paraId="55BD3F5B" w14:textId="77777777" w:rsidR="00630A63" w:rsidRDefault="00630A63">
      <w:pPr>
        <w:spacing w:before="0" w:after="0" w:line="240" w:lineRule="auto"/>
        <w:rPr>
          <w:b/>
          <w:color w:val="auto"/>
        </w:rPr>
      </w:pPr>
      <w:bookmarkStart w:id="11" w:name="_Ref514063895"/>
      <w:bookmarkStart w:id="12" w:name="_Ref514070752"/>
      <w:r>
        <w:br w:type="page"/>
      </w:r>
    </w:p>
    <w:p w14:paraId="1C6AA2AB" w14:textId="241F0987" w:rsidR="00066CB9" w:rsidRPr="002E2CDA" w:rsidRDefault="00066CB9" w:rsidP="003071E5">
      <w:pPr>
        <w:pStyle w:val="FigureHeading"/>
      </w:pPr>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1</w:t>
      </w:r>
      <w:r w:rsidR="00AD3544">
        <w:rPr>
          <w:noProof/>
        </w:rPr>
        <w:fldChar w:fldCharType="end"/>
      </w:r>
      <w:bookmarkEnd w:id="11"/>
      <w:bookmarkEnd w:id="12"/>
      <w:r w:rsidRPr="002E2CDA">
        <w:t xml:space="preserve">: Sample size – number of </w:t>
      </w:r>
      <w:r w:rsidR="00CC6202">
        <w:t>GPs</w:t>
      </w:r>
      <w:r w:rsidR="00CC6202" w:rsidRPr="002E2CDA">
        <w:t xml:space="preserve"> </w:t>
      </w:r>
      <w:r w:rsidRPr="002E2CDA">
        <w:t>in each</w:t>
      </w:r>
      <w:r w:rsidR="00CC6202">
        <w:t xml:space="preserve"> experimental </w:t>
      </w:r>
      <w:r w:rsidRPr="002E2CDA">
        <w:t>group</w:t>
      </w:r>
    </w:p>
    <w:tbl>
      <w:tblPr>
        <w:tblStyle w:val="EssentialTable2"/>
        <w:tblW w:w="8056" w:type="dxa"/>
        <w:tblLayout w:type="fixed"/>
        <w:tblLook w:val="0620" w:firstRow="1" w:lastRow="0" w:firstColumn="0" w:lastColumn="0" w:noHBand="1" w:noVBand="1"/>
        <w:tblCaption w:val="Sample size- number of GPs in each experimental group"/>
        <w:tblDescription w:val="Showing the number of GPs in each of the five experimental groups."/>
      </w:tblPr>
      <w:tblGrid>
        <w:gridCol w:w="5437"/>
        <w:gridCol w:w="2619"/>
      </w:tblGrid>
      <w:tr w:rsidR="006C6B62" w:rsidRPr="00CC6202" w14:paraId="79C11713" w14:textId="77777777" w:rsidTr="00B57F7C">
        <w:trPr>
          <w:cnfStyle w:val="100000000000" w:firstRow="1" w:lastRow="0" w:firstColumn="0" w:lastColumn="0" w:oddVBand="0" w:evenVBand="0" w:oddHBand="0" w:evenHBand="0" w:firstRowFirstColumn="0" w:firstRowLastColumn="0" w:lastRowFirstColumn="0" w:lastRowLastColumn="0"/>
          <w:trHeight w:val="377"/>
          <w:tblHeader/>
        </w:trPr>
        <w:tc>
          <w:tcPr>
            <w:tcW w:w="5437" w:type="dxa"/>
            <w:tcBorders>
              <w:bottom w:val="single" w:sz="4" w:space="0" w:color="142E3A" w:themeColor="text2"/>
            </w:tcBorders>
            <w:noWrap/>
          </w:tcPr>
          <w:p w14:paraId="41EF437A" w14:textId="77777777" w:rsidR="0000406E" w:rsidRPr="00196826" w:rsidRDefault="006C6B62" w:rsidP="00196826">
            <w:pPr>
              <w:pStyle w:val="TableHeading"/>
              <w:spacing w:before="19" w:after="19"/>
              <w:jc w:val="center"/>
              <w:rPr>
                <w:rFonts w:eastAsiaTheme="minorHAnsi"/>
                <w:b/>
                <w:bCs/>
                <w:sz w:val="22"/>
                <w:lang w:eastAsia="en-AU"/>
              </w:rPr>
            </w:pPr>
            <w:r w:rsidRPr="00196826">
              <w:rPr>
                <w:rFonts w:eastAsiaTheme="minorHAnsi"/>
                <w:bCs/>
                <w:sz w:val="22"/>
              </w:rPr>
              <w:t>Experimental groups</w:t>
            </w:r>
          </w:p>
        </w:tc>
        <w:tc>
          <w:tcPr>
            <w:tcW w:w="2619" w:type="dxa"/>
            <w:tcBorders>
              <w:bottom w:val="single" w:sz="4" w:space="0" w:color="142E3A" w:themeColor="text2"/>
            </w:tcBorders>
          </w:tcPr>
          <w:p w14:paraId="12FC727E" w14:textId="77777777" w:rsidR="0000406E" w:rsidRPr="00196826" w:rsidRDefault="006C6B62" w:rsidP="00196826">
            <w:pPr>
              <w:pStyle w:val="TableHeading"/>
              <w:spacing w:before="19" w:after="19"/>
              <w:ind w:right="94"/>
              <w:jc w:val="center"/>
              <w:rPr>
                <w:rFonts w:eastAsiaTheme="minorHAnsi"/>
                <w:b/>
                <w:bCs/>
                <w:sz w:val="22"/>
                <w:lang w:eastAsia="en-AU"/>
              </w:rPr>
            </w:pPr>
            <w:r w:rsidRPr="00196826">
              <w:rPr>
                <w:rFonts w:eastAsiaTheme="minorHAnsi"/>
                <w:bCs/>
                <w:sz w:val="22"/>
              </w:rPr>
              <w:t>Number of GPs</w:t>
            </w:r>
          </w:p>
        </w:tc>
      </w:tr>
      <w:tr w:rsidR="00D42A57" w:rsidRPr="00D6416E" w14:paraId="78E7D86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7F9F22CB" w14:textId="77777777" w:rsidR="00066CB9" w:rsidRPr="002E73EE" w:rsidRDefault="00066CB9" w:rsidP="00196826">
            <w:pPr>
              <w:pStyle w:val="Tabletext0"/>
              <w:spacing w:before="39" w:after="26"/>
            </w:pPr>
            <w:r w:rsidRPr="002E73EE">
              <w:t xml:space="preserve">Control </w:t>
            </w:r>
            <w:r w:rsidR="00A21457" w:rsidRPr="002E73EE">
              <w:t>g</w:t>
            </w:r>
            <w:r w:rsidRPr="002E73EE">
              <w:t>roup</w:t>
            </w:r>
            <w:r w:rsidR="006E3301" w:rsidRPr="002E73EE">
              <w:t xml:space="preserve"> (no-letter)</w:t>
            </w:r>
          </w:p>
        </w:tc>
        <w:tc>
          <w:tcPr>
            <w:tcW w:w="2619" w:type="dxa"/>
            <w:tcBorders>
              <w:top w:val="single" w:sz="4" w:space="0" w:color="142E3A" w:themeColor="text2"/>
              <w:bottom w:val="single" w:sz="4" w:space="0" w:color="142E3A" w:themeColor="text2"/>
            </w:tcBorders>
            <w:shd w:val="clear" w:color="auto" w:fill="FFFFFF" w:themeFill="background1"/>
          </w:tcPr>
          <w:p w14:paraId="1706BF5C" w14:textId="77777777" w:rsidR="00066CB9" w:rsidRPr="002E73EE" w:rsidRDefault="00066CB9" w:rsidP="00196826">
            <w:pPr>
              <w:pStyle w:val="Tabletext0"/>
              <w:spacing w:before="39" w:after="26"/>
            </w:pPr>
            <w:r w:rsidRPr="002E73EE">
              <w:t>1,338</w:t>
            </w:r>
          </w:p>
        </w:tc>
      </w:tr>
      <w:tr w:rsidR="00D42A57" w:rsidRPr="00D6416E" w14:paraId="6268B6A1"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7165D928" w14:textId="77777777" w:rsidR="00066CB9" w:rsidRPr="002E73EE" w:rsidRDefault="00066CB9" w:rsidP="00196826">
            <w:pPr>
              <w:pStyle w:val="Tabletext0"/>
              <w:spacing w:before="39" w:after="26"/>
            </w:pPr>
            <w:r w:rsidRPr="002E73EE">
              <w:t>Education-</w:t>
            </w:r>
            <w:r w:rsidR="00D90F6D" w:rsidRPr="002E73EE">
              <w:t>o</w:t>
            </w:r>
            <w:r w:rsidRPr="002E73EE">
              <w:t>nly</w:t>
            </w:r>
          </w:p>
        </w:tc>
        <w:tc>
          <w:tcPr>
            <w:tcW w:w="2619" w:type="dxa"/>
            <w:tcBorders>
              <w:top w:val="single" w:sz="4" w:space="0" w:color="142E3A" w:themeColor="text2"/>
              <w:bottom w:val="single" w:sz="4" w:space="0" w:color="142E3A" w:themeColor="text2"/>
            </w:tcBorders>
            <w:shd w:val="clear" w:color="auto" w:fill="FFFFFF" w:themeFill="background1"/>
          </w:tcPr>
          <w:p w14:paraId="6B48C98A" w14:textId="77777777" w:rsidR="00066CB9" w:rsidRPr="002E73EE" w:rsidRDefault="00066CB9" w:rsidP="00196826">
            <w:pPr>
              <w:pStyle w:val="Tabletext0"/>
              <w:spacing w:before="39" w:after="26"/>
            </w:pPr>
            <w:r w:rsidRPr="002E73EE">
              <w:t>1,319</w:t>
            </w:r>
          </w:p>
        </w:tc>
      </w:tr>
      <w:tr w:rsidR="00D42A57" w:rsidRPr="00D6416E" w14:paraId="659A1F1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6633364C" w14:textId="77777777" w:rsidR="00066CB9" w:rsidRPr="002E73EE" w:rsidRDefault="00066CB9" w:rsidP="00196826">
            <w:pPr>
              <w:pStyle w:val="Tabletext0"/>
              <w:spacing w:before="39" w:after="26"/>
            </w:pPr>
            <w:r w:rsidRPr="002E73EE">
              <w:t xml:space="preserve">Education </w:t>
            </w:r>
            <w:r w:rsidR="00E62BDB" w:rsidRPr="002E73EE">
              <w:t xml:space="preserve">with </w:t>
            </w:r>
            <w:r w:rsidR="00A21457" w:rsidRPr="002E73EE">
              <w:t>peer comparison</w:t>
            </w:r>
          </w:p>
        </w:tc>
        <w:tc>
          <w:tcPr>
            <w:tcW w:w="2619" w:type="dxa"/>
            <w:tcBorders>
              <w:top w:val="single" w:sz="4" w:space="0" w:color="142E3A" w:themeColor="text2"/>
              <w:bottom w:val="single" w:sz="4" w:space="0" w:color="142E3A" w:themeColor="text2"/>
            </w:tcBorders>
            <w:shd w:val="clear" w:color="auto" w:fill="FFFFFF" w:themeFill="background1"/>
          </w:tcPr>
          <w:p w14:paraId="55B6EC75" w14:textId="77777777" w:rsidR="00066CB9" w:rsidRPr="002E73EE" w:rsidRDefault="00066CB9" w:rsidP="00196826">
            <w:pPr>
              <w:pStyle w:val="Tabletext0"/>
              <w:spacing w:before="39" w:after="26"/>
            </w:pPr>
            <w:r w:rsidRPr="002E73EE">
              <w:t>1,311</w:t>
            </w:r>
          </w:p>
        </w:tc>
      </w:tr>
      <w:tr w:rsidR="00D42A57" w:rsidRPr="00D6416E" w14:paraId="7D67B558"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64A7A658" w14:textId="77777777" w:rsidR="00D6416E" w:rsidRPr="002E73EE" w:rsidRDefault="00D6416E" w:rsidP="00196826">
            <w:pPr>
              <w:pStyle w:val="Tabletext0"/>
              <w:spacing w:before="39" w:after="26"/>
            </w:pPr>
            <w:r w:rsidRPr="002E73EE">
              <w:t>Peer comparison with delayed prescribing</w:t>
            </w:r>
          </w:p>
        </w:tc>
        <w:tc>
          <w:tcPr>
            <w:tcW w:w="2619" w:type="dxa"/>
            <w:tcBorders>
              <w:top w:val="single" w:sz="4" w:space="0" w:color="142E3A" w:themeColor="text2"/>
              <w:bottom w:val="single" w:sz="4" w:space="0" w:color="142E3A" w:themeColor="text2"/>
            </w:tcBorders>
            <w:shd w:val="clear" w:color="auto" w:fill="FFFFFF" w:themeFill="background1"/>
          </w:tcPr>
          <w:p w14:paraId="0EA57AE1" w14:textId="77777777" w:rsidR="00D6416E" w:rsidRPr="002E73EE" w:rsidRDefault="00D6416E" w:rsidP="00196826">
            <w:pPr>
              <w:pStyle w:val="Tabletext0"/>
              <w:spacing w:before="39" w:after="26"/>
            </w:pPr>
            <w:r w:rsidRPr="002E73EE">
              <w:t>1,348</w:t>
            </w:r>
          </w:p>
        </w:tc>
      </w:tr>
      <w:tr w:rsidR="00D42A57" w:rsidRPr="00D6416E" w14:paraId="0311E042" w14:textId="77777777" w:rsidTr="003071E5">
        <w:trPr>
          <w:trHeight w:val="329"/>
        </w:trPr>
        <w:tc>
          <w:tcPr>
            <w:tcW w:w="5437" w:type="dxa"/>
            <w:tcBorders>
              <w:top w:val="single" w:sz="4" w:space="0" w:color="142E3A" w:themeColor="text2"/>
              <w:bottom w:val="single" w:sz="4" w:space="0" w:color="142E3A" w:themeColor="text2"/>
            </w:tcBorders>
            <w:shd w:val="clear" w:color="auto" w:fill="FFFFFF" w:themeFill="background1"/>
            <w:noWrap/>
            <w:hideMark/>
          </w:tcPr>
          <w:p w14:paraId="0EA4E63C" w14:textId="77777777" w:rsidR="00D6416E" w:rsidRPr="002E73EE" w:rsidRDefault="00D6416E" w:rsidP="00196826">
            <w:pPr>
              <w:pStyle w:val="Tabletext0"/>
              <w:spacing w:before="39" w:after="26"/>
            </w:pPr>
            <w:r w:rsidRPr="002E73EE">
              <w:t xml:space="preserve">Peer comparison </w:t>
            </w:r>
            <w:r w:rsidR="00E62BDB" w:rsidRPr="002E73EE">
              <w:t xml:space="preserve">with </w:t>
            </w:r>
            <w:r w:rsidRPr="002E73EE">
              <w:t>graph</w:t>
            </w:r>
          </w:p>
        </w:tc>
        <w:tc>
          <w:tcPr>
            <w:tcW w:w="2619" w:type="dxa"/>
            <w:tcBorders>
              <w:top w:val="single" w:sz="4" w:space="0" w:color="142E3A" w:themeColor="text2"/>
              <w:bottom w:val="single" w:sz="4" w:space="0" w:color="142E3A" w:themeColor="text2"/>
            </w:tcBorders>
            <w:shd w:val="clear" w:color="auto" w:fill="FFFFFF" w:themeFill="background1"/>
          </w:tcPr>
          <w:p w14:paraId="6721499C" w14:textId="77777777" w:rsidR="00D6416E" w:rsidRPr="002E73EE" w:rsidRDefault="00D6416E" w:rsidP="00196826">
            <w:pPr>
              <w:pStyle w:val="Tabletext0"/>
              <w:spacing w:before="39" w:after="26"/>
            </w:pPr>
            <w:r w:rsidRPr="002E73EE">
              <w:t>1,333</w:t>
            </w:r>
          </w:p>
        </w:tc>
      </w:tr>
      <w:tr w:rsidR="00D42A57" w:rsidRPr="00D6416E" w14:paraId="616250C5" w14:textId="77777777" w:rsidTr="003071E5">
        <w:trPr>
          <w:trHeight w:val="93"/>
        </w:trPr>
        <w:tc>
          <w:tcPr>
            <w:tcW w:w="5437" w:type="dxa"/>
            <w:tcBorders>
              <w:top w:val="single" w:sz="4" w:space="0" w:color="142E3A" w:themeColor="text2"/>
              <w:bottom w:val="single" w:sz="4" w:space="0" w:color="142E3A" w:themeColor="text2"/>
            </w:tcBorders>
            <w:shd w:val="clear" w:color="auto" w:fill="FFFFFF" w:themeFill="background1"/>
            <w:noWrap/>
          </w:tcPr>
          <w:p w14:paraId="5FD4FDBF" w14:textId="77777777" w:rsidR="00D6416E" w:rsidRPr="002E73EE" w:rsidRDefault="00D6416E" w:rsidP="00196826">
            <w:pPr>
              <w:pStyle w:val="Tabletext0"/>
              <w:spacing w:before="39" w:after="26"/>
            </w:pPr>
            <w:r w:rsidRPr="002E73EE">
              <w:t>Total</w:t>
            </w:r>
          </w:p>
        </w:tc>
        <w:tc>
          <w:tcPr>
            <w:tcW w:w="2619" w:type="dxa"/>
            <w:tcBorders>
              <w:top w:val="single" w:sz="4" w:space="0" w:color="142E3A" w:themeColor="text2"/>
              <w:bottom w:val="single" w:sz="4" w:space="0" w:color="142E3A" w:themeColor="text2"/>
            </w:tcBorders>
            <w:shd w:val="clear" w:color="auto" w:fill="FFFFFF" w:themeFill="background1"/>
          </w:tcPr>
          <w:p w14:paraId="091763F5" w14:textId="77777777" w:rsidR="00D6416E" w:rsidRPr="002E73EE" w:rsidRDefault="00D6416E" w:rsidP="00196826">
            <w:pPr>
              <w:pStyle w:val="Tabletext0"/>
              <w:spacing w:before="39" w:after="26"/>
            </w:pPr>
            <w:r w:rsidRPr="002E73EE">
              <w:t>6,649</w:t>
            </w:r>
          </w:p>
        </w:tc>
      </w:tr>
    </w:tbl>
    <w:p w14:paraId="13C17A33" w14:textId="77777777" w:rsidR="008C0934" w:rsidRDefault="008C0934" w:rsidP="00A91F65">
      <w:pPr>
        <w:spacing w:before="0" w:after="0" w:line="240" w:lineRule="auto"/>
      </w:pPr>
    </w:p>
    <w:p w14:paraId="0079A7D6" w14:textId="2F58DEEE" w:rsidR="008C0934" w:rsidRDefault="003D64CD">
      <w:pPr>
        <w:spacing w:before="0" w:after="0" w:line="240" w:lineRule="auto"/>
      </w:pPr>
      <w:r>
        <w:t xml:space="preserve">More details on the trial design and a full list of exclusion criteria can be found in </w:t>
      </w:r>
      <w:r w:rsidR="00A948A5">
        <w:br/>
      </w:r>
      <w:r w:rsidRPr="00655273">
        <w:rPr>
          <w:b/>
        </w:rPr>
        <w:t>Appendix A</w:t>
      </w:r>
      <w:r>
        <w:t>.</w:t>
      </w:r>
      <w:r w:rsidR="008C0934">
        <w:br w:type="page"/>
      </w:r>
    </w:p>
    <w:p w14:paraId="56285DC9" w14:textId="77777777" w:rsidR="008C0934" w:rsidRDefault="008C0934" w:rsidP="008C03A3">
      <w:pPr>
        <w:pStyle w:val="Heading1"/>
      </w:pPr>
      <w:bookmarkStart w:id="13" w:name="_Toc513196439"/>
      <w:bookmarkStart w:id="14" w:name="_Toc516822204"/>
      <w:r>
        <w:lastRenderedPageBreak/>
        <w:t>Results</w:t>
      </w:r>
      <w:bookmarkEnd w:id="13"/>
      <w:bookmarkEnd w:id="14"/>
    </w:p>
    <w:p w14:paraId="65A2C5D4" w14:textId="5D73BA57" w:rsidR="00A56319" w:rsidRPr="002F791F" w:rsidRDefault="00A56319" w:rsidP="008C03A3">
      <w:pPr>
        <w:pStyle w:val="Intro"/>
      </w:pPr>
      <w:r w:rsidRPr="002F791F">
        <w:t xml:space="preserve">Letters containing </w:t>
      </w:r>
      <w:r w:rsidR="00A21457">
        <w:t>peer comparison information</w:t>
      </w:r>
      <w:r w:rsidRPr="002F791F">
        <w:t xml:space="preserve"> substantially reduced prescription rates in the six months after the letters were sent. Compared to the no-letter (control) group, the best performing letter</w:t>
      </w:r>
      <w:r w:rsidR="00D53EDC">
        <w:t xml:space="preserve"> </w:t>
      </w:r>
      <w:r w:rsidRPr="002F791F">
        <w:t>reduced prescribing rates by 12.</w:t>
      </w:r>
      <w:r w:rsidR="00632C64">
        <w:t>3 </w:t>
      </w:r>
      <w:r w:rsidR="00985958">
        <w:t>per cent</w:t>
      </w:r>
      <w:r w:rsidRPr="002F791F">
        <w:t>.</w:t>
      </w:r>
    </w:p>
    <w:p w14:paraId="112DE708" w14:textId="73E2DCFC" w:rsidR="00743009" w:rsidRDefault="00A56319" w:rsidP="00A56319">
      <w:r>
        <w:t>We begin by comparing the prescription rate – the number of scripts filled per 1,000</w:t>
      </w:r>
      <w:r w:rsidR="00985958">
        <w:t> </w:t>
      </w:r>
      <w:r>
        <w:t>consults – in our five groups over time. In the year before the letters were sent, the prescription rates for the five groups were almost identical. Letters were sent on 9 June 2017</w:t>
      </w:r>
      <w:r w:rsidR="00031E7D">
        <w:t>;</w:t>
      </w:r>
      <w:r>
        <w:t xml:space="preserve"> after this</w:t>
      </w:r>
      <w:r w:rsidR="00EA0A2A">
        <w:t>, there is</w:t>
      </w:r>
      <w:r>
        <w:t xml:space="preserve"> a striking reduction in the prescription rate in the three </w:t>
      </w:r>
      <w:r w:rsidR="00D62E64">
        <w:t>peer comparison</w:t>
      </w:r>
      <w:r>
        <w:t xml:space="preserve"> groups </w:t>
      </w:r>
      <w:r w:rsidR="000D0827">
        <w:br/>
      </w:r>
      <w:r>
        <w:t>(</w:t>
      </w:r>
      <w:r w:rsidR="002E2CDA">
        <w:t xml:space="preserve">see </w:t>
      </w:r>
      <w:r w:rsidRPr="002E2CDA">
        <w:rPr>
          <w:b/>
        </w:rPr>
        <w:t xml:space="preserve">Figure </w:t>
      </w:r>
      <w:r w:rsidR="002E2CDA" w:rsidRPr="002E2CDA">
        <w:rPr>
          <w:b/>
        </w:rPr>
        <w:t>2</w:t>
      </w:r>
      <w:r w:rsidRPr="0024293D">
        <w:t>)</w:t>
      </w:r>
      <w:r>
        <w:t>.</w:t>
      </w:r>
      <w:r>
        <w:rPr>
          <w:rStyle w:val="FootnoteReference"/>
        </w:rPr>
        <w:footnoteReference w:id="2"/>
      </w:r>
      <w:r>
        <w:t xml:space="preserve">  </w:t>
      </w:r>
    </w:p>
    <w:p w14:paraId="2904C8EB" w14:textId="77777777" w:rsidR="00A56319" w:rsidRPr="00655273" w:rsidRDefault="00743009" w:rsidP="008C03A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2</w:t>
      </w:r>
      <w:r w:rsidR="00AD3544">
        <w:rPr>
          <w:noProof/>
        </w:rPr>
        <w:fldChar w:fldCharType="end"/>
      </w:r>
      <w:r w:rsidRPr="00655273">
        <w:t xml:space="preserve">: </w:t>
      </w:r>
      <w:r w:rsidR="00A56319" w:rsidRPr="00655273">
        <w:t>Prescription rates among GPs in the trial from June 201</w:t>
      </w:r>
      <w:r w:rsidR="00A21457" w:rsidRPr="00655273">
        <w:t>6</w:t>
      </w:r>
      <w:r w:rsidR="00A56319" w:rsidRPr="00655273">
        <w:t xml:space="preserve"> to December 2017</w:t>
      </w:r>
    </w:p>
    <w:p w14:paraId="379C9CE3" w14:textId="60E2A796" w:rsidR="00A56319" w:rsidRDefault="001A6C37" w:rsidP="00A56319">
      <w:pPr>
        <w:jc w:val="center"/>
      </w:pPr>
      <w:r>
        <w:rPr>
          <w:noProof/>
        </w:rPr>
        <w:drawing>
          <wp:inline distT="0" distB="0" distL="0" distR="0" wp14:anchorId="7E92D571" wp14:editId="69EEB620">
            <wp:extent cx="5462270" cy="2792095"/>
            <wp:effectExtent l="0" t="0" r="5080" b="8255"/>
            <wp:docPr id="20" name="Picture 20" descr="Line graph comparing prescription rates in the pre-trial period (June 2016 to June 2017 to the trial period (June 2017 to December 2017) for the five treatment groups.0 &#10;&#10;The graph shows that there are peaks and troughs in antibiotic prescribing from the seasonal effects of summer and winter. In the year before the letters were sent, the prescription rates for the five groups were almost identical. Striking reductions in the three peer comparison groups can bee seen shortly after the letters were sent. Clearly, the letters had a striking impact on prescribing behaviour.&#10;&#10;&#10;" title="Prescription rates among GPs in the trial from June 2016 to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2792095"/>
                    </a:xfrm>
                    <a:prstGeom prst="rect">
                      <a:avLst/>
                    </a:prstGeom>
                    <a:noFill/>
                  </pic:spPr>
                </pic:pic>
              </a:graphicData>
            </a:graphic>
          </wp:inline>
        </w:drawing>
      </w:r>
    </w:p>
    <w:p w14:paraId="0E3B8F2D" w14:textId="282D4050" w:rsidR="008C03A3" w:rsidRDefault="008C03A3">
      <w:pPr>
        <w:spacing w:before="0" w:after="0" w:line="240" w:lineRule="auto"/>
      </w:pPr>
      <w:r>
        <w:br w:type="page"/>
      </w:r>
    </w:p>
    <w:p w14:paraId="1DF07B9B" w14:textId="77777777" w:rsidR="00A56319" w:rsidRDefault="00A56319" w:rsidP="00A56319">
      <w:r>
        <w:lastRenderedPageBreak/>
        <w:t xml:space="preserve">To summarise the impact of our letters, we combined rates for the six-month period after our letters were sent. Over this time, the rate in our no-letter group was 109.3 scripts per 1,000 consults. </w:t>
      </w:r>
    </w:p>
    <w:p w14:paraId="2DC29D03" w14:textId="3478E7DE" w:rsidR="00A56319" w:rsidRDefault="00A56319" w:rsidP="00A56319">
      <w:r>
        <w:t xml:space="preserve">The three </w:t>
      </w:r>
      <w:r w:rsidR="00A21457">
        <w:t>peer comparison</w:t>
      </w:r>
      <w:r>
        <w:t xml:space="preserve"> letters caused a 9.</w:t>
      </w:r>
      <w:r w:rsidR="00632C64">
        <w:t>3</w:t>
      </w:r>
      <w:r w:rsidR="003958CE">
        <w:t>–</w:t>
      </w:r>
      <w:r>
        <w:t>12.</w:t>
      </w:r>
      <w:r w:rsidR="00632C64">
        <w:t>3</w:t>
      </w:r>
      <w:r w:rsidR="00EF3500" w:rsidRPr="00EF3500">
        <w:t xml:space="preserve"> </w:t>
      </w:r>
      <w:r w:rsidR="00EF3500">
        <w:t>per cent</w:t>
      </w:r>
      <w:r>
        <w:t xml:space="preserve"> reduction in prescribing rates. The best performing letter was the </w:t>
      </w:r>
      <w:r w:rsidR="00A21457" w:rsidRPr="002E2CDA">
        <w:rPr>
          <w:i/>
        </w:rPr>
        <w:t>peer comparison</w:t>
      </w:r>
      <w:r w:rsidRPr="002E2CDA">
        <w:rPr>
          <w:i/>
        </w:rPr>
        <w:t xml:space="preserve"> </w:t>
      </w:r>
      <w:r w:rsidR="002E2CDA" w:rsidRPr="002E2CDA">
        <w:rPr>
          <w:i/>
        </w:rPr>
        <w:t>with graph</w:t>
      </w:r>
      <w:r>
        <w:t xml:space="preserve"> letter, </w:t>
      </w:r>
      <w:r w:rsidR="009125F5">
        <w:t>r</w:t>
      </w:r>
      <w:r>
        <w:t>educ</w:t>
      </w:r>
      <w:r w:rsidR="009125F5">
        <w:t>ing</w:t>
      </w:r>
      <w:r>
        <w:t xml:space="preserve"> prescription rates by 12.</w:t>
      </w:r>
      <w:r w:rsidR="00632C64">
        <w:t>3</w:t>
      </w:r>
      <w:r w:rsidR="00EF3500">
        <w:t> per cent</w:t>
      </w:r>
      <w:r>
        <w:t xml:space="preserve"> (to 95.8 scripts per 1,000 consults). The </w:t>
      </w:r>
      <w:r w:rsidR="00A21457" w:rsidRPr="002E2CDA">
        <w:rPr>
          <w:i/>
        </w:rPr>
        <w:t>peer comparison</w:t>
      </w:r>
      <w:r w:rsidRPr="002E2CDA">
        <w:rPr>
          <w:i/>
        </w:rPr>
        <w:t xml:space="preserve"> </w:t>
      </w:r>
      <w:r w:rsidR="002E2CDA" w:rsidRPr="002E2CDA">
        <w:rPr>
          <w:i/>
        </w:rPr>
        <w:t xml:space="preserve">with </w:t>
      </w:r>
      <w:r w:rsidRPr="002E2CDA">
        <w:rPr>
          <w:i/>
        </w:rPr>
        <w:t>delayed prescribing</w:t>
      </w:r>
      <w:r>
        <w:t xml:space="preserve"> letter reduced prescription rates by 10.4</w:t>
      </w:r>
      <w:r w:rsidR="00EF3500" w:rsidRPr="00EF3500">
        <w:t xml:space="preserve"> </w:t>
      </w:r>
      <w:r w:rsidR="00EF3500">
        <w:t>per cent</w:t>
      </w:r>
      <w:r>
        <w:t xml:space="preserve"> (to 97.9 scripts per 1,000 consults) and the </w:t>
      </w:r>
      <w:r w:rsidR="002E2CDA" w:rsidRPr="002E2CDA">
        <w:rPr>
          <w:i/>
        </w:rPr>
        <w:t>education with peer comparison</w:t>
      </w:r>
      <w:r w:rsidR="00A21457">
        <w:t xml:space="preserve"> </w:t>
      </w:r>
      <w:r>
        <w:t>letter reduced rates by 9.</w:t>
      </w:r>
      <w:r w:rsidR="00632C64">
        <w:t>3</w:t>
      </w:r>
      <w:r w:rsidR="00EF3500" w:rsidRPr="00EF3500">
        <w:t xml:space="preserve"> </w:t>
      </w:r>
      <w:r w:rsidR="00EF3500">
        <w:t>per cent</w:t>
      </w:r>
      <w:r>
        <w:t xml:space="preserve"> (to 99.2 scripts per 1,000 consults). </w:t>
      </w:r>
    </w:p>
    <w:p w14:paraId="1E0E3C4E" w14:textId="5A55600B" w:rsidR="00A56319" w:rsidRDefault="00A56319" w:rsidP="00A56319">
      <w:r>
        <w:t>Sending doctors the</w:t>
      </w:r>
      <w:r w:rsidRPr="002E2CDA">
        <w:rPr>
          <w:i/>
        </w:rPr>
        <w:t xml:space="preserve"> </w:t>
      </w:r>
      <w:r w:rsidR="002E2CDA" w:rsidRPr="002E2CDA">
        <w:rPr>
          <w:i/>
        </w:rPr>
        <w:t>education-</w:t>
      </w:r>
      <w:r w:rsidRPr="002E2CDA">
        <w:rPr>
          <w:i/>
        </w:rPr>
        <w:t>only</w:t>
      </w:r>
      <w:r w:rsidR="002E2CDA">
        <w:t xml:space="preserve"> letter</w:t>
      </w:r>
      <w:r>
        <w:t xml:space="preserve"> cut prescriptions by a modest but statistically significant 3.2</w:t>
      </w:r>
      <w:r w:rsidR="00EF3500" w:rsidRPr="00EF3500">
        <w:t xml:space="preserve"> </w:t>
      </w:r>
      <w:r w:rsidR="00EF3500">
        <w:t>per cent</w:t>
      </w:r>
      <w:r>
        <w:t xml:space="preserve"> (to 105.8 scripts per 1,000 consults).</w:t>
      </w:r>
      <w:r>
        <w:rPr>
          <w:rStyle w:val="FootnoteReference"/>
        </w:rPr>
        <w:footnoteReference w:id="3"/>
      </w:r>
      <w:r>
        <w:t xml:space="preserve"> </w:t>
      </w:r>
    </w:p>
    <w:p w14:paraId="232C495D" w14:textId="3A44D367" w:rsidR="00A56319" w:rsidRDefault="00A56319" w:rsidP="00A56319">
      <w:r>
        <w:t xml:space="preserve">Differences between the three </w:t>
      </w:r>
      <w:r w:rsidR="00A21457">
        <w:t>peer comparison</w:t>
      </w:r>
      <w:r>
        <w:t xml:space="preserve"> l</w:t>
      </w:r>
      <w:r w:rsidR="002E2CDA">
        <w:t>etters, and the no</w:t>
      </w:r>
      <w:r w:rsidR="00031E7D">
        <w:t>-</w:t>
      </w:r>
      <w:r w:rsidR="002E2CDA">
        <w:t>letter and education-only g</w:t>
      </w:r>
      <w:r>
        <w:t>roups were statistically significant (p &lt; 0.0001 for all comparisons). The combination of large differences and a large sample gives us considerable confidence in these results.</w:t>
      </w:r>
    </w:p>
    <w:p w14:paraId="75074422" w14:textId="77777777" w:rsidR="00931E32" w:rsidRPr="00CC6202" w:rsidRDefault="00B82249" w:rsidP="00756474">
      <w:pPr>
        <w:spacing w:before="360"/>
        <w:rPr>
          <w:b/>
        </w:rPr>
      </w:pPr>
      <w:r w:rsidRPr="00655273">
        <w:rPr>
          <w:b/>
        </w:rPr>
        <w:t xml:space="preserve">Figure </w:t>
      </w:r>
      <w:r w:rsidRPr="00655273">
        <w:rPr>
          <w:b/>
        </w:rPr>
        <w:fldChar w:fldCharType="begin"/>
      </w:r>
      <w:r w:rsidRPr="00655273">
        <w:rPr>
          <w:b/>
        </w:rPr>
        <w:instrText xml:space="preserve"> SEQ Figure \* ARABIC </w:instrText>
      </w:r>
      <w:r w:rsidRPr="00655273">
        <w:rPr>
          <w:b/>
        </w:rPr>
        <w:fldChar w:fldCharType="separate"/>
      </w:r>
      <w:r w:rsidR="00B425F8">
        <w:rPr>
          <w:b/>
          <w:noProof/>
        </w:rPr>
        <w:t>3</w:t>
      </w:r>
      <w:r w:rsidRPr="00655273">
        <w:rPr>
          <w:b/>
        </w:rPr>
        <w:fldChar w:fldCharType="end"/>
      </w:r>
      <w:r w:rsidRPr="00655273">
        <w:rPr>
          <w:b/>
        </w:rPr>
        <w:t xml:space="preserve">: </w:t>
      </w:r>
      <w:r w:rsidR="00931E32" w:rsidRPr="000E16A1">
        <w:rPr>
          <w:b/>
        </w:rPr>
        <w:t>Main findings for six months combined</w:t>
      </w:r>
      <w:r w:rsidR="0099655A">
        <w:rPr>
          <w:b/>
        </w:rPr>
        <w:t xml:space="preserve"> (prescription rates)</w:t>
      </w:r>
    </w:p>
    <w:p w14:paraId="32CDB3E7" w14:textId="32766EC9" w:rsidR="00D90F6D" w:rsidRDefault="001A6C37" w:rsidP="008C03A3">
      <w:r>
        <w:rPr>
          <w:noProof/>
        </w:rPr>
        <w:drawing>
          <wp:inline distT="0" distB="0" distL="0" distR="0" wp14:anchorId="5E6BF34B" wp14:editId="2381FB6F">
            <wp:extent cx="5932170" cy="3182620"/>
            <wp:effectExtent l="0" t="0" r="0" b="0"/>
            <wp:docPr id="28" name="Picture 28"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54E8A814" w14:textId="7D6EF161" w:rsidR="00931E32" w:rsidRDefault="00931E32" w:rsidP="008C03A3">
      <w:pPr>
        <w:pStyle w:val="SourceNotesText"/>
      </w:pPr>
      <w:r w:rsidRPr="00E443FB">
        <w:t>Estimates are adjusted means. Bars represent the number of scripts per 1,000 consults and bar labels represent the percentage decreases compared to the no</w:t>
      </w:r>
      <w:r w:rsidR="00031E7D" w:rsidRPr="00E443FB">
        <w:t>-</w:t>
      </w:r>
      <w:r w:rsidRPr="00E443FB">
        <w:t xml:space="preserve">letter group. See Appendix </w:t>
      </w:r>
      <w:r w:rsidR="00D77EB2" w:rsidRPr="00E443FB">
        <w:t>B</w:t>
      </w:r>
      <w:r w:rsidRPr="00E443FB">
        <w:t xml:space="preserve"> for a table of estimates, p-values and confidence intervals</w:t>
      </w:r>
      <w:r w:rsidR="00031E7D" w:rsidRPr="00E443FB">
        <w:t>.</w:t>
      </w:r>
    </w:p>
    <w:p w14:paraId="7C84EB71" w14:textId="77777777" w:rsidR="00A56319" w:rsidRPr="008A1F58" w:rsidRDefault="00A56319" w:rsidP="0024293D">
      <w:pPr>
        <w:pStyle w:val="Heading2"/>
        <w:rPr>
          <w:color w:val="2158A8"/>
        </w:rPr>
      </w:pPr>
      <w:r w:rsidRPr="008A1F58">
        <w:rPr>
          <w:color w:val="2158A8"/>
        </w:rPr>
        <w:lastRenderedPageBreak/>
        <w:t>Effect of the letters by month</w:t>
      </w:r>
    </w:p>
    <w:p w14:paraId="124948A3" w14:textId="6781E626" w:rsidR="00A56319" w:rsidRDefault="002F7252" w:rsidP="00A56319">
      <w:r>
        <w:t>L</w:t>
      </w:r>
      <w:r w:rsidR="00A56319">
        <w:t>ook</w:t>
      </w:r>
      <w:r>
        <w:t>ing</w:t>
      </w:r>
      <w:r w:rsidR="00A56319">
        <w:t xml:space="preserve"> at prescription rates for each month (</w:t>
      </w:r>
      <w:r w:rsidR="00A56319" w:rsidRPr="00E443FB">
        <w:rPr>
          <w:b/>
        </w:rPr>
        <w:t xml:space="preserve">Figure </w:t>
      </w:r>
      <w:r w:rsidR="007C15D8">
        <w:rPr>
          <w:b/>
        </w:rPr>
        <w:t>4</w:t>
      </w:r>
      <w:r w:rsidR="002E2CDA">
        <w:t xml:space="preserve"> and </w:t>
      </w:r>
      <w:r w:rsidR="002E2CDA" w:rsidRPr="00E443FB">
        <w:rPr>
          <w:b/>
        </w:rPr>
        <w:t>T</w:t>
      </w:r>
      <w:r w:rsidR="00A56319" w:rsidRPr="00E443FB">
        <w:rPr>
          <w:b/>
        </w:rPr>
        <w:t xml:space="preserve">able </w:t>
      </w:r>
      <w:r w:rsidR="002E2CDA" w:rsidRPr="00E443FB">
        <w:rPr>
          <w:b/>
        </w:rPr>
        <w:t>2</w:t>
      </w:r>
      <w:r w:rsidR="00A56319">
        <w:t>), the impact of our three behaviourally</w:t>
      </w:r>
      <w:r w:rsidR="00031E7D">
        <w:t>-</w:t>
      </w:r>
      <w:r w:rsidR="00A56319">
        <w:t>informed letters increase</w:t>
      </w:r>
      <w:r w:rsidR="003958CE">
        <w:t>d</w:t>
      </w:r>
      <w:r w:rsidR="00A56319">
        <w:t xml:space="preserve"> until September (</w:t>
      </w:r>
      <w:r w:rsidR="003958CE">
        <w:t>three</w:t>
      </w:r>
      <w:r w:rsidR="006F5755">
        <w:t> </w:t>
      </w:r>
      <w:r w:rsidR="00A56319">
        <w:t xml:space="preserve">months after </w:t>
      </w:r>
      <w:r w:rsidR="004B032A">
        <w:t xml:space="preserve">the </w:t>
      </w:r>
      <w:r w:rsidR="00A56319">
        <w:t xml:space="preserve">letters were sent). At its peak, the </w:t>
      </w:r>
      <w:r w:rsidR="002E2CDA" w:rsidRPr="002E2CDA">
        <w:rPr>
          <w:i/>
        </w:rPr>
        <w:t>peer comparison with graph</w:t>
      </w:r>
      <w:r w:rsidR="00A56319">
        <w:t xml:space="preserve"> letter reduced </w:t>
      </w:r>
      <w:r w:rsidR="003958CE">
        <w:t xml:space="preserve">filled </w:t>
      </w:r>
      <w:r w:rsidR="00A56319">
        <w:t>scripts by 14.6</w:t>
      </w:r>
      <w:r w:rsidR="006F5755">
        <w:t> per cent</w:t>
      </w:r>
      <w:r w:rsidR="00A56319">
        <w:t xml:space="preserve"> (or 17.3 scripts per 1,000 consults). After this, the difference between the </w:t>
      </w:r>
      <w:r w:rsidR="00A56319" w:rsidRPr="00E443FB">
        <w:rPr>
          <w:i/>
        </w:rPr>
        <w:t>no</w:t>
      </w:r>
      <w:r w:rsidR="00031E7D" w:rsidRPr="00E443FB">
        <w:rPr>
          <w:i/>
        </w:rPr>
        <w:t>-</w:t>
      </w:r>
      <w:r w:rsidR="00A56319" w:rsidRPr="00E443FB">
        <w:rPr>
          <w:i/>
        </w:rPr>
        <w:t>letter</w:t>
      </w:r>
      <w:r w:rsidR="00A56319">
        <w:t xml:space="preserve"> group and the three </w:t>
      </w:r>
      <w:r w:rsidR="00A21457">
        <w:t>peer comparison</w:t>
      </w:r>
      <w:r w:rsidR="00A56319">
        <w:t xml:space="preserve"> groups </w:t>
      </w:r>
      <w:r w:rsidR="00E50608">
        <w:t xml:space="preserve">began </w:t>
      </w:r>
      <w:r w:rsidR="00A56319">
        <w:t xml:space="preserve">to narrow.  </w:t>
      </w:r>
    </w:p>
    <w:p w14:paraId="2906F51C" w14:textId="62AACE9D" w:rsidR="000C3741" w:rsidRDefault="000E44AB" w:rsidP="0024293D">
      <w:r>
        <w:t>At the end of the six-</w:t>
      </w:r>
      <w:r w:rsidR="00A56319">
        <w:t>month period, our three behaviourally</w:t>
      </w:r>
      <w:r w:rsidR="00031E7D">
        <w:t>-</w:t>
      </w:r>
      <w:r w:rsidR="00A56319">
        <w:t>informed letters continued to have an impact, with statistically significant reductions ranging from 7.3</w:t>
      </w:r>
      <w:r w:rsidR="006F5755">
        <w:t> per cent</w:t>
      </w:r>
      <w:r w:rsidR="00A56319">
        <w:t xml:space="preserve"> to 8.8</w:t>
      </w:r>
      <w:r w:rsidR="006F5755">
        <w:t> per cent</w:t>
      </w:r>
      <w:r w:rsidR="00A56319">
        <w:t xml:space="preserve"> (or 6.5 to 7.8 scripts per 1,000 consults). </w:t>
      </w:r>
      <w:r w:rsidR="002E2CDA">
        <w:t xml:space="preserve">In contrast, the impact of the </w:t>
      </w:r>
      <w:r w:rsidR="00A56319" w:rsidRPr="002E2CDA">
        <w:rPr>
          <w:i/>
        </w:rPr>
        <w:t>education</w:t>
      </w:r>
      <w:r w:rsidR="002E2CDA" w:rsidRPr="002E2CDA">
        <w:rPr>
          <w:i/>
        </w:rPr>
        <w:t>-</w:t>
      </w:r>
      <w:r w:rsidR="00A56319" w:rsidRPr="002E2CDA">
        <w:rPr>
          <w:i/>
        </w:rPr>
        <w:t>only</w:t>
      </w:r>
      <w:r w:rsidR="00A56319">
        <w:t xml:space="preserve"> letter was small and was not always stati</w:t>
      </w:r>
      <w:r w:rsidR="009125F5">
        <w:t>sti</w:t>
      </w:r>
      <w:r w:rsidR="00A56319">
        <w:t xml:space="preserve">cally significant at </w:t>
      </w:r>
      <w:r w:rsidR="00B91112">
        <w:t xml:space="preserve">the </w:t>
      </w:r>
      <w:r w:rsidR="00A56319">
        <w:t xml:space="preserve">conventional threshold. </w:t>
      </w:r>
    </w:p>
    <w:p w14:paraId="0AF60BAA" w14:textId="77777777" w:rsidR="00A56319" w:rsidRPr="00DB40FE" w:rsidRDefault="00B82249" w:rsidP="0024293D">
      <w:pPr>
        <w:pStyle w:val="FigureHeading"/>
      </w:pPr>
      <w:r w:rsidRPr="00E443FB">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4</w:t>
      </w:r>
      <w:r w:rsidR="00AD3544">
        <w:rPr>
          <w:noProof/>
        </w:rPr>
        <w:fldChar w:fldCharType="end"/>
      </w:r>
      <w:r w:rsidRPr="00E443FB">
        <w:t xml:space="preserve">: </w:t>
      </w:r>
      <w:r w:rsidR="00A56319" w:rsidRPr="00E443FB">
        <w:t>Monthly results</w:t>
      </w:r>
      <w:r w:rsidR="00B0283B" w:rsidRPr="00E443FB">
        <w:t xml:space="preserve"> of each letter (prescription rate</w:t>
      </w:r>
      <w:r w:rsidR="009D7BA2">
        <w:t>s</w:t>
      </w:r>
      <w:r w:rsidR="00B0283B" w:rsidRPr="00E443FB">
        <w:t>)</w:t>
      </w:r>
    </w:p>
    <w:p w14:paraId="1BE98933" w14:textId="71ADC2B4" w:rsidR="000C3741" w:rsidRDefault="001A6C37" w:rsidP="00A56319">
      <w:r>
        <w:rPr>
          <w:noProof/>
        </w:rPr>
        <w:drawing>
          <wp:inline distT="0" distB="0" distL="0" distR="0" wp14:anchorId="37917FCA" wp14:editId="48D5DA01">
            <wp:extent cx="5450205" cy="3291840"/>
            <wp:effectExtent l="0" t="0" r="0" b="3810"/>
            <wp:docPr id="26" name="Picture 26" descr="Line graph showing the monthly prescription rates of the four letters from July to December 2017, relative to the no-letter control gorup. &#10;&#10;The impact of the three behaviourally-informed letters (i.e. education and peer comparison group; peer comparison with delayed prescribing group; and peer comparison and graph group) is strong, and  increases until September (3 months after letters were sent), with the reduction in prescription rates following an inverted-U shape for these three letters. &#10;&#10;In contrast, the impact of the education-only letter is small and is not always statistically significant.&#10;&#10;" title="Monthly results of each letter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0205" cy="3291840"/>
                    </a:xfrm>
                    <a:prstGeom prst="rect">
                      <a:avLst/>
                    </a:prstGeom>
                    <a:noFill/>
                  </pic:spPr>
                </pic:pic>
              </a:graphicData>
            </a:graphic>
          </wp:inline>
        </w:drawing>
      </w:r>
    </w:p>
    <w:p w14:paraId="55B3A8EC" w14:textId="2A22B450" w:rsidR="003E5804" w:rsidRDefault="003E5804">
      <w:pPr>
        <w:spacing w:before="0" w:after="0" w:line="240" w:lineRule="auto"/>
      </w:pPr>
      <w:r>
        <w:br w:type="page"/>
      </w:r>
    </w:p>
    <w:p w14:paraId="69413102" w14:textId="77777777" w:rsidR="00A56319" w:rsidRPr="00DB40FE" w:rsidRDefault="00B82249" w:rsidP="003E5804">
      <w:pPr>
        <w:pStyle w:val="FigureHeading"/>
      </w:pPr>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2</w:t>
      </w:r>
      <w:r w:rsidR="00AD3544">
        <w:rPr>
          <w:noProof/>
        </w:rPr>
        <w:fldChar w:fldCharType="end"/>
      </w:r>
      <w:r w:rsidR="004C0F90" w:rsidRPr="00E443FB">
        <w:t>:</w:t>
      </w:r>
      <w:r w:rsidR="00A56319" w:rsidRPr="00E443FB">
        <w:t xml:space="preserve"> Monthly percent change compared to no</w:t>
      </w:r>
      <w:r w:rsidR="00031E7D" w:rsidRPr="00E443FB">
        <w:t>-</w:t>
      </w:r>
      <w:r w:rsidR="00A56319" w:rsidRPr="00E443FB">
        <w:t>letter control group</w:t>
      </w:r>
    </w:p>
    <w:tbl>
      <w:tblPr>
        <w:tblStyle w:val="ListTable3-Accent12"/>
        <w:tblW w:w="8372" w:type="dxa"/>
        <w:tblBorders>
          <w:top w:val="single" w:sz="4" w:space="0" w:color="2C276C" w:themeColor="accent1"/>
          <w:bottom w:val="single" w:sz="4" w:space="0" w:color="2C276C" w:themeColor="accent1"/>
          <w:insideH w:val="single" w:sz="4" w:space="0" w:color="2C276C" w:themeColor="accent1"/>
        </w:tblBorders>
        <w:tblLayout w:type="fixed"/>
        <w:tblCellMar>
          <w:top w:w="28" w:type="dxa"/>
          <w:bottom w:w="28" w:type="dxa"/>
        </w:tblCellMar>
        <w:tblLook w:val="06A0" w:firstRow="1" w:lastRow="0" w:firstColumn="1" w:lastColumn="0" w:noHBand="1" w:noVBand="1"/>
        <w:tblCaption w:val="Monthly percent change compared to no-letter control group"/>
        <w:tblDescription w:val="Showing the monthly change for each of the four letters compared to the control group."/>
      </w:tblPr>
      <w:tblGrid>
        <w:gridCol w:w="1851"/>
        <w:gridCol w:w="1630"/>
        <w:gridCol w:w="1630"/>
        <w:gridCol w:w="1630"/>
        <w:gridCol w:w="1631"/>
      </w:tblGrid>
      <w:tr w:rsidR="003E5804" w:rsidRPr="00901CC0" w14:paraId="16E91696" w14:textId="77777777" w:rsidTr="00B57F7C">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100" w:firstRow="0" w:lastRow="0" w:firstColumn="1" w:lastColumn="0" w:oddVBand="0" w:evenVBand="0" w:oddHBand="0" w:evenHBand="0" w:firstRowFirstColumn="1" w:firstRowLastColumn="0" w:lastRowFirstColumn="0" w:lastRowLastColumn="0"/>
            <w:tcW w:w="185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0501FE82" w14:textId="77777777" w:rsidR="00117B60" w:rsidRPr="003E5804" w:rsidRDefault="00117B60" w:rsidP="003E5804">
            <w:pPr>
              <w:pStyle w:val="TableHeading"/>
              <w:spacing w:before="19" w:after="19"/>
              <w:jc w:val="center"/>
              <w:rPr>
                <w:b/>
                <w:lang w:eastAsia="en-AU"/>
              </w:rPr>
            </w:pP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388D8078"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Education-only</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27863AC3"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Education </w:t>
            </w:r>
            <w:r w:rsidR="00E62BDB" w:rsidRPr="003E5804">
              <w:rPr>
                <w:b/>
                <w:color w:val="FFFFFF"/>
                <w:sz w:val="18"/>
                <w:szCs w:val="18"/>
              </w:rPr>
              <w:t xml:space="preserve">with </w:t>
            </w:r>
            <w:r w:rsidRPr="003E5804">
              <w:rPr>
                <w:b/>
                <w:color w:val="FFFFFF"/>
                <w:sz w:val="18"/>
                <w:szCs w:val="18"/>
              </w:rPr>
              <w:t>peer comparison</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vAlign w:val="center"/>
            <w:hideMark/>
          </w:tcPr>
          <w:p w14:paraId="63890309"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Peer comparison with delayed prescribing</w:t>
            </w:r>
          </w:p>
        </w:tc>
        <w:tc>
          <w:tcPr>
            <w:tcW w:w="163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1A4652F4"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Peer comparison </w:t>
            </w:r>
            <w:r w:rsidR="00E62BDB" w:rsidRPr="003E5804">
              <w:rPr>
                <w:b/>
                <w:color w:val="FFFFFF"/>
                <w:sz w:val="18"/>
                <w:szCs w:val="18"/>
              </w:rPr>
              <w:t xml:space="preserve">with </w:t>
            </w:r>
            <w:r w:rsidRPr="003E5804">
              <w:rPr>
                <w:b/>
                <w:color w:val="FFFFFF"/>
                <w:sz w:val="18"/>
                <w:szCs w:val="18"/>
              </w:rPr>
              <w:t>graph</w:t>
            </w:r>
          </w:p>
        </w:tc>
      </w:tr>
      <w:tr w:rsidR="00117B60" w:rsidRPr="00901CC0" w14:paraId="55CC9AA1"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71437F6" w14:textId="77777777" w:rsidR="00117B60" w:rsidRPr="00196826" w:rsidRDefault="00117B60">
            <w:pPr>
              <w:pStyle w:val="Tabletext0"/>
              <w:spacing w:before="39" w:after="26"/>
              <w:rPr>
                <w:sz w:val="20"/>
              </w:rPr>
            </w:pPr>
            <w:r w:rsidRPr="00C85CF2">
              <w:t>July</w:t>
            </w:r>
            <w:r w:rsidRPr="00C85CF2">
              <w:br/>
              <w:t>(month 1)</w:t>
            </w:r>
          </w:p>
        </w:tc>
        <w:tc>
          <w:tcPr>
            <w:tcW w:w="1630" w:type="dxa"/>
            <w:tcBorders>
              <w:top w:val="single" w:sz="4" w:space="0" w:color="142E3A" w:themeColor="text2"/>
              <w:bottom w:val="single" w:sz="4" w:space="0" w:color="142E3A" w:themeColor="text2"/>
            </w:tcBorders>
            <w:noWrap/>
            <w:vAlign w:val="center"/>
            <w:hideMark/>
          </w:tcPr>
          <w:p w14:paraId="2DB3861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w:t>
            </w:r>
          </w:p>
        </w:tc>
        <w:tc>
          <w:tcPr>
            <w:tcW w:w="1630" w:type="dxa"/>
            <w:tcBorders>
              <w:top w:val="single" w:sz="4" w:space="0" w:color="142E3A" w:themeColor="text2"/>
              <w:bottom w:val="single" w:sz="4" w:space="0" w:color="142E3A" w:themeColor="text2"/>
            </w:tcBorders>
            <w:noWrap/>
            <w:vAlign w:val="center"/>
            <w:hideMark/>
          </w:tcPr>
          <w:p w14:paraId="5B2B591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-10.7%</w:t>
            </w:r>
          </w:p>
        </w:tc>
        <w:tc>
          <w:tcPr>
            <w:tcW w:w="1630" w:type="dxa"/>
            <w:tcBorders>
              <w:top w:val="single" w:sz="4" w:space="0" w:color="142E3A" w:themeColor="text2"/>
              <w:bottom w:val="single" w:sz="4" w:space="0" w:color="142E3A" w:themeColor="text2"/>
            </w:tcBorders>
            <w:vAlign w:val="center"/>
            <w:hideMark/>
          </w:tcPr>
          <w:p w14:paraId="2905F7E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-9.8%</w:t>
            </w:r>
          </w:p>
        </w:tc>
        <w:tc>
          <w:tcPr>
            <w:tcW w:w="1631" w:type="dxa"/>
            <w:tcBorders>
              <w:top w:val="single" w:sz="4" w:space="0" w:color="142E3A" w:themeColor="text2"/>
              <w:bottom w:val="single" w:sz="4" w:space="0" w:color="142E3A" w:themeColor="text2"/>
            </w:tcBorders>
            <w:noWrap/>
            <w:vAlign w:val="center"/>
            <w:hideMark/>
          </w:tcPr>
          <w:p w14:paraId="6503973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-10.6%</w:t>
            </w:r>
          </w:p>
        </w:tc>
      </w:tr>
      <w:tr w:rsidR="00117B60" w:rsidRPr="00901CC0" w14:paraId="2ED9A8B3"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2554EC2E" w14:textId="77777777" w:rsidR="00117B60" w:rsidRPr="00196826" w:rsidRDefault="00117B60">
            <w:pPr>
              <w:pStyle w:val="Tabletext0"/>
              <w:spacing w:before="39" w:after="26"/>
              <w:rPr>
                <w:sz w:val="20"/>
              </w:rPr>
            </w:pPr>
            <w:r w:rsidRPr="00C85CF2">
              <w:t>August</w:t>
            </w:r>
            <w:r w:rsidRPr="00C85CF2">
              <w:br/>
              <w:t>(month 2)</w:t>
            </w:r>
          </w:p>
        </w:tc>
        <w:tc>
          <w:tcPr>
            <w:tcW w:w="1630" w:type="dxa"/>
            <w:tcBorders>
              <w:top w:val="single" w:sz="4" w:space="0" w:color="142E3A" w:themeColor="text2"/>
              <w:bottom w:val="single" w:sz="4" w:space="0" w:color="142E3A" w:themeColor="text2"/>
            </w:tcBorders>
            <w:noWrap/>
            <w:vAlign w:val="center"/>
            <w:hideMark/>
          </w:tcPr>
          <w:p w14:paraId="45F5647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721B4B0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-12.6%</w:t>
            </w:r>
          </w:p>
        </w:tc>
        <w:tc>
          <w:tcPr>
            <w:tcW w:w="1630" w:type="dxa"/>
            <w:tcBorders>
              <w:top w:val="single" w:sz="4" w:space="0" w:color="142E3A" w:themeColor="text2"/>
              <w:bottom w:val="single" w:sz="4" w:space="0" w:color="142E3A" w:themeColor="text2"/>
            </w:tcBorders>
            <w:vAlign w:val="center"/>
            <w:hideMark/>
          </w:tcPr>
          <w:p w14:paraId="1C1AD8D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-13.1%</w:t>
            </w:r>
          </w:p>
        </w:tc>
        <w:tc>
          <w:tcPr>
            <w:tcW w:w="1631" w:type="dxa"/>
            <w:tcBorders>
              <w:top w:val="single" w:sz="4" w:space="0" w:color="142E3A" w:themeColor="text2"/>
              <w:bottom w:val="single" w:sz="4" w:space="0" w:color="142E3A" w:themeColor="text2"/>
            </w:tcBorders>
            <w:noWrap/>
            <w:vAlign w:val="center"/>
            <w:hideMark/>
          </w:tcPr>
          <w:p w14:paraId="4CFD5C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-14.6%</w:t>
            </w:r>
          </w:p>
        </w:tc>
      </w:tr>
      <w:tr w:rsidR="00117B60" w:rsidRPr="00901CC0" w14:paraId="0A522EB5"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6F29AFEB" w14:textId="77777777" w:rsidR="00117B60" w:rsidRPr="00196826" w:rsidRDefault="00117B60">
            <w:pPr>
              <w:pStyle w:val="Tabletext0"/>
              <w:spacing w:before="39" w:after="26"/>
              <w:rPr>
                <w:sz w:val="20"/>
              </w:rPr>
            </w:pPr>
            <w:r w:rsidRPr="00C85CF2">
              <w:t>September</w:t>
            </w:r>
            <w:r w:rsidRPr="00C85CF2">
              <w:br/>
              <w:t>(month 3)</w:t>
            </w:r>
          </w:p>
        </w:tc>
        <w:tc>
          <w:tcPr>
            <w:tcW w:w="1630" w:type="dxa"/>
            <w:tcBorders>
              <w:top w:val="single" w:sz="4" w:space="0" w:color="142E3A" w:themeColor="text2"/>
              <w:bottom w:val="single" w:sz="4" w:space="0" w:color="142E3A" w:themeColor="text2"/>
            </w:tcBorders>
            <w:noWrap/>
            <w:vAlign w:val="center"/>
            <w:hideMark/>
          </w:tcPr>
          <w:p w14:paraId="2D4EC2D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4196286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-12.2%</w:t>
            </w:r>
          </w:p>
        </w:tc>
        <w:tc>
          <w:tcPr>
            <w:tcW w:w="1630" w:type="dxa"/>
            <w:tcBorders>
              <w:top w:val="single" w:sz="4" w:space="0" w:color="142E3A" w:themeColor="text2"/>
              <w:bottom w:val="single" w:sz="4" w:space="0" w:color="142E3A" w:themeColor="text2"/>
            </w:tcBorders>
            <w:vAlign w:val="center"/>
            <w:hideMark/>
          </w:tcPr>
          <w:p w14:paraId="3898868E"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-12.4%</w:t>
            </w:r>
          </w:p>
        </w:tc>
        <w:tc>
          <w:tcPr>
            <w:tcW w:w="1631" w:type="dxa"/>
            <w:tcBorders>
              <w:top w:val="single" w:sz="4" w:space="0" w:color="142E3A" w:themeColor="text2"/>
              <w:bottom w:val="single" w:sz="4" w:space="0" w:color="142E3A" w:themeColor="text2"/>
            </w:tcBorders>
            <w:noWrap/>
            <w:vAlign w:val="center"/>
            <w:hideMark/>
          </w:tcPr>
          <w:p w14:paraId="4E6EC39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-13.6%</w:t>
            </w:r>
          </w:p>
        </w:tc>
      </w:tr>
      <w:tr w:rsidR="00117B60" w:rsidRPr="00901CC0" w14:paraId="41239B64"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DD687BC" w14:textId="77777777" w:rsidR="00117B60" w:rsidRPr="00196826" w:rsidRDefault="00117B60">
            <w:pPr>
              <w:pStyle w:val="Tabletext0"/>
              <w:spacing w:before="39" w:after="26"/>
              <w:rPr>
                <w:sz w:val="20"/>
              </w:rPr>
            </w:pPr>
            <w:r w:rsidRPr="00C85CF2">
              <w:t>October</w:t>
            </w:r>
            <w:r w:rsidRPr="00C85CF2">
              <w:br/>
              <w:t>(month 4)</w:t>
            </w:r>
          </w:p>
        </w:tc>
        <w:tc>
          <w:tcPr>
            <w:tcW w:w="1630" w:type="dxa"/>
            <w:tcBorders>
              <w:top w:val="single" w:sz="4" w:space="0" w:color="142E3A" w:themeColor="text2"/>
              <w:bottom w:val="single" w:sz="4" w:space="0" w:color="142E3A" w:themeColor="text2"/>
            </w:tcBorders>
            <w:noWrap/>
            <w:vAlign w:val="center"/>
            <w:hideMark/>
          </w:tcPr>
          <w:p w14:paraId="7A21F0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-2.4%</w:t>
            </w:r>
          </w:p>
        </w:tc>
        <w:tc>
          <w:tcPr>
            <w:tcW w:w="1630" w:type="dxa"/>
            <w:tcBorders>
              <w:top w:val="single" w:sz="4" w:space="0" w:color="142E3A" w:themeColor="text2"/>
              <w:bottom w:val="single" w:sz="4" w:space="0" w:color="142E3A" w:themeColor="text2"/>
            </w:tcBorders>
            <w:noWrap/>
            <w:vAlign w:val="center"/>
            <w:hideMark/>
          </w:tcPr>
          <w:p w14:paraId="031B956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-9.0%</w:t>
            </w:r>
          </w:p>
        </w:tc>
        <w:tc>
          <w:tcPr>
            <w:tcW w:w="1630" w:type="dxa"/>
            <w:tcBorders>
              <w:top w:val="single" w:sz="4" w:space="0" w:color="142E3A" w:themeColor="text2"/>
              <w:bottom w:val="single" w:sz="4" w:space="0" w:color="142E3A" w:themeColor="text2"/>
            </w:tcBorders>
            <w:vAlign w:val="center"/>
            <w:hideMark/>
          </w:tcPr>
          <w:p w14:paraId="543EBDC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-10.9%</w:t>
            </w:r>
          </w:p>
        </w:tc>
        <w:tc>
          <w:tcPr>
            <w:tcW w:w="1631" w:type="dxa"/>
            <w:tcBorders>
              <w:top w:val="single" w:sz="4" w:space="0" w:color="142E3A" w:themeColor="text2"/>
              <w:bottom w:val="single" w:sz="4" w:space="0" w:color="142E3A" w:themeColor="text2"/>
            </w:tcBorders>
            <w:noWrap/>
            <w:vAlign w:val="center"/>
            <w:hideMark/>
          </w:tcPr>
          <w:p w14:paraId="0603215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-11.5%</w:t>
            </w:r>
          </w:p>
        </w:tc>
      </w:tr>
      <w:tr w:rsidR="00117B60" w:rsidRPr="00901CC0" w14:paraId="610E54BF"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E0D246C" w14:textId="77777777" w:rsidR="00117B60" w:rsidRPr="00196826" w:rsidRDefault="00117B60">
            <w:pPr>
              <w:pStyle w:val="Tabletext0"/>
              <w:spacing w:before="39" w:after="26"/>
              <w:rPr>
                <w:sz w:val="20"/>
              </w:rPr>
            </w:pPr>
            <w:r w:rsidRPr="00C85CF2">
              <w:t>November</w:t>
            </w:r>
            <w:r w:rsidRPr="00C85CF2">
              <w:br/>
              <w:t>(month 5)</w:t>
            </w:r>
          </w:p>
        </w:tc>
        <w:tc>
          <w:tcPr>
            <w:tcW w:w="1630" w:type="dxa"/>
            <w:tcBorders>
              <w:top w:val="single" w:sz="4" w:space="0" w:color="142E3A" w:themeColor="text2"/>
              <w:bottom w:val="single" w:sz="4" w:space="0" w:color="142E3A" w:themeColor="text2"/>
            </w:tcBorders>
            <w:noWrap/>
            <w:vAlign w:val="center"/>
            <w:hideMark/>
          </w:tcPr>
          <w:p w14:paraId="293AF597"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-3.3%</w:t>
            </w:r>
          </w:p>
        </w:tc>
        <w:tc>
          <w:tcPr>
            <w:tcW w:w="1630" w:type="dxa"/>
            <w:tcBorders>
              <w:top w:val="single" w:sz="4" w:space="0" w:color="142E3A" w:themeColor="text2"/>
              <w:bottom w:val="single" w:sz="4" w:space="0" w:color="142E3A" w:themeColor="text2"/>
            </w:tcBorders>
            <w:noWrap/>
            <w:vAlign w:val="center"/>
            <w:hideMark/>
          </w:tcPr>
          <w:p w14:paraId="55EC57BA"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-8.3%</w:t>
            </w:r>
          </w:p>
        </w:tc>
        <w:tc>
          <w:tcPr>
            <w:tcW w:w="1630" w:type="dxa"/>
            <w:tcBorders>
              <w:top w:val="single" w:sz="4" w:space="0" w:color="142E3A" w:themeColor="text2"/>
              <w:bottom w:val="single" w:sz="4" w:space="0" w:color="142E3A" w:themeColor="text2"/>
            </w:tcBorders>
            <w:vAlign w:val="center"/>
            <w:hideMark/>
          </w:tcPr>
          <w:p w14:paraId="66EE6B6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639B8A1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-8.5%</w:t>
            </w:r>
          </w:p>
        </w:tc>
      </w:tr>
      <w:tr w:rsidR="00117B60" w:rsidRPr="00901CC0" w14:paraId="0EA7A6E0"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7DD617E6" w14:textId="77777777" w:rsidR="00117B60" w:rsidRPr="00196826" w:rsidRDefault="00117B60">
            <w:pPr>
              <w:pStyle w:val="Tabletext0"/>
              <w:spacing w:before="39" w:after="26"/>
              <w:rPr>
                <w:sz w:val="20"/>
              </w:rPr>
            </w:pPr>
            <w:r w:rsidRPr="00C85CF2">
              <w:t>December</w:t>
            </w:r>
            <w:r w:rsidRPr="00C85CF2">
              <w:br/>
              <w:t>(month 6)</w:t>
            </w:r>
          </w:p>
        </w:tc>
        <w:tc>
          <w:tcPr>
            <w:tcW w:w="1630" w:type="dxa"/>
            <w:tcBorders>
              <w:top w:val="single" w:sz="4" w:space="0" w:color="142E3A" w:themeColor="text2"/>
              <w:bottom w:val="single" w:sz="4" w:space="0" w:color="142E3A" w:themeColor="text2"/>
            </w:tcBorders>
            <w:noWrap/>
            <w:vAlign w:val="center"/>
            <w:hideMark/>
          </w:tcPr>
          <w:p w14:paraId="195FBDB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-1.8%</w:t>
            </w:r>
          </w:p>
        </w:tc>
        <w:tc>
          <w:tcPr>
            <w:tcW w:w="1630" w:type="dxa"/>
            <w:tcBorders>
              <w:top w:val="single" w:sz="4" w:space="0" w:color="142E3A" w:themeColor="text2"/>
              <w:bottom w:val="single" w:sz="4" w:space="0" w:color="142E3A" w:themeColor="text2"/>
            </w:tcBorders>
            <w:noWrap/>
            <w:vAlign w:val="center"/>
            <w:hideMark/>
          </w:tcPr>
          <w:p w14:paraId="08FD72A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-7.3%</w:t>
            </w:r>
          </w:p>
        </w:tc>
        <w:tc>
          <w:tcPr>
            <w:tcW w:w="1630" w:type="dxa"/>
            <w:tcBorders>
              <w:top w:val="single" w:sz="4" w:space="0" w:color="142E3A" w:themeColor="text2"/>
              <w:bottom w:val="single" w:sz="4" w:space="0" w:color="142E3A" w:themeColor="text2"/>
            </w:tcBorders>
            <w:vAlign w:val="center"/>
            <w:hideMark/>
          </w:tcPr>
          <w:p w14:paraId="7E23C5A8"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3D62B43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-8.8%</w:t>
            </w:r>
          </w:p>
        </w:tc>
      </w:tr>
    </w:tbl>
    <w:p w14:paraId="5F5BF49B" w14:textId="2ED0EF17" w:rsidR="00E443FB" w:rsidRDefault="00A56319" w:rsidP="003E5804">
      <w:pPr>
        <w:pStyle w:val="SourceNotesText"/>
      </w:pPr>
      <w:r w:rsidRPr="00E443FB">
        <w:t xml:space="preserve">See Appendix </w:t>
      </w:r>
      <w:r w:rsidR="00D77EB2" w:rsidRPr="00E443FB">
        <w:t>B</w:t>
      </w:r>
      <w:r w:rsidRPr="00E443FB">
        <w:t xml:space="preserve">, </w:t>
      </w:r>
      <w:r w:rsidR="00246CDE">
        <w:t xml:space="preserve">Table 5 </w:t>
      </w:r>
      <w:r w:rsidRPr="00E443FB">
        <w:t>for a full table of estimates, confidence intervals and p-values</w:t>
      </w:r>
    </w:p>
    <w:p w14:paraId="1FDC71A7" w14:textId="77777777" w:rsidR="003E5804" w:rsidRPr="008F0865" w:rsidRDefault="003E5804" w:rsidP="003E5804"/>
    <w:p w14:paraId="65C3CA0E" w14:textId="77777777" w:rsidR="00A56319" w:rsidRPr="008A1F58" w:rsidRDefault="00A56319" w:rsidP="003E5804">
      <w:pPr>
        <w:pStyle w:val="Heading2"/>
        <w:rPr>
          <w:color w:val="2158A8"/>
        </w:rPr>
      </w:pPr>
      <w:r w:rsidRPr="008A1F58">
        <w:rPr>
          <w:color w:val="2158A8"/>
        </w:rPr>
        <w:t>Impact on the total number of scripts filled</w:t>
      </w:r>
    </w:p>
    <w:p w14:paraId="232B5C92" w14:textId="5C0FA31F" w:rsidR="00A56319" w:rsidRDefault="00A56319" w:rsidP="003E5804">
      <w:r>
        <w:t xml:space="preserve">All up, </w:t>
      </w:r>
      <w:r w:rsidR="0017371E">
        <w:t xml:space="preserve">we estimate </w:t>
      </w:r>
      <w:r>
        <w:t xml:space="preserve">our four letters </w:t>
      </w:r>
      <w:r w:rsidR="00490755">
        <w:t xml:space="preserve">reduced the number of scripts being filled by </w:t>
      </w:r>
      <w:r>
        <w:t>126,352 over the six-month period after letters were sent</w:t>
      </w:r>
      <w:r w:rsidR="00490755">
        <w:t xml:space="preserve"> compared to the prescribing pattern of GPs who did not receive a letter</w:t>
      </w:r>
      <w:r>
        <w:t>. If we had sent our best performing letter to all five groups (including the control group) we estimate we could have prevented a total of 208,510 prescriptions</w:t>
      </w:r>
      <w:r w:rsidR="009D7BA2">
        <w:t>.</w:t>
      </w:r>
      <w:r>
        <w:t xml:space="preserve"> </w:t>
      </w:r>
    </w:p>
    <w:p w14:paraId="518B0C94" w14:textId="77777777" w:rsidR="00A56319" w:rsidRPr="008A1F58" w:rsidRDefault="00A56319" w:rsidP="003E5804">
      <w:pPr>
        <w:pStyle w:val="Heading2"/>
        <w:rPr>
          <w:color w:val="2158A8"/>
        </w:rPr>
      </w:pPr>
      <w:r w:rsidRPr="008A1F58">
        <w:rPr>
          <w:color w:val="2158A8"/>
        </w:rPr>
        <w:t>High</w:t>
      </w:r>
      <w:r w:rsidR="001C05CA" w:rsidRPr="008A1F58">
        <w:rPr>
          <w:color w:val="2158A8"/>
        </w:rPr>
        <w:t>est</w:t>
      </w:r>
      <w:r w:rsidRPr="008A1F58">
        <w:rPr>
          <w:color w:val="2158A8"/>
        </w:rPr>
        <w:t xml:space="preserve"> versus </w:t>
      </w:r>
      <w:r w:rsidR="001C05CA" w:rsidRPr="008A1F58">
        <w:rPr>
          <w:color w:val="2158A8"/>
        </w:rPr>
        <w:t>moderately high</w:t>
      </w:r>
      <w:r w:rsidRPr="008A1F58">
        <w:rPr>
          <w:color w:val="2158A8"/>
        </w:rPr>
        <w:t xml:space="preserve"> prescribers </w:t>
      </w:r>
    </w:p>
    <w:p w14:paraId="5E6E64CD" w14:textId="7CFE1F2C" w:rsidR="00A56319" w:rsidRPr="000F3F6A" w:rsidRDefault="00A56319" w:rsidP="00A56319">
      <w:r w:rsidRPr="000F3F6A">
        <w:t xml:space="preserve">We examined whether our </w:t>
      </w:r>
      <w:r w:rsidR="001C05CA" w:rsidRPr="000F3F6A">
        <w:t>p</w:t>
      </w:r>
      <w:r w:rsidR="001C05CA">
        <w:t>eer comparison</w:t>
      </w:r>
      <w:r w:rsidR="001C05CA" w:rsidRPr="000F3F6A">
        <w:t xml:space="preserve"> </w:t>
      </w:r>
      <w:r w:rsidRPr="000F3F6A">
        <w:t>letters worked better among the highest prescribers (ranked between the 85</w:t>
      </w:r>
      <w:r w:rsidRPr="00507269">
        <w:rPr>
          <w:vertAlign w:val="superscript"/>
        </w:rPr>
        <w:t>th</w:t>
      </w:r>
      <w:r w:rsidR="00E50608">
        <w:t xml:space="preserve"> </w:t>
      </w:r>
      <w:r w:rsidRPr="000F3F6A">
        <w:t>and 100</w:t>
      </w:r>
      <w:r w:rsidRPr="00507269">
        <w:rPr>
          <w:vertAlign w:val="superscript"/>
        </w:rPr>
        <w:t>th</w:t>
      </w:r>
      <w:r w:rsidR="00E50608">
        <w:t xml:space="preserve"> </w:t>
      </w:r>
      <w:r w:rsidRPr="000F3F6A">
        <w:t>prescribing percentile) compared to moderately high prescribers (those ranked between the 70</w:t>
      </w:r>
      <w:r w:rsidRPr="00B97D29">
        <w:rPr>
          <w:vertAlign w:val="superscript"/>
        </w:rPr>
        <w:t xml:space="preserve">th </w:t>
      </w:r>
      <w:r w:rsidRPr="000F3F6A">
        <w:t>and 85</w:t>
      </w:r>
      <w:r w:rsidRPr="00B97D29">
        <w:rPr>
          <w:vertAlign w:val="superscript"/>
        </w:rPr>
        <w:t>th</w:t>
      </w:r>
      <w:r w:rsidRPr="000F3F6A">
        <w:t xml:space="preserve"> percentile). </w:t>
      </w:r>
    </w:p>
    <w:p w14:paraId="68F07F63" w14:textId="390F2A80" w:rsidR="00756474" w:rsidRDefault="00A56319" w:rsidP="00A56319">
      <w:r w:rsidRPr="000F3F6A">
        <w:t xml:space="preserve">Although there were strong reductions in prescription rates for both groups, our letters were consistently more effective in reducing rates among the highest prescribers. The largest monthly decrease in prescription rates among the highest prescribers was </w:t>
      </w:r>
      <w:r>
        <w:t>16.0</w:t>
      </w:r>
      <w:r w:rsidR="00031E7D">
        <w:t xml:space="preserve"> per cent</w:t>
      </w:r>
      <w:r>
        <w:t xml:space="preserve"> (or</w:t>
      </w:r>
      <w:r w:rsidRPr="000F3F6A">
        <w:t xml:space="preserve"> 21.9 prescriptions per 1,000 consults</w:t>
      </w:r>
      <w:r>
        <w:t>) in August</w:t>
      </w:r>
      <w:r w:rsidR="009125F5">
        <w:t xml:space="preserve"> 2017</w:t>
      </w:r>
      <w:r>
        <w:t xml:space="preserve">. In contrast, </w:t>
      </w:r>
      <w:r w:rsidRPr="000F3F6A">
        <w:t xml:space="preserve">the highest monthly decrease for the moderately high prescribers was </w:t>
      </w:r>
      <w:r>
        <w:t>11.7</w:t>
      </w:r>
      <w:r w:rsidR="00031E7D">
        <w:t xml:space="preserve"> per cent</w:t>
      </w:r>
      <w:r>
        <w:t xml:space="preserve"> (or </w:t>
      </w:r>
      <w:r w:rsidRPr="000F3F6A">
        <w:t>12.5 prescriptions per 1,000 consults</w:t>
      </w:r>
      <w:r>
        <w:t>) in</w:t>
      </w:r>
      <w:r w:rsidRPr="000F3F6A">
        <w:t xml:space="preserve"> September</w:t>
      </w:r>
      <w:r w:rsidR="009125F5">
        <w:t xml:space="preserve"> 2017</w:t>
      </w:r>
      <w:r>
        <w:t>.</w:t>
      </w:r>
    </w:p>
    <w:p w14:paraId="7DAC48DE" w14:textId="77777777" w:rsidR="00A56319" w:rsidRPr="00DB40FE" w:rsidRDefault="00952192" w:rsidP="003E5804">
      <w:pPr>
        <w:pStyle w:val="FigureHeading"/>
      </w:pPr>
      <w:r w:rsidRPr="00E443FB">
        <w:lastRenderedPageBreak/>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5</w:t>
      </w:r>
      <w:r w:rsidR="00AD3544">
        <w:rPr>
          <w:noProof/>
        </w:rPr>
        <w:fldChar w:fldCharType="end"/>
      </w:r>
      <w:r w:rsidRPr="00E443FB">
        <w:t xml:space="preserve">: </w:t>
      </w:r>
      <w:r w:rsidR="00A56319" w:rsidRPr="00E443FB">
        <w:t xml:space="preserve">Effect of three </w:t>
      </w:r>
      <w:r w:rsidR="00C53577" w:rsidRPr="00E443FB">
        <w:t xml:space="preserve">peer comparison </w:t>
      </w:r>
      <w:r w:rsidR="00A56319" w:rsidRPr="00E443FB">
        <w:t xml:space="preserve">letters on the highest vs. </w:t>
      </w:r>
      <w:r w:rsidR="00F328AC" w:rsidRPr="00E443FB">
        <w:t>mode</w:t>
      </w:r>
      <w:r w:rsidR="00F328AC">
        <w:t>rately</w:t>
      </w:r>
      <w:r w:rsidR="00F328AC" w:rsidRPr="00E443FB">
        <w:t xml:space="preserve"> </w:t>
      </w:r>
      <w:r w:rsidR="00A56319" w:rsidRPr="00E443FB">
        <w:t>high prescribers</w:t>
      </w:r>
    </w:p>
    <w:p w14:paraId="55747325" w14:textId="0148EDBD" w:rsidR="00A56319" w:rsidRDefault="001A6C37" w:rsidP="00A56319">
      <w:pPr>
        <w:jc w:val="center"/>
      </w:pPr>
      <w:r>
        <w:rPr>
          <w:noProof/>
        </w:rPr>
        <w:drawing>
          <wp:inline distT="0" distB="0" distL="0" distR="0" wp14:anchorId="51A74B53" wp14:editId="66A2A19F">
            <wp:extent cx="4578350" cy="2585085"/>
            <wp:effectExtent l="0" t="0" r="0" b="5715"/>
            <wp:docPr id="32" name="Picture 32" descr="Line graph showing the  effect of the three peer comparison letters for highest prescribers compared to moderately high  prescribers, from July to December 2017, relative to the no-letter control group. &#10;&#10;The impact of the three behaviourally-informed letters is stronger for the highest prescribers than for moderately high prescribers, but for both subgroups the reduction in prescription rates follows an inverted-U shape.&#10;&#10;" title="Effect of three peer comparison letters on the highest vs. moderately high prescr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585085"/>
                    </a:xfrm>
                    <a:prstGeom prst="rect">
                      <a:avLst/>
                    </a:prstGeom>
                    <a:noFill/>
                  </pic:spPr>
                </pic:pic>
              </a:graphicData>
            </a:graphic>
          </wp:inline>
        </w:drawing>
      </w:r>
    </w:p>
    <w:p w14:paraId="6F722E13" w14:textId="55F01C0E" w:rsidR="00A56319" w:rsidRDefault="00A56319" w:rsidP="003E5804">
      <w:pPr>
        <w:pStyle w:val="SourceNotesText"/>
      </w:pPr>
      <w:r w:rsidRPr="00DC5FA4">
        <w:t xml:space="preserve">Estimates are from an adjusted linear regression model. See Appendix </w:t>
      </w:r>
      <w:r w:rsidR="00D77EB2">
        <w:t>B</w:t>
      </w:r>
      <w:r w:rsidRPr="00DC5FA4">
        <w:t xml:space="preserve"> for a table of estimates, </w:t>
      </w:r>
      <w:r w:rsidR="000554FB">
        <w:br/>
      </w:r>
      <w:r w:rsidRPr="00DC5FA4">
        <w:t xml:space="preserve">p-values and confidence </w:t>
      </w:r>
      <w:r w:rsidRPr="003E5804">
        <w:t>intervals</w:t>
      </w:r>
    </w:p>
    <w:p w14:paraId="6700C51E" w14:textId="77777777" w:rsidR="003E5804" w:rsidRPr="00DC5FA4" w:rsidRDefault="003E5804" w:rsidP="003E5804"/>
    <w:p w14:paraId="697C66EE" w14:textId="77777777" w:rsidR="00A56319" w:rsidRPr="008A1F58" w:rsidRDefault="00A56319" w:rsidP="003E5804">
      <w:pPr>
        <w:pStyle w:val="Heading2"/>
        <w:rPr>
          <w:color w:val="2158A8"/>
        </w:rPr>
      </w:pPr>
      <w:r w:rsidRPr="008A1F58">
        <w:rPr>
          <w:color w:val="2158A8"/>
        </w:rPr>
        <w:t>Secondary analyses</w:t>
      </w:r>
    </w:p>
    <w:p w14:paraId="64859D9D" w14:textId="45BF2401" w:rsidR="00A56319" w:rsidRDefault="00A56319" w:rsidP="00A56319">
      <w:r>
        <w:t xml:space="preserve">We examined whether doctors with certain characteristics responded differently to our letters. </w:t>
      </w:r>
      <w:r w:rsidR="002F7252">
        <w:t xml:space="preserve">These results should be treated as exploratory as </w:t>
      </w:r>
      <w:r>
        <w:t>our trial was not explicitly designed to detect effects in subgroups.</w:t>
      </w:r>
    </w:p>
    <w:p w14:paraId="4A8570DD" w14:textId="15DE31FD" w:rsidR="00182D0A" w:rsidRDefault="00182D0A" w:rsidP="00A56319">
      <w:r w:rsidRPr="00182D0A">
        <w:t>The socioeconomic status of the area in which the GPs</w:t>
      </w:r>
      <w:r w:rsidR="00E50608">
        <w:t>’</w:t>
      </w:r>
      <w:r w:rsidRPr="00182D0A">
        <w:t xml:space="preserve"> clinic was located seemed related to the effect of our letters. Among GPs in the control group, prescription rates were higher in areas with relatively low socioeconomic status compared to areas with relatively high socioeconomic status (112.4 vs 106.5 scripts per 1,000 consults). Those in relatively low socioeconomic areas responded with a greater reduction in prescribing rates (13.6 per cent or 15.3 scripts per 1,000 consults reduction) compared to prescribers in relatively high socioeconomic areas (7.7 per cent or 8.3 scripts reduction).  </w:t>
      </w:r>
    </w:p>
    <w:p w14:paraId="13B2B9D3" w14:textId="665F8A65" w:rsidR="00A56319" w:rsidRDefault="00A56319" w:rsidP="00A56319">
      <w:r>
        <w:t xml:space="preserve">We found no evidence the effect of the letters differed between GPs of different age or sex (see </w:t>
      </w:r>
      <w:r w:rsidR="002A0852">
        <w:rPr>
          <w:b/>
        </w:rPr>
        <w:t>A</w:t>
      </w:r>
      <w:r w:rsidRPr="00E443FB">
        <w:rPr>
          <w:b/>
        </w:rPr>
        <w:t xml:space="preserve">ppendix </w:t>
      </w:r>
      <w:r w:rsidR="00D77EB2" w:rsidRPr="00E443FB">
        <w:rPr>
          <w:b/>
        </w:rPr>
        <w:t>B</w:t>
      </w:r>
      <w:r w:rsidRPr="00E443FB">
        <w:rPr>
          <w:b/>
        </w:rPr>
        <w:t xml:space="preserve">, </w:t>
      </w:r>
      <w:r w:rsidR="00D22EDA" w:rsidRPr="00E443FB">
        <w:rPr>
          <w:b/>
        </w:rPr>
        <w:fldChar w:fldCharType="begin"/>
      </w:r>
      <w:r w:rsidR="00D22EDA" w:rsidRPr="00E443FB">
        <w:rPr>
          <w:b/>
        </w:rPr>
        <w:instrText xml:space="preserve"> REF _Ref514063980 \h  \* MERGEFORMAT </w:instrText>
      </w:r>
      <w:r w:rsidR="00D22EDA" w:rsidRPr="00E443FB">
        <w:rPr>
          <w:b/>
        </w:rPr>
      </w:r>
      <w:r w:rsidR="00D22EDA" w:rsidRPr="00E443FB">
        <w:rPr>
          <w:b/>
        </w:rPr>
        <w:fldChar w:fldCharType="separate"/>
      </w:r>
      <w:r w:rsidR="00B425F8" w:rsidRPr="00B425F8">
        <w:rPr>
          <w:b/>
        </w:rPr>
        <w:t>Table 9</w:t>
      </w:r>
      <w:r w:rsidR="00D22EDA" w:rsidRPr="00E443FB">
        <w:rPr>
          <w:b/>
        </w:rPr>
        <w:fldChar w:fldCharType="end"/>
      </w:r>
      <w:r>
        <w:t>).</w:t>
      </w:r>
    </w:p>
    <w:p w14:paraId="003CC349" w14:textId="123DB6BD" w:rsidR="00931E32" w:rsidRDefault="00A56319" w:rsidP="00B01F1E">
      <w:r>
        <w:t>Finally, we looked at weekly data to explore how long it took to see an initial reduction in GPs</w:t>
      </w:r>
      <w:r w:rsidR="00F328AC">
        <w:t>’</w:t>
      </w:r>
      <w:r>
        <w:t xml:space="preserve"> prescribing rates after the letters were sent.</w:t>
      </w:r>
      <w:r w:rsidR="00603590">
        <w:t xml:space="preserve"> This would indicate how quickly GPs process</w:t>
      </w:r>
      <w:r w:rsidR="00E50608">
        <w:t>ed</w:t>
      </w:r>
      <w:r w:rsidR="00603590">
        <w:t xml:space="preserve"> and implement</w:t>
      </w:r>
      <w:r w:rsidR="00E50608">
        <w:t>ed</w:t>
      </w:r>
      <w:r w:rsidR="00603590">
        <w:t xml:space="preserve"> changes in prescribing habits.</w:t>
      </w:r>
      <w:r>
        <w:t xml:space="preserve"> In the first week after the letters were sent, the </w:t>
      </w:r>
      <w:r w:rsidR="001630FE">
        <w:t>peer comparison</w:t>
      </w:r>
      <w:r>
        <w:t xml:space="preserve"> letters all led to </w:t>
      </w:r>
      <w:r w:rsidR="00F328AC">
        <w:t xml:space="preserve">large </w:t>
      </w:r>
      <w:r>
        <w:t>reduction</w:t>
      </w:r>
      <w:r w:rsidR="00F328AC">
        <w:t>s</w:t>
      </w:r>
      <w:r>
        <w:t xml:space="preserve"> in prescribing rates compared to the control group. In contrast, there was only a very small relative decrease resulting from the education-only letter</w:t>
      </w:r>
      <w:r w:rsidR="00F328AC">
        <w:t>.</w:t>
      </w:r>
      <w:r w:rsidR="00931E32">
        <w:br w:type="page"/>
      </w:r>
    </w:p>
    <w:p w14:paraId="361C692A" w14:textId="77777777" w:rsidR="00931E32" w:rsidRPr="00BF61F7" w:rsidRDefault="00931E32" w:rsidP="00931E32">
      <w:pPr>
        <w:pStyle w:val="Heading1"/>
      </w:pPr>
      <w:bookmarkStart w:id="15" w:name="_Toc516822205"/>
      <w:r w:rsidRPr="00BF61F7">
        <w:lastRenderedPageBreak/>
        <w:t>Limitations</w:t>
      </w:r>
      <w:bookmarkEnd w:id="15"/>
    </w:p>
    <w:p w14:paraId="7AFB3916" w14:textId="6A41E609" w:rsidR="00CE5924" w:rsidRDefault="00CE5924" w:rsidP="000552FC">
      <w:pPr>
        <w:spacing w:line="310" w:lineRule="atLeast"/>
        <w:rPr>
          <w:highlight w:val="yellow"/>
        </w:rPr>
      </w:pPr>
      <w:r>
        <w:t xml:space="preserve">On 17 June 2017, our trial generated national media coverage across newspapers, television and blogs. </w:t>
      </w:r>
      <w:r w:rsidR="00D53EDC">
        <w:t xml:space="preserve">We </w:t>
      </w:r>
      <w:r>
        <w:t xml:space="preserve">intended the trial to be conducted without media coverage to evaluate the </w:t>
      </w:r>
      <w:r w:rsidR="003F0C1A">
        <w:t xml:space="preserve">impact of the </w:t>
      </w:r>
      <w:r>
        <w:t>letters by themselves</w:t>
      </w:r>
      <w:r w:rsidR="00756474">
        <w:t>.</w:t>
      </w:r>
      <w:r>
        <w:t xml:space="preserve"> </w:t>
      </w:r>
      <w:r w:rsidR="00C66DC6">
        <w:t>I</w:t>
      </w:r>
      <w:r>
        <w:t>n hindsight</w:t>
      </w:r>
      <w:r w:rsidR="00C66DC6">
        <w:t>,</w:t>
      </w:r>
      <w:r>
        <w:t xml:space="preserve"> media attention was inevitable with a nation-wide intervention on a topical issue.</w:t>
      </w:r>
    </w:p>
    <w:p w14:paraId="12C9FE80" w14:textId="48C3B7B7" w:rsidR="00931E32" w:rsidRDefault="00931E32" w:rsidP="000552FC">
      <w:pPr>
        <w:spacing w:line="310" w:lineRule="atLeast"/>
      </w:pPr>
      <w:r w:rsidRPr="00CE5924">
        <w:t>The media</w:t>
      </w:r>
      <w:r w:rsidR="00CE5924" w:rsidRPr="00CE5924">
        <w:t xml:space="preserve"> coverage</w:t>
      </w:r>
      <w:r w:rsidRPr="00CE5924">
        <w:t xml:space="preserve"> mention</w:t>
      </w:r>
      <w:r w:rsidR="00B0283B">
        <w:t>ed</w:t>
      </w:r>
      <w:r w:rsidRPr="00CE5924">
        <w:t xml:space="preserve"> the CMO</w:t>
      </w:r>
      <w:r w:rsidR="00B0283B">
        <w:t xml:space="preserve"> was targeting high prescribers (however, </w:t>
      </w:r>
      <w:r w:rsidR="00E50608">
        <w:t>the media coverage</w:t>
      </w:r>
      <w:r w:rsidR="00B0283B">
        <w:t xml:space="preserve"> did not refer to different versions of the letter). This</w:t>
      </w:r>
      <w:r w:rsidRPr="00CE5924">
        <w:t xml:space="preserve"> raises the possibility GPs may have altered their behaviour if they thought their prescribing rates were being observed. We expect this </w:t>
      </w:r>
      <w:r w:rsidR="00C66DC6">
        <w:t>may have</w:t>
      </w:r>
      <w:r w:rsidR="00C66DC6" w:rsidRPr="00CE5924">
        <w:t xml:space="preserve"> </w:t>
      </w:r>
      <w:r w:rsidRPr="00CE5924">
        <w:t>cause</w:t>
      </w:r>
      <w:r w:rsidR="00C66DC6">
        <w:t>d</w:t>
      </w:r>
      <w:r w:rsidRPr="00CE5924">
        <w:t xml:space="preserve"> a small reduction in prescribing rates across GPs in the trial</w:t>
      </w:r>
      <w:r w:rsidR="00C66DC6">
        <w:t>,</w:t>
      </w:r>
      <w:r w:rsidRPr="00CE5924">
        <w:t xml:space="preserve"> </w:t>
      </w:r>
      <w:r w:rsidR="00C66DC6">
        <w:t xml:space="preserve">but </w:t>
      </w:r>
      <w:r w:rsidRPr="00CE5924">
        <w:t xml:space="preserve">would have minimal impact on our results. There is also the possibility the media interacted with our interventions in some way to make </w:t>
      </w:r>
      <w:r w:rsidR="003F0C1A">
        <w:t xml:space="preserve">the interventions </w:t>
      </w:r>
      <w:r w:rsidRPr="00CE5924">
        <w:t xml:space="preserve">more or less effective. Although this may impact generalisability to some extent, </w:t>
      </w:r>
      <w:r w:rsidR="007A199A">
        <w:t>it does not</w:t>
      </w:r>
      <w:r w:rsidRPr="00CE5924">
        <w:t xml:space="preserve"> affect the internal validity of the trial and we consider our results to be robust. This is especially the case given our trial included the entire population of high</w:t>
      </w:r>
      <w:r w:rsidR="00031E7D">
        <w:t>-</w:t>
      </w:r>
      <w:r w:rsidRPr="00CE5924">
        <w:t>prescribing GPs in Australia.</w:t>
      </w:r>
    </w:p>
    <w:p w14:paraId="6A353190" w14:textId="556B19F4" w:rsidR="00931E32" w:rsidRDefault="0064053F" w:rsidP="000552FC">
      <w:pPr>
        <w:spacing w:line="310" w:lineRule="atLeast"/>
      </w:pPr>
      <w:r>
        <w:t>We recognise i</w:t>
      </w:r>
      <w:r w:rsidR="00931E32" w:rsidRPr="00015AC3">
        <w:t>t is</w:t>
      </w:r>
      <w:r>
        <w:t xml:space="preserve"> </w:t>
      </w:r>
      <w:r w:rsidR="00931E32" w:rsidRPr="00015AC3">
        <w:t>n</w:t>
      </w:r>
      <w:r>
        <w:t>o</w:t>
      </w:r>
      <w:r w:rsidR="00931E32" w:rsidRPr="00015AC3">
        <w:t>t possible to determine which GPs actually received and read the letter</w:t>
      </w:r>
      <w:r>
        <w:t>. Thus</w:t>
      </w:r>
      <w:r w:rsidR="00931E32">
        <w:t xml:space="preserve"> </w:t>
      </w:r>
      <w:r w:rsidR="005010BC">
        <w:t xml:space="preserve">our analysis includes all GPs who were sent a letter regardless of what happened after the letter was sent, such as if we received a return-to-sender (this is called </w:t>
      </w:r>
      <w:r w:rsidR="00931E32">
        <w:t>‘intent</w:t>
      </w:r>
      <w:r w:rsidR="00931E32">
        <w:noBreakHyphen/>
        <w:t>to</w:t>
      </w:r>
      <w:r w:rsidR="00931E32">
        <w:noBreakHyphen/>
        <w:t>treat’ analysis</w:t>
      </w:r>
      <w:r w:rsidR="005010BC">
        <w:t>)</w:t>
      </w:r>
      <w:r w:rsidR="00931E32" w:rsidRPr="00015AC3">
        <w:t xml:space="preserve">. As such, we </w:t>
      </w:r>
      <w:r>
        <w:t>are unable to</w:t>
      </w:r>
      <w:r w:rsidRPr="00015AC3">
        <w:t xml:space="preserve"> </w:t>
      </w:r>
      <w:r w:rsidR="00931E32" w:rsidRPr="00015AC3">
        <w:t xml:space="preserve">measure how successful the letter was in reaching GPs and whether </w:t>
      </w:r>
      <w:r>
        <w:t xml:space="preserve">outcomes </w:t>
      </w:r>
      <w:r w:rsidR="00931E32" w:rsidRPr="00015AC3">
        <w:t>could have been increased if delivery was improved.</w:t>
      </w:r>
      <w:r w:rsidR="00931E32">
        <w:t xml:space="preserve"> </w:t>
      </w:r>
      <w:r w:rsidR="00931E32" w:rsidDel="00E304C4">
        <w:t xml:space="preserve">This </w:t>
      </w:r>
      <w:r>
        <w:t xml:space="preserve">is the case </w:t>
      </w:r>
      <w:r w:rsidR="00931E32" w:rsidDel="00E304C4">
        <w:t>in any mail-out campaign</w:t>
      </w:r>
      <w:r>
        <w:t xml:space="preserve"> so</w:t>
      </w:r>
      <w:r w:rsidR="00931E32" w:rsidDel="00E304C4">
        <w:t xml:space="preserve"> we consider we are capturing the real-word effect of our letters.</w:t>
      </w:r>
    </w:p>
    <w:p w14:paraId="15BB62F1" w14:textId="588884A6" w:rsidR="00931E32" w:rsidRDefault="00931E32" w:rsidP="000552FC">
      <w:pPr>
        <w:spacing w:line="310" w:lineRule="atLeast"/>
      </w:pPr>
      <w:r>
        <w:t>The outcome for our trial was scripts filled rather than scripts dispensed</w:t>
      </w:r>
      <w:r w:rsidR="00B144B8">
        <w:t xml:space="preserve"> to the patient</w:t>
      </w:r>
      <w:r>
        <w:t xml:space="preserve">. Scripts needed to be taken to a pharmacy and the medication purchased to be counted in the results. We think this is the appropriate outcome indicator, as one strategy doctors may use to lower the number of scripts filled is to ask patients to hold on a few days before filling the script (delayed prescribing). </w:t>
      </w:r>
    </w:p>
    <w:p w14:paraId="50CF742B" w14:textId="77777777" w:rsidR="00931E32" w:rsidRDefault="00931E32" w:rsidP="000552FC">
      <w:pPr>
        <w:spacing w:line="310" w:lineRule="atLeast"/>
      </w:pPr>
      <w:r>
        <w:t xml:space="preserve">It is not possible to separate the effects of all the strategies used in each letter. For example, we can’t determine if the </w:t>
      </w:r>
      <w:r w:rsidRPr="00E443FB">
        <w:rPr>
          <w:i/>
        </w:rPr>
        <w:t>education-only</w:t>
      </w:r>
      <w:r>
        <w:t xml:space="preserve"> letter’s effect was due to the CMO signing the letter or the educational materials included. Similarly, we are unable to determine the effects of the delayed prescribing materials alone without the peer comparison tagline included in the letter.</w:t>
      </w:r>
    </w:p>
    <w:p w14:paraId="42C12395" w14:textId="4963C71A" w:rsidR="00C53656" w:rsidRDefault="00931E32" w:rsidP="000552FC">
      <w:pPr>
        <w:spacing w:line="310" w:lineRule="atLeast"/>
      </w:pPr>
      <w:r>
        <w:t xml:space="preserve">Finally, we excluded a small number of extreme outliers from our final dataset. </w:t>
      </w:r>
      <w:r w:rsidRPr="00E443FB">
        <w:rPr>
          <w:b/>
        </w:rPr>
        <w:t xml:space="preserve">Appendix </w:t>
      </w:r>
      <w:r w:rsidR="00D77EB2" w:rsidRPr="00E443FB">
        <w:rPr>
          <w:b/>
        </w:rPr>
        <w:t>A</w:t>
      </w:r>
      <w:r w:rsidRPr="00CC6202">
        <w:t xml:space="preserve"> has</w:t>
      </w:r>
      <w:r>
        <w:t xml:space="preserve"> more information on this. </w:t>
      </w:r>
      <w:r w:rsidR="00C53656">
        <w:br w:type="page"/>
      </w:r>
    </w:p>
    <w:p w14:paraId="067ED0D1" w14:textId="77777777" w:rsidR="00203754" w:rsidRDefault="00203754" w:rsidP="00203754">
      <w:pPr>
        <w:pStyle w:val="Heading1"/>
      </w:pPr>
      <w:bookmarkStart w:id="16" w:name="_Toc516822206"/>
      <w:bookmarkStart w:id="17" w:name="_Toc513196440"/>
      <w:r>
        <w:lastRenderedPageBreak/>
        <w:t>Discussion and conclusion</w:t>
      </w:r>
      <w:bookmarkEnd w:id="16"/>
    </w:p>
    <w:p w14:paraId="4A1D928E" w14:textId="1EE695CE" w:rsidR="00203754" w:rsidRDefault="00203754" w:rsidP="00203754">
      <w:pPr>
        <w:jc w:val="both"/>
      </w:pPr>
      <w:r w:rsidRPr="005161A8">
        <w:t>AMR is a serious threat to human health</w:t>
      </w:r>
      <w:r>
        <w:t xml:space="preserve"> and c</w:t>
      </w:r>
      <w:r w:rsidRPr="005161A8">
        <w:t xml:space="preserve">oncerted efforts are needed in Australia to reduce the </w:t>
      </w:r>
      <w:r w:rsidR="00FF58A3">
        <w:t>unnecessary prescribing</w:t>
      </w:r>
      <w:r w:rsidR="00FF58A3" w:rsidRPr="005161A8">
        <w:t xml:space="preserve"> </w:t>
      </w:r>
      <w:r w:rsidRPr="005161A8">
        <w:t>of antibiotics</w:t>
      </w:r>
      <w:r>
        <w:t xml:space="preserve">. Our trial shows </w:t>
      </w:r>
      <w:r w:rsidR="00CE5924">
        <w:t>peer comparison</w:t>
      </w:r>
      <w:r>
        <w:t xml:space="preserve"> letters from Australia</w:t>
      </w:r>
      <w:r w:rsidR="00E50608">
        <w:t>’s</w:t>
      </w:r>
      <w:r>
        <w:t xml:space="preserve"> CMO can successfully reduce the number of antibiotic scripts prescribed by Australian GPs. </w:t>
      </w:r>
    </w:p>
    <w:p w14:paraId="6B8C2700" w14:textId="1CCA088C" w:rsidR="00A34295" w:rsidRPr="005C6C96" w:rsidRDefault="00A34295" w:rsidP="00A34295">
      <w:pPr>
        <w:rPr>
          <w:rFonts w:eastAsia="Calibri"/>
        </w:rPr>
      </w:pPr>
      <w:r>
        <w:rPr>
          <w:rFonts w:eastAsia="Calibri"/>
        </w:rPr>
        <w:t xml:space="preserve">Overall, we estimated that </w:t>
      </w:r>
      <w:r w:rsidRPr="00B60642">
        <w:rPr>
          <w:rFonts w:eastAsia="Calibri"/>
        </w:rPr>
        <w:t xml:space="preserve">our </w:t>
      </w:r>
      <w:r>
        <w:rPr>
          <w:rFonts w:eastAsia="Calibri"/>
        </w:rPr>
        <w:t>trial</w:t>
      </w:r>
      <w:r w:rsidRPr="00B60642">
        <w:rPr>
          <w:rFonts w:eastAsia="Calibri"/>
        </w:rPr>
        <w:t xml:space="preserve"> prevented 126,352 scripts being filled</w:t>
      </w:r>
      <w:r w:rsidR="00E50608">
        <w:rPr>
          <w:rFonts w:eastAsia="Calibri"/>
        </w:rPr>
        <w:t xml:space="preserve"> over six months</w:t>
      </w:r>
      <w:r w:rsidRPr="00B60642">
        <w:rPr>
          <w:rFonts w:eastAsia="Calibri"/>
        </w:rPr>
        <w:t xml:space="preserve">. If we had sent our best performing letter to all five groups (including the control group) we estimate we could have prevented </w:t>
      </w:r>
      <w:r>
        <w:rPr>
          <w:rFonts w:eastAsia="Calibri"/>
        </w:rPr>
        <w:t>approximately</w:t>
      </w:r>
      <w:r w:rsidRPr="00B60642">
        <w:rPr>
          <w:rFonts w:eastAsia="Calibri"/>
        </w:rPr>
        <w:t xml:space="preserve"> </w:t>
      </w:r>
      <w:r w:rsidR="00DB50EF">
        <w:rPr>
          <w:rFonts w:eastAsia="Calibri"/>
        </w:rPr>
        <w:t>208,510</w:t>
      </w:r>
      <w:r w:rsidRPr="00B60642">
        <w:rPr>
          <w:rFonts w:eastAsia="Calibri"/>
        </w:rPr>
        <w:t xml:space="preserve"> prescriptions</w:t>
      </w:r>
      <w:r w:rsidR="00E50608">
        <w:rPr>
          <w:rFonts w:eastAsia="Calibri"/>
        </w:rPr>
        <w:t xml:space="preserve"> over six months</w:t>
      </w:r>
      <w:r>
        <w:rPr>
          <w:rFonts w:eastAsia="Calibri"/>
        </w:rPr>
        <w:t>.</w:t>
      </w:r>
    </w:p>
    <w:p w14:paraId="7AC12DE5" w14:textId="0DB6978A" w:rsidR="00203754" w:rsidRDefault="00FF58A3" w:rsidP="00203754">
      <w:pPr>
        <w:rPr>
          <w:rFonts w:eastAsia="Calibri"/>
        </w:rPr>
      </w:pPr>
      <w:r w:rsidRPr="00A34295">
        <w:rPr>
          <w:rFonts w:eastAsia="Calibri"/>
        </w:rPr>
        <w:t>E</w:t>
      </w:r>
      <w:r w:rsidR="00203754" w:rsidRPr="00A34295">
        <w:rPr>
          <w:rFonts w:eastAsia="Calibri"/>
        </w:rPr>
        <w:t>ducation letters addressed from Australia’s CMO reduced prescription rates by 3.2 per cent. This is a small, but important, reduction</w:t>
      </w:r>
      <w:r w:rsidRPr="00A34295">
        <w:rPr>
          <w:rFonts w:eastAsia="Calibri"/>
        </w:rPr>
        <w:t>. It suggest</w:t>
      </w:r>
      <w:r w:rsidR="00A34295" w:rsidRPr="00A34295">
        <w:rPr>
          <w:rFonts w:eastAsia="Calibri"/>
        </w:rPr>
        <w:t>s that</w:t>
      </w:r>
      <w:r w:rsidRPr="00A34295">
        <w:rPr>
          <w:rFonts w:eastAsia="Calibri"/>
        </w:rPr>
        <w:t xml:space="preserve"> the CMO writing to GPs </w:t>
      </w:r>
      <w:r w:rsidR="00331006">
        <w:rPr>
          <w:rFonts w:eastAsia="Calibri"/>
        </w:rPr>
        <w:t xml:space="preserve">to </w:t>
      </w:r>
      <w:r w:rsidRPr="00A34295">
        <w:rPr>
          <w:rFonts w:eastAsia="Calibri"/>
        </w:rPr>
        <w:t>inform them</w:t>
      </w:r>
      <w:r w:rsidR="00203754" w:rsidRPr="00A34295">
        <w:rPr>
          <w:rFonts w:eastAsia="Calibri"/>
        </w:rPr>
        <w:t xml:space="preserve"> about the risk of AMR is enough to modestly reduce antibiotic prescriptions.</w:t>
      </w:r>
      <w:r w:rsidR="0050251A">
        <w:rPr>
          <w:rFonts w:eastAsia="Calibri"/>
        </w:rPr>
        <w:t xml:space="preserve"> </w:t>
      </w:r>
    </w:p>
    <w:p w14:paraId="600AB6FB" w14:textId="77777777" w:rsidR="00203754" w:rsidRDefault="00203754" w:rsidP="00203754">
      <w:pPr>
        <w:rPr>
          <w:rFonts w:eastAsia="Calibri"/>
        </w:rPr>
      </w:pPr>
      <w:r>
        <w:rPr>
          <w:rFonts w:eastAsia="Calibri"/>
        </w:rPr>
        <w:t xml:space="preserve">Importantly, we found just adding a peer comparison tagline to the education letter almost tripled its effectiveness, reducing prescriptions by 9.3 per cent. This is an impressive improvement considering how simple and inexpensive the </w:t>
      </w:r>
      <w:r w:rsidR="00A34295">
        <w:rPr>
          <w:rFonts w:eastAsia="Calibri"/>
        </w:rPr>
        <w:t xml:space="preserve">change </w:t>
      </w:r>
      <w:r>
        <w:rPr>
          <w:rFonts w:eastAsia="Calibri"/>
        </w:rPr>
        <w:t xml:space="preserve">was. </w:t>
      </w:r>
    </w:p>
    <w:p w14:paraId="161AA0B7" w14:textId="77777777" w:rsidR="00203754" w:rsidRDefault="00A34295" w:rsidP="00203754">
      <w:pPr>
        <w:rPr>
          <w:rFonts w:eastAsia="Calibri"/>
        </w:rPr>
      </w:pPr>
      <w:r>
        <w:rPr>
          <w:rFonts w:eastAsia="Calibri"/>
        </w:rPr>
        <w:t xml:space="preserve">The </w:t>
      </w:r>
      <w:r w:rsidRPr="00CE5924">
        <w:rPr>
          <w:rFonts w:eastAsia="Calibri"/>
          <w:i/>
        </w:rPr>
        <w:t>peer comparison with graph</w:t>
      </w:r>
      <w:r>
        <w:rPr>
          <w:rFonts w:eastAsia="Calibri"/>
        </w:rPr>
        <w:t xml:space="preserve"> letter led to a reduction of 12.3 per cent, which outperformed the </w:t>
      </w:r>
      <w:r w:rsidRPr="00CE5924">
        <w:rPr>
          <w:rFonts w:eastAsia="Calibri"/>
          <w:i/>
        </w:rPr>
        <w:t>education with peer comparison</w:t>
      </w:r>
      <w:r>
        <w:rPr>
          <w:rFonts w:eastAsia="Calibri"/>
        </w:rPr>
        <w:t xml:space="preserve"> letter. </w:t>
      </w:r>
      <w:r w:rsidR="00203754" w:rsidRPr="00C81F91">
        <w:rPr>
          <w:rFonts w:eastAsia="Calibri"/>
        </w:rPr>
        <w:t xml:space="preserve">While not </w:t>
      </w:r>
      <w:r w:rsidR="00203754">
        <w:rPr>
          <w:rFonts w:eastAsia="Calibri"/>
        </w:rPr>
        <w:t>quite</w:t>
      </w:r>
      <w:r w:rsidR="00203754" w:rsidRPr="00C81F91">
        <w:rPr>
          <w:rFonts w:eastAsia="Calibri"/>
        </w:rPr>
        <w:t xml:space="preserve"> statistically si</w:t>
      </w:r>
      <w:r w:rsidR="00203754">
        <w:rPr>
          <w:rFonts w:eastAsia="Calibri"/>
        </w:rPr>
        <w:t xml:space="preserve">gnificant at the conventional threshold, this letter </w:t>
      </w:r>
      <w:r>
        <w:rPr>
          <w:rFonts w:eastAsia="Calibri"/>
        </w:rPr>
        <w:t xml:space="preserve">also </w:t>
      </w:r>
      <w:r w:rsidR="00203754">
        <w:rPr>
          <w:rFonts w:eastAsia="Calibri"/>
        </w:rPr>
        <w:t>outperformed the other</w:t>
      </w:r>
      <w:r>
        <w:rPr>
          <w:rFonts w:eastAsia="Calibri"/>
        </w:rPr>
        <w:t>s</w:t>
      </w:r>
      <w:r w:rsidR="00203754">
        <w:rPr>
          <w:rFonts w:eastAsia="Calibri"/>
        </w:rPr>
        <w:t xml:space="preserve"> at every time point and </w:t>
      </w:r>
      <w:r w:rsidR="00203754" w:rsidRPr="00C81F91">
        <w:rPr>
          <w:rFonts w:eastAsia="Calibri"/>
        </w:rPr>
        <w:t>would be the letter of choice for future interventions</w:t>
      </w:r>
      <w:r w:rsidR="00203754">
        <w:rPr>
          <w:rFonts w:eastAsia="Calibri"/>
        </w:rPr>
        <w:t>.</w:t>
      </w:r>
    </w:p>
    <w:p w14:paraId="169444AE" w14:textId="23BEB2A6" w:rsidR="005C29FF" w:rsidRDefault="005C29FF" w:rsidP="00203754">
      <w:pPr>
        <w:rPr>
          <w:rFonts w:eastAsia="Calibri"/>
        </w:rPr>
      </w:pPr>
      <w:r>
        <w:rPr>
          <w:rFonts w:eastAsia="Calibri"/>
        </w:rPr>
        <w:t xml:space="preserve">The </w:t>
      </w:r>
      <w:r w:rsidRPr="00CE5924">
        <w:rPr>
          <w:rFonts w:eastAsia="Calibri"/>
          <w:i/>
        </w:rPr>
        <w:t>peer comparison with delayed prescribing</w:t>
      </w:r>
      <w:r>
        <w:rPr>
          <w:rFonts w:eastAsia="Calibri"/>
        </w:rPr>
        <w:t xml:space="preserve"> letter reduced prescribing rates by </w:t>
      </w:r>
      <w:r w:rsidR="00B57D5D">
        <w:rPr>
          <w:rFonts w:eastAsia="Calibri"/>
        </w:rPr>
        <w:t>10.</w:t>
      </w:r>
      <w:r w:rsidR="00E50608">
        <w:rPr>
          <w:rFonts w:eastAsia="Calibri"/>
        </w:rPr>
        <w:t>4 per </w:t>
      </w:r>
      <w:r w:rsidR="00B57D5D">
        <w:rPr>
          <w:rFonts w:eastAsia="Calibri"/>
        </w:rPr>
        <w:t xml:space="preserve">cent, which is not statistically different from the other peer comparison letters. This indicates providing GPs with a </w:t>
      </w:r>
      <w:r w:rsidR="00B57D5D" w:rsidRPr="00B57D5D">
        <w:rPr>
          <w:rFonts w:eastAsia="Calibri"/>
        </w:rPr>
        <w:t>patient-focused strategy</w:t>
      </w:r>
      <w:r w:rsidR="00B57D5D">
        <w:rPr>
          <w:rFonts w:eastAsia="Calibri"/>
        </w:rPr>
        <w:t xml:space="preserve"> and associated materials doesn’t increase the effects of peer comparison information.</w:t>
      </w:r>
    </w:p>
    <w:p w14:paraId="208433A4" w14:textId="77777777" w:rsidR="00061755" w:rsidRDefault="00061755">
      <w:pPr>
        <w:spacing w:before="0" w:after="0" w:line="240" w:lineRule="auto"/>
        <w:rPr>
          <w:rFonts w:eastAsia="Calibri"/>
        </w:rPr>
      </w:pPr>
      <w:r>
        <w:rPr>
          <w:rFonts w:eastAsia="Calibri"/>
        </w:rPr>
        <w:br w:type="page"/>
      </w:r>
    </w:p>
    <w:p w14:paraId="511B8387" w14:textId="50F6A0D0" w:rsidR="00203754" w:rsidRDefault="00203754" w:rsidP="00203754">
      <w:pPr>
        <w:rPr>
          <w:rFonts w:eastAsia="Calibri"/>
        </w:rPr>
      </w:pPr>
      <w:r>
        <w:rPr>
          <w:rFonts w:eastAsia="Calibri"/>
        </w:rPr>
        <w:lastRenderedPageBreak/>
        <w:t>Interestingly, the</w:t>
      </w:r>
      <w:r w:rsidRPr="002A1D3B">
        <w:rPr>
          <w:rFonts w:eastAsia="Calibri"/>
        </w:rPr>
        <w:t xml:space="preserve"> </w:t>
      </w:r>
      <w:r w:rsidR="005C29FF">
        <w:rPr>
          <w:rFonts w:eastAsia="Calibri"/>
        </w:rPr>
        <w:t xml:space="preserve">three </w:t>
      </w:r>
      <w:r>
        <w:rPr>
          <w:rFonts w:eastAsia="Calibri"/>
        </w:rPr>
        <w:t xml:space="preserve">peer comparison </w:t>
      </w:r>
      <w:r w:rsidRPr="002A1D3B">
        <w:rPr>
          <w:rFonts w:eastAsia="Calibri"/>
        </w:rPr>
        <w:t>letters worked</w:t>
      </w:r>
      <w:r>
        <w:rPr>
          <w:rFonts w:eastAsia="Calibri"/>
        </w:rPr>
        <w:t xml:space="preserve"> even </w:t>
      </w:r>
      <w:r w:rsidRPr="002A1D3B">
        <w:rPr>
          <w:rFonts w:eastAsia="Calibri"/>
        </w:rPr>
        <w:t>better among the highest prescribers compared to moderately-high prescribers. We think this occurred because doctors further away from the average prescribing rate were more likely to see their behaviour as ex</w:t>
      </w:r>
      <w:r>
        <w:rPr>
          <w:rFonts w:eastAsia="Calibri"/>
        </w:rPr>
        <w:t xml:space="preserve">treme. </w:t>
      </w:r>
      <w:r w:rsidRPr="002A1D3B">
        <w:rPr>
          <w:rFonts w:eastAsia="Calibri"/>
        </w:rPr>
        <w:t xml:space="preserve">Despite this, our letters still reduced prescriptions among </w:t>
      </w:r>
      <w:r>
        <w:rPr>
          <w:rFonts w:eastAsia="Calibri"/>
        </w:rPr>
        <w:t xml:space="preserve">prescribers in </w:t>
      </w:r>
      <w:r w:rsidRPr="002A1D3B">
        <w:rPr>
          <w:rFonts w:eastAsia="Calibri"/>
        </w:rPr>
        <w:t>the 70</w:t>
      </w:r>
      <w:r w:rsidR="00331006" w:rsidRPr="00610E79">
        <w:rPr>
          <w:rFonts w:eastAsia="Calibri"/>
          <w:vertAlign w:val="superscript"/>
        </w:rPr>
        <w:t>th</w:t>
      </w:r>
      <w:r w:rsidRPr="002A1D3B">
        <w:rPr>
          <w:rFonts w:eastAsia="Calibri"/>
        </w:rPr>
        <w:t xml:space="preserve"> to 85</w:t>
      </w:r>
      <w:r w:rsidR="00331006" w:rsidRPr="00610E79">
        <w:rPr>
          <w:rFonts w:eastAsia="Calibri"/>
          <w:vertAlign w:val="superscript"/>
        </w:rPr>
        <w:t>th</w:t>
      </w:r>
      <w:r w:rsidRPr="002A1D3B">
        <w:rPr>
          <w:rFonts w:eastAsia="Calibri"/>
        </w:rPr>
        <w:t xml:space="preserve"> percentile, suggesting there may be benefit in lowering the threshold to include prescribers</w:t>
      </w:r>
      <w:r>
        <w:rPr>
          <w:rFonts w:eastAsia="Calibri"/>
        </w:rPr>
        <w:t xml:space="preserve"> below the 70</w:t>
      </w:r>
      <w:r w:rsidRPr="00610E79">
        <w:rPr>
          <w:rFonts w:eastAsia="Calibri"/>
          <w:vertAlign w:val="superscript"/>
        </w:rPr>
        <w:t>th</w:t>
      </w:r>
      <w:r>
        <w:rPr>
          <w:rFonts w:eastAsia="Calibri"/>
        </w:rPr>
        <w:t xml:space="preserve"> percentile</w:t>
      </w:r>
      <w:r w:rsidRPr="002A1D3B">
        <w:rPr>
          <w:rFonts w:eastAsia="Calibri"/>
        </w:rPr>
        <w:t xml:space="preserve">. Future research </w:t>
      </w:r>
      <w:r>
        <w:rPr>
          <w:rFonts w:eastAsia="Calibri"/>
        </w:rPr>
        <w:t xml:space="preserve">could be undertaken </w:t>
      </w:r>
      <w:r w:rsidRPr="002A1D3B">
        <w:rPr>
          <w:rFonts w:eastAsia="Calibri"/>
        </w:rPr>
        <w:t xml:space="preserve">to determine whether </w:t>
      </w:r>
      <w:r w:rsidR="005C29FF">
        <w:rPr>
          <w:rFonts w:eastAsia="Calibri"/>
        </w:rPr>
        <w:t xml:space="preserve">the </w:t>
      </w:r>
      <w:r w:rsidRPr="002A1D3B">
        <w:rPr>
          <w:rFonts w:eastAsia="Calibri"/>
        </w:rPr>
        <w:t xml:space="preserve">potentially diminishing effects </w:t>
      </w:r>
      <w:r>
        <w:rPr>
          <w:rFonts w:eastAsia="Calibri"/>
        </w:rPr>
        <w:t xml:space="preserve">for lower prescribers </w:t>
      </w:r>
      <w:r w:rsidRPr="002A1D3B">
        <w:rPr>
          <w:rFonts w:eastAsia="Calibri"/>
        </w:rPr>
        <w:t>are worth the impost of the intervention being applied to a broader range of people.</w:t>
      </w:r>
    </w:p>
    <w:p w14:paraId="22438DEE" w14:textId="77777777" w:rsidR="00203754" w:rsidRPr="008A1F58" w:rsidRDefault="00203754" w:rsidP="00061755">
      <w:pPr>
        <w:pStyle w:val="Heading2"/>
        <w:rPr>
          <w:color w:val="2158A8"/>
        </w:rPr>
      </w:pPr>
      <w:r w:rsidRPr="008A1F58">
        <w:rPr>
          <w:color w:val="2158A8"/>
        </w:rPr>
        <w:t xml:space="preserve">Comparison to similar trials </w:t>
      </w:r>
    </w:p>
    <w:p w14:paraId="14A8A0E8" w14:textId="5C8CB817" w:rsidR="00203754" w:rsidRDefault="00203754" w:rsidP="00203754">
      <w:r>
        <w:t>A similar trial of peer comparison letters in the UK</w:t>
      </w:r>
      <w:r w:rsidR="00E27C39">
        <w:t xml:space="preserve"> (</w:t>
      </w:r>
      <w:r w:rsidR="00E27C39" w:rsidRPr="00BA1E82">
        <w:t>Hallsworth</w:t>
      </w:r>
      <w:r w:rsidR="00E27C39">
        <w:t>, 2016)</w:t>
      </w:r>
      <w:r>
        <w:t xml:space="preserve"> reported a smaller reduction in prescription rates (3.3 per cent). We think this is due to the difference in the type of feedback. The UK study provided </w:t>
      </w:r>
      <w:r w:rsidRPr="00BF607B">
        <w:t xml:space="preserve">feedback </w:t>
      </w:r>
      <w:r>
        <w:t xml:space="preserve">to GPs </w:t>
      </w:r>
      <w:r w:rsidRPr="00BF607B">
        <w:t xml:space="preserve">about how </w:t>
      </w:r>
      <w:r>
        <w:t>their clinic was</w:t>
      </w:r>
      <w:r w:rsidRPr="00BF607B">
        <w:t xml:space="preserve"> prescribing</w:t>
      </w:r>
      <w:r>
        <w:t xml:space="preserve"> compared to other clinics </w:t>
      </w:r>
      <w:r w:rsidR="00CE5924">
        <w:t xml:space="preserve">in </w:t>
      </w:r>
      <w:r>
        <w:t>their local area. In contrast, our trial provided feedback to doctors about their individual prescribing rates compared to their peers.</w:t>
      </w:r>
      <w:r w:rsidRPr="00015AC3">
        <w:t xml:space="preserve"> </w:t>
      </w:r>
      <w:r w:rsidR="008A714C">
        <w:t xml:space="preserve">The differences in the two trials </w:t>
      </w:r>
      <w:r w:rsidRPr="00BE7F04">
        <w:t xml:space="preserve">suggests </w:t>
      </w:r>
      <w:r>
        <w:t xml:space="preserve">peer comparison </w:t>
      </w:r>
      <w:r w:rsidRPr="00BE7F04">
        <w:t xml:space="preserve">feedback has a larger impact when provided </w:t>
      </w:r>
      <w:r w:rsidR="00C22C7F">
        <w:t>to individuals</w:t>
      </w:r>
      <w:r w:rsidR="008A714C">
        <w:t xml:space="preserve">. </w:t>
      </w:r>
    </w:p>
    <w:p w14:paraId="29BD867E" w14:textId="2BDBAF35" w:rsidR="005010BC" w:rsidRDefault="005010BC" w:rsidP="005010BC">
      <w:r w:rsidRPr="008E47B5">
        <w:t>A recent US trial provided monthly, individual peer comparison feedback via email to clinicians on prescriptions for ant</w:t>
      </w:r>
      <w:r w:rsidR="00C97A46">
        <w:t>ibiotic-inappropriate diagnoses.</w:t>
      </w:r>
      <w:r w:rsidRPr="008E47B5">
        <w:t xml:space="preserve"> </w:t>
      </w:r>
      <w:r w:rsidR="00C97A46">
        <w:t>F</w:t>
      </w:r>
      <w:r w:rsidRPr="008E47B5">
        <w:t>eedback was sent to all clinicians regardless of whether they were high or low prescribers. The authors found a smaller reduction in antibiotic scripts than our trial (when comparin</w:t>
      </w:r>
      <w:r>
        <w:t>g treatment and control groups)</w:t>
      </w:r>
      <w:r w:rsidRPr="008E47B5">
        <w:t>, but one which was still present after 18 months (Meeker et al., 2016). This suggests repeated peer comparison feedback could be an effective, low-cost strategy to reduce overprescribing over longer periods of time than assessed in our trial.</w:t>
      </w:r>
    </w:p>
    <w:p w14:paraId="1D4742C6" w14:textId="65D85E86" w:rsidR="00203754" w:rsidRPr="008A1F58" w:rsidRDefault="00203754" w:rsidP="00061755">
      <w:pPr>
        <w:pStyle w:val="Heading2"/>
        <w:rPr>
          <w:color w:val="2158A8"/>
        </w:rPr>
      </w:pPr>
      <w:r w:rsidRPr="008A1F58">
        <w:rPr>
          <w:color w:val="2158A8"/>
        </w:rPr>
        <w:t xml:space="preserve">Future </w:t>
      </w:r>
      <w:r w:rsidR="00E50608" w:rsidRPr="008A1F58">
        <w:rPr>
          <w:color w:val="2158A8"/>
        </w:rPr>
        <w:t>d</w:t>
      </w:r>
      <w:r w:rsidRPr="008A1F58">
        <w:rPr>
          <w:color w:val="2158A8"/>
        </w:rPr>
        <w:t>irections</w:t>
      </w:r>
    </w:p>
    <w:p w14:paraId="51D95941" w14:textId="77777777" w:rsidR="00203754" w:rsidRDefault="00203754" w:rsidP="00203754">
      <w:r>
        <w:t xml:space="preserve">An open question is how long the effects of this type of </w:t>
      </w:r>
      <w:r w:rsidR="008A714C">
        <w:t>peer comparison</w:t>
      </w:r>
      <w:r>
        <w:t xml:space="preserve"> intervention last. This is important for policy makers in designing these types of interventions, including whether follow-up letters may be required to maintain the effects and how frequently they should occur. </w:t>
      </w:r>
    </w:p>
    <w:p w14:paraId="1A41FCB7" w14:textId="1D7F3E32" w:rsidR="00203754" w:rsidRDefault="00203754" w:rsidP="00203754">
      <w:r w:rsidRPr="00FB671C">
        <w:t>At the end of the six</w:t>
      </w:r>
      <w:r>
        <w:noBreakHyphen/>
      </w:r>
      <w:r w:rsidRPr="00FB671C">
        <w:t xml:space="preserve">month period, our </w:t>
      </w:r>
      <w:r w:rsidR="0050251A">
        <w:t>peer comparison</w:t>
      </w:r>
      <w:r>
        <w:t xml:space="preserve"> letters were causing smaller but still substantial reduction in prescribing rates. This implies that the letters’ effect continues beyond </w:t>
      </w:r>
      <w:r w:rsidR="001A4FF5">
        <w:t>six </w:t>
      </w:r>
      <w:r>
        <w:t xml:space="preserve">months and we look forward to </w:t>
      </w:r>
      <w:r w:rsidR="00C97A46">
        <w:t>analysing the data</w:t>
      </w:r>
      <w:r>
        <w:t xml:space="preserve"> at the 12</w:t>
      </w:r>
      <w:r w:rsidR="001A4FF5">
        <w:noBreakHyphen/>
      </w:r>
      <w:r>
        <w:t xml:space="preserve">month mark to ascertain how long the effect lasts. </w:t>
      </w:r>
    </w:p>
    <w:p w14:paraId="7088B3BF" w14:textId="77777777" w:rsidR="00203754" w:rsidRDefault="00203754" w:rsidP="00203754">
      <w:r>
        <w:t>We are also interested in whether follow-up letters would have the same impact, how often they should be sent, and whether repeat exposure reduces the effect. Follow</w:t>
      </w:r>
      <w:r w:rsidR="001A4FF5">
        <w:noBreakHyphen/>
      </w:r>
      <w:r>
        <w:t>up letters could test the effect of including feedback on whether the doctor has increased or decreased their prescribing rates over time.</w:t>
      </w:r>
      <w:r w:rsidR="008A714C">
        <w:t xml:space="preserve"> </w:t>
      </w:r>
    </w:p>
    <w:p w14:paraId="28369603" w14:textId="77777777" w:rsidR="001B4ECF" w:rsidRDefault="001B4ECF">
      <w:pPr>
        <w:spacing w:before="0" w:after="0" w:line="240" w:lineRule="auto"/>
      </w:pPr>
      <w:r>
        <w:br w:type="page"/>
      </w:r>
    </w:p>
    <w:p w14:paraId="47649A3A" w14:textId="4E679052" w:rsidR="00203754" w:rsidRDefault="00203754" w:rsidP="00203754">
      <w:r>
        <w:lastRenderedPageBreak/>
        <w:t xml:space="preserve">There are other prescribing issues of public importance where trialling a </w:t>
      </w:r>
      <w:r w:rsidR="00B76999">
        <w:t>peer comparison feedback</w:t>
      </w:r>
      <w:r>
        <w:t xml:space="preserve"> intervention may be appropriate. For example, s</w:t>
      </w:r>
      <w:r w:rsidRPr="00622BFC">
        <w:t>everal overseas jurisdictions are facing crises in the widespread misuse of prescribed opioids and there are concerns Australia is trending down a similar path.</w:t>
      </w:r>
      <w:r>
        <w:t xml:space="preserve"> </w:t>
      </w:r>
    </w:p>
    <w:p w14:paraId="797D7603" w14:textId="1616BA41" w:rsidR="00203754" w:rsidRPr="008A1F58" w:rsidRDefault="00203754" w:rsidP="00DB4A7B">
      <w:pPr>
        <w:pStyle w:val="Heading2"/>
        <w:rPr>
          <w:color w:val="2158A8"/>
        </w:rPr>
      </w:pPr>
      <w:r w:rsidRPr="008A1F58">
        <w:rPr>
          <w:color w:val="2158A8"/>
        </w:rPr>
        <w:t>Conclusion</w:t>
      </w:r>
    </w:p>
    <w:p w14:paraId="5D255437" w14:textId="77777777" w:rsidR="00203754" w:rsidRPr="00D54992" w:rsidRDefault="00203754" w:rsidP="00203754">
      <w:r>
        <w:rPr>
          <w:rFonts w:cs="Arial"/>
        </w:rPr>
        <w:t>The results of our trial show</w:t>
      </w:r>
      <w:r w:rsidRPr="00B5796E">
        <w:rPr>
          <w:rFonts w:cs="Arial"/>
        </w:rPr>
        <w:t xml:space="preserve"> a </w:t>
      </w:r>
      <w:r w:rsidR="008A714C">
        <w:rPr>
          <w:rFonts w:cs="Arial"/>
        </w:rPr>
        <w:t xml:space="preserve">peer comparison </w:t>
      </w:r>
      <w:r>
        <w:rPr>
          <w:rFonts w:cs="Arial"/>
        </w:rPr>
        <w:t>letter from a high profile and respected individual</w:t>
      </w:r>
      <w:r w:rsidR="008A714C">
        <w:rPr>
          <w:rFonts w:cs="Arial"/>
        </w:rPr>
        <w:t xml:space="preserve"> – Australia’s CMO </w:t>
      </w:r>
      <w:r w:rsidR="007A199A">
        <w:rPr>
          <w:rFonts w:cs="Arial"/>
        </w:rPr>
        <w:t>–</w:t>
      </w:r>
      <w:r w:rsidRPr="00B5796E">
        <w:rPr>
          <w:rFonts w:cs="Arial"/>
        </w:rPr>
        <w:t xml:space="preserve"> can successfully impact the </w:t>
      </w:r>
      <w:r>
        <w:rPr>
          <w:rFonts w:cs="Arial"/>
        </w:rPr>
        <w:t xml:space="preserve">antibiotic </w:t>
      </w:r>
      <w:r w:rsidRPr="00B5796E">
        <w:rPr>
          <w:rFonts w:cs="Arial"/>
        </w:rPr>
        <w:t xml:space="preserve">prescribing habits of </w:t>
      </w:r>
      <w:r>
        <w:rPr>
          <w:rFonts w:cs="Arial"/>
        </w:rPr>
        <w:t xml:space="preserve">Australian </w:t>
      </w:r>
      <w:r w:rsidRPr="00B5796E">
        <w:rPr>
          <w:rFonts w:cs="Arial"/>
        </w:rPr>
        <w:t>GPs.</w:t>
      </w:r>
      <w:r>
        <w:rPr>
          <w:rFonts w:cs="Arial"/>
        </w:rPr>
        <w:t xml:space="preserve"> These results are consistent with similar trials conducted in the UK and the US, providing evidence </w:t>
      </w:r>
      <w:r w:rsidR="008A714C">
        <w:rPr>
          <w:rFonts w:cs="Arial"/>
        </w:rPr>
        <w:t>peer comparison</w:t>
      </w:r>
      <w:r>
        <w:rPr>
          <w:rFonts w:cs="Arial"/>
        </w:rPr>
        <w:t xml:space="preserve"> interventions focused on antibiotic prescribing can work across countries.</w:t>
      </w:r>
    </w:p>
    <w:p w14:paraId="7C1C9705" w14:textId="77777777" w:rsidR="00203754" w:rsidRDefault="00203754" w:rsidP="00203754">
      <w:pPr>
        <w:rPr>
          <w:rFonts w:cs="Arial"/>
        </w:rPr>
      </w:pPr>
      <w:r>
        <w:rPr>
          <w:rFonts w:cs="Arial"/>
        </w:rPr>
        <w:t xml:space="preserve">Our findings can help inform future efforts to reduce the risk of AMR caused by the overprescribing of antibiotics. They suggest that antibiotic stewardship programs can maximise their effects by using </w:t>
      </w:r>
      <w:r w:rsidR="008A714C">
        <w:rPr>
          <w:rFonts w:cs="Arial"/>
        </w:rPr>
        <w:t>peer comparison</w:t>
      </w:r>
      <w:r>
        <w:rPr>
          <w:rFonts w:cs="Arial"/>
        </w:rPr>
        <w:t xml:space="preserve"> feedback at the individual-level to assist doctors to reflect on their prescribing practices.</w:t>
      </w:r>
    </w:p>
    <w:p w14:paraId="6FDAA13C" w14:textId="77777777" w:rsidR="00203754" w:rsidRDefault="00203754" w:rsidP="00203754">
      <w:r>
        <w:t xml:space="preserve">Our results add to the large body of evidence that </w:t>
      </w:r>
      <w:r w:rsidR="008A714C">
        <w:t>peer comparison</w:t>
      </w:r>
      <w:r>
        <w:t xml:space="preserve"> can be a powerful behavioural tool for policy makers, particularly when using individual-level feedback. They also demonstrate that some of the impact of </w:t>
      </w:r>
      <w:r w:rsidR="008A714C">
        <w:t xml:space="preserve">peer comparison </w:t>
      </w:r>
      <w:r>
        <w:t xml:space="preserve">interventions is sustained over a reasonable period of time. This should inspire policy makers to seek other opportunities for similar </w:t>
      </w:r>
      <w:r w:rsidR="008A714C">
        <w:t>peer comparison</w:t>
      </w:r>
      <w:r>
        <w:t xml:space="preserve"> interventions and to test the impact of repeating the intervention at intervals to see if the impact can be sustained over even longer periods. </w:t>
      </w:r>
    </w:p>
    <w:p w14:paraId="0F80098B" w14:textId="77777777" w:rsidR="00734C86" w:rsidRDefault="00734C86">
      <w:pPr>
        <w:spacing w:before="0" w:after="0" w:line="240" w:lineRule="auto"/>
      </w:pPr>
      <w:r>
        <w:br w:type="page"/>
      </w:r>
    </w:p>
    <w:p w14:paraId="3DFADF2E" w14:textId="77777777" w:rsidR="00804465" w:rsidRDefault="00804465" w:rsidP="00804465">
      <w:pPr>
        <w:pStyle w:val="Heading1"/>
      </w:pPr>
      <w:bookmarkStart w:id="18" w:name="_Toc516822207"/>
      <w:r>
        <w:lastRenderedPageBreak/>
        <w:t>Appendices</w:t>
      </w:r>
      <w:bookmarkEnd w:id="18"/>
    </w:p>
    <w:p w14:paraId="5C50BEB4" w14:textId="77777777" w:rsidR="00CA1D3C" w:rsidRPr="008A1F58" w:rsidRDefault="00CA1D3C" w:rsidP="002B5B84">
      <w:pPr>
        <w:pStyle w:val="Heading2TOC"/>
        <w:rPr>
          <w:color w:val="2158A8"/>
        </w:rPr>
      </w:pPr>
      <w:bookmarkStart w:id="19" w:name="_Toc516822208"/>
      <w:r w:rsidRPr="008A1F58">
        <w:rPr>
          <w:color w:val="2158A8"/>
        </w:rPr>
        <w:t xml:space="preserve">Appendix </w:t>
      </w:r>
      <w:r w:rsidR="00D77EB2" w:rsidRPr="008A1F58">
        <w:rPr>
          <w:color w:val="2158A8"/>
        </w:rPr>
        <w:t>A</w:t>
      </w:r>
      <w:r w:rsidRPr="008A1F58">
        <w:rPr>
          <w:color w:val="2158A8"/>
        </w:rPr>
        <w:t>: Technical details</w:t>
      </w:r>
      <w:bookmarkEnd w:id="19"/>
    </w:p>
    <w:p w14:paraId="3AE0E5BC" w14:textId="31B2A21C" w:rsidR="00CA1D3C" w:rsidRPr="00E443FB" w:rsidRDefault="00CA1D3C" w:rsidP="00DD29B8">
      <w:pPr>
        <w:pStyle w:val="Heading3"/>
      </w:pPr>
      <w:r w:rsidRPr="00E443FB">
        <w:t>Overview</w:t>
      </w:r>
    </w:p>
    <w:p w14:paraId="60DA43A6" w14:textId="77777777" w:rsidR="00CA1D3C" w:rsidRPr="003D64CD" w:rsidRDefault="00CA1D3C" w:rsidP="00CA1D3C">
      <w:pPr>
        <w:rPr>
          <w:rFonts w:cs="Arial"/>
        </w:rPr>
      </w:pPr>
      <w:r w:rsidRPr="003D64CD">
        <w:rPr>
          <w:rFonts w:cs="Arial"/>
        </w:rPr>
        <w:t xml:space="preserve">We conducted a cluster randomised field experiment. The units of randomisation (clusters) were clinics containing GPs who were ‘high prescribers’ relative to other GPs in their region. The GPs in clusters assigned to treatments received individually addressed letters and we examined their individual prescription rates subsequently. </w:t>
      </w:r>
    </w:p>
    <w:p w14:paraId="306215CA" w14:textId="147089EA" w:rsidR="00CA1D3C" w:rsidRPr="003D64CD" w:rsidRDefault="00CA1D3C" w:rsidP="00CA1D3C">
      <w:pPr>
        <w:rPr>
          <w:rFonts w:cs="Arial"/>
        </w:rPr>
      </w:pPr>
      <w:r w:rsidRPr="003D64CD">
        <w:rPr>
          <w:rFonts w:cs="Arial"/>
        </w:rPr>
        <w:t xml:space="preserve">Treatment letters were sent to </w:t>
      </w:r>
      <w:r w:rsidR="00781E53">
        <w:rPr>
          <w:rFonts w:cs="Arial"/>
        </w:rPr>
        <w:t>GPs</w:t>
      </w:r>
      <w:r w:rsidRPr="003D64CD">
        <w:rPr>
          <w:rFonts w:cs="Arial"/>
        </w:rPr>
        <w:t xml:space="preserve"> on 9 June 2017, and the number of antibiotic scripts filled was monitored from this date to 9 December 2017. </w:t>
      </w:r>
    </w:p>
    <w:p w14:paraId="3DEAC218" w14:textId="2D01C797" w:rsidR="00CA1D3C" w:rsidRPr="00E443FB" w:rsidRDefault="00C97A46" w:rsidP="00DD29B8">
      <w:pPr>
        <w:pStyle w:val="Heading3"/>
      </w:pPr>
      <w:r>
        <w:t xml:space="preserve">Pre-registration, </w:t>
      </w:r>
      <w:r w:rsidR="00CA1D3C" w:rsidRPr="00E443FB">
        <w:t>pre-analysis plan</w:t>
      </w:r>
      <w:r>
        <w:t xml:space="preserve"> and ethics</w:t>
      </w:r>
    </w:p>
    <w:p w14:paraId="7224F925" w14:textId="77777777" w:rsidR="00CA1D3C" w:rsidRDefault="00CA1D3C" w:rsidP="00CA1D3C">
      <w:pPr>
        <w:rPr>
          <w:rFonts w:cs="Arial"/>
        </w:rPr>
      </w:pPr>
      <w:r w:rsidRPr="003D64CD">
        <w:rPr>
          <w:rFonts w:cs="Arial"/>
        </w:rPr>
        <w:t>We pre-registered this trial on both the American Economic Association RCT Registry and the BETA website shortly after the trial commenced but prior to accessing or analysing any data on outcomes. This pre-registration includes a detailed pre-analysis plan containing details for our proposed analysis. We made only very minor deviations from this pre-analysis plan (described below).</w:t>
      </w:r>
    </w:p>
    <w:p w14:paraId="6935FFB6" w14:textId="48671611" w:rsidR="00C97A46" w:rsidRPr="003D64CD" w:rsidRDefault="00C97A46" w:rsidP="00CA1D3C">
      <w:pPr>
        <w:rPr>
          <w:rFonts w:cs="Arial"/>
        </w:rPr>
      </w:pPr>
      <w:r w:rsidRPr="00C97A46">
        <w:rPr>
          <w:rFonts w:cs="Arial"/>
        </w:rPr>
        <w:t xml:space="preserve">The project was approved through BETA’s ethics approval process, with risk assessed in accordance with the </w:t>
      </w:r>
      <w:r w:rsidR="00A40CD1" w:rsidRPr="00C97A46">
        <w:rPr>
          <w:rFonts w:cs="Arial"/>
        </w:rPr>
        <w:t>guidelines outlined</w:t>
      </w:r>
      <w:r w:rsidRPr="00C97A46">
        <w:rPr>
          <w:rFonts w:cs="Arial"/>
        </w:rPr>
        <w:t xml:space="preserve"> in the National Statement on Ethical Conduct in Human Research.</w:t>
      </w:r>
    </w:p>
    <w:p w14:paraId="0F76E5E6" w14:textId="3852C745" w:rsidR="00CA1D3C" w:rsidRPr="003D64CD" w:rsidRDefault="00CA1D3C" w:rsidP="00DD29B8">
      <w:pPr>
        <w:pStyle w:val="Heading3"/>
      </w:pPr>
      <w:r w:rsidRPr="00E443FB">
        <w:t xml:space="preserve">Outcome </w:t>
      </w:r>
    </w:p>
    <w:p w14:paraId="5F5E59EE" w14:textId="077ECBB1" w:rsidR="00CA1D3C" w:rsidRPr="00DB4A7B" w:rsidRDefault="00CA1D3C" w:rsidP="00CA1D3C">
      <w:pPr>
        <w:rPr>
          <w:rFonts w:cs="Arial"/>
        </w:rPr>
      </w:pPr>
      <w:r w:rsidRPr="003D64CD">
        <w:rPr>
          <w:rFonts w:cs="Arial"/>
        </w:rPr>
        <w:t>We focused on prescriptions of eight commonly prescribed antibiotics (</w:t>
      </w:r>
      <w:r w:rsidR="00034D96">
        <w:rPr>
          <w:rFonts w:cs="Arial"/>
        </w:rPr>
        <w:t>see</w:t>
      </w:r>
      <w:r w:rsidR="00A763C7">
        <w:rPr>
          <w:rFonts w:cs="Arial"/>
          <w:b/>
        </w:rPr>
        <w:t xml:space="preserve"> Table 3</w:t>
      </w:r>
      <w:r w:rsidR="00034D96">
        <w:rPr>
          <w:rFonts w:cs="Arial"/>
        </w:rPr>
        <w:t>)</w:t>
      </w:r>
      <w:r w:rsidRPr="003D64CD">
        <w:rPr>
          <w:rFonts w:cs="Arial"/>
        </w:rPr>
        <w:t xml:space="preserve">. Our dataset recorded the number of antibiotic scripts </w:t>
      </w:r>
      <w:r w:rsidR="007A199A">
        <w:rPr>
          <w:rFonts w:cs="Arial"/>
        </w:rPr>
        <w:t>prescribed</w:t>
      </w:r>
      <w:r w:rsidR="007A199A" w:rsidRPr="003D64CD">
        <w:rPr>
          <w:rFonts w:cs="Arial"/>
        </w:rPr>
        <w:t xml:space="preserve"> </w:t>
      </w:r>
      <w:r w:rsidRPr="003D64CD">
        <w:rPr>
          <w:rFonts w:cs="Arial"/>
        </w:rPr>
        <w:t xml:space="preserve">by GPs that were taken to a pharmacy and filled. </w:t>
      </w:r>
    </w:p>
    <w:p w14:paraId="41ACF433" w14:textId="2936BC56" w:rsidR="00DB4A7B" w:rsidRDefault="00CA1D3C" w:rsidP="00CA1D3C">
      <w:pPr>
        <w:rPr>
          <w:rFonts w:cs="Arial"/>
        </w:rPr>
      </w:pPr>
      <w:r w:rsidRPr="003D64CD">
        <w:rPr>
          <w:rFonts w:cs="Arial"/>
        </w:rPr>
        <w:t xml:space="preserve">As the number of consults delivered by GPs varies and affects the number of prescriptions, we examined the number of antibiotic scripts filled per 1,000 consults for each GP. </w:t>
      </w:r>
      <w:r w:rsidR="00756474">
        <w:rPr>
          <w:rFonts w:cs="Arial"/>
        </w:rPr>
        <w:br/>
      </w:r>
    </w:p>
    <w:p w14:paraId="33E3FDC5" w14:textId="77777777" w:rsidR="00DB4A7B" w:rsidRDefault="00DB4A7B">
      <w:pPr>
        <w:spacing w:before="0" w:after="0" w:line="240" w:lineRule="auto"/>
        <w:rPr>
          <w:rFonts w:cs="Arial"/>
        </w:rPr>
      </w:pPr>
      <w:r>
        <w:rPr>
          <w:rFonts w:cs="Arial"/>
        </w:rPr>
        <w:br w:type="page"/>
      </w:r>
    </w:p>
    <w:p w14:paraId="492A8214" w14:textId="77777777" w:rsidR="003333D2" w:rsidRPr="002E2CDA" w:rsidRDefault="00D22EDA" w:rsidP="00DB4A7B">
      <w:pPr>
        <w:pStyle w:val="FigureHeading"/>
      </w:pPr>
      <w:bookmarkStart w:id="20" w:name="_Ref514067740"/>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3</w:t>
      </w:r>
      <w:r w:rsidR="00AD3544">
        <w:rPr>
          <w:noProof/>
        </w:rPr>
        <w:fldChar w:fldCharType="end"/>
      </w:r>
      <w:bookmarkEnd w:id="20"/>
      <w:r w:rsidRPr="002E2CDA">
        <w:t xml:space="preserve">: </w:t>
      </w:r>
      <w:r w:rsidR="00A243B2">
        <w:t>A</w:t>
      </w:r>
      <w:r w:rsidR="003333D2">
        <w:t>ntibiotics used in trial to calculate prescribing percentile</w:t>
      </w:r>
    </w:p>
    <w:tbl>
      <w:tblPr>
        <w:tblStyle w:val="ListTable3-Accent12"/>
        <w:tblW w:w="6670" w:type="dxa"/>
        <w:tblBorders>
          <w:top w:val="single" w:sz="4" w:space="0" w:color="2C276C" w:themeColor="accent1"/>
          <w:bottom w:val="single" w:sz="4" w:space="0" w:color="2C276C" w:themeColor="accent1"/>
          <w:insideH w:val="single" w:sz="4" w:space="0" w:color="2C276C" w:themeColor="accent1"/>
          <w:insideV w:val="single" w:sz="4" w:space="0" w:color="2C276C" w:themeColor="accent1"/>
        </w:tblBorders>
        <w:tblLayout w:type="fixed"/>
        <w:tblLook w:val="0620" w:firstRow="1" w:lastRow="0" w:firstColumn="0" w:lastColumn="0" w:noHBand="1" w:noVBand="1"/>
        <w:tblCaption w:val="Antibiotics used in trial to calculate prescribing percentile"/>
        <w:tblDescription w:val="Showing the antibiotics used in the trial to calculate prescribing percentile."/>
      </w:tblPr>
      <w:tblGrid>
        <w:gridCol w:w="6670"/>
      </w:tblGrid>
      <w:tr w:rsidR="003333D2" w:rsidRPr="00901CC0" w14:paraId="1D8DB708" w14:textId="77777777" w:rsidTr="00B57F7C">
        <w:trPr>
          <w:cnfStyle w:val="100000000000" w:firstRow="1" w:lastRow="0" w:firstColumn="0" w:lastColumn="0" w:oddVBand="0" w:evenVBand="0" w:oddHBand="0" w:evenHBand="0" w:firstRowFirstColumn="0" w:firstRowLastColumn="0" w:lastRowFirstColumn="0" w:lastRowLastColumn="0"/>
          <w:trHeight w:val="252"/>
          <w:tblHeader/>
        </w:trPr>
        <w:tc>
          <w:tcPr>
            <w:tcW w:w="6670" w:type="dxa"/>
            <w:tcBorders>
              <w:top w:val="nil"/>
              <w:left w:val="nil"/>
              <w:bottom w:val="nil"/>
              <w:right w:val="nil"/>
            </w:tcBorders>
            <w:noWrap/>
            <w:vAlign w:val="center"/>
          </w:tcPr>
          <w:p w14:paraId="7ECD1AE5" w14:textId="77777777" w:rsidR="003333D2" w:rsidRPr="00196826" w:rsidRDefault="003333D2" w:rsidP="00DB4A7B">
            <w:pPr>
              <w:pStyle w:val="Heading3"/>
              <w:spacing w:before="79" w:after="39"/>
              <w:jc w:val="center"/>
              <w:outlineLvl w:val="2"/>
              <w:rPr>
                <w:rFonts w:eastAsia="Times New Roman"/>
                <w:b/>
                <w:i/>
                <w:sz w:val="22"/>
                <w:szCs w:val="22"/>
                <w:lang w:eastAsia="en-AU"/>
              </w:rPr>
            </w:pPr>
            <w:r w:rsidRPr="00196826">
              <w:rPr>
                <w:sz w:val="22"/>
                <w:szCs w:val="22"/>
              </w:rPr>
              <w:t>Antibiotic Name</w:t>
            </w:r>
          </w:p>
        </w:tc>
      </w:tr>
      <w:tr w:rsidR="003333D2" w:rsidRPr="00901CC0" w14:paraId="616307F4" w14:textId="77777777" w:rsidTr="00372B55">
        <w:trPr>
          <w:trHeight w:val="221"/>
        </w:trPr>
        <w:tc>
          <w:tcPr>
            <w:tcW w:w="6670" w:type="dxa"/>
            <w:tcBorders>
              <w:top w:val="nil"/>
              <w:bottom w:val="single" w:sz="4" w:space="0" w:color="142E3A" w:themeColor="text2"/>
            </w:tcBorders>
            <w:noWrap/>
            <w:vAlign w:val="center"/>
          </w:tcPr>
          <w:p w14:paraId="60B380DA" w14:textId="77777777" w:rsidR="003333D2" w:rsidRPr="00196826" w:rsidRDefault="003333D2" w:rsidP="00196826">
            <w:pPr>
              <w:pStyle w:val="Tabletext0"/>
              <w:spacing w:before="39" w:after="26"/>
              <w:jc w:val="center"/>
              <w:rPr>
                <w:rFonts w:eastAsia="Times New Roman"/>
                <w:sz w:val="20"/>
                <w:lang w:eastAsia="en-AU"/>
              </w:rPr>
            </w:pPr>
            <w:r w:rsidRPr="00196826">
              <w:t>Amoxicillin</w:t>
            </w:r>
          </w:p>
        </w:tc>
      </w:tr>
      <w:tr w:rsidR="003333D2" w:rsidRPr="00901CC0" w14:paraId="22BC47AE"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F3516E6" w14:textId="77777777" w:rsidR="003333D2" w:rsidRPr="00196826" w:rsidRDefault="003333D2" w:rsidP="00196826">
            <w:pPr>
              <w:pStyle w:val="Tabletext0"/>
              <w:spacing w:before="39" w:after="26"/>
              <w:jc w:val="center"/>
              <w:rPr>
                <w:rFonts w:eastAsia="Times New Roman"/>
                <w:sz w:val="20"/>
                <w:lang w:eastAsia="en-AU"/>
              </w:rPr>
            </w:pPr>
            <w:r w:rsidRPr="00196826">
              <w:t>Cephalexin</w:t>
            </w:r>
          </w:p>
        </w:tc>
      </w:tr>
      <w:tr w:rsidR="003333D2" w:rsidRPr="00901CC0" w14:paraId="7952D9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C1694AF" w14:textId="77777777" w:rsidR="003333D2" w:rsidRPr="00196826" w:rsidRDefault="003333D2" w:rsidP="00196826">
            <w:pPr>
              <w:pStyle w:val="Tabletext0"/>
              <w:spacing w:before="39" w:after="26"/>
              <w:jc w:val="center"/>
              <w:rPr>
                <w:rFonts w:eastAsia="Times New Roman"/>
                <w:sz w:val="20"/>
                <w:lang w:eastAsia="en-AU"/>
              </w:rPr>
            </w:pPr>
            <w:r w:rsidRPr="00196826">
              <w:t>Amoxicillin with Clavulanic Acid</w:t>
            </w:r>
          </w:p>
        </w:tc>
      </w:tr>
      <w:tr w:rsidR="003333D2" w:rsidRPr="00901CC0" w14:paraId="2C6C1C3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A6C6BAF" w14:textId="77777777" w:rsidR="003333D2" w:rsidRPr="00196826" w:rsidRDefault="003333D2" w:rsidP="00196826">
            <w:pPr>
              <w:pStyle w:val="Tabletext0"/>
              <w:spacing w:before="39" w:after="26"/>
              <w:jc w:val="center"/>
              <w:rPr>
                <w:rFonts w:eastAsia="Times New Roman"/>
                <w:sz w:val="20"/>
                <w:lang w:eastAsia="en-AU"/>
              </w:rPr>
            </w:pPr>
            <w:r w:rsidRPr="00196826">
              <w:t>Roxithromycin</w:t>
            </w:r>
          </w:p>
        </w:tc>
      </w:tr>
      <w:tr w:rsidR="003333D2" w:rsidRPr="00901CC0" w14:paraId="3521D2F6"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A839617" w14:textId="77777777" w:rsidR="003333D2" w:rsidRPr="00196826" w:rsidRDefault="003333D2" w:rsidP="00196826">
            <w:pPr>
              <w:pStyle w:val="Tabletext0"/>
              <w:spacing w:before="39" w:after="26"/>
              <w:jc w:val="center"/>
              <w:rPr>
                <w:rFonts w:eastAsia="Times New Roman"/>
                <w:sz w:val="20"/>
                <w:lang w:eastAsia="en-AU"/>
              </w:rPr>
            </w:pPr>
            <w:r w:rsidRPr="00196826">
              <w:t>Clarithromycin</w:t>
            </w:r>
          </w:p>
        </w:tc>
      </w:tr>
      <w:tr w:rsidR="003333D2" w:rsidRPr="00901CC0" w14:paraId="3B1F9D57"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6DA702B4" w14:textId="77777777" w:rsidR="003333D2" w:rsidRPr="00196826" w:rsidRDefault="003333D2" w:rsidP="00196826">
            <w:pPr>
              <w:pStyle w:val="Tabletext0"/>
              <w:spacing w:before="39" w:after="26"/>
              <w:jc w:val="center"/>
              <w:rPr>
                <w:rFonts w:eastAsia="Times New Roman"/>
                <w:sz w:val="20"/>
                <w:lang w:eastAsia="en-AU"/>
              </w:rPr>
            </w:pPr>
            <w:r w:rsidRPr="00196826">
              <w:t>Erythromycin</w:t>
            </w:r>
          </w:p>
        </w:tc>
      </w:tr>
      <w:tr w:rsidR="003333D2" w:rsidRPr="00901CC0" w14:paraId="300CAD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6E3E673" w14:textId="77777777" w:rsidR="003333D2" w:rsidRPr="00196826" w:rsidRDefault="003333D2" w:rsidP="00196826">
            <w:pPr>
              <w:pStyle w:val="Tabletext0"/>
              <w:spacing w:before="39" w:after="26"/>
              <w:jc w:val="center"/>
              <w:rPr>
                <w:rFonts w:eastAsia="Times New Roman"/>
                <w:sz w:val="20"/>
                <w:lang w:eastAsia="en-AU"/>
              </w:rPr>
            </w:pPr>
            <w:r w:rsidRPr="00196826">
              <w:t>Cefaclor</w:t>
            </w:r>
          </w:p>
        </w:tc>
      </w:tr>
      <w:tr w:rsidR="003333D2" w:rsidRPr="00901CC0" w14:paraId="7B76D99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1664520" w14:textId="77777777" w:rsidR="003333D2" w:rsidRPr="00196826" w:rsidRDefault="003333D2" w:rsidP="00196826">
            <w:pPr>
              <w:pStyle w:val="Tabletext0"/>
              <w:spacing w:before="39" w:after="26"/>
              <w:jc w:val="center"/>
              <w:rPr>
                <w:rFonts w:eastAsia="Times New Roman"/>
                <w:sz w:val="20"/>
                <w:lang w:eastAsia="en-AU"/>
              </w:rPr>
            </w:pPr>
            <w:r w:rsidRPr="00196826">
              <w:t>Trimethoprim with Sulfamethoxazole</w:t>
            </w:r>
          </w:p>
        </w:tc>
      </w:tr>
    </w:tbl>
    <w:p w14:paraId="6788AA1A" w14:textId="77777777" w:rsidR="00CA1D3C" w:rsidRPr="00E443FB" w:rsidRDefault="00CA1D3C" w:rsidP="00DD29B8">
      <w:pPr>
        <w:pStyle w:val="Heading3"/>
      </w:pPr>
      <w:r w:rsidRPr="00E443FB">
        <w:t>Population and sampling</w:t>
      </w:r>
    </w:p>
    <w:p w14:paraId="00F292E6" w14:textId="77777777" w:rsidR="00CA1D3C" w:rsidRPr="0001088D" w:rsidRDefault="00CA1D3C" w:rsidP="00CA1D3C">
      <w:r>
        <w:t xml:space="preserve">Our population of interest was GPs classified as ‘high prescribers’ relative to their peers. </w:t>
      </w:r>
      <w:r w:rsidRPr="0001088D">
        <w:t xml:space="preserve">We defined a </w:t>
      </w:r>
      <w:r>
        <w:t>‘</w:t>
      </w:r>
      <w:r w:rsidRPr="0001088D">
        <w:t>high prescriber</w:t>
      </w:r>
      <w:r>
        <w:t>’</w:t>
      </w:r>
      <w:r w:rsidRPr="0001088D">
        <w:t xml:space="preserve"> as a GP in the top 30</w:t>
      </w:r>
      <w:r>
        <w:t> per cent</w:t>
      </w:r>
      <w:r w:rsidRPr="0001088D">
        <w:t xml:space="preserve"> of </w:t>
      </w:r>
      <w:r>
        <w:t xml:space="preserve">antibiotic </w:t>
      </w:r>
      <w:r w:rsidRPr="0001088D">
        <w:t>prescribers</w:t>
      </w:r>
      <w:r>
        <w:t xml:space="preserve"> in their region</w:t>
      </w:r>
      <w:r w:rsidRPr="0001088D">
        <w:t xml:space="preserve"> based on </w:t>
      </w:r>
      <w:r>
        <w:t>their</w:t>
      </w:r>
      <w:r w:rsidRPr="0001088D">
        <w:t xml:space="preserve"> </w:t>
      </w:r>
      <w:r>
        <w:t xml:space="preserve">prescription </w:t>
      </w:r>
      <w:r w:rsidRPr="0001088D">
        <w:t>rate</w:t>
      </w:r>
      <w:r>
        <w:t xml:space="preserve"> over the 12 months before the trial</w:t>
      </w:r>
      <w:r w:rsidRPr="0001088D">
        <w:t xml:space="preserve">. </w:t>
      </w:r>
      <w:r>
        <w:t xml:space="preserve">We defined regions using the </w:t>
      </w:r>
      <w:r w:rsidRPr="0001088D">
        <w:t xml:space="preserve">ABS </w:t>
      </w:r>
      <w:r>
        <w:t>S</w:t>
      </w:r>
      <w:r w:rsidRPr="0001088D">
        <w:t>tatistical Area Level 4</w:t>
      </w:r>
      <w:r>
        <w:t xml:space="preserve"> (SA4) – sub-state areas of approximately 100,000-300,000 residents.</w:t>
      </w:r>
    </w:p>
    <w:p w14:paraId="74FA20CC" w14:textId="30A47920" w:rsidR="00CA1D3C" w:rsidRDefault="00CA1D3C" w:rsidP="00CA1D3C">
      <w:r>
        <w:t>We wanted t</w:t>
      </w:r>
      <w:r w:rsidRPr="0001088D">
        <w:t xml:space="preserve">o minimise the potential for </w:t>
      </w:r>
      <w:r>
        <w:t>including GPs who were on leave or who had recently retired or left the discipline. Consequently,</w:t>
      </w:r>
      <w:r w:rsidRPr="0001088D">
        <w:t xml:space="preserve"> </w:t>
      </w:r>
      <w:r>
        <w:t>prior to randomisation, we removed GPs with no consults or prescriptions in the previous three months. We also removed GPs with less than 50 scripts or less than 500 consults over the course of the previous 12 months, as this is a low level of activity for a GP. There was also a small number of prescribers with prior prescribing rates that were well above the average prescription rate. To deal with this, we removed the top 2</w:t>
      </w:r>
      <w:r w:rsidR="00922341">
        <w:t xml:space="preserve"> per cent</w:t>
      </w:r>
      <w:r>
        <w:t xml:space="preserve"> of prescribers. </w:t>
      </w:r>
    </w:p>
    <w:p w14:paraId="3AC9287F" w14:textId="77777777" w:rsidR="00CA1D3C" w:rsidRDefault="00CA1D3C" w:rsidP="00CA1D3C">
      <w:r>
        <w:t>After these pre-randomisation exclusions had been made, we were left with 22,310 individual GPs. We divided these GPs into regions and selected the top 30 </w:t>
      </w:r>
      <w:r w:rsidRPr="0097245A">
        <w:t>per cent</w:t>
      </w:r>
      <w:r>
        <w:t xml:space="preserve"> of prescribers</w:t>
      </w:r>
      <w:r w:rsidRPr="0097245A">
        <w:t xml:space="preserve"> </w:t>
      </w:r>
      <w:r>
        <w:t xml:space="preserve">in each region. This gave a final sample </w:t>
      </w:r>
      <w:r w:rsidRPr="0097245A">
        <w:t xml:space="preserve">of 6,649 individual </w:t>
      </w:r>
      <w:r>
        <w:t>GPs across 87 regions, which represented the entire study population of interest</w:t>
      </w:r>
      <w:r w:rsidRPr="0097245A">
        <w:t>.</w:t>
      </w:r>
      <w:r>
        <w:t xml:space="preserve"> </w:t>
      </w:r>
    </w:p>
    <w:p w14:paraId="6560FBCF" w14:textId="54A91215" w:rsidR="005A3939" w:rsidRDefault="005A3939">
      <w:pPr>
        <w:spacing w:before="0" w:after="0" w:line="240" w:lineRule="auto"/>
      </w:pPr>
      <w:r>
        <w:br w:type="page"/>
      </w:r>
    </w:p>
    <w:p w14:paraId="52237537" w14:textId="77777777" w:rsidR="00CA1D3C" w:rsidRPr="00E443FB" w:rsidRDefault="00CA1D3C" w:rsidP="00DD29B8">
      <w:pPr>
        <w:pStyle w:val="Heading3"/>
      </w:pPr>
      <w:r w:rsidRPr="00E443FB">
        <w:lastRenderedPageBreak/>
        <w:t>Clustering and spillover effects</w:t>
      </w:r>
    </w:p>
    <w:p w14:paraId="35549A18" w14:textId="58BC55BA" w:rsidR="00CA1D3C" w:rsidRDefault="00CA1D3C" w:rsidP="00CA1D3C">
      <w:r>
        <w:t>It is possible that GPs within the same clinic (or beyond) would talk to one another about correspondence they receive</w:t>
      </w:r>
      <w:r w:rsidR="00331006">
        <w:t>d</w:t>
      </w:r>
      <w:r>
        <w:t xml:space="preserve"> from the </w:t>
      </w:r>
      <w:r w:rsidR="00781E53">
        <w:t>CMO</w:t>
      </w:r>
      <w:r>
        <w:t>. If we assigned different GPs in the same clinic to both treatment and control conditions, or to different types of treatments (letters), this could create ‘spillover effects’ if the GPs shared information contained in the letters with their colleagues. To reduce this possibility, we clustered our trial</w:t>
      </w:r>
      <w:r w:rsidRPr="00CB1307">
        <w:t xml:space="preserve"> at the clinic/practi</w:t>
      </w:r>
      <w:r>
        <w:t xml:space="preserve">ce level. Our 6,649 individual </w:t>
      </w:r>
      <w:r w:rsidRPr="00CB1307">
        <w:t xml:space="preserve">GPs </w:t>
      </w:r>
      <w:r>
        <w:t xml:space="preserve">were grouped into 3,198 clusters, with an average of two GPs to a cluster. This still left a small possibility of spillover effects arising from conversations between GPs in different clinics but we judge this would have had a very low impact on our results (and only in the direction of attenuating treatment effects). </w:t>
      </w:r>
    </w:p>
    <w:p w14:paraId="09A85FC4" w14:textId="77777777" w:rsidR="00CA1D3C" w:rsidRPr="00E443FB" w:rsidRDefault="00CA1D3C" w:rsidP="00DD29B8">
      <w:pPr>
        <w:pStyle w:val="Heading3"/>
      </w:pPr>
      <w:r w:rsidRPr="00E443FB">
        <w:t>Power calculations and sample size</w:t>
      </w:r>
    </w:p>
    <w:p w14:paraId="1B6E9BE7" w14:textId="77777777" w:rsidR="00CA1D3C" w:rsidRDefault="00CA1D3C" w:rsidP="00CA1D3C">
      <w:r>
        <w:t xml:space="preserve">Prior to randomisation, we used our sample to perform power calculations. </w:t>
      </w:r>
    </w:p>
    <w:p w14:paraId="7D5F9B25" w14:textId="30C7991E" w:rsidR="00CA1D3C" w:rsidRPr="00CB1307" w:rsidRDefault="00CA1D3C" w:rsidP="00CA1D3C">
      <w:r>
        <w:t xml:space="preserve">We used historical prescription data to calculate a design effect to take into account the clustered randomisation. We </w:t>
      </w:r>
      <w:r w:rsidRPr="00CB1307">
        <w:t>c</w:t>
      </w:r>
      <w:r>
        <w:t>alculated an</w:t>
      </w:r>
      <w:r w:rsidRPr="00CB1307">
        <w:t xml:space="preserve"> intracluster correlation coefficient of 0.26, an average cluster size of 2.07, and from</w:t>
      </w:r>
      <w:r>
        <w:t xml:space="preserve"> these a design effect of 1.28.</w:t>
      </w:r>
    </w:p>
    <w:p w14:paraId="57CFDD6A" w14:textId="77777777" w:rsidR="00CA1D3C" w:rsidRDefault="00CA1D3C" w:rsidP="00CA1D3C">
      <w:r>
        <w:t>Looking at the historical data, w</w:t>
      </w:r>
      <w:r w:rsidRPr="00CB1307">
        <w:t xml:space="preserve">e </w:t>
      </w:r>
      <w:r>
        <w:t xml:space="preserve">also </w:t>
      </w:r>
      <w:r w:rsidRPr="00CB1307">
        <w:t>found that</w:t>
      </w:r>
      <w:r w:rsidR="00E443FB">
        <w:t xml:space="preserve"> </w:t>
      </w:r>
      <w:r w:rsidRPr="00CB1307">
        <w:t>past prescriptions explained 25</w:t>
      </w:r>
      <w:r>
        <w:t> per cent</w:t>
      </w:r>
      <w:r w:rsidRPr="00CB1307">
        <w:t xml:space="preserve"> of the va</w:t>
      </w:r>
      <w:r>
        <w:t xml:space="preserve">riation in the present prescription rate. Thus, after adjusting for past prescriptions and applying our </w:t>
      </w:r>
      <w:r w:rsidRPr="00CB1307">
        <w:t>design effect</w:t>
      </w:r>
      <w:r>
        <w:t>,</w:t>
      </w:r>
      <w:r w:rsidRPr="00CB1307">
        <w:t xml:space="preserve"> we </w:t>
      </w:r>
      <w:r>
        <w:t>calculated</w:t>
      </w:r>
      <w:r w:rsidRPr="00CB1307">
        <w:t xml:space="preserve"> that a sample size of approximately 1,330 per group </w:t>
      </w:r>
      <w:r>
        <w:t>would provide 90 per cent </w:t>
      </w:r>
      <w:r w:rsidRPr="00CB1307">
        <w:t>power at a 5</w:t>
      </w:r>
      <w:r>
        <w:t> per cent</w:t>
      </w:r>
      <w:r w:rsidRPr="00CB1307">
        <w:t xml:space="preserve"> significance level to detect a 2.75</w:t>
      </w:r>
      <w:r>
        <w:t> per cent</w:t>
      </w:r>
      <w:r w:rsidRPr="00CB1307">
        <w:t xml:space="preserve"> reduction in the antibio</w:t>
      </w:r>
      <w:r>
        <w:t>tic prescription rate (</w:t>
      </w:r>
      <w:r w:rsidRPr="009E1D56">
        <w:t>from 104 to 97.7 scripts per 1,000 consults).</w:t>
      </w:r>
    </w:p>
    <w:p w14:paraId="5C140053" w14:textId="0BE1D567" w:rsidR="00CA1D3C" w:rsidRPr="00E443FB" w:rsidRDefault="00CA1D3C" w:rsidP="00DD29B8">
      <w:pPr>
        <w:pStyle w:val="Heading3"/>
      </w:pPr>
      <w:r w:rsidRPr="00E443FB">
        <w:t>Matching and randomisation</w:t>
      </w:r>
    </w:p>
    <w:p w14:paraId="065D5310" w14:textId="77777777" w:rsidR="00CA1D3C" w:rsidRDefault="00CA1D3C" w:rsidP="00CA1D3C">
      <w:r>
        <w:t>Cluster randomised trials can return biased estimates if cluster size is related to the outcome (Middleton &amp;</w:t>
      </w:r>
      <w:r w:rsidRPr="00EB61E1">
        <w:t xml:space="preserve"> </w:t>
      </w:r>
      <w:r>
        <w:t xml:space="preserve">Aronow, </w:t>
      </w:r>
      <w:r w:rsidRPr="00EB61E1">
        <w:t xml:space="preserve">2011). </w:t>
      </w:r>
      <w:r>
        <w:t xml:space="preserve">In order to protect against this, prior to randomising, we created groups of five clinics that were matched as closely as possible on the number of high prescribers in the clinics. We also matched on the average past prescription rate in the clinic and the socioeconomic status of area the clinic was located in (using the ABS </w:t>
      </w:r>
      <w:r w:rsidRPr="00E919BC">
        <w:t>Socio-Economic Indexes for Areas (SEIFA)</w:t>
      </w:r>
      <w:r>
        <w:t xml:space="preserve"> score</w:t>
      </w:r>
      <w:r w:rsidRPr="00E919BC">
        <w:t>)</w:t>
      </w:r>
      <w:r>
        <w:t xml:space="preserve">. </w:t>
      </w:r>
    </w:p>
    <w:p w14:paraId="4548374C" w14:textId="2792ADBB" w:rsidR="00CA1D3C" w:rsidRDefault="00CA1D3C" w:rsidP="00CA1D3C">
      <w:r>
        <w:t>Within each matched group, we</w:t>
      </w:r>
      <w:r w:rsidRPr="00582F33">
        <w:t xml:space="preserve"> randomised </w:t>
      </w:r>
      <w:r>
        <w:t>clinics to our</w:t>
      </w:r>
      <w:r w:rsidRPr="00582F33">
        <w:t xml:space="preserve"> five </w:t>
      </w:r>
      <w:r>
        <w:t xml:space="preserve">trial </w:t>
      </w:r>
      <w:r w:rsidRPr="00582F33">
        <w:t xml:space="preserve">arms. </w:t>
      </w:r>
      <w:r w:rsidRPr="00672744">
        <w:t xml:space="preserve">The result was approximately 640 </w:t>
      </w:r>
      <w:r>
        <w:t>clinics</w:t>
      </w:r>
      <w:r w:rsidRPr="00672744">
        <w:t xml:space="preserve"> in each of the five arms</w:t>
      </w:r>
      <w:r w:rsidR="00922341">
        <w:t>,</w:t>
      </w:r>
      <w:r w:rsidRPr="00672744">
        <w:t xml:space="preserve"> with each arm containing approximately 1,330 individual </w:t>
      </w:r>
      <w:r w:rsidR="00781E53">
        <w:t>GPs</w:t>
      </w:r>
      <w:r w:rsidRPr="00672744">
        <w:t>.</w:t>
      </w:r>
      <w:r>
        <w:t xml:space="preserve">  </w:t>
      </w:r>
    </w:p>
    <w:p w14:paraId="71C49174" w14:textId="1D0D0275" w:rsidR="00DD29B8" w:rsidRDefault="00DD29B8">
      <w:pPr>
        <w:spacing w:before="0" w:after="0" w:line="240" w:lineRule="auto"/>
      </w:pPr>
      <w:r>
        <w:br w:type="page"/>
      </w:r>
    </w:p>
    <w:p w14:paraId="7E7E3812" w14:textId="5CC54BA5" w:rsidR="00CA1D3C" w:rsidRPr="00E443FB" w:rsidRDefault="00CA1D3C" w:rsidP="00DD29B8">
      <w:pPr>
        <w:pStyle w:val="Heading3"/>
      </w:pPr>
      <w:r w:rsidRPr="00E443FB">
        <w:lastRenderedPageBreak/>
        <w:t>Method of analysis</w:t>
      </w:r>
    </w:p>
    <w:p w14:paraId="4B3A0618" w14:textId="7051BB3C" w:rsidR="00CA1D3C" w:rsidRPr="0036012F" w:rsidRDefault="00CA1D3C" w:rsidP="00CA1D3C">
      <w:r w:rsidRPr="004265E2">
        <w:t>The pr</w:t>
      </w:r>
      <w:r>
        <w:t>incipal analysis of the effect</w:t>
      </w:r>
      <w:r w:rsidRPr="004265E2">
        <w:t xml:space="preserve"> of the intervention </w:t>
      </w:r>
      <w:r>
        <w:t xml:space="preserve">was an adjusted comparison </w:t>
      </w:r>
      <w:r w:rsidRPr="004265E2">
        <w:t xml:space="preserve">of </w:t>
      </w:r>
      <w:r>
        <w:t>our primary outcome</w:t>
      </w:r>
      <w:r w:rsidRPr="004265E2">
        <w:t xml:space="preserve"> across the treatment and control groups. </w:t>
      </w:r>
      <w:r>
        <w:t>This estimate, c</w:t>
      </w:r>
      <w:r w:rsidRPr="00CF0FDF">
        <w:t xml:space="preserve">onfidence intervals </w:t>
      </w:r>
      <w:r w:rsidR="001E5850">
        <w:t xml:space="preserve">(CI) </w:t>
      </w:r>
      <w:r w:rsidRPr="00CF0FDF">
        <w:t>and p</w:t>
      </w:r>
      <w:r>
        <w:t>-values</w:t>
      </w:r>
      <w:r w:rsidRPr="00CF0FDF">
        <w:t xml:space="preserve"> </w:t>
      </w:r>
      <w:r>
        <w:t>were derived from a</w:t>
      </w:r>
      <w:r w:rsidRPr="00CF0FDF">
        <w:t xml:space="preserve"> </w:t>
      </w:r>
      <w:r>
        <w:t xml:space="preserve">linear </w:t>
      </w:r>
      <w:r w:rsidRPr="00CF0FDF">
        <w:t>regression</w:t>
      </w:r>
      <w:r>
        <w:t xml:space="preserve"> model with the following specification:</w:t>
      </w:r>
    </w:p>
    <w:p w14:paraId="0C08B4CB" w14:textId="77777777" w:rsidR="00CA1D3C" w:rsidRPr="00E443FB" w:rsidRDefault="00286B62" w:rsidP="00CA1D3C">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ij</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v</m:t>
              </m:r>
            </m:e>
            <m:sub>
              <m:r>
                <w:rPr>
                  <w:rFonts w:ascii="Cambria Math" w:eastAsiaTheme="minorHAnsi" w:hAnsi="Cambria Math" w:cstheme="minorBidi"/>
                  <w:color w:val="3F3F3F"/>
                  <w:szCs w:val="22"/>
                  <w:lang w:eastAsia="en-US"/>
                </w:rPr>
                <m:t>j</m:t>
              </m:r>
            </m:sub>
          </m:sSub>
          <m:r>
            <w:rPr>
              <w:rFonts w:ascii="Cambria Math" w:hAnsi="Cambria Math"/>
              <w:color w:val="3F3F3F"/>
            </w:rPr>
            <m:t xml:space="preserve">+ </m:t>
          </m:r>
          <m:sSub>
            <m:sSubPr>
              <m:ctrlPr>
                <w:rPr>
                  <w:rFonts w:ascii="Cambria Math" w:hAnsi="Cambria Math"/>
                  <w:i/>
                  <w:color w:val="3F3F3F"/>
                </w:rPr>
              </m:ctrlPr>
            </m:sSubPr>
            <m:e>
              <m:r>
                <w:rPr>
                  <w:rFonts w:ascii="Cambria Math" w:hAnsi="Cambria Math"/>
                  <w:color w:val="3F3F3F"/>
                </w:rPr>
                <m:t>ω</m:t>
              </m:r>
            </m:e>
            <m:sub>
              <m:r>
                <w:rPr>
                  <w:rFonts w:ascii="Cambria Math" w:hAnsi="Cambria Math"/>
                  <w:color w:val="3F3F3F"/>
                </w:rPr>
                <m:t>ij</m:t>
              </m:r>
            </m:sub>
          </m:sSub>
        </m:oMath>
      </m:oMathPara>
    </w:p>
    <w:p w14:paraId="450C7CB4" w14:textId="77777777" w:rsidR="00CA1D3C" w:rsidRDefault="00CA1D3C" w:rsidP="00CA1D3C">
      <w:pPr>
        <w:rPr>
          <w:lang w:eastAsia="en-US"/>
        </w:rPr>
      </w:pPr>
      <w:r w:rsidRPr="002D26B1">
        <w:t>Where</w:t>
      </w:r>
      <w:r>
        <w:t xml:space="preserve"> </w:t>
      </w:r>
      <m:oMath>
        <m:r>
          <w:rPr>
            <w:rFonts w:ascii="Cambria Math" w:hAnsi="Cambria Math"/>
          </w:rPr>
          <m:t>α</m:t>
        </m:r>
      </m:oMath>
      <w:r>
        <w:rPr>
          <w:rFonts w:cstheme="minorHAnsi"/>
        </w:rPr>
        <w:t xml:space="preserve"> is the intercept,</w:t>
      </w:r>
      <w:r w:rsidRPr="002D26B1">
        <w:t xml:space="preserve">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t xml:space="preserve"> is a vector of indicators for</w:t>
      </w:r>
      <w:r w:rsidRPr="002D26B1">
        <w:t xml:space="preserve"> treatment </w:t>
      </w:r>
      <w:r>
        <w:t>group membership,</w:t>
      </w:r>
      <w:r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Pr="002D26B1">
        <w:t xml:space="preserve"> is a vector of mean</w:t>
      </w:r>
      <w:r w:rsidRPr="002D26B1">
        <w:noBreakHyphen/>
        <w:t>centred</w:t>
      </w:r>
      <w:r>
        <w:t xml:space="preserve"> covariates,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t>is an interaction between treatment group indicators and the mean-centred covariates,</w:t>
      </w:r>
      <w:r w:rsidRPr="002D26B1">
        <w:t xml:space="preserve"> </w:t>
      </w:r>
      <m:oMath>
        <m:r>
          <w:rPr>
            <w:rFonts w:ascii="Cambria Math" w:eastAsiaTheme="minorHAnsi" w:hAnsi="Cambria Math"/>
          </w:rPr>
          <m:t>v</m:t>
        </m:r>
      </m:oMath>
      <w:r w:rsidRPr="002D26B1">
        <w:t xml:space="preserve"> represents the error for each </w:t>
      </w:r>
      <w:r>
        <w:t>cluster</w:t>
      </w:r>
      <w:r w:rsidRPr="002D26B1">
        <w:rPr>
          <w:i/>
        </w:rPr>
        <w:t xml:space="preserve"> j</w:t>
      </w:r>
      <w:r>
        <w:rPr>
          <w:i/>
        </w:rPr>
        <w:t>,</w:t>
      </w:r>
      <w:r w:rsidRPr="002D26B1">
        <w:t xml:space="preserve"> and </w:t>
      </w:r>
      <m:oMath>
        <m:r>
          <w:rPr>
            <w:rFonts w:ascii="Cambria Math" w:hAnsi="Cambria Math"/>
          </w:rPr>
          <m:t>ω</m:t>
        </m:r>
      </m:oMath>
      <w:r w:rsidRPr="002D26B1">
        <w:t xml:space="preserve"> is an individual error term</w:t>
      </w:r>
      <w:r>
        <w:t xml:space="preserve"> which picks up any variance not explainable by group membership, treatment indicators or covariates</w:t>
      </w:r>
      <w:r w:rsidRPr="002D26B1">
        <w:t>.</w:t>
      </w:r>
      <w:r>
        <w:t xml:space="preserve"> As per our pre-analysis plan, we included the following </w:t>
      </w:r>
      <w:r w:rsidRPr="002D26B1">
        <w:t>covariates</w:t>
      </w:r>
      <w:r>
        <w:t xml:space="preserve">: </w:t>
      </w:r>
      <w:r w:rsidRPr="002D26B1">
        <w:t>the average pr</w:t>
      </w:r>
      <w:r w:rsidRPr="000B5FA9">
        <w:t>escription rate over the 12 months p</w:t>
      </w:r>
      <w:r>
        <w:t>receding the trial, prescriber</w:t>
      </w:r>
      <w:r w:rsidRPr="002D26B1">
        <w:t xml:space="preserve"> age</w:t>
      </w:r>
      <w:r>
        <w:t>,</w:t>
      </w:r>
      <w:r w:rsidRPr="002D26B1">
        <w:t xml:space="preserve"> and </w:t>
      </w:r>
      <w:r>
        <w:t xml:space="preserve">prescriber </w:t>
      </w:r>
      <w:r w:rsidRPr="002D26B1">
        <w:t>sex</w:t>
      </w:r>
      <w:r>
        <w:t xml:space="preserve">. </w:t>
      </w:r>
      <w:r>
        <w:rPr>
          <w:lang w:eastAsia="en-US"/>
        </w:rPr>
        <w:t xml:space="preserve">These variables were interacted with the treatment indicator as per Lin (2013). </w:t>
      </w:r>
    </w:p>
    <w:p w14:paraId="0B18DEA2" w14:textId="77777777" w:rsidR="00CA1D3C" w:rsidRDefault="00CA1D3C" w:rsidP="00CA1D3C">
      <w:r w:rsidRPr="000B5FA9">
        <w:t>Because of missing data</w:t>
      </w:r>
      <w:r>
        <w:t xml:space="preserve"> (discussed further below)</w:t>
      </w:r>
      <w:r w:rsidRPr="000B5FA9">
        <w:t>,</w:t>
      </w:r>
      <w:r>
        <w:t xml:space="preserve"> it would have been difficult to account</w:t>
      </w:r>
      <w:r w:rsidRPr="000B5FA9">
        <w:t xml:space="preserve"> for matching </w:t>
      </w:r>
      <w:r>
        <w:t xml:space="preserve">since it requires dropping entire blocks of five units when data is missing in one group. Thus, we did not include indicators for each match in our estimating equations. We anticipated this decision in our pre-analysis plan. </w:t>
      </w:r>
    </w:p>
    <w:p w14:paraId="5421AD24" w14:textId="7449DB3A" w:rsidR="00CA1D3C" w:rsidRDefault="00CA1D3C" w:rsidP="00CA1D3C">
      <w:pPr>
        <w:rPr>
          <w:lang w:eastAsia="en-US"/>
        </w:rPr>
      </w:pPr>
      <w:r w:rsidRPr="00AE7D3A">
        <w:rPr>
          <w:lang w:eastAsia="en-US"/>
        </w:rPr>
        <w:t xml:space="preserve">As recommended by Imbens and Kolesár (2016), we </w:t>
      </w:r>
      <w:r>
        <w:rPr>
          <w:lang w:eastAsia="en-US"/>
        </w:rPr>
        <w:t xml:space="preserve">performed </w:t>
      </w:r>
      <w:r w:rsidRPr="00AE7D3A">
        <w:rPr>
          <w:lang w:eastAsia="en-US"/>
        </w:rPr>
        <w:t xml:space="preserve">the Bell McCaffrey adjustment for standard errors and </w:t>
      </w:r>
      <w:r w:rsidR="001E5850">
        <w:rPr>
          <w:lang w:eastAsia="en-US"/>
        </w:rPr>
        <w:t>CI</w:t>
      </w:r>
      <w:r w:rsidRPr="00AE7D3A">
        <w:rPr>
          <w:lang w:eastAsia="en-US"/>
        </w:rPr>
        <w:t xml:space="preserve">. This </w:t>
      </w:r>
      <w:r>
        <w:rPr>
          <w:lang w:eastAsia="en-US"/>
        </w:rPr>
        <w:t>involved calculating a bias</w:t>
      </w:r>
      <w:r>
        <w:rPr>
          <w:lang w:eastAsia="en-US"/>
        </w:rPr>
        <w:noBreakHyphen/>
        <w:t xml:space="preserve">reduced </w:t>
      </w:r>
      <w:r w:rsidRPr="00AE7D3A">
        <w:rPr>
          <w:lang w:eastAsia="en-US"/>
        </w:rPr>
        <w:t xml:space="preserve">cluster robust standard error </w:t>
      </w:r>
      <w:r>
        <w:rPr>
          <w:lang w:eastAsia="en-US"/>
        </w:rPr>
        <w:t xml:space="preserve">(CR2) along </w:t>
      </w:r>
      <w:r w:rsidRPr="00AE7D3A">
        <w:rPr>
          <w:lang w:eastAsia="en-US"/>
        </w:rPr>
        <w:t>with a degrees of freedom adjustment.</w:t>
      </w:r>
      <w:r>
        <w:rPr>
          <w:lang w:eastAsia="en-US"/>
        </w:rPr>
        <w:t xml:space="preserve"> </w:t>
      </w:r>
    </w:p>
    <w:p w14:paraId="2AFC1213" w14:textId="77777777" w:rsidR="00CA1D3C" w:rsidRDefault="00CA1D3C" w:rsidP="00CA1D3C">
      <w:r>
        <w:t>We also ran robustness checks using a version of this model with a log-transformed outcome variable, and another using a negative binomial regression with scripts as the outcome and consults as an offset. Both models produced similar results</w:t>
      </w:r>
      <w:r w:rsidRPr="00806D5A">
        <w:t>.</w:t>
      </w:r>
      <w:r>
        <w:t xml:space="preserve"> These results are available on request.</w:t>
      </w:r>
    </w:p>
    <w:p w14:paraId="234E2E22" w14:textId="17F3CF56" w:rsidR="00CA1D3C" w:rsidRPr="008A1F58" w:rsidRDefault="00CA1D3C" w:rsidP="00DD29B8">
      <w:pPr>
        <w:pStyle w:val="Heading2"/>
        <w:rPr>
          <w:color w:val="2158A8"/>
        </w:rPr>
      </w:pPr>
      <w:r w:rsidRPr="008A1F58">
        <w:rPr>
          <w:color w:val="2158A8"/>
        </w:rPr>
        <w:t>Time series</w:t>
      </w:r>
    </w:p>
    <w:p w14:paraId="094C8FEB" w14:textId="77777777" w:rsidR="00CA1D3C" w:rsidRDefault="00CA1D3C" w:rsidP="00CA1D3C">
      <w:r w:rsidRPr="00585CA1">
        <w:t xml:space="preserve">To estimate changes in the intervention’s </w:t>
      </w:r>
      <w:r w:rsidR="007A199A">
        <w:t>eff</w:t>
      </w:r>
      <w:r w:rsidRPr="00585CA1">
        <w:t xml:space="preserve">ectiveness over time, </w:t>
      </w:r>
      <w:r>
        <w:t>we present individual regressions for each month</w:t>
      </w:r>
      <w:r w:rsidRPr="00585CA1">
        <w:t>.</w:t>
      </w:r>
      <w:r>
        <w:t xml:space="preserve"> We also modelled the monthly effects of the intervention via a mixed effects model. </w:t>
      </w:r>
      <w:r w:rsidRPr="002028FD">
        <w:t>Th</w:t>
      </w:r>
      <w:r>
        <w:t>is</w:t>
      </w:r>
      <w:r w:rsidRPr="002028FD">
        <w:t xml:space="preserve"> model included fixed effects </w:t>
      </w:r>
      <w:r>
        <w:t xml:space="preserve">for treatment, time, time interacted with treatment </w:t>
      </w:r>
      <w:r w:rsidRPr="002028FD">
        <w:t>and baseline covariates</w:t>
      </w:r>
      <w:r>
        <w:t>, and random effects for</w:t>
      </w:r>
      <w:r w:rsidRPr="002028FD">
        <w:t xml:space="preserve"> GP</w:t>
      </w:r>
      <w:r>
        <w:t>s</w:t>
      </w:r>
      <w:r w:rsidRPr="002028FD">
        <w:t xml:space="preserve"> </w:t>
      </w:r>
      <w:r>
        <w:t>and GPs in clinics. The estimates from this model were qualitatively equivalent to the estimates from the individual monthly regressions. The results from the mixed effects model are available on request.</w:t>
      </w:r>
    </w:p>
    <w:p w14:paraId="0173ACF0" w14:textId="4DBE3041" w:rsidR="00DD29B8" w:rsidRDefault="00DD29B8">
      <w:pPr>
        <w:spacing w:before="0" w:after="0" w:line="240" w:lineRule="auto"/>
      </w:pPr>
      <w:r>
        <w:br w:type="page"/>
      </w:r>
    </w:p>
    <w:p w14:paraId="5939DB5F" w14:textId="7F65DA46" w:rsidR="00CA1D3C" w:rsidRPr="00E443FB" w:rsidRDefault="00CA1D3C" w:rsidP="00DD29B8">
      <w:pPr>
        <w:pStyle w:val="Heading3"/>
      </w:pPr>
      <w:r w:rsidRPr="00E443FB">
        <w:lastRenderedPageBreak/>
        <w:t>Data, exclusions and missingness</w:t>
      </w:r>
    </w:p>
    <w:p w14:paraId="1BA1C3C6" w14:textId="746EAED0" w:rsidR="00CA1D3C" w:rsidRDefault="00CA1D3C" w:rsidP="00CA1D3C">
      <w:r>
        <w:t xml:space="preserve">Data were extracted from the </w:t>
      </w:r>
      <w:r w:rsidR="007A199A">
        <w:t xml:space="preserve">Medicare Benefits </w:t>
      </w:r>
      <w:r w:rsidR="00781E53">
        <w:t>Schedule</w:t>
      </w:r>
      <w:r w:rsidR="00E443FB">
        <w:t xml:space="preserve"> and </w:t>
      </w:r>
      <w:r w:rsidR="007A199A">
        <w:t xml:space="preserve">Pharmaceutical </w:t>
      </w:r>
      <w:r w:rsidR="00D229C2">
        <w:t>Benefits Scheme</w:t>
      </w:r>
      <w:r>
        <w:t xml:space="preserve"> database. </w:t>
      </w:r>
    </w:p>
    <w:p w14:paraId="27E04ADD" w14:textId="77777777" w:rsidR="00CA1D3C" w:rsidRDefault="00CA1D3C" w:rsidP="00CA1D3C">
      <w:r>
        <w:t>GPs with no recorded consults for a period were treated as missing and were excluded from analyses for th</w:t>
      </w:r>
      <w:r w:rsidR="00764339">
        <w:t>e</w:t>
      </w:r>
      <w:r>
        <w:t xml:space="preserve"> period (but were included for other periods if they had consult data). As a robustness check, we imputed rates for these individuals based on their pre-trial prescription rate. This did not alter our estimates.</w:t>
      </w:r>
    </w:p>
    <w:p w14:paraId="62A4C225" w14:textId="506C3D46" w:rsidR="00CA1D3C" w:rsidRDefault="00CA1D3C" w:rsidP="00CA1D3C">
      <w:r>
        <w:t>We found a very small number of large outliers in our data (some as large as 375 standard deviation units). Including these in the analysis substantially altered our results. We did not address this possibility in our pre-analysis plan. In order to apply a consistent rule for removing implausible cases, we excluded any GP who had more scripts than consults. We picked this rule b</w:t>
      </w:r>
      <w:r w:rsidRPr="00FC5C2F">
        <w:t xml:space="preserve">ecause it is not </w:t>
      </w:r>
      <w:r>
        <w:t>usual to prescribe more than one</w:t>
      </w:r>
      <w:r w:rsidRPr="00FC5C2F">
        <w:t xml:space="preserve"> script for every consult</w:t>
      </w:r>
      <w:r>
        <w:t>. This effectively removed</w:t>
      </w:r>
      <w:r w:rsidRPr="00FC5C2F">
        <w:t xml:space="preserve"> any observation with a rat</w:t>
      </w:r>
      <w:r>
        <w:t>e above 1,000 scripts per 1,000 </w:t>
      </w:r>
      <w:r w:rsidRPr="00FC5C2F">
        <w:t>consults</w:t>
      </w:r>
      <w:r>
        <w:t xml:space="preserve"> (about 24 standard deviation units)</w:t>
      </w:r>
      <w:r w:rsidRPr="00FC5C2F">
        <w:t>.</w:t>
      </w:r>
      <w:r>
        <w:t xml:space="preserve"> For the six</w:t>
      </w:r>
      <w:r>
        <w:noBreakHyphen/>
        <w:t xml:space="preserve">month pooled analysis we removed two units based on this rule </w:t>
      </w:r>
      <w:r w:rsidR="001E5850">
        <w:t>–</w:t>
      </w:r>
      <w:r>
        <w:t xml:space="preserve"> both had prescription rates above 15,000 scripts per 1,000 consults and were missing data for five out of six months. For the individual month analysis, we removed a total of 25 units. </w:t>
      </w:r>
      <w:r w:rsidR="00034D96">
        <w:fldChar w:fldCharType="begin"/>
      </w:r>
      <w:r w:rsidR="00034D96">
        <w:instrText xml:space="preserve"> REF _Ref514067963 \h </w:instrText>
      </w:r>
      <w:r w:rsidR="00D229C2">
        <w:instrText xml:space="preserve"> \* MERGEFORMAT </w:instrText>
      </w:r>
      <w:r w:rsidR="00034D96">
        <w:fldChar w:fldCharType="separate"/>
      </w:r>
      <w:r w:rsidR="00B425F8" w:rsidRPr="00B425F8">
        <w:rPr>
          <w:b/>
        </w:rPr>
        <w:t xml:space="preserve">Table </w:t>
      </w:r>
      <w:r w:rsidR="00B425F8" w:rsidRPr="00B425F8">
        <w:rPr>
          <w:b/>
          <w:bCs/>
          <w:noProof/>
        </w:rPr>
        <w:t>10</w:t>
      </w:r>
      <w:r w:rsidR="00034D96">
        <w:fldChar w:fldCharType="end"/>
      </w:r>
      <w:r w:rsidR="00034D96">
        <w:t xml:space="preserve"> </w:t>
      </w:r>
      <w:r>
        <w:t>shows missingness and exclusions by treatment group.</w:t>
      </w:r>
    </w:p>
    <w:p w14:paraId="65B8F8AE" w14:textId="10B767D3" w:rsidR="00CA1D3C" w:rsidRPr="00E443FB" w:rsidRDefault="00CA1D3C" w:rsidP="00DD29B8">
      <w:pPr>
        <w:pStyle w:val="Heading3"/>
      </w:pPr>
      <w:r w:rsidRPr="00E443FB">
        <w:t>Impact on the number of scripts</w:t>
      </w:r>
    </w:p>
    <w:p w14:paraId="042912FE" w14:textId="691733C9" w:rsidR="00CA1D3C" w:rsidRDefault="00CA1D3C" w:rsidP="00CA1D3C">
      <w:pPr>
        <w:rPr>
          <w:lang w:eastAsia="en-US"/>
        </w:rPr>
      </w:pPr>
      <w:r w:rsidRPr="008100C9">
        <w:rPr>
          <w:lang w:eastAsia="en-US"/>
        </w:rPr>
        <w:t xml:space="preserve">We also </w:t>
      </w:r>
      <w:r>
        <w:rPr>
          <w:lang w:eastAsia="en-US"/>
        </w:rPr>
        <w:t>looked at the impact of our letters on the raw number of scripts filled.</w:t>
      </w:r>
      <w:r w:rsidRPr="008100C9">
        <w:rPr>
          <w:lang w:eastAsia="en-US"/>
        </w:rPr>
        <w:t xml:space="preserve"> </w:t>
      </w:r>
      <w:r w:rsidR="00DD29B8">
        <w:rPr>
          <w:lang w:eastAsia="en-US"/>
        </w:rPr>
        <w:br/>
      </w:r>
      <w:r w:rsidRPr="008100C9">
        <w:rPr>
          <w:lang w:eastAsia="en-US"/>
        </w:rPr>
        <w:t xml:space="preserve">We </w:t>
      </w:r>
      <w:r>
        <w:rPr>
          <w:lang w:eastAsia="en-US"/>
        </w:rPr>
        <w:t>used a regression</w:t>
      </w:r>
      <w:r w:rsidRPr="008100C9">
        <w:rPr>
          <w:lang w:eastAsia="en-US"/>
        </w:rPr>
        <w:t xml:space="preserve"> model </w:t>
      </w:r>
      <w:r>
        <w:rPr>
          <w:lang w:eastAsia="en-US"/>
        </w:rPr>
        <w:t xml:space="preserve">with the same specification outlined in the ‘Method of analysis section’, however, we used number of scripts for the outcome variable. </w:t>
      </w:r>
      <w:r w:rsidR="00DD29B8">
        <w:rPr>
          <w:lang w:eastAsia="en-US"/>
        </w:rPr>
        <w:br/>
      </w:r>
      <w:r>
        <w:rPr>
          <w:lang w:eastAsia="en-US"/>
        </w:rPr>
        <w:t xml:space="preserve">We used this </w:t>
      </w:r>
      <w:r w:rsidRPr="008100C9">
        <w:rPr>
          <w:lang w:eastAsia="en-US"/>
        </w:rPr>
        <w:t xml:space="preserve">model to predict the number of </w:t>
      </w:r>
      <w:r>
        <w:rPr>
          <w:lang w:eastAsia="en-US"/>
        </w:rPr>
        <w:t>scripts</w:t>
      </w:r>
      <w:r w:rsidRPr="008100C9">
        <w:rPr>
          <w:lang w:eastAsia="en-US"/>
        </w:rPr>
        <w:t xml:space="preserve"> that would have been </w:t>
      </w:r>
      <w:r>
        <w:rPr>
          <w:lang w:eastAsia="en-US"/>
        </w:rPr>
        <w:t>filled</w:t>
      </w:r>
      <w:r w:rsidRPr="008100C9">
        <w:rPr>
          <w:lang w:eastAsia="en-US"/>
        </w:rPr>
        <w:t xml:space="preserve"> </w:t>
      </w:r>
      <w:r>
        <w:rPr>
          <w:lang w:eastAsia="en-US"/>
        </w:rPr>
        <w:t xml:space="preserve">had all units been in the control group and the number filled if all units had been </w:t>
      </w:r>
      <w:r w:rsidRPr="008100C9">
        <w:rPr>
          <w:lang w:eastAsia="en-US"/>
        </w:rPr>
        <w:t xml:space="preserve">in the </w:t>
      </w:r>
      <w:r w:rsidR="00D229C2" w:rsidRPr="00E443FB">
        <w:rPr>
          <w:i/>
          <w:lang w:eastAsia="en-US"/>
        </w:rPr>
        <w:t xml:space="preserve">peer comparison with graph </w:t>
      </w:r>
      <w:r w:rsidR="00D229C2">
        <w:rPr>
          <w:lang w:eastAsia="en-US"/>
        </w:rPr>
        <w:t>group</w:t>
      </w:r>
      <w:r w:rsidRPr="008100C9">
        <w:rPr>
          <w:lang w:eastAsia="en-US"/>
        </w:rPr>
        <w:t xml:space="preserve">. </w:t>
      </w:r>
    </w:p>
    <w:p w14:paraId="36CA3D57" w14:textId="77777777" w:rsidR="00CA1D3C" w:rsidRPr="00E443FB" w:rsidRDefault="00CA1D3C" w:rsidP="00DD29B8">
      <w:pPr>
        <w:pStyle w:val="Heading3"/>
      </w:pPr>
      <w:r w:rsidRPr="00E443FB">
        <w:t xml:space="preserve">Subgroup analyses </w:t>
      </w:r>
    </w:p>
    <w:p w14:paraId="07A00CBF" w14:textId="268D0EC0" w:rsidR="00CA1D3C" w:rsidRDefault="00CA1D3C" w:rsidP="00CA1D3C">
      <w:r>
        <w:t xml:space="preserve">We pre-registered one subgroup comparison </w:t>
      </w:r>
      <w:r w:rsidR="001E5850">
        <w:t>–</w:t>
      </w:r>
      <w:r>
        <w:t xml:space="preserve"> comparing treatment effects between prescribers between the 70</w:t>
      </w:r>
      <w:r w:rsidR="00331006" w:rsidRPr="005B04EE">
        <w:rPr>
          <w:vertAlign w:val="superscript"/>
        </w:rPr>
        <w:t>th</w:t>
      </w:r>
      <w:r>
        <w:t xml:space="preserve"> and 85</w:t>
      </w:r>
      <w:r w:rsidR="00331006" w:rsidRPr="005B04EE">
        <w:rPr>
          <w:vertAlign w:val="superscript"/>
        </w:rPr>
        <w:t>th</w:t>
      </w:r>
      <w:r>
        <w:t xml:space="preserve"> percentile and those above the 85</w:t>
      </w:r>
      <w:r w:rsidRPr="001E5850">
        <w:rPr>
          <w:vertAlign w:val="superscript"/>
        </w:rPr>
        <w:t>th</w:t>
      </w:r>
      <w:r>
        <w:t xml:space="preserve"> percentile. As specified in our pre-analysis plan, we pooled our three </w:t>
      </w:r>
      <w:r w:rsidR="004B032A">
        <w:t>peer comparison</w:t>
      </w:r>
      <w:r>
        <w:t xml:space="preserve"> letter groups for this analysis. We also performed a number of secondary subgroup analyses. Because we did not power the study for these, and because of potential issues with multiple comparisons, these results should be interpreted with caution. </w:t>
      </w:r>
    </w:p>
    <w:p w14:paraId="6CE13DFD" w14:textId="51A1BA26" w:rsidR="00AE3458" w:rsidRPr="00DD29B8" w:rsidRDefault="00CA1D3C" w:rsidP="00D92D7F">
      <w:r w:rsidRPr="000A0282">
        <w:t>We ran regressions within subgroup levels to estimate conditional average treatment effects (CATEs). In order</w:t>
      </w:r>
      <w:r w:rsidR="00331006">
        <w:t xml:space="preserve"> to</w:t>
      </w:r>
      <w:r w:rsidRPr="000A0282">
        <w:t xml:space="preserve"> </w:t>
      </w:r>
      <w:r>
        <w:t>estimate the</w:t>
      </w:r>
      <w:r w:rsidRPr="000A0282">
        <w:t xml:space="preserve"> difference betwe</w:t>
      </w:r>
      <w:r>
        <w:t>en CATEs and test for significance we ran regressions in which we i</w:t>
      </w:r>
      <w:r w:rsidRPr="000A0282">
        <w:t>nteract</w:t>
      </w:r>
      <w:r>
        <w:t>ed</w:t>
      </w:r>
      <w:r w:rsidRPr="000A0282">
        <w:t xml:space="preserve"> an indicator for subgroup membership with an indicator for treatment.</w:t>
      </w:r>
      <w:r w:rsidR="00AE3458">
        <w:br w:type="page"/>
      </w:r>
    </w:p>
    <w:p w14:paraId="37D623F2" w14:textId="77777777" w:rsidR="00AE3458" w:rsidRPr="008A1F58" w:rsidRDefault="00AE3458" w:rsidP="002B5B84">
      <w:pPr>
        <w:pStyle w:val="Heading2TOC"/>
        <w:rPr>
          <w:color w:val="2158A8"/>
          <w:lang w:eastAsia="en-US"/>
        </w:rPr>
      </w:pPr>
      <w:bookmarkStart w:id="21" w:name="_Toc516822209"/>
      <w:r w:rsidRPr="008A1F58">
        <w:rPr>
          <w:color w:val="2158A8"/>
          <w:lang w:eastAsia="en-US"/>
        </w:rPr>
        <w:lastRenderedPageBreak/>
        <w:t xml:space="preserve">Appendix </w:t>
      </w:r>
      <w:r w:rsidR="00D77EB2" w:rsidRPr="008A1F58">
        <w:rPr>
          <w:color w:val="2158A8"/>
          <w:lang w:eastAsia="en-US"/>
        </w:rPr>
        <w:t>B</w:t>
      </w:r>
      <w:r w:rsidRPr="008A1F58">
        <w:rPr>
          <w:color w:val="2158A8"/>
          <w:lang w:eastAsia="en-US"/>
        </w:rPr>
        <w:t>: Statistical tables</w:t>
      </w:r>
      <w:bookmarkEnd w:id="21"/>
    </w:p>
    <w:p w14:paraId="2D2DCAA4" w14:textId="77777777" w:rsidR="00AE3458" w:rsidRDefault="00AE3458" w:rsidP="00AE3458">
      <w:r w:rsidRPr="009F45BB">
        <w:t xml:space="preserve">This appendix presents the statistical tables which underlie the results section. It </w:t>
      </w:r>
      <w:r>
        <w:t>includes detail</w:t>
      </w:r>
      <w:r w:rsidRPr="009F45BB">
        <w:t xml:space="preserve"> not included in the main body of the report.</w:t>
      </w:r>
      <w:r>
        <w:t xml:space="preserve"> Specifically, we present:</w:t>
      </w:r>
    </w:p>
    <w:p w14:paraId="50C3B33E" w14:textId="0C7B9B5E" w:rsidR="00AE3458" w:rsidRDefault="00AE3458" w:rsidP="00FE4030">
      <w:pPr>
        <w:pStyle w:val="ListParagraph"/>
        <w:numPr>
          <w:ilvl w:val="0"/>
          <w:numId w:val="9"/>
        </w:numPr>
      </w:pPr>
      <w:r>
        <w:t>the results of the primary analysis – over six months and monthly – in</w:t>
      </w:r>
      <w:r w:rsidR="00034D96">
        <w:t xml:space="preserve"> </w:t>
      </w:r>
      <w:r w:rsidR="007D5515" w:rsidRPr="008F0865">
        <w:rPr>
          <w:b/>
        </w:rPr>
        <w:fldChar w:fldCharType="begin"/>
      </w:r>
      <w:r w:rsidR="007D5515" w:rsidRPr="008F0865">
        <w:rPr>
          <w:b/>
        </w:rPr>
        <w:instrText xml:space="preserve"> REF _Ref514068253 \h </w:instrText>
      </w:r>
      <w:r w:rsidR="007A562C" w:rsidRPr="008F0865">
        <w:rPr>
          <w:b/>
        </w:rPr>
        <w:instrText xml:space="preserve"> \* MERGEFORMAT </w:instrText>
      </w:r>
      <w:r w:rsidR="007D5515" w:rsidRPr="008F0865">
        <w:rPr>
          <w:b/>
        </w:rPr>
      </w:r>
      <w:r w:rsidR="007D5515" w:rsidRPr="008F0865">
        <w:rPr>
          <w:b/>
        </w:rPr>
        <w:fldChar w:fldCharType="separate"/>
      </w:r>
      <w:r w:rsidR="00B425F8" w:rsidRPr="00B425F8">
        <w:rPr>
          <w:b/>
        </w:rPr>
        <w:t xml:space="preserve">Table </w:t>
      </w:r>
      <w:r w:rsidR="00B425F8" w:rsidRPr="00B425F8">
        <w:rPr>
          <w:b/>
          <w:bCs/>
          <w:noProof/>
        </w:rPr>
        <w:t>4</w:t>
      </w:r>
      <w:r w:rsidR="007D5515" w:rsidRPr="008F0865">
        <w:rPr>
          <w:b/>
        </w:rPr>
        <w:fldChar w:fldCharType="end"/>
      </w:r>
      <w:r w:rsidR="007D5515" w:rsidRPr="008F0865">
        <w:rPr>
          <w:b/>
        </w:rPr>
        <w:t xml:space="preserve"> </w:t>
      </w:r>
      <w:r w:rsidR="007D5515">
        <w:t xml:space="preserve">and </w:t>
      </w:r>
      <w:r w:rsidR="005D48E8">
        <w:br/>
      </w:r>
      <w:r w:rsidR="008F0865" w:rsidRPr="008F0865">
        <w:rPr>
          <w:b/>
        </w:rPr>
        <w:t>Table 5</w:t>
      </w:r>
    </w:p>
    <w:p w14:paraId="7EC03E2A" w14:textId="7D0420CA" w:rsidR="00AE3458" w:rsidRDefault="00AE3458" w:rsidP="00FE4030">
      <w:pPr>
        <w:pStyle w:val="ListParagraph"/>
        <w:numPr>
          <w:ilvl w:val="0"/>
          <w:numId w:val="9"/>
        </w:numPr>
      </w:pPr>
      <w:r>
        <w:t>the pre</w:t>
      </w:r>
      <w:r>
        <w:noBreakHyphen/>
        <w:t>randomisation characteristics and descriptive statistics for the study population in</w:t>
      </w:r>
      <w:r w:rsidR="00034D96">
        <w:t xml:space="preserve"> </w:t>
      </w:r>
      <w:r w:rsidR="007D5515" w:rsidRPr="00E443FB">
        <w:rPr>
          <w:b/>
        </w:rPr>
        <w:fldChar w:fldCharType="begin"/>
      </w:r>
      <w:r w:rsidR="007D5515" w:rsidRPr="00E443FB">
        <w:rPr>
          <w:b/>
        </w:rPr>
        <w:instrText xml:space="preserve"> REF _Ref514068291 \h </w:instrText>
      </w:r>
      <w:r w:rsidR="007A562C">
        <w:rPr>
          <w:b/>
        </w:rPr>
        <w:instrText xml:space="preserve"> \* MERGEFORMAT </w:instrText>
      </w:r>
      <w:r w:rsidR="007D5515" w:rsidRPr="00E443FB">
        <w:rPr>
          <w:b/>
        </w:rPr>
      </w:r>
      <w:r w:rsidR="007D5515" w:rsidRPr="00E443FB">
        <w:rPr>
          <w:b/>
        </w:rPr>
        <w:fldChar w:fldCharType="separate"/>
      </w:r>
      <w:r w:rsidR="00B425F8" w:rsidRPr="00B425F8">
        <w:rPr>
          <w:b/>
        </w:rPr>
        <w:t xml:space="preserve">Table </w:t>
      </w:r>
      <w:r w:rsidR="00B425F8" w:rsidRPr="00B425F8">
        <w:rPr>
          <w:b/>
          <w:bCs/>
          <w:noProof/>
        </w:rPr>
        <w:t>6</w:t>
      </w:r>
      <w:r w:rsidR="007D5515" w:rsidRPr="00E443FB">
        <w:rPr>
          <w:b/>
        </w:rPr>
        <w:fldChar w:fldCharType="end"/>
      </w:r>
      <w:r w:rsidR="007D5515">
        <w:t xml:space="preserve"> and</w:t>
      </w:r>
      <w:r w:rsidR="007D5515" w:rsidRPr="00DD29B8">
        <w:t xml:space="preserve"> </w:t>
      </w:r>
      <w:r w:rsidR="007D5515" w:rsidRPr="00E443FB">
        <w:rPr>
          <w:b/>
        </w:rPr>
        <w:fldChar w:fldCharType="begin"/>
      </w:r>
      <w:r w:rsidR="007D5515" w:rsidRPr="00E443FB">
        <w:rPr>
          <w:b/>
        </w:rPr>
        <w:instrText xml:space="preserve"> REF _Ref514068293 \h </w:instrText>
      </w:r>
      <w:r w:rsidR="007A562C">
        <w:rPr>
          <w:b/>
        </w:rPr>
        <w:instrText xml:space="preserve"> \* MERGEFORMAT </w:instrText>
      </w:r>
      <w:r w:rsidR="007D5515" w:rsidRPr="00E443FB">
        <w:rPr>
          <w:b/>
        </w:rPr>
      </w:r>
      <w:r w:rsidR="007D5515" w:rsidRPr="00E443FB">
        <w:rPr>
          <w:b/>
        </w:rPr>
        <w:fldChar w:fldCharType="separate"/>
      </w:r>
      <w:r w:rsidR="00B425F8" w:rsidRPr="00B425F8">
        <w:rPr>
          <w:b/>
        </w:rPr>
        <w:t xml:space="preserve">Table </w:t>
      </w:r>
      <w:r w:rsidR="00B425F8" w:rsidRPr="00B425F8">
        <w:rPr>
          <w:b/>
          <w:bCs/>
          <w:noProof/>
        </w:rPr>
        <w:t>7</w:t>
      </w:r>
      <w:r w:rsidR="007D5515" w:rsidRPr="00E443FB">
        <w:rPr>
          <w:b/>
        </w:rPr>
        <w:fldChar w:fldCharType="end"/>
      </w:r>
    </w:p>
    <w:p w14:paraId="301DDFFF" w14:textId="226AD5B4" w:rsidR="00AE3458" w:rsidRDefault="00AE3458" w:rsidP="00FE4030">
      <w:pPr>
        <w:pStyle w:val="ListParagraph"/>
        <w:numPr>
          <w:ilvl w:val="0"/>
          <w:numId w:val="9"/>
        </w:numPr>
      </w:pPr>
      <w:r>
        <w:t>subgroup analyses (for high or moderate prescribing rates, age, sex, and socioeconomic status) in</w:t>
      </w:r>
      <w:r w:rsidR="007A562C">
        <w:t xml:space="preserve"> </w:t>
      </w:r>
      <w:r w:rsidR="007A562C" w:rsidRPr="00E443FB">
        <w:rPr>
          <w:b/>
        </w:rPr>
        <w:fldChar w:fldCharType="begin"/>
      </w:r>
      <w:r w:rsidR="007A562C" w:rsidRPr="00E443FB">
        <w:rPr>
          <w:b/>
        </w:rPr>
        <w:instrText xml:space="preserve"> REF _Ref514068320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8</w:t>
      </w:r>
      <w:r w:rsidR="007A562C" w:rsidRPr="00E443FB">
        <w:rPr>
          <w:b/>
        </w:rPr>
        <w:fldChar w:fldCharType="end"/>
      </w:r>
      <w:r w:rsidR="007A562C">
        <w:t xml:space="preserve"> and </w:t>
      </w:r>
      <w:r w:rsidR="007A562C" w:rsidRPr="00E443FB">
        <w:rPr>
          <w:b/>
        </w:rPr>
        <w:fldChar w:fldCharType="begin"/>
      </w:r>
      <w:r w:rsidR="007A562C" w:rsidRPr="00E443FB">
        <w:rPr>
          <w:b/>
        </w:rPr>
        <w:instrText xml:space="preserve"> REF _Ref514063980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9</w:t>
      </w:r>
      <w:r w:rsidR="007A562C" w:rsidRPr="00E443FB">
        <w:rPr>
          <w:b/>
        </w:rPr>
        <w:fldChar w:fldCharType="end"/>
      </w:r>
    </w:p>
    <w:p w14:paraId="05271487" w14:textId="77777777" w:rsidR="00AE3458" w:rsidRPr="009F45BB" w:rsidRDefault="00AE3458" w:rsidP="00FE4030">
      <w:pPr>
        <w:pStyle w:val="ListParagraph"/>
        <w:numPr>
          <w:ilvl w:val="0"/>
          <w:numId w:val="9"/>
        </w:numPr>
      </w:pPr>
      <w:r>
        <w:t xml:space="preserve">missing data and exclusions in </w:t>
      </w:r>
      <w:r w:rsidR="007A562C" w:rsidRPr="00E443FB">
        <w:rPr>
          <w:b/>
        </w:rPr>
        <w:fldChar w:fldCharType="begin"/>
      </w:r>
      <w:r w:rsidR="007A562C" w:rsidRPr="00E443FB">
        <w:rPr>
          <w:b/>
        </w:rPr>
        <w:instrText xml:space="preserve"> REF _Ref514067963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10</w:t>
      </w:r>
      <w:r w:rsidR="007A562C" w:rsidRPr="00E443FB">
        <w:rPr>
          <w:b/>
        </w:rPr>
        <w:fldChar w:fldCharType="end"/>
      </w:r>
      <w:r w:rsidR="00037DDF">
        <w:t>.</w:t>
      </w:r>
      <w:r>
        <w:br/>
      </w:r>
    </w:p>
    <w:p w14:paraId="474B3F2E" w14:textId="3A2A882D" w:rsidR="00AE3458" w:rsidRPr="00DD29B8" w:rsidRDefault="00AC3701" w:rsidP="00DD29B8">
      <w:pPr>
        <w:pStyle w:val="FigureHeading"/>
      </w:pPr>
      <w:r w:rsidRPr="00DD29B8">
        <w:t xml:space="preserve"> </w:t>
      </w:r>
      <w:bookmarkStart w:id="22" w:name="_Ref514068253"/>
      <w:r w:rsidRPr="00DD29B8">
        <w:t xml:space="preserve">Table </w:t>
      </w:r>
      <w:fldSimple w:instr=" SEQ Table \* ARABIC ">
        <w:r w:rsidR="00B425F8">
          <w:rPr>
            <w:noProof/>
          </w:rPr>
          <w:t>4</w:t>
        </w:r>
      </w:fldSimple>
      <w:bookmarkEnd w:id="22"/>
      <w:r w:rsidRPr="00DD29B8">
        <w:t xml:space="preserve">: Primary </w:t>
      </w:r>
      <w:bookmarkStart w:id="23" w:name="_Ref514068206"/>
      <w:r w:rsidR="00AE3458" w:rsidRPr="00DD29B8">
        <w:t>analysis – rates pooled over six months</w:t>
      </w:r>
      <w:bookmarkEnd w:id="23"/>
      <w:r w:rsidR="00AE3458" w:rsidRPr="00DD29B8">
        <w:t xml:space="preserve"> </w:t>
      </w:r>
      <w:r w:rsidR="00DD29B8" w:rsidRPr="00DD29B8">
        <w:tab/>
      </w:r>
    </w:p>
    <w:tbl>
      <w:tblPr>
        <w:tblStyle w:val="DefaultTable"/>
        <w:tblW w:w="9016" w:type="dxa"/>
        <w:tblLayout w:type="fixed"/>
        <w:tblCellMar>
          <w:top w:w="57" w:type="dxa"/>
          <w:bottom w:w="57" w:type="dxa"/>
        </w:tblCellMar>
        <w:tblLook w:val="04A0" w:firstRow="1" w:lastRow="0" w:firstColumn="1" w:lastColumn="0" w:noHBand="0" w:noVBand="1"/>
        <w:tblCaption w:val="Primary analysis- rates pooled over six months"/>
        <w:tblDescription w:val="Showing the rates pooled over six months for each of the five treatment groups."/>
      </w:tblPr>
      <w:tblGrid>
        <w:gridCol w:w="1696"/>
        <w:gridCol w:w="709"/>
        <w:gridCol w:w="1139"/>
        <w:gridCol w:w="1554"/>
        <w:gridCol w:w="1134"/>
        <w:gridCol w:w="1565"/>
        <w:gridCol w:w="1219"/>
      </w:tblGrid>
      <w:tr w:rsidR="00AE3458" w:rsidRPr="009041AF" w14:paraId="7FE4D939"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CC3B422" w14:textId="77777777" w:rsidR="00AE3458" w:rsidRPr="00E443FB" w:rsidRDefault="00AE3458" w:rsidP="007C058D">
            <w:pPr>
              <w:spacing w:before="0" w:after="0" w:line="240" w:lineRule="auto"/>
              <w:rPr>
                <w:rFonts w:cstheme="minorHAnsi"/>
                <w:sz w:val="18"/>
                <w:szCs w:val="20"/>
              </w:rPr>
            </w:pPr>
          </w:p>
        </w:tc>
        <w:tc>
          <w:tcPr>
            <w:tcW w:w="70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AE24FD2"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20"/>
              </w:rPr>
            </w:pPr>
            <w:r w:rsidRPr="00E84B49">
              <w:rPr>
                <w:rFonts w:cstheme="minorHAnsi"/>
                <w:i/>
                <w:color w:val="FFFFFF" w:themeColor="background1"/>
                <w:sz w:val="18"/>
                <w:szCs w:val="20"/>
              </w:rPr>
              <w:t>n</w:t>
            </w:r>
          </w:p>
        </w:tc>
        <w:tc>
          <w:tcPr>
            <w:tcW w:w="113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71D1278"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Adjusted mean</w:t>
            </w:r>
          </w:p>
        </w:tc>
        <w:tc>
          <w:tcPr>
            <w:tcW w:w="155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15A3DB8" w14:textId="779518A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 – Control effect</w:t>
            </w:r>
            <w:r w:rsidRPr="00E84B49">
              <w:rPr>
                <w:rFonts w:cstheme="minorHAnsi"/>
                <w:color w:val="FFFFFF" w:themeColor="background1"/>
                <w:sz w:val="18"/>
                <w:szCs w:val="20"/>
              </w:rPr>
              <w:br/>
              <w:t>(95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13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DFE71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c>
          <w:tcPr>
            <w:tcW w:w="1565"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5494B3B" w14:textId="2DDFBCB3" w:rsidR="00AE3458" w:rsidRPr="00E443FB"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Treatment-Education</w:t>
            </w:r>
            <w:r w:rsidR="00375F6F">
              <w:rPr>
                <w:rFonts w:cstheme="minorHAnsi"/>
                <w:color w:val="FFFFFF" w:themeColor="background1"/>
                <w:sz w:val="18"/>
                <w:szCs w:val="20"/>
              </w:rPr>
              <w:t xml:space="preserve">-only </w:t>
            </w:r>
            <w:r w:rsidRPr="00E84B49">
              <w:rPr>
                <w:rFonts w:cstheme="minorHAnsi"/>
                <w:color w:val="FFFFFF" w:themeColor="background1"/>
                <w:sz w:val="18"/>
                <w:szCs w:val="20"/>
              </w:rPr>
              <w:t>effect (95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21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07D7E124"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r>
      <w:tr w:rsidR="00AE3458" w:rsidRPr="009041AF" w14:paraId="065F9EFB"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096E53ED" w14:textId="77777777" w:rsidR="00AE3458" w:rsidRPr="00DD29B8" w:rsidRDefault="00AE3458" w:rsidP="007C058D">
            <w:pPr>
              <w:spacing w:before="0" w:after="0" w:line="240" w:lineRule="auto"/>
              <w:rPr>
                <w:rFonts w:cstheme="minorHAnsi"/>
                <w:b/>
                <w:color w:val="3F3F3F"/>
                <w:sz w:val="18"/>
                <w:szCs w:val="20"/>
              </w:rPr>
            </w:pPr>
            <w:r w:rsidRPr="00DD29B8">
              <w:rPr>
                <w:rFonts w:cstheme="minorHAnsi"/>
                <w:b/>
                <w:color w:val="3F3F3F"/>
                <w:sz w:val="18"/>
                <w:szCs w:val="20"/>
              </w:rPr>
              <w:t xml:space="preserve">Control </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89654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1,332</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6A2491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109.3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17E26C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46D1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470EE2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102E03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0EE81331"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1D62BB3B" w14:textId="77777777" w:rsidR="00AE3458" w:rsidRPr="00DD29B8" w:rsidRDefault="00AE3458">
            <w:pPr>
              <w:spacing w:before="0" w:after="0" w:line="240" w:lineRule="auto"/>
              <w:rPr>
                <w:rFonts w:cstheme="minorHAnsi"/>
                <w:b/>
                <w:color w:val="3F3F3F"/>
                <w:sz w:val="18"/>
                <w:szCs w:val="20"/>
              </w:rPr>
            </w:pPr>
            <w:r w:rsidRPr="00DD29B8">
              <w:rPr>
                <w:rFonts w:cstheme="minorHAnsi"/>
                <w:b/>
                <w:color w:val="3F3F3F"/>
                <w:sz w:val="18"/>
                <w:szCs w:val="20"/>
              </w:rPr>
              <w:t>Education</w:t>
            </w:r>
            <w:r w:rsidR="00D90F6D" w:rsidRPr="00DD29B8">
              <w:rPr>
                <w:rFonts w:cstheme="minorHAnsi"/>
                <w:b/>
                <w:color w:val="3F3F3F"/>
                <w:sz w:val="18"/>
                <w:szCs w:val="20"/>
              </w:rPr>
              <w:t>-</w:t>
            </w:r>
            <w:r w:rsidR="0096784A" w:rsidRPr="00DD29B8">
              <w:rPr>
                <w:rFonts w:cstheme="minorHAnsi"/>
                <w:b/>
                <w:color w:val="3F3F3F"/>
                <w:sz w:val="18"/>
                <w:szCs w:val="20"/>
              </w:rPr>
              <w:t>only</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FB59B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1,305</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250EF7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105.8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4A48F1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-3.5 </w:t>
            </w:r>
            <w:r w:rsidRPr="00E443FB">
              <w:rPr>
                <w:rFonts w:cstheme="minorHAnsi"/>
                <w:color w:val="3F3F3F"/>
                <w:sz w:val="18"/>
                <w:szCs w:val="20"/>
              </w:rPr>
              <w:br/>
              <w:t>(-6.2 to -0.8)</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B627E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0.013</w:t>
            </w: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3CABF0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B3798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34EAA86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7834EE14" w14:textId="77777777" w:rsidR="00AE3458" w:rsidRPr="00DD29B8" w:rsidRDefault="00AE3458" w:rsidP="000E16A1">
            <w:pPr>
              <w:spacing w:before="0" w:after="0" w:line="240" w:lineRule="auto"/>
              <w:rPr>
                <w:rFonts w:cstheme="minorHAnsi"/>
                <w:b/>
                <w:color w:val="3F3F3F"/>
                <w:sz w:val="18"/>
                <w:szCs w:val="20"/>
              </w:rPr>
            </w:pPr>
            <w:r w:rsidRPr="00DD29B8">
              <w:rPr>
                <w:rFonts w:cstheme="minorHAnsi"/>
                <w:b/>
                <w:color w:val="3F3F3F"/>
                <w:sz w:val="18"/>
                <w:szCs w:val="20"/>
              </w:rPr>
              <w:t xml:space="preserve">Education </w:t>
            </w:r>
            <w:r w:rsidR="00E62BDB" w:rsidRPr="00DD29B8">
              <w:rPr>
                <w:rFonts w:cstheme="minorHAnsi"/>
                <w:b/>
                <w:color w:val="3F3F3F"/>
                <w:sz w:val="18"/>
                <w:szCs w:val="20"/>
              </w:rPr>
              <w:t xml:space="preserve">with </w:t>
            </w:r>
            <w:r w:rsidR="00B20C36" w:rsidRPr="00DD29B8">
              <w:rPr>
                <w:rFonts w:cstheme="minorHAnsi"/>
                <w:b/>
                <w:color w:val="3F3F3F"/>
                <w:sz w:val="18"/>
                <w:szCs w:val="20"/>
              </w:rPr>
              <w:t>peer comparison</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219E66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4D707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99.2</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856A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-10.2 </w:t>
            </w:r>
            <w:r w:rsidRPr="00E443FB">
              <w:rPr>
                <w:rFonts w:cstheme="minorHAnsi"/>
                <w:color w:val="3F3F3F"/>
                <w:sz w:val="18"/>
                <w:szCs w:val="20"/>
              </w:rPr>
              <w:br/>
              <w:t>(-13.7 to -6.6)</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C662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6BC8626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-6.7 </w:t>
            </w:r>
            <w:r w:rsidRPr="00E443FB">
              <w:rPr>
                <w:rFonts w:cstheme="minorHAnsi"/>
                <w:color w:val="3F3F3F"/>
                <w:sz w:val="18"/>
                <w:szCs w:val="20"/>
              </w:rPr>
              <w:br/>
              <w:t>(-10 to -3.4)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017307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0.00007</w:t>
            </w:r>
          </w:p>
        </w:tc>
      </w:tr>
      <w:tr w:rsidR="00AE3458" w:rsidRPr="009041AF" w14:paraId="3FBD3798"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294C2695" w14:textId="77777777" w:rsidR="00AE3458" w:rsidRPr="00DD29B8" w:rsidRDefault="00B20C36">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D90F6D" w:rsidRPr="00DD29B8">
              <w:rPr>
                <w:rFonts w:cstheme="minorHAnsi"/>
                <w:b/>
                <w:color w:val="3F3F3F"/>
                <w:sz w:val="18"/>
                <w:szCs w:val="20"/>
              </w:rPr>
              <w:t>with</w:t>
            </w:r>
            <w:r w:rsidRPr="00DD29B8">
              <w:rPr>
                <w:rFonts w:cstheme="minorHAnsi"/>
                <w:b/>
                <w:color w:val="3F3F3F"/>
                <w:sz w:val="18"/>
                <w:szCs w:val="20"/>
              </w:rPr>
              <w:t xml:space="preserve"> d</w:t>
            </w:r>
            <w:r w:rsidR="00AE3458" w:rsidRPr="00DD29B8">
              <w:rPr>
                <w:rFonts w:cstheme="minorHAnsi"/>
                <w:b/>
                <w:color w:val="3F3F3F"/>
                <w:sz w:val="18"/>
                <w:szCs w:val="20"/>
              </w:rPr>
              <w:t>elayed prescribing</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6970DDF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1,339</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29FFEE9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97.9</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A6FD1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-11.5 </w:t>
            </w:r>
            <w:r w:rsidRPr="00E443FB">
              <w:rPr>
                <w:rFonts w:cstheme="minorHAnsi"/>
                <w:color w:val="3F3F3F"/>
                <w:sz w:val="18"/>
                <w:szCs w:val="20"/>
              </w:rPr>
              <w:br/>
              <w:t>(-14.5 to -8.5)</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BEFE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p w14:paraId="502EA7F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28ED85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-8 </w:t>
            </w:r>
            <w:r w:rsidRPr="00E443FB">
              <w:rPr>
                <w:rFonts w:cstheme="minorHAnsi"/>
                <w:color w:val="3F3F3F"/>
                <w:sz w:val="18"/>
                <w:szCs w:val="20"/>
              </w:rPr>
              <w:br/>
              <w:t>(-10.7 to -5.3)</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B2619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r w:rsidR="00AE3458" w:rsidRPr="009041AF" w14:paraId="03339D7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590A9949" w14:textId="77777777" w:rsidR="00AE3458" w:rsidRPr="00DD29B8" w:rsidRDefault="00B20C36" w:rsidP="000E16A1">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E62BDB" w:rsidRPr="00DD29B8">
              <w:rPr>
                <w:rFonts w:cstheme="minorHAnsi"/>
                <w:b/>
                <w:color w:val="3F3F3F"/>
                <w:sz w:val="18"/>
                <w:szCs w:val="20"/>
              </w:rPr>
              <w:t xml:space="preserve">with </w:t>
            </w:r>
            <w:r w:rsidR="003F31E9" w:rsidRPr="00DD29B8">
              <w:rPr>
                <w:rFonts w:cstheme="minorHAnsi"/>
                <w:b/>
                <w:color w:val="3F3F3F"/>
                <w:sz w:val="18"/>
                <w:szCs w:val="20"/>
              </w:rPr>
              <w:t>graph</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06A761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1,322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E63D9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95.8</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37A3686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-13.6 </w:t>
            </w:r>
            <w:r w:rsidRPr="00E443FB">
              <w:rPr>
                <w:rFonts w:cstheme="minorHAnsi"/>
                <w:color w:val="3F3F3F"/>
                <w:sz w:val="18"/>
                <w:szCs w:val="20"/>
              </w:rPr>
              <w:br/>
              <w:t xml:space="preserve">(-16.6 to -10.6) </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12E89F4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0133C7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-10.1 </w:t>
            </w:r>
            <w:r w:rsidRPr="00E443FB">
              <w:rPr>
                <w:rFonts w:cstheme="minorHAnsi"/>
                <w:color w:val="3F3F3F"/>
                <w:sz w:val="18"/>
                <w:szCs w:val="20"/>
              </w:rPr>
              <w:br/>
              <w:t>(-12.8 to -7.4)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A73AFF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bl>
    <w:p w14:paraId="6E2D66CD" w14:textId="74E35345" w:rsidR="00AE3458" w:rsidRPr="00052946" w:rsidRDefault="00AE3458" w:rsidP="00AE3458">
      <w:pPr>
        <w:pStyle w:val="SourceNotesText"/>
      </w:pPr>
      <w:r w:rsidRPr="00052946">
        <w:t xml:space="preserve">Note: Means and treatment effects are </w:t>
      </w:r>
      <w:r>
        <w:t xml:space="preserve">in </w:t>
      </w:r>
      <w:r w:rsidRPr="00052946">
        <w:t xml:space="preserve">scripts filled per 1,000 consults. </w:t>
      </w:r>
      <w:r w:rsidRPr="00052946">
        <w:rPr>
          <w:i/>
        </w:rPr>
        <w:t>n</w:t>
      </w:r>
      <w:r w:rsidRPr="00052946">
        <w:t xml:space="preserve"> is the group sample size taking into account exclusions and missing data. Adjusted </w:t>
      </w:r>
      <w:r>
        <w:t>means, treatment estimates, 95</w:t>
      </w:r>
      <w:r w:rsidR="001E5850">
        <w:t> per </w:t>
      </w:r>
      <w:r w:rsidR="00A40CD1">
        <w:t>cent CI</w:t>
      </w:r>
      <w:r w:rsidRPr="00052946">
        <w:t xml:space="preserve"> and p-value are from a linear regression model adjusted for GPs</w:t>
      </w:r>
      <w:r w:rsidR="001E5850">
        <w:t>’</w:t>
      </w:r>
      <w:r w:rsidRPr="00052946">
        <w:t xml:space="preserve"> previous prescription </w:t>
      </w:r>
      <w:r w:rsidRPr="00E443FB">
        <w:rPr>
          <w:color w:val="3F3F3F"/>
        </w:rPr>
        <w:t>rate</w:t>
      </w:r>
      <w:r w:rsidRPr="00052946">
        <w:t xml:space="preserve">, age and sex. </w:t>
      </w:r>
      <w:r>
        <w:t xml:space="preserve">We used </w:t>
      </w:r>
      <w:r w:rsidRPr="00052946">
        <w:t xml:space="preserve">robust standard errors </w:t>
      </w:r>
      <w:r>
        <w:t xml:space="preserve">(CR2) </w:t>
      </w:r>
      <w:r w:rsidRPr="00052946">
        <w:t xml:space="preserve">with a degrees of freedom adjustment. </w:t>
      </w:r>
    </w:p>
    <w:p w14:paraId="1FB59745" w14:textId="77777777" w:rsidR="00DD29B8" w:rsidRDefault="00DD29B8">
      <w:r>
        <w:br w:type="page"/>
      </w:r>
    </w:p>
    <w:p w14:paraId="749B9683" w14:textId="36765BB0" w:rsidR="00AE3458" w:rsidRPr="00F34A74" w:rsidRDefault="000C3741" w:rsidP="00DD29B8">
      <w:pPr>
        <w:pStyle w:val="FigureHeading"/>
      </w:pPr>
      <w:bookmarkStart w:id="24" w:name="_Ref514067304"/>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5</w:t>
      </w:r>
      <w:r w:rsidR="00AD3544">
        <w:rPr>
          <w:noProof/>
        </w:rPr>
        <w:fldChar w:fldCharType="end"/>
      </w:r>
      <w:bookmarkEnd w:id="24"/>
      <w:r w:rsidR="00952192" w:rsidRPr="00F34A74">
        <w:t xml:space="preserve">: </w:t>
      </w:r>
      <w:r w:rsidR="00AE3458" w:rsidRPr="00F34A74">
        <w:t xml:space="preserve">Primary analysis </w:t>
      </w:r>
      <w:r w:rsidRPr="00E443FB">
        <w:t>–</w:t>
      </w:r>
      <w:r w:rsidR="00AE3458" w:rsidRPr="00F34A74">
        <w:t xml:space="preserve"> </w:t>
      </w:r>
      <w:r w:rsidR="001E5850">
        <w:t>m</w:t>
      </w:r>
      <w:r w:rsidR="00AE3458" w:rsidRPr="00F34A74">
        <w:t>onthly treatment effects</w:t>
      </w:r>
    </w:p>
    <w:tbl>
      <w:tblPr>
        <w:tblStyle w:val="DefaultTable"/>
        <w:tblW w:w="9781" w:type="dxa"/>
        <w:tblLayout w:type="fixed"/>
        <w:tblCellMar>
          <w:top w:w="57" w:type="dxa"/>
          <w:bottom w:w="57" w:type="dxa"/>
        </w:tblCellMar>
        <w:tblLook w:val="04A0" w:firstRow="1" w:lastRow="0" w:firstColumn="1" w:lastColumn="0" w:noHBand="0" w:noVBand="1"/>
        <w:tblCaption w:val="Primary analysis- monthly treatment effects"/>
        <w:tblDescription w:val="Showing the monthly treatment effects for each of the four letter groups."/>
      </w:tblPr>
      <w:tblGrid>
        <w:gridCol w:w="1134"/>
        <w:gridCol w:w="1277"/>
        <w:gridCol w:w="577"/>
        <w:gridCol w:w="261"/>
        <w:gridCol w:w="1417"/>
        <w:gridCol w:w="577"/>
        <w:gridCol w:w="278"/>
        <w:gridCol w:w="1417"/>
        <w:gridCol w:w="577"/>
        <w:gridCol w:w="272"/>
        <w:gridCol w:w="1417"/>
        <w:gridCol w:w="577"/>
      </w:tblGrid>
      <w:tr w:rsidR="00507269" w:rsidRPr="009041AF" w14:paraId="15E7298B"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142E3A" w:themeFill="text2"/>
            <w:noWrap/>
            <w:hideMark/>
          </w:tcPr>
          <w:p w14:paraId="0FEA0426" w14:textId="77777777" w:rsidR="00AE3458" w:rsidRPr="003D64CD" w:rsidRDefault="00AE3458" w:rsidP="007C058D">
            <w:pPr>
              <w:spacing w:before="0" w:after="0" w:line="240" w:lineRule="auto"/>
              <w:rPr>
                <w:rFonts w:cstheme="minorHAnsi"/>
                <w:sz w:val="18"/>
                <w:szCs w:val="18"/>
              </w:rPr>
            </w:pPr>
          </w:p>
        </w:tc>
        <w:tc>
          <w:tcPr>
            <w:tcW w:w="1854" w:type="dxa"/>
            <w:gridSpan w:val="2"/>
            <w:tcBorders>
              <w:top w:val="nil"/>
              <w:bottom w:val="nil"/>
              <w:right w:val="nil"/>
            </w:tcBorders>
            <w:shd w:val="clear" w:color="auto" w:fill="142E3A" w:themeFill="text2"/>
            <w:noWrap/>
            <w:hideMark/>
          </w:tcPr>
          <w:p w14:paraId="1FADD04B" w14:textId="77777777" w:rsidR="00AE3458" w:rsidRPr="00E443FB" w:rsidRDefault="00AE3458" w:rsidP="009678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Education</w:t>
            </w:r>
            <w:r w:rsidR="00D90F6D" w:rsidRPr="00E84B49">
              <w:rPr>
                <w:rFonts w:cstheme="minorHAnsi"/>
                <w:color w:val="FFFFFF" w:themeColor="background1"/>
                <w:sz w:val="18"/>
                <w:szCs w:val="18"/>
              </w:rPr>
              <w:t>-</w:t>
            </w:r>
            <w:r w:rsidR="0096784A" w:rsidRPr="00E84B49">
              <w:rPr>
                <w:rFonts w:cstheme="minorHAnsi"/>
                <w:color w:val="FFFFFF" w:themeColor="background1"/>
                <w:sz w:val="18"/>
                <w:szCs w:val="18"/>
              </w:rPr>
              <w:t>only</w:t>
            </w:r>
          </w:p>
        </w:tc>
        <w:tc>
          <w:tcPr>
            <w:tcW w:w="261" w:type="dxa"/>
            <w:tcBorders>
              <w:top w:val="nil"/>
              <w:left w:val="nil"/>
              <w:bottom w:val="nil"/>
            </w:tcBorders>
            <w:shd w:val="clear" w:color="auto" w:fill="142E3A" w:themeFill="text2"/>
          </w:tcPr>
          <w:p w14:paraId="6A1C8058"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274AB86"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Education </w:t>
            </w:r>
            <w:r w:rsidR="00E62BDB" w:rsidRPr="00E84B49">
              <w:rPr>
                <w:rFonts w:cstheme="minorHAnsi"/>
                <w:color w:val="FFFFFF" w:themeColor="background1"/>
                <w:sz w:val="18"/>
                <w:szCs w:val="18"/>
              </w:rPr>
              <w:t xml:space="preserve">with </w:t>
            </w:r>
            <w:r w:rsidRPr="00E84B49">
              <w:rPr>
                <w:rFonts w:cstheme="minorHAnsi"/>
                <w:color w:val="FFFFFF" w:themeColor="background1"/>
                <w:sz w:val="18"/>
                <w:szCs w:val="18"/>
              </w:rPr>
              <w:t>peer comparison</w:t>
            </w:r>
          </w:p>
        </w:tc>
        <w:tc>
          <w:tcPr>
            <w:tcW w:w="278" w:type="dxa"/>
            <w:tcBorders>
              <w:top w:val="nil"/>
              <w:bottom w:val="nil"/>
            </w:tcBorders>
            <w:shd w:val="clear" w:color="auto" w:fill="142E3A" w:themeFill="text2"/>
          </w:tcPr>
          <w:p w14:paraId="30E521AD"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149B633" w14:textId="77777777" w:rsidR="00AE3458" w:rsidRPr="00E443FB" w:rsidRDefault="00B20C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D90F6D" w:rsidRPr="00E84B49">
              <w:rPr>
                <w:rFonts w:cstheme="minorHAnsi"/>
                <w:color w:val="FFFFFF" w:themeColor="background1"/>
                <w:sz w:val="18"/>
                <w:szCs w:val="18"/>
              </w:rPr>
              <w:t>with</w:t>
            </w:r>
            <w:r w:rsidRPr="00E84B49">
              <w:rPr>
                <w:rFonts w:cstheme="minorHAnsi"/>
                <w:color w:val="FFFFFF" w:themeColor="background1"/>
                <w:sz w:val="18"/>
                <w:szCs w:val="18"/>
              </w:rPr>
              <w:t xml:space="preserve"> delayed prescribing</w:t>
            </w:r>
          </w:p>
        </w:tc>
        <w:tc>
          <w:tcPr>
            <w:tcW w:w="272" w:type="dxa"/>
            <w:tcBorders>
              <w:top w:val="nil"/>
              <w:bottom w:val="nil"/>
            </w:tcBorders>
            <w:shd w:val="clear" w:color="auto" w:fill="142E3A" w:themeFill="text2"/>
          </w:tcPr>
          <w:p w14:paraId="63DF9FE3"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right w:val="nil"/>
            </w:tcBorders>
            <w:shd w:val="clear" w:color="auto" w:fill="142E3A" w:themeFill="text2"/>
            <w:noWrap/>
            <w:hideMark/>
          </w:tcPr>
          <w:p w14:paraId="1505ADBF"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E62BDB" w:rsidRPr="00E84B49">
              <w:rPr>
                <w:rFonts w:cstheme="minorHAnsi"/>
                <w:color w:val="FFFFFF" w:themeColor="background1"/>
                <w:sz w:val="18"/>
                <w:szCs w:val="18"/>
              </w:rPr>
              <w:t xml:space="preserve">with </w:t>
            </w:r>
            <w:r w:rsidR="003F31E9" w:rsidRPr="00E84B49">
              <w:rPr>
                <w:rFonts w:cstheme="minorHAnsi"/>
                <w:color w:val="FFFFFF" w:themeColor="background1"/>
                <w:sz w:val="18"/>
                <w:szCs w:val="18"/>
              </w:rPr>
              <w:t>graph</w:t>
            </w:r>
          </w:p>
        </w:tc>
      </w:tr>
      <w:tr w:rsidR="00286B62" w:rsidRPr="009041AF" w14:paraId="43D7682B" w14:textId="77777777" w:rsidTr="007A3D6E">
        <w:tblPrEx>
          <w:tblBorders>
            <w:bottom w:val="single" w:sz="2" w:space="0" w:color="808080" w:themeColor="background1" w:themeShade="80"/>
            <w:insideH w:val="single" w:sz="2" w:space="0" w:color="808080" w:themeColor="background1" w:themeShade="80"/>
          </w:tblBorders>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8" w:type="dxa"/>
            <w:tcBorders>
              <w:top w:val="nil"/>
              <w:bottom w:val="nil"/>
            </w:tcBorders>
            <w:shd w:val="clear" w:color="auto" w:fill="142E3A" w:themeFill="text2"/>
            <w:noWrap/>
            <w:hideMark/>
          </w:tcPr>
          <w:p w14:paraId="603172F7" w14:textId="77777777" w:rsidR="00AE3458" w:rsidRPr="00E443FB" w:rsidRDefault="00AE3458" w:rsidP="007C058D">
            <w:pPr>
              <w:spacing w:before="0" w:after="0" w:line="240" w:lineRule="auto"/>
              <w:jc w:val="center"/>
              <w:rPr>
                <w:rFonts w:cstheme="minorHAnsi"/>
                <w:b/>
                <w:color w:val="FFFFFF" w:themeColor="background1"/>
                <w:sz w:val="18"/>
                <w:szCs w:val="18"/>
              </w:rPr>
            </w:pPr>
          </w:p>
        </w:tc>
        <w:tc>
          <w:tcPr>
            <w:tcW w:w="8" w:type="dxa"/>
            <w:tcBorders>
              <w:top w:val="nil"/>
            </w:tcBorders>
            <w:shd w:val="clear" w:color="auto" w:fill="142E3A" w:themeFill="text2"/>
            <w:noWrap/>
            <w:hideMark/>
          </w:tcPr>
          <w:p w14:paraId="641453C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right w:val="nil"/>
            </w:tcBorders>
            <w:shd w:val="clear" w:color="auto" w:fill="142E3A" w:themeFill="text2"/>
            <w:noWrap/>
            <w:hideMark/>
          </w:tcPr>
          <w:p w14:paraId="7ADF08A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left w:val="nil"/>
            </w:tcBorders>
            <w:shd w:val="clear" w:color="auto" w:fill="142E3A" w:themeFill="text2"/>
          </w:tcPr>
          <w:p w14:paraId="595AF4AF"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tcBorders>
            <w:shd w:val="clear" w:color="auto" w:fill="142E3A" w:themeFill="text2"/>
            <w:noWrap/>
            <w:hideMark/>
          </w:tcPr>
          <w:p w14:paraId="1169C28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tcBorders>
            <w:shd w:val="clear" w:color="auto" w:fill="142E3A" w:themeFill="text2"/>
            <w:noWrap/>
            <w:hideMark/>
          </w:tcPr>
          <w:p w14:paraId="21579C0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bottom w:val="nil"/>
            </w:tcBorders>
            <w:shd w:val="clear" w:color="auto" w:fill="142E3A" w:themeFill="text2"/>
          </w:tcPr>
          <w:p w14:paraId="390A08E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tcBorders>
            <w:shd w:val="clear" w:color="auto" w:fill="142E3A" w:themeFill="text2"/>
            <w:noWrap/>
            <w:hideMark/>
          </w:tcPr>
          <w:p w14:paraId="5104FEAE"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tcBorders>
            <w:shd w:val="clear" w:color="auto" w:fill="142E3A" w:themeFill="text2"/>
            <w:noWrap/>
            <w:hideMark/>
          </w:tcPr>
          <w:p w14:paraId="47AB34D9"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bottom w:val="nil"/>
            </w:tcBorders>
            <w:shd w:val="clear" w:color="auto" w:fill="142E3A" w:themeFill="text2"/>
          </w:tcPr>
          <w:p w14:paraId="0E17484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bottom w:val="nil"/>
            </w:tcBorders>
            <w:shd w:val="clear" w:color="auto" w:fill="142E3A" w:themeFill="text2"/>
            <w:noWrap/>
            <w:hideMark/>
          </w:tcPr>
          <w:p w14:paraId="2E3D2875"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bottom w:val="nil"/>
            </w:tcBorders>
            <w:shd w:val="clear" w:color="auto" w:fill="142E3A" w:themeFill="text2"/>
            <w:noWrap/>
            <w:hideMark/>
          </w:tcPr>
          <w:p w14:paraId="7B45E7B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r>
      <w:tr w:rsidR="00507269" w:rsidRPr="009041AF" w14:paraId="79A7C5AA"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142E3A" w:themeColor="text2"/>
            </w:tcBorders>
            <w:shd w:val="clear" w:color="auto" w:fill="FFFFFF" w:themeFill="background1"/>
            <w:noWrap/>
            <w:hideMark/>
          </w:tcPr>
          <w:p w14:paraId="39C409DF"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 xml:space="preserve">June </w:t>
            </w:r>
            <w:r w:rsidRPr="00FD4F97">
              <w:rPr>
                <w:rFonts w:cstheme="minorHAnsi"/>
                <w:b/>
                <w:color w:val="3F3F3F"/>
                <w:sz w:val="18"/>
                <w:szCs w:val="18"/>
              </w:rPr>
              <w:br/>
              <w:t>(pre-trial)</w:t>
            </w:r>
          </w:p>
        </w:tc>
        <w:tc>
          <w:tcPr>
            <w:tcW w:w="1277" w:type="dxa"/>
            <w:tcBorders>
              <w:bottom w:val="single" w:sz="4" w:space="0" w:color="142E3A" w:themeColor="text2"/>
            </w:tcBorders>
            <w:shd w:val="clear" w:color="auto" w:fill="FFFFFF" w:themeFill="background1"/>
            <w:noWrap/>
            <w:hideMark/>
          </w:tcPr>
          <w:p w14:paraId="30BB78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-1.8 </w:t>
            </w:r>
            <w:r w:rsidRPr="00E443FB">
              <w:rPr>
                <w:rFonts w:cstheme="minorHAnsi"/>
                <w:color w:val="3F3F3F"/>
                <w:sz w:val="18"/>
                <w:szCs w:val="18"/>
              </w:rPr>
              <w:br/>
              <w:t>(-5.4 to 1.9)</w:t>
            </w:r>
          </w:p>
        </w:tc>
        <w:tc>
          <w:tcPr>
            <w:tcW w:w="577" w:type="dxa"/>
            <w:tcBorders>
              <w:bottom w:val="single" w:sz="4" w:space="0" w:color="142E3A" w:themeColor="text2"/>
            </w:tcBorders>
            <w:shd w:val="clear" w:color="auto" w:fill="FFFFFF" w:themeFill="background1"/>
            <w:noWrap/>
            <w:hideMark/>
          </w:tcPr>
          <w:p w14:paraId="22FB00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0.34</w:t>
            </w:r>
          </w:p>
        </w:tc>
        <w:tc>
          <w:tcPr>
            <w:tcW w:w="261" w:type="dxa"/>
            <w:tcBorders>
              <w:bottom w:val="single" w:sz="4" w:space="0" w:color="142E3A" w:themeColor="text2"/>
            </w:tcBorders>
            <w:shd w:val="clear" w:color="auto" w:fill="FFFFFF" w:themeFill="background1"/>
          </w:tcPr>
          <w:p w14:paraId="124FB2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1690FCC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-2.1 </w:t>
            </w:r>
            <w:r w:rsidRPr="00E443FB">
              <w:rPr>
                <w:rFonts w:cstheme="minorHAnsi"/>
                <w:color w:val="3F3F3F"/>
                <w:sz w:val="18"/>
                <w:szCs w:val="18"/>
              </w:rPr>
              <w:br/>
              <w:t>(-5.3 to 1.1)</w:t>
            </w:r>
          </w:p>
        </w:tc>
        <w:tc>
          <w:tcPr>
            <w:tcW w:w="577" w:type="dxa"/>
            <w:tcBorders>
              <w:bottom w:val="single" w:sz="4" w:space="0" w:color="142E3A" w:themeColor="text2"/>
            </w:tcBorders>
            <w:shd w:val="clear" w:color="auto" w:fill="FFFFFF" w:themeFill="background1"/>
            <w:noWrap/>
            <w:hideMark/>
          </w:tcPr>
          <w:p w14:paraId="533F2D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0.20</w:t>
            </w:r>
          </w:p>
        </w:tc>
        <w:tc>
          <w:tcPr>
            <w:tcW w:w="278" w:type="dxa"/>
            <w:tcBorders>
              <w:top w:val="nil"/>
              <w:bottom w:val="single" w:sz="4" w:space="0" w:color="142E3A" w:themeColor="text2"/>
            </w:tcBorders>
            <w:shd w:val="clear" w:color="auto" w:fill="FFFFFF" w:themeFill="background1"/>
          </w:tcPr>
          <w:p w14:paraId="39B6BB0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3230B9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-0.8 </w:t>
            </w:r>
            <w:r w:rsidRPr="00E443FB">
              <w:rPr>
                <w:rFonts w:cstheme="minorHAnsi"/>
                <w:color w:val="3F3F3F"/>
                <w:sz w:val="18"/>
                <w:szCs w:val="18"/>
              </w:rPr>
              <w:br/>
              <w:t>(-4.3 to 2.7)</w:t>
            </w:r>
          </w:p>
        </w:tc>
        <w:tc>
          <w:tcPr>
            <w:tcW w:w="577" w:type="dxa"/>
            <w:tcBorders>
              <w:bottom w:val="single" w:sz="4" w:space="0" w:color="142E3A" w:themeColor="text2"/>
            </w:tcBorders>
            <w:shd w:val="clear" w:color="auto" w:fill="FFFFFF" w:themeFill="background1"/>
            <w:noWrap/>
            <w:hideMark/>
          </w:tcPr>
          <w:p w14:paraId="1259AB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0.65</w:t>
            </w:r>
          </w:p>
        </w:tc>
        <w:tc>
          <w:tcPr>
            <w:tcW w:w="272" w:type="dxa"/>
            <w:tcBorders>
              <w:top w:val="nil"/>
              <w:bottom w:val="single" w:sz="4" w:space="0" w:color="142E3A" w:themeColor="text2"/>
            </w:tcBorders>
            <w:shd w:val="clear" w:color="auto" w:fill="FFFFFF" w:themeFill="background1"/>
          </w:tcPr>
          <w:p w14:paraId="1515A8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nil"/>
              <w:bottom w:val="single" w:sz="4" w:space="0" w:color="142E3A" w:themeColor="text2"/>
            </w:tcBorders>
            <w:shd w:val="clear" w:color="auto" w:fill="FFFFFF" w:themeFill="background1"/>
            <w:noWrap/>
            <w:hideMark/>
          </w:tcPr>
          <w:p w14:paraId="7AEBC7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-3.2 </w:t>
            </w:r>
            <w:r w:rsidRPr="00E443FB">
              <w:rPr>
                <w:rFonts w:cstheme="minorHAnsi"/>
                <w:color w:val="3F3F3F"/>
                <w:sz w:val="18"/>
                <w:szCs w:val="18"/>
              </w:rPr>
              <w:br/>
              <w:t>(-6.4 to 0)</w:t>
            </w:r>
          </w:p>
        </w:tc>
        <w:tc>
          <w:tcPr>
            <w:tcW w:w="577" w:type="dxa"/>
            <w:tcBorders>
              <w:top w:val="nil"/>
              <w:bottom w:val="single" w:sz="4" w:space="0" w:color="142E3A" w:themeColor="text2"/>
            </w:tcBorders>
            <w:shd w:val="clear" w:color="auto" w:fill="FFFFFF" w:themeFill="background1"/>
            <w:noWrap/>
            <w:hideMark/>
          </w:tcPr>
          <w:p w14:paraId="424F5CC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0.05</w:t>
            </w:r>
          </w:p>
        </w:tc>
      </w:tr>
      <w:tr w:rsidR="00507269" w:rsidRPr="009041AF" w14:paraId="03FA3E12"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456F681"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Jul</w:t>
            </w:r>
            <w:r w:rsidRPr="00FD4F97">
              <w:rPr>
                <w:rFonts w:cstheme="minorHAnsi"/>
                <w:b/>
                <w:color w:val="3F3F3F"/>
                <w:sz w:val="18"/>
                <w:szCs w:val="18"/>
              </w:rPr>
              <w:br/>
              <w:t>(month 1)</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073B94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(-5 to 2.3)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3BC99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0.47</w:t>
            </w:r>
          </w:p>
        </w:tc>
        <w:tc>
          <w:tcPr>
            <w:tcW w:w="261" w:type="dxa"/>
            <w:tcBorders>
              <w:top w:val="single" w:sz="4" w:space="0" w:color="142E3A" w:themeColor="text2"/>
              <w:bottom w:val="single" w:sz="4" w:space="0" w:color="142E3A" w:themeColor="text2"/>
            </w:tcBorders>
            <w:shd w:val="clear" w:color="auto" w:fill="FFFFFF" w:themeFill="background1"/>
          </w:tcPr>
          <w:p w14:paraId="455DEE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FA03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(-15.6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F66180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AB495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CE816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-11.2 </w:t>
            </w:r>
            <w:r w:rsidRPr="00E443FB">
              <w:rPr>
                <w:rFonts w:cstheme="minorHAnsi"/>
                <w:color w:val="3F3F3F"/>
                <w:sz w:val="18"/>
                <w:szCs w:val="18"/>
              </w:rPr>
              <w:br/>
              <w:t>(-14.7 to -7.7)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EA243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321450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5C9A7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(-16.2 to -8.1)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B9F93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0E32ED61"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22BE5A6"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Aug</w:t>
            </w:r>
            <w:r w:rsidRPr="00FD4F97">
              <w:rPr>
                <w:rFonts w:cstheme="minorHAnsi"/>
                <w:b/>
                <w:color w:val="3F3F3F"/>
                <w:sz w:val="18"/>
                <w:szCs w:val="18"/>
              </w:rPr>
              <w:br/>
              <w:t>(month 2)</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5915D2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w:t>
            </w:r>
          </w:p>
          <w:p w14:paraId="352AA7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 to -0.5)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06156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c>
          <w:tcPr>
            <w:tcW w:w="261" w:type="dxa"/>
            <w:tcBorders>
              <w:top w:val="single" w:sz="4" w:space="0" w:color="142E3A" w:themeColor="text2"/>
              <w:bottom w:val="single" w:sz="4" w:space="0" w:color="142E3A" w:themeColor="text2"/>
            </w:tcBorders>
            <w:shd w:val="clear" w:color="auto" w:fill="FFFFFF" w:themeFill="background1"/>
          </w:tcPr>
          <w:p w14:paraId="713E17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1C2D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-14.8 </w:t>
            </w:r>
            <w:r w:rsidRPr="00E443FB">
              <w:rPr>
                <w:rFonts w:cstheme="minorHAnsi"/>
                <w:color w:val="3F3F3F"/>
                <w:sz w:val="18"/>
                <w:szCs w:val="18"/>
              </w:rPr>
              <w:br/>
              <w:t>(-18.5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210879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3F2E3B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BA28F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-15.5 </w:t>
            </w:r>
            <w:r w:rsidRPr="00E443FB">
              <w:rPr>
                <w:rFonts w:cstheme="minorHAnsi"/>
                <w:color w:val="3F3F3F"/>
                <w:sz w:val="18"/>
                <w:szCs w:val="18"/>
              </w:rPr>
              <w:br/>
              <w:t>(-19.3 to -11.7)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676C8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25EF7E9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FD8B6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-17.3 </w:t>
            </w:r>
            <w:r w:rsidRPr="00E443FB">
              <w:rPr>
                <w:rFonts w:cstheme="minorHAnsi"/>
                <w:color w:val="3F3F3F"/>
                <w:sz w:val="18"/>
                <w:szCs w:val="18"/>
              </w:rPr>
              <w:br/>
              <w:t>(-20.9 to -13.7)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7CF13A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4E3763A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52C95CAE"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Sep</w:t>
            </w:r>
            <w:r w:rsidRPr="00FD4F97">
              <w:rPr>
                <w:rFonts w:cstheme="minorHAnsi"/>
                <w:b/>
                <w:color w:val="3F3F3F"/>
                <w:sz w:val="18"/>
                <w:szCs w:val="18"/>
              </w:rPr>
              <w:br/>
              <w:t>(month 3)</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11F57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-4 </w:t>
            </w:r>
            <w:r w:rsidRPr="00E443FB">
              <w:rPr>
                <w:rFonts w:cstheme="minorHAnsi"/>
                <w:color w:val="3F3F3F"/>
                <w:sz w:val="18"/>
                <w:szCs w:val="18"/>
              </w:rPr>
              <w:br/>
              <w:t>(-8 to -0.1)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04E6C64" w14:textId="75A83DC2"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w:t>
            </w:r>
            <w:r w:rsidR="00667E1E" w:rsidRPr="00E443FB">
              <w:rPr>
                <w:rFonts w:cstheme="minorHAnsi"/>
                <w:color w:val="3F3F3F"/>
                <w:sz w:val="18"/>
                <w:szCs w:val="18"/>
              </w:rPr>
              <w:t>0</w:t>
            </w:r>
            <w:r w:rsidR="00667E1E">
              <w:rPr>
                <w:rFonts w:cstheme="minorHAnsi"/>
                <w:color w:val="3F3F3F"/>
                <w:sz w:val="18"/>
                <w:szCs w:val="18"/>
              </w:rPr>
              <w:t>4</w:t>
            </w:r>
          </w:p>
        </w:tc>
        <w:tc>
          <w:tcPr>
            <w:tcW w:w="261" w:type="dxa"/>
            <w:tcBorders>
              <w:top w:val="single" w:sz="4" w:space="0" w:color="142E3A" w:themeColor="text2"/>
              <w:bottom w:val="single" w:sz="4" w:space="0" w:color="142E3A" w:themeColor="text2"/>
            </w:tcBorders>
            <w:shd w:val="clear" w:color="auto" w:fill="FFFFFF" w:themeFill="background1"/>
          </w:tcPr>
          <w:p w14:paraId="2BA103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AFE27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-14.9 </w:t>
            </w:r>
            <w:r w:rsidRPr="00E443FB">
              <w:rPr>
                <w:rFonts w:cstheme="minorHAnsi"/>
                <w:color w:val="3F3F3F"/>
                <w:sz w:val="18"/>
                <w:szCs w:val="18"/>
              </w:rPr>
              <w:br/>
              <w:t>(-18.7 to -11.1)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33B01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69BDE5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51980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-15.2 </w:t>
            </w:r>
            <w:r w:rsidRPr="00E443FB">
              <w:rPr>
                <w:rFonts w:cstheme="minorHAnsi"/>
                <w:color w:val="3F3F3F"/>
                <w:sz w:val="18"/>
                <w:szCs w:val="18"/>
              </w:rPr>
              <w:br/>
              <w:t>(-19.2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E5A8FB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3481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0E37D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-16.6 </w:t>
            </w:r>
            <w:r w:rsidRPr="00E443FB">
              <w:rPr>
                <w:rFonts w:cstheme="minorHAnsi"/>
                <w:color w:val="3F3F3F"/>
                <w:sz w:val="18"/>
                <w:szCs w:val="18"/>
              </w:rPr>
              <w:br/>
              <w:t>(-20.7 to -12.6)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25126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3C8D9FE"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DF6543C"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Oct</w:t>
            </w:r>
            <w:r w:rsidRPr="00FD4F97">
              <w:rPr>
                <w:rFonts w:cstheme="minorHAnsi"/>
                <w:b/>
                <w:color w:val="3F3F3F"/>
                <w:sz w:val="18"/>
                <w:szCs w:val="18"/>
              </w:rPr>
              <w:br/>
              <w:t>(month 4)</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E0A4A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-2.7 </w:t>
            </w:r>
            <w:r w:rsidRPr="00E443FB">
              <w:rPr>
                <w:rFonts w:cstheme="minorHAnsi"/>
                <w:color w:val="3F3F3F"/>
                <w:sz w:val="18"/>
                <w:szCs w:val="18"/>
              </w:rPr>
              <w:br/>
              <w:t>(-6.8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BD80B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0.21</w:t>
            </w:r>
          </w:p>
        </w:tc>
        <w:tc>
          <w:tcPr>
            <w:tcW w:w="261" w:type="dxa"/>
            <w:tcBorders>
              <w:top w:val="single" w:sz="4" w:space="0" w:color="142E3A" w:themeColor="text2"/>
              <w:bottom w:val="single" w:sz="4" w:space="0" w:color="142E3A" w:themeColor="text2"/>
            </w:tcBorders>
            <w:shd w:val="clear" w:color="auto" w:fill="FFFFFF" w:themeFill="background1"/>
          </w:tcPr>
          <w:p w14:paraId="0A3E1DE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C0D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-10.2 </w:t>
            </w:r>
            <w:r w:rsidRPr="00E443FB">
              <w:rPr>
                <w:rFonts w:cstheme="minorHAnsi"/>
                <w:color w:val="3F3F3F"/>
                <w:sz w:val="18"/>
                <w:szCs w:val="18"/>
              </w:rPr>
              <w:br/>
              <w:t>(-14.4 to -6.1)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1A70C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08EA5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B6987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-12.3 </w:t>
            </w:r>
            <w:r w:rsidRPr="00E443FB">
              <w:rPr>
                <w:rFonts w:cstheme="minorHAnsi"/>
                <w:color w:val="3F3F3F"/>
                <w:sz w:val="18"/>
                <w:szCs w:val="18"/>
              </w:rPr>
              <w:br/>
              <w:t>(-16.3 to -8.3)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A8B5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F2A83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D00684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(-17.2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3AC4B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59F6B037"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B5FA0B0"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Nov</w:t>
            </w:r>
            <w:r w:rsidRPr="00FD4F97">
              <w:rPr>
                <w:rFonts w:cstheme="minorHAnsi"/>
                <w:b/>
                <w:color w:val="3F3F3F"/>
                <w:sz w:val="18"/>
                <w:szCs w:val="18"/>
              </w:rPr>
              <w:br/>
              <w:t>(month 5)</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4EA481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-3.1 </w:t>
            </w:r>
            <w:r w:rsidRPr="00E443FB">
              <w:rPr>
                <w:rFonts w:cstheme="minorHAnsi"/>
                <w:color w:val="3F3F3F"/>
                <w:sz w:val="18"/>
                <w:szCs w:val="18"/>
              </w:rPr>
              <w:br/>
              <w:t>(-5.9 to -0.2)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81114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c>
          <w:tcPr>
            <w:tcW w:w="261" w:type="dxa"/>
            <w:tcBorders>
              <w:top w:val="single" w:sz="4" w:space="0" w:color="142E3A" w:themeColor="text2"/>
              <w:bottom w:val="single" w:sz="4" w:space="0" w:color="142E3A" w:themeColor="text2"/>
            </w:tcBorders>
            <w:shd w:val="clear" w:color="auto" w:fill="FFFFFF" w:themeFill="background1"/>
          </w:tcPr>
          <w:p w14:paraId="623A6C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6E70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-7.7 </w:t>
            </w:r>
            <w:r w:rsidRPr="00E443FB">
              <w:rPr>
                <w:rFonts w:cstheme="minorHAnsi"/>
                <w:color w:val="3F3F3F"/>
                <w:sz w:val="18"/>
                <w:szCs w:val="18"/>
              </w:rPr>
              <w:br/>
              <w:t>(-10.8 to -4.6)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5E112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69C8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D688F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-6.9 </w:t>
            </w:r>
            <w:r w:rsidRPr="00E443FB">
              <w:rPr>
                <w:rFonts w:cstheme="minorHAnsi"/>
                <w:color w:val="3F3F3F"/>
                <w:sz w:val="18"/>
                <w:szCs w:val="18"/>
              </w:rPr>
              <w:br/>
              <w:t>(-9.9 to -3.8)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F42FB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17C094D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21A0C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-7.9 </w:t>
            </w:r>
            <w:r w:rsidRPr="00E443FB">
              <w:rPr>
                <w:rFonts w:cstheme="minorHAnsi"/>
                <w:color w:val="3F3F3F"/>
                <w:sz w:val="18"/>
                <w:szCs w:val="18"/>
              </w:rPr>
              <w:br/>
              <w:t>(-11.1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C5452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1F85F1C"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7D3177A"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Dec</w:t>
            </w:r>
            <w:r w:rsidRPr="00FD4F97">
              <w:rPr>
                <w:rFonts w:cstheme="minorHAnsi"/>
                <w:b/>
                <w:color w:val="3F3F3F"/>
                <w:sz w:val="18"/>
                <w:szCs w:val="18"/>
              </w:rPr>
              <w:br/>
              <w:t>(month 6)</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83899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 </w:t>
            </w:r>
            <w:r w:rsidRPr="00E443FB">
              <w:rPr>
                <w:rFonts w:cstheme="minorHAnsi"/>
                <w:color w:val="3F3F3F"/>
                <w:sz w:val="18"/>
                <w:szCs w:val="18"/>
              </w:rPr>
              <w:br/>
              <w:t>(-4.8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E762D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0.30</w:t>
            </w:r>
          </w:p>
        </w:tc>
        <w:tc>
          <w:tcPr>
            <w:tcW w:w="261" w:type="dxa"/>
            <w:tcBorders>
              <w:top w:val="single" w:sz="4" w:space="0" w:color="142E3A" w:themeColor="text2"/>
              <w:bottom w:val="single" w:sz="4" w:space="0" w:color="142E3A" w:themeColor="text2"/>
            </w:tcBorders>
            <w:shd w:val="clear" w:color="auto" w:fill="FFFFFF" w:themeFill="background1"/>
          </w:tcPr>
          <w:p w14:paraId="36CBED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853034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-6.5 </w:t>
            </w:r>
            <w:r w:rsidRPr="00E443FB">
              <w:rPr>
                <w:rFonts w:cstheme="minorHAnsi"/>
                <w:color w:val="3F3F3F"/>
                <w:sz w:val="18"/>
                <w:szCs w:val="18"/>
              </w:rPr>
              <w:br/>
              <w:t>(-9.6 to -3.4)</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3B109D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9D44C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75CC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-6.6 </w:t>
            </w:r>
            <w:r w:rsidRPr="00E443FB">
              <w:rPr>
                <w:rFonts w:cstheme="minorHAnsi"/>
                <w:color w:val="3F3F3F"/>
                <w:sz w:val="18"/>
                <w:szCs w:val="18"/>
              </w:rPr>
              <w:br/>
              <w:t>(-9.8 to -3.5)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2357B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8C5C59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63980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-7.8 </w:t>
            </w:r>
            <w:r w:rsidRPr="00E443FB">
              <w:rPr>
                <w:rFonts w:cstheme="minorHAnsi"/>
                <w:color w:val="3F3F3F"/>
                <w:sz w:val="18"/>
                <w:szCs w:val="18"/>
              </w:rPr>
              <w:br/>
              <w:t>(-11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6FA0E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bl>
    <w:p w14:paraId="50657CBA" w14:textId="0687F18E" w:rsidR="00AE3458" w:rsidRDefault="00AE3458" w:rsidP="00AE3458">
      <w:pPr>
        <w:pStyle w:val="SourceNotesText"/>
      </w:pPr>
      <w:r w:rsidRPr="0027045B">
        <w:t>Note:  # =</w:t>
      </w:r>
      <w:r>
        <w:t xml:space="preserve"> p-value less than 0.000</w:t>
      </w:r>
      <w:r w:rsidRPr="0027045B">
        <w:t xml:space="preserve">01. </w:t>
      </w:r>
      <w:r>
        <w:t>Treatment</w:t>
      </w:r>
      <w:r w:rsidRPr="00052946">
        <w:t xml:space="preserve"> effects are </w:t>
      </w:r>
      <w:r>
        <w:t xml:space="preserve">in </w:t>
      </w:r>
      <w:r w:rsidRPr="00052946">
        <w:t>scripts filled per 1,000 consults</w:t>
      </w:r>
      <w:r>
        <w:t xml:space="preserve">. These </w:t>
      </w:r>
      <w:r w:rsidRPr="0027045B">
        <w:t>estimates, 95</w:t>
      </w:r>
      <w:r w:rsidR="001E5850">
        <w:t xml:space="preserve"> per cent</w:t>
      </w:r>
      <w:r w:rsidRPr="0027045B">
        <w:t xml:space="preserve"> </w:t>
      </w:r>
      <w:r w:rsidR="001E5850">
        <w:t>CI</w:t>
      </w:r>
      <w:r>
        <w:t xml:space="preserve"> and p-values </w:t>
      </w:r>
      <w:r w:rsidRPr="0027045B">
        <w:t>are from a linear regression model adjusted for GPs</w:t>
      </w:r>
      <w:r w:rsidR="001E5850">
        <w:t>’</w:t>
      </w:r>
      <w:r w:rsidRPr="0027045B">
        <w:t xml:space="preserve"> previous prescription rate, age and sex</w:t>
      </w:r>
      <w:r>
        <w:t xml:space="preserve"> with</w:t>
      </w:r>
      <w:r w:rsidRPr="0027045B">
        <w:t xml:space="preserve"> robust standard errors (CR2) </w:t>
      </w:r>
      <w:r>
        <w:t>and</w:t>
      </w:r>
      <w:r w:rsidRPr="0027045B">
        <w:t xml:space="preserve"> a degrees of freedom adjustment. </w:t>
      </w:r>
      <w:r>
        <w:t>Regressions were estimated individually for each month.</w:t>
      </w:r>
    </w:p>
    <w:p w14:paraId="284AE593" w14:textId="5C560940" w:rsidR="0032107F" w:rsidRDefault="0032107F">
      <w:pPr>
        <w:spacing w:before="0" w:after="0" w:line="240" w:lineRule="auto"/>
      </w:pPr>
      <w:r>
        <w:br w:type="page"/>
      </w:r>
    </w:p>
    <w:p w14:paraId="606ED751" w14:textId="7DF12CA6" w:rsidR="00AE3458" w:rsidRPr="00E443FB" w:rsidRDefault="000C3741" w:rsidP="0032107F">
      <w:pPr>
        <w:pStyle w:val="FigureHeading"/>
      </w:pPr>
      <w:bookmarkStart w:id="25" w:name="_Ref514068291"/>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6</w:t>
      </w:r>
      <w:r w:rsidR="00AD3544">
        <w:rPr>
          <w:noProof/>
        </w:rPr>
        <w:fldChar w:fldCharType="end"/>
      </w:r>
      <w:bookmarkEnd w:id="25"/>
      <w:r w:rsidR="00952192" w:rsidRPr="00E443FB">
        <w:t xml:space="preserve">: </w:t>
      </w:r>
      <w:r w:rsidR="00AE3458" w:rsidRPr="00E443FB">
        <w:t xml:space="preserve">Pre-randomisation characteristics </w:t>
      </w:r>
    </w:p>
    <w:tbl>
      <w:tblPr>
        <w:tblStyle w:val="DefaultTable"/>
        <w:tblW w:w="9634" w:type="dxa"/>
        <w:tblCellMar>
          <w:top w:w="57" w:type="dxa"/>
          <w:bottom w:w="57" w:type="dxa"/>
        </w:tblCellMar>
        <w:tblLook w:val="04A0" w:firstRow="1" w:lastRow="0" w:firstColumn="1" w:lastColumn="0" w:noHBand="0" w:noVBand="1"/>
        <w:tblCaption w:val="Pre-randomisation characteristics"/>
        <w:tblDescription w:val="Showing the pre-randomisation characteristics for each of the five treatment groups."/>
      </w:tblPr>
      <w:tblGrid>
        <w:gridCol w:w="1701"/>
        <w:gridCol w:w="1276"/>
        <w:gridCol w:w="1276"/>
        <w:gridCol w:w="1276"/>
        <w:gridCol w:w="1559"/>
        <w:gridCol w:w="1276"/>
        <w:gridCol w:w="1270"/>
      </w:tblGrid>
      <w:tr w:rsidR="00AE3458" w:rsidRPr="009041AF" w14:paraId="2819AD8C"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left w:val="single" w:sz="4" w:space="0" w:color="142E3A" w:themeColor="text2"/>
              <w:bottom w:val="single" w:sz="4" w:space="0" w:color="142E3A" w:themeColor="text2"/>
            </w:tcBorders>
            <w:shd w:val="clear" w:color="auto" w:fill="142E3A" w:themeFill="text2"/>
            <w:noWrap/>
            <w:vAlign w:val="center"/>
            <w:hideMark/>
          </w:tcPr>
          <w:p w14:paraId="17471FE9" w14:textId="77777777" w:rsidR="00AE3458" w:rsidRPr="00E443FB" w:rsidRDefault="00AE3458" w:rsidP="007C058D">
            <w:pPr>
              <w:spacing w:before="0" w:after="0" w:line="240" w:lineRule="auto"/>
              <w:rPr>
                <w:rFonts w:cstheme="minorHAnsi"/>
                <w:b w:val="0"/>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1E9FED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785AFF1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Control</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55F9C99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Education</w:t>
            </w:r>
            <w:r w:rsidR="00D90F6D" w:rsidRPr="003D64CD">
              <w:rPr>
                <w:rFonts w:cstheme="minorHAnsi"/>
                <w:color w:val="FFFFFF" w:themeColor="background1"/>
                <w:sz w:val="18"/>
                <w:szCs w:val="18"/>
              </w:rPr>
              <w:t>-</w:t>
            </w:r>
            <w:r w:rsidRPr="003D64CD">
              <w:rPr>
                <w:rFonts w:cstheme="minorHAnsi"/>
                <w:color w:val="FFFFFF" w:themeColor="background1"/>
                <w:sz w:val="18"/>
                <w:szCs w:val="18"/>
              </w:rPr>
              <w:t>only</w:t>
            </w:r>
          </w:p>
        </w:tc>
        <w:tc>
          <w:tcPr>
            <w:tcW w:w="1559" w:type="dxa"/>
            <w:tcBorders>
              <w:top w:val="single" w:sz="4" w:space="0" w:color="142E3A" w:themeColor="text2"/>
              <w:bottom w:val="single" w:sz="4" w:space="0" w:color="142E3A" w:themeColor="text2"/>
            </w:tcBorders>
            <w:shd w:val="clear" w:color="auto" w:fill="142E3A" w:themeFill="text2"/>
            <w:noWrap/>
            <w:vAlign w:val="center"/>
            <w:hideMark/>
          </w:tcPr>
          <w:p w14:paraId="6AB84A00"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Education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Pr="003D64CD">
              <w:rPr>
                <w:rFonts w:cstheme="minorHAnsi"/>
                <w:color w:val="FFFFFF" w:themeColor="background1"/>
                <w:sz w:val="18"/>
                <w:szCs w:val="18"/>
              </w:rPr>
              <w:t>peer comparison</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3AFBC428" w14:textId="77777777" w:rsidR="00AE3458" w:rsidRPr="00E443FB" w:rsidRDefault="00B20C36">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D90F6D" w:rsidRPr="003D64CD">
              <w:rPr>
                <w:rFonts w:cstheme="minorHAnsi"/>
                <w:color w:val="FFFFFF" w:themeColor="background1"/>
                <w:sz w:val="18"/>
                <w:szCs w:val="18"/>
              </w:rPr>
              <w:t>with</w:t>
            </w:r>
            <w:r w:rsidRPr="003D64CD">
              <w:rPr>
                <w:rFonts w:cstheme="minorHAnsi"/>
                <w:color w:val="FFFFFF" w:themeColor="background1"/>
                <w:sz w:val="18"/>
                <w:szCs w:val="18"/>
              </w:rPr>
              <w:t xml:space="preserve"> delayed prescribing</w:t>
            </w:r>
          </w:p>
        </w:tc>
        <w:tc>
          <w:tcPr>
            <w:tcW w:w="1270" w:type="dxa"/>
            <w:tcBorders>
              <w:top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7A10A6C"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003F31E9" w:rsidRPr="003D64CD">
              <w:rPr>
                <w:rFonts w:cstheme="minorHAnsi"/>
                <w:color w:val="FFFFFF" w:themeColor="background1"/>
                <w:sz w:val="18"/>
                <w:szCs w:val="18"/>
              </w:rPr>
              <w:t>graph</w:t>
            </w:r>
          </w:p>
        </w:tc>
      </w:tr>
      <w:tr w:rsidR="00AE3458" w:rsidRPr="009041AF" w14:paraId="53D5B016" w14:textId="77777777" w:rsidTr="0032107F">
        <w:trPr>
          <w:trHeight w:val="37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tcBorders>
            <w:shd w:val="clear" w:color="auto" w:fill="FFFFFF" w:themeFill="background1"/>
            <w:noWrap/>
            <w:vAlign w:val="center"/>
            <w:hideMark/>
          </w:tcPr>
          <w:p w14:paraId="7C23A54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GPs (n)</w:t>
            </w:r>
          </w:p>
        </w:tc>
        <w:tc>
          <w:tcPr>
            <w:tcW w:w="1276" w:type="dxa"/>
            <w:tcBorders>
              <w:top w:val="single" w:sz="4" w:space="0" w:color="142E3A" w:themeColor="text2"/>
            </w:tcBorders>
            <w:shd w:val="clear" w:color="auto" w:fill="FFFFFF" w:themeFill="background1"/>
            <w:noWrap/>
            <w:vAlign w:val="center"/>
            <w:hideMark/>
          </w:tcPr>
          <w:p w14:paraId="7E898C2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tcBorders>
              <w:top w:val="single" w:sz="4" w:space="0" w:color="142E3A" w:themeColor="text2"/>
            </w:tcBorders>
            <w:shd w:val="clear" w:color="auto" w:fill="FFFFFF" w:themeFill="background1"/>
            <w:noWrap/>
            <w:vAlign w:val="center"/>
            <w:hideMark/>
          </w:tcPr>
          <w:p w14:paraId="7DD3C1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1,338</w:t>
            </w:r>
          </w:p>
        </w:tc>
        <w:tc>
          <w:tcPr>
            <w:tcW w:w="1276" w:type="dxa"/>
            <w:tcBorders>
              <w:top w:val="single" w:sz="4" w:space="0" w:color="142E3A" w:themeColor="text2"/>
            </w:tcBorders>
            <w:shd w:val="clear" w:color="auto" w:fill="FFFFFF" w:themeFill="background1"/>
            <w:noWrap/>
            <w:vAlign w:val="center"/>
            <w:hideMark/>
          </w:tcPr>
          <w:p w14:paraId="3FBF2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1,319</w:t>
            </w:r>
          </w:p>
        </w:tc>
        <w:tc>
          <w:tcPr>
            <w:tcW w:w="1559" w:type="dxa"/>
            <w:tcBorders>
              <w:top w:val="single" w:sz="4" w:space="0" w:color="142E3A" w:themeColor="text2"/>
            </w:tcBorders>
            <w:shd w:val="clear" w:color="auto" w:fill="FFFFFF" w:themeFill="background1"/>
            <w:noWrap/>
            <w:vAlign w:val="center"/>
            <w:hideMark/>
          </w:tcPr>
          <w:p w14:paraId="22699D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1,311</w:t>
            </w:r>
          </w:p>
        </w:tc>
        <w:tc>
          <w:tcPr>
            <w:tcW w:w="1276" w:type="dxa"/>
            <w:tcBorders>
              <w:top w:val="single" w:sz="4" w:space="0" w:color="142E3A" w:themeColor="text2"/>
            </w:tcBorders>
            <w:shd w:val="clear" w:color="auto" w:fill="FFFFFF" w:themeFill="background1"/>
            <w:noWrap/>
            <w:vAlign w:val="center"/>
            <w:hideMark/>
          </w:tcPr>
          <w:p w14:paraId="48C1DC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1,348</w:t>
            </w:r>
          </w:p>
        </w:tc>
        <w:tc>
          <w:tcPr>
            <w:tcW w:w="1270" w:type="dxa"/>
            <w:tcBorders>
              <w:top w:val="single" w:sz="4" w:space="0" w:color="142E3A" w:themeColor="text2"/>
            </w:tcBorders>
            <w:shd w:val="clear" w:color="auto" w:fill="FFFFFF" w:themeFill="background1"/>
            <w:noWrap/>
            <w:vAlign w:val="center"/>
            <w:hideMark/>
          </w:tcPr>
          <w:p w14:paraId="502FC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1,333</w:t>
            </w:r>
          </w:p>
        </w:tc>
      </w:tr>
      <w:tr w:rsidR="00AE3458" w:rsidRPr="009041AF" w14:paraId="5602BF3B"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47D11B3A"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Clinics (n)</w:t>
            </w:r>
          </w:p>
        </w:tc>
        <w:tc>
          <w:tcPr>
            <w:tcW w:w="1276" w:type="dxa"/>
            <w:shd w:val="clear" w:color="auto" w:fill="FFFFFF" w:themeFill="background1"/>
            <w:noWrap/>
            <w:vAlign w:val="center"/>
            <w:hideMark/>
          </w:tcPr>
          <w:p w14:paraId="3C0E54B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0CD5BA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6" w:type="dxa"/>
            <w:shd w:val="clear" w:color="auto" w:fill="FFFFFF" w:themeFill="background1"/>
            <w:noWrap/>
            <w:vAlign w:val="center"/>
            <w:hideMark/>
          </w:tcPr>
          <w:p w14:paraId="7E56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559" w:type="dxa"/>
            <w:shd w:val="clear" w:color="auto" w:fill="FFFFFF" w:themeFill="background1"/>
            <w:noWrap/>
            <w:vAlign w:val="center"/>
            <w:hideMark/>
          </w:tcPr>
          <w:p w14:paraId="5C2C67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276" w:type="dxa"/>
            <w:shd w:val="clear" w:color="auto" w:fill="FFFFFF" w:themeFill="background1"/>
            <w:noWrap/>
            <w:vAlign w:val="center"/>
            <w:hideMark/>
          </w:tcPr>
          <w:p w14:paraId="2E7E68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0" w:type="dxa"/>
            <w:shd w:val="clear" w:color="auto" w:fill="FFFFFF" w:themeFill="background1"/>
            <w:noWrap/>
            <w:vAlign w:val="center"/>
            <w:hideMark/>
          </w:tcPr>
          <w:p w14:paraId="427D250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r>
      <w:tr w:rsidR="00AE3458" w:rsidRPr="009041AF" w14:paraId="66F6CDF0"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26F2907"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 xml:space="preserve">Pre-trial prescriptions </w:t>
            </w:r>
            <w:r w:rsidRPr="00E443FB">
              <w:rPr>
                <w:rFonts w:cstheme="minorHAnsi"/>
                <w:color w:val="3F3F3F"/>
                <w:sz w:val="18"/>
                <w:szCs w:val="18"/>
              </w:rPr>
              <w:br/>
              <w:t>(mean ± SD)</w:t>
            </w:r>
          </w:p>
        </w:tc>
        <w:tc>
          <w:tcPr>
            <w:tcW w:w="1276" w:type="dxa"/>
            <w:shd w:val="clear" w:color="auto" w:fill="FFFFFF" w:themeFill="background1"/>
            <w:noWrap/>
            <w:vAlign w:val="center"/>
            <w:hideMark/>
          </w:tcPr>
          <w:p w14:paraId="3D85CF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100.5 ± 23.9</w:t>
            </w:r>
          </w:p>
        </w:tc>
        <w:tc>
          <w:tcPr>
            <w:tcW w:w="1276" w:type="dxa"/>
            <w:shd w:val="clear" w:color="auto" w:fill="FFFFFF" w:themeFill="background1"/>
            <w:noWrap/>
            <w:vAlign w:val="center"/>
            <w:hideMark/>
          </w:tcPr>
          <w:p w14:paraId="516DB9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99.7 ± 24.8</w:t>
            </w:r>
          </w:p>
        </w:tc>
        <w:tc>
          <w:tcPr>
            <w:tcW w:w="1559" w:type="dxa"/>
            <w:shd w:val="clear" w:color="auto" w:fill="FFFFFF" w:themeFill="background1"/>
            <w:noWrap/>
            <w:vAlign w:val="center"/>
            <w:hideMark/>
          </w:tcPr>
          <w:p w14:paraId="797419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 ± 23.8</w:t>
            </w:r>
          </w:p>
        </w:tc>
        <w:tc>
          <w:tcPr>
            <w:tcW w:w="1276" w:type="dxa"/>
            <w:shd w:val="clear" w:color="auto" w:fill="FFFFFF" w:themeFill="background1"/>
            <w:noWrap/>
            <w:vAlign w:val="center"/>
            <w:hideMark/>
          </w:tcPr>
          <w:p w14:paraId="75F50F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99.9 ± 23.9</w:t>
            </w:r>
          </w:p>
        </w:tc>
        <w:tc>
          <w:tcPr>
            <w:tcW w:w="1270" w:type="dxa"/>
            <w:shd w:val="clear" w:color="auto" w:fill="FFFFFF" w:themeFill="background1"/>
            <w:noWrap/>
            <w:vAlign w:val="center"/>
            <w:hideMark/>
          </w:tcPr>
          <w:p w14:paraId="554F86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100.8 ± 25.2</w:t>
            </w:r>
          </w:p>
        </w:tc>
      </w:tr>
      <w:tr w:rsidR="00AE3458" w:rsidRPr="009041AF" w14:paraId="60197A7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25476CB8"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Average rank (mean ± SD)</w:t>
            </w:r>
          </w:p>
        </w:tc>
        <w:tc>
          <w:tcPr>
            <w:tcW w:w="1276" w:type="dxa"/>
            <w:shd w:val="clear" w:color="auto" w:fill="FFFFFF" w:themeFill="background1"/>
            <w:noWrap/>
            <w:vAlign w:val="center"/>
            <w:hideMark/>
          </w:tcPr>
          <w:p w14:paraId="4022A4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8.5</w:t>
            </w:r>
          </w:p>
        </w:tc>
        <w:tc>
          <w:tcPr>
            <w:tcW w:w="1276" w:type="dxa"/>
            <w:shd w:val="clear" w:color="auto" w:fill="FFFFFF" w:themeFill="background1"/>
            <w:noWrap/>
            <w:vAlign w:val="center"/>
            <w:hideMark/>
          </w:tcPr>
          <w:p w14:paraId="0C075AC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8.7</w:t>
            </w:r>
          </w:p>
        </w:tc>
        <w:tc>
          <w:tcPr>
            <w:tcW w:w="1559" w:type="dxa"/>
            <w:shd w:val="clear" w:color="auto" w:fill="FFFFFF" w:themeFill="background1"/>
            <w:noWrap/>
            <w:vAlign w:val="center"/>
            <w:hideMark/>
          </w:tcPr>
          <w:p w14:paraId="113133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84.8 ± 8.8</w:t>
            </w:r>
          </w:p>
        </w:tc>
        <w:tc>
          <w:tcPr>
            <w:tcW w:w="1276" w:type="dxa"/>
            <w:shd w:val="clear" w:color="auto" w:fill="FFFFFF" w:themeFill="background1"/>
            <w:noWrap/>
            <w:vAlign w:val="center"/>
            <w:hideMark/>
          </w:tcPr>
          <w:p w14:paraId="279613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 ± 8.5</w:t>
            </w:r>
          </w:p>
        </w:tc>
        <w:tc>
          <w:tcPr>
            <w:tcW w:w="1270" w:type="dxa"/>
            <w:shd w:val="clear" w:color="auto" w:fill="FFFFFF" w:themeFill="background1"/>
            <w:noWrap/>
            <w:vAlign w:val="center"/>
            <w:hideMark/>
          </w:tcPr>
          <w:p w14:paraId="436DA32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85.3 ± 8.6</w:t>
            </w:r>
          </w:p>
        </w:tc>
      </w:tr>
      <w:tr w:rsidR="00AE3458" w:rsidRPr="009041AF" w14:paraId="5CBD047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C7B2860"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Age (mean ± SD)</w:t>
            </w:r>
          </w:p>
        </w:tc>
        <w:tc>
          <w:tcPr>
            <w:tcW w:w="1276" w:type="dxa"/>
            <w:shd w:val="clear" w:color="auto" w:fill="FFFFFF" w:themeFill="background1"/>
            <w:noWrap/>
            <w:vAlign w:val="center"/>
            <w:hideMark/>
          </w:tcPr>
          <w:p w14:paraId="2BC8D7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11.8</w:t>
            </w:r>
          </w:p>
        </w:tc>
        <w:tc>
          <w:tcPr>
            <w:tcW w:w="1276" w:type="dxa"/>
            <w:shd w:val="clear" w:color="auto" w:fill="FFFFFF" w:themeFill="background1"/>
            <w:noWrap/>
            <w:vAlign w:val="center"/>
            <w:hideMark/>
          </w:tcPr>
          <w:p w14:paraId="52F5723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11.5</w:t>
            </w:r>
          </w:p>
        </w:tc>
        <w:tc>
          <w:tcPr>
            <w:tcW w:w="1559" w:type="dxa"/>
            <w:shd w:val="clear" w:color="auto" w:fill="FFFFFF" w:themeFill="background1"/>
            <w:noWrap/>
            <w:vAlign w:val="center"/>
            <w:hideMark/>
          </w:tcPr>
          <w:p w14:paraId="2D2B468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51.6 ± 11.8</w:t>
            </w:r>
          </w:p>
        </w:tc>
        <w:tc>
          <w:tcPr>
            <w:tcW w:w="1276" w:type="dxa"/>
            <w:shd w:val="clear" w:color="auto" w:fill="FFFFFF" w:themeFill="background1"/>
            <w:noWrap/>
            <w:vAlign w:val="center"/>
            <w:hideMark/>
          </w:tcPr>
          <w:p w14:paraId="703E6D4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11.9</w:t>
            </w:r>
          </w:p>
        </w:tc>
        <w:tc>
          <w:tcPr>
            <w:tcW w:w="1270" w:type="dxa"/>
            <w:shd w:val="clear" w:color="auto" w:fill="FFFFFF" w:themeFill="background1"/>
            <w:noWrap/>
            <w:vAlign w:val="center"/>
            <w:hideMark/>
          </w:tcPr>
          <w:p w14:paraId="25F255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 ± 11.6</w:t>
            </w:r>
          </w:p>
        </w:tc>
      </w:tr>
      <w:tr w:rsidR="00AE3458" w:rsidRPr="009041AF" w14:paraId="47239FD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5A611402"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SEIFA (mean ± SD)</w:t>
            </w:r>
          </w:p>
        </w:tc>
        <w:tc>
          <w:tcPr>
            <w:tcW w:w="1276" w:type="dxa"/>
            <w:shd w:val="clear" w:color="auto" w:fill="FFFFFF" w:themeFill="background1"/>
            <w:noWrap/>
            <w:vAlign w:val="center"/>
            <w:hideMark/>
          </w:tcPr>
          <w:p w14:paraId="594975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993.6 ± 74.5</w:t>
            </w:r>
          </w:p>
        </w:tc>
        <w:tc>
          <w:tcPr>
            <w:tcW w:w="1276" w:type="dxa"/>
            <w:shd w:val="clear" w:color="auto" w:fill="FFFFFF" w:themeFill="background1"/>
            <w:noWrap/>
            <w:vAlign w:val="center"/>
            <w:hideMark/>
          </w:tcPr>
          <w:p w14:paraId="72223B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995.6 ± 72.1</w:t>
            </w:r>
          </w:p>
        </w:tc>
        <w:tc>
          <w:tcPr>
            <w:tcW w:w="1559" w:type="dxa"/>
            <w:shd w:val="clear" w:color="auto" w:fill="FFFFFF" w:themeFill="background1"/>
            <w:noWrap/>
            <w:vAlign w:val="center"/>
            <w:hideMark/>
          </w:tcPr>
          <w:p w14:paraId="266402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993.5 ± 74</w:t>
            </w:r>
          </w:p>
        </w:tc>
        <w:tc>
          <w:tcPr>
            <w:tcW w:w="1276" w:type="dxa"/>
            <w:shd w:val="clear" w:color="auto" w:fill="FFFFFF" w:themeFill="background1"/>
            <w:noWrap/>
            <w:vAlign w:val="center"/>
            <w:hideMark/>
          </w:tcPr>
          <w:p w14:paraId="65B515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996.8 ± 73.9</w:t>
            </w:r>
          </w:p>
        </w:tc>
        <w:tc>
          <w:tcPr>
            <w:tcW w:w="1270" w:type="dxa"/>
            <w:shd w:val="clear" w:color="auto" w:fill="FFFFFF" w:themeFill="background1"/>
            <w:noWrap/>
            <w:vAlign w:val="center"/>
            <w:hideMark/>
          </w:tcPr>
          <w:p w14:paraId="6EFEFC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993.4 ± 74</w:t>
            </w:r>
          </w:p>
        </w:tc>
      </w:tr>
      <w:tr w:rsidR="00AE3458" w:rsidRPr="009041AF" w14:paraId="6A1A70CF"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3CB8269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Male (%)</w:t>
            </w:r>
          </w:p>
        </w:tc>
        <w:tc>
          <w:tcPr>
            <w:tcW w:w="1276" w:type="dxa"/>
            <w:shd w:val="clear" w:color="auto" w:fill="FFFFFF" w:themeFill="background1"/>
            <w:noWrap/>
            <w:vAlign w:val="center"/>
            <w:hideMark/>
          </w:tcPr>
          <w:p w14:paraId="7FAE4C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5CBE45B4" w14:textId="284A88D0"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65.</w:t>
            </w:r>
            <w:r w:rsidR="00667E1E">
              <w:rPr>
                <w:rFonts w:cstheme="minorHAnsi"/>
                <w:color w:val="3F3F3F"/>
                <w:sz w:val="18"/>
                <w:szCs w:val="18"/>
              </w:rPr>
              <w:t>5</w:t>
            </w:r>
          </w:p>
        </w:tc>
        <w:tc>
          <w:tcPr>
            <w:tcW w:w="1276" w:type="dxa"/>
            <w:shd w:val="clear" w:color="auto" w:fill="FFFFFF" w:themeFill="background1"/>
            <w:noWrap/>
            <w:vAlign w:val="center"/>
            <w:hideMark/>
          </w:tcPr>
          <w:p w14:paraId="0A84F16C" w14:textId="4E6F5E31"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w:t>
            </w:r>
            <w:r w:rsidR="00667E1E">
              <w:rPr>
                <w:rFonts w:cstheme="minorHAnsi"/>
                <w:color w:val="3F3F3F"/>
                <w:sz w:val="18"/>
                <w:szCs w:val="18"/>
              </w:rPr>
              <w:t>2</w:t>
            </w:r>
          </w:p>
        </w:tc>
        <w:tc>
          <w:tcPr>
            <w:tcW w:w="1559" w:type="dxa"/>
            <w:shd w:val="clear" w:color="auto" w:fill="FFFFFF" w:themeFill="background1"/>
            <w:noWrap/>
            <w:vAlign w:val="center"/>
            <w:hideMark/>
          </w:tcPr>
          <w:p w14:paraId="292E6659" w14:textId="217D5458"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r w:rsidR="00667E1E">
              <w:rPr>
                <w:rFonts w:cstheme="minorHAnsi"/>
                <w:color w:val="3F3F3F"/>
                <w:sz w:val="18"/>
                <w:szCs w:val="18"/>
              </w:rPr>
              <w:t>6</w:t>
            </w:r>
          </w:p>
        </w:tc>
        <w:tc>
          <w:tcPr>
            <w:tcW w:w="1276" w:type="dxa"/>
            <w:shd w:val="clear" w:color="auto" w:fill="FFFFFF" w:themeFill="background1"/>
            <w:noWrap/>
            <w:vAlign w:val="center"/>
            <w:hideMark/>
          </w:tcPr>
          <w:p w14:paraId="74191AF4" w14:textId="601985F0"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67.0</w:t>
            </w:r>
          </w:p>
        </w:tc>
        <w:tc>
          <w:tcPr>
            <w:tcW w:w="1270" w:type="dxa"/>
            <w:shd w:val="clear" w:color="auto" w:fill="FFFFFF" w:themeFill="background1"/>
            <w:noWrap/>
            <w:vAlign w:val="center"/>
            <w:hideMark/>
          </w:tcPr>
          <w:p w14:paraId="022BEC72" w14:textId="4E343D73"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64.8</w:t>
            </w:r>
          </w:p>
        </w:tc>
      </w:tr>
      <w:tr w:rsidR="00AE3458" w:rsidRPr="009041AF" w14:paraId="70BE956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FFFFFF" w:themeFill="background1"/>
            <w:noWrap/>
            <w:vAlign w:val="center"/>
            <w:hideMark/>
          </w:tcPr>
          <w:p w14:paraId="1366932A" w14:textId="452648E2"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State/</w:t>
            </w:r>
            <w:r w:rsidR="00922341">
              <w:rPr>
                <w:rFonts w:cstheme="minorHAnsi"/>
                <w:color w:val="3F3F3F"/>
                <w:sz w:val="18"/>
                <w:szCs w:val="18"/>
              </w:rPr>
              <w:t>t</w:t>
            </w:r>
            <w:r w:rsidRPr="00E443FB">
              <w:rPr>
                <w:rFonts w:cstheme="minorHAnsi"/>
                <w:color w:val="3F3F3F"/>
                <w:sz w:val="18"/>
                <w:szCs w:val="18"/>
              </w:rPr>
              <w:t>erritory (%)</w:t>
            </w:r>
          </w:p>
        </w:tc>
        <w:tc>
          <w:tcPr>
            <w:tcW w:w="1276" w:type="dxa"/>
            <w:shd w:val="clear" w:color="auto" w:fill="FFFFFF" w:themeFill="background1"/>
            <w:noWrap/>
            <w:vAlign w:val="center"/>
            <w:hideMark/>
          </w:tcPr>
          <w:p w14:paraId="612874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ACT / NSW</w:t>
            </w:r>
          </w:p>
        </w:tc>
        <w:tc>
          <w:tcPr>
            <w:tcW w:w="1276" w:type="dxa"/>
            <w:shd w:val="clear" w:color="auto" w:fill="FFFFFF" w:themeFill="background1"/>
            <w:noWrap/>
            <w:vAlign w:val="center"/>
            <w:hideMark/>
          </w:tcPr>
          <w:p w14:paraId="67FE76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29.2</w:t>
            </w:r>
          </w:p>
        </w:tc>
        <w:tc>
          <w:tcPr>
            <w:tcW w:w="1276" w:type="dxa"/>
            <w:shd w:val="clear" w:color="auto" w:fill="FFFFFF" w:themeFill="background1"/>
            <w:noWrap/>
            <w:vAlign w:val="center"/>
            <w:hideMark/>
          </w:tcPr>
          <w:p w14:paraId="28020E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34.3</w:t>
            </w:r>
          </w:p>
        </w:tc>
        <w:tc>
          <w:tcPr>
            <w:tcW w:w="1559" w:type="dxa"/>
            <w:shd w:val="clear" w:color="auto" w:fill="FFFFFF" w:themeFill="background1"/>
            <w:noWrap/>
            <w:vAlign w:val="center"/>
            <w:hideMark/>
          </w:tcPr>
          <w:p w14:paraId="71EE8F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32.9</w:t>
            </w:r>
          </w:p>
        </w:tc>
        <w:tc>
          <w:tcPr>
            <w:tcW w:w="1276" w:type="dxa"/>
            <w:shd w:val="clear" w:color="auto" w:fill="FFFFFF" w:themeFill="background1"/>
            <w:noWrap/>
            <w:vAlign w:val="center"/>
            <w:hideMark/>
          </w:tcPr>
          <w:p w14:paraId="68005F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37.5</w:t>
            </w:r>
          </w:p>
        </w:tc>
        <w:tc>
          <w:tcPr>
            <w:tcW w:w="1270" w:type="dxa"/>
            <w:shd w:val="clear" w:color="auto" w:fill="FFFFFF" w:themeFill="background1"/>
            <w:noWrap/>
            <w:vAlign w:val="center"/>
            <w:hideMark/>
          </w:tcPr>
          <w:p w14:paraId="7158A4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32.6</w:t>
            </w:r>
          </w:p>
        </w:tc>
      </w:tr>
      <w:tr w:rsidR="00AE3458" w:rsidRPr="009041AF" w14:paraId="1564D1C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A76E823"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1EB45E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NT </w:t>
            </w:r>
          </w:p>
        </w:tc>
        <w:tc>
          <w:tcPr>
            <w:tcW w:w="1276" w:type="dxa"/>
            <w:shd w:val="clear" w:color="auto" w:fill="FFFFFF" w:themeFill="background1"/>
            <w:noWrap/>
            <w:vAlign w:val="center"/>
            <w:hideMark/>
          </w:tcPr>
          <w:p w14:paraId="08987C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w:t>
            </w:r>
          </w:p>
        </w:tc>
        <w:tc>
          <w:tcPr>
            <w:tcW w:w="1276" w:type="dxa"/>
            <w:shd w:val="clear" w:color="auto" w:fill="FFFFFF" w:themeFill="background1"/>
            <w:noWrap/>
            <w:vAlign w:val="center"/>
            <w:hideMark/>
          </w:tcPr>
          <w:p w14:paraId="5CFB9D6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559" w:type="dxa"/>
            <w:shd w:val="clear" w:color="auto" w:fill="FFFFFF" w:themeFill="background1"/>
            <w:noWrap/>
            <w:vAlign w:val="center"/>
            <w:hideMark/>
          </w:tcPr>
          <w:p w14:paraId="3BD348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6" w:type="dxa"/>
            <w:shd w:val="clear" w:color="auto" w:fill="FFFFFF" w:themeFill="background1"/>
            <w:noWrap/>
            <w:vAlign w:val="center"/>
            <w:hideMark/>
          </w:tcPr>
          <w:p w14:paraId="3398B6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0" w:type="dxa"/>
            <w:shd w:val="clear" w:color="auto" w:fill="FFFFFF" w:themeFill="background1"/>
            <w:noWrap/>
            <w:vAlign w:val="center"/>
            <w:hideMark/>
          </w:tcPr>
          <w:p w14:paraId="04964F1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w:t>
            </w:r>
          </w:p>
        </w:tc>
      </w:tr>
      <w:tr w:rsidR="00AE3458" w:rsidRPr="009041AF" w14:paraId="345B796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7D10135"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08282B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QLD</w:t>
            </w:r>
          </w:p>
        </w:tc>
        <w:tc>
          <w:tcPr>
            <w:tcW w:w="1276" w:type="dxa"/>
            <w:shd w:val="clear" w:color="auto" w:fill="FFFFFF" w:themeFill="background1"/>
            <w:noWrap/>
            <w:vAlign w:val="center"/>
            <w:hideMark/>
          </w:tcPr>
          <w:p w14:paraId="08156C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27.2</w:t>
            </w:r>
          </w:p>
        </w:tc>
        <w:tc>
          <w:tcPr>
            <w:tcW w:w="1276" w:type="dxa"/>
            <w:shd w:val="clear" w:color="auto" w:fill="FFFFFF" w:themeFill="background1"/>
            <w:noWrap/>
            <w:vAlign w:val="center"/>
            <w:hideMark/>
          </w:tcPr>
          <w:p w14:paraId="38F7F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18.6</w:t>
            </w:r>
          </w:p>
        </w:tc>
        <w:tc>
          <w:tcPr>
            <w:tcW w:w="1559" w:type="dxa"/>
            <w:shd w:val="clear" w:color="auto" w:fill="FFFFFF" w:themeFill="background1"/>
            <w:noWrap/>
            <w:vAlign w:val="center"/>
            <w:hideMark/>
          </w:tcPr>
          <w:p w14:paraId="1B2E8C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21.1</w:t>
            </w:r>
          </w:p>
        </w:tc>
        <w:tc>
          <w:tcPr>
            <w:tcW w:w="1276" w:type="dxa"/>
            <w:shd w:val="clear" w:color="auto" w:fill="FFFFFF" w:themeFill="background1"/>
            <w:noWrap/>
            <w:vAlign w:val="center"/>
            <w:hideMark/>
          </w:tcPr>
          <w:p w14:paraId="63E3B68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16.3</w:t>
            </w:r>
          </w:p>
        </w:tc>
        <w:tc>
          <w:tcPr>
            <w:tcW w:w="1270" w:type="dxa"/>
            <w:shd w:val="clear" w:color="auto" w:fill="FFFFFF" w:themeFill="background1"/>
            <w:noWrap/>
            <w:vAlign w:val="center"/>
            <w:hideMark/>
          </w:tcPr>
          <w:p w14:paraId="31DE331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19.9</w:t>
            </w:r>
          </w:p>
        </w:tc>
      </w:tr>
      <w:tr w:rsidR="00AE3458" w:rsidRPr="009041AF" w14:paraId="19DE7132"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344C97F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796FBA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SA</w:t>
            </w:r>
          </w:p>
        </w:tc>
        <w:tc>
          <w:tcPr>
            <w:tcW w:w="1276" w:type="dxa"/>
            <w:shd w:val="clear" w:color="auto" w:fill="FFFFFF" w:themeFill="background1"/>
            <w:noWrap/>
            <w:vAlign w:val="center"/>
            <w:hideMark/>
          </w:tcPr>
          <w:p w14:paraId="4E574D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w:t>
            </w:r>
          </w:p>
        </w:tc>
        <w:tc>
          <w:tcPr>
            <w:tcW w:w="1276" w:type="dxa"/>
            <w:shd w:val="clear" w:color="auto" w:fill="FFFFFF" w:themeFill="background1"/>
            <w:noWrap/>
            <w:vAlign w:val="center"/>
            <w:hideMark/>
          </w:tcPr>
          <w:p w14:paraId="063DD1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6.7</w:t>
            </w:r>
          </w:p>
        </w:tc>
        <w:tc>
          <w:tcPr>
            <w:tcW w:w="1559" w:type="dxa"/>
            <w:shd w:val="clear" w:color="auto" w:fill="FFFFFF" w:themeFill="background1"/>
            <w:noWrap/>
            <w:vAlign w:val="center"/>
            <w:hideMark/>
          </w:tcPr>
          <w:p w14:paraId="0C8BA08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6.6</w:t>
            </w:r>
          </w:p>
        </w:tc>
        <w:tc>
          <w:tcPr>
            <w:tcW w:w="1276" w:type="dxa"/>
            <w:shd w:val="clear" w:color="auto" w:fill="FFFFFF" w:themeFill="background1"/>
            <w:noWrap/>
            <w:vAlign w:val="center"/>
            <w:hideMark/>
          </w:tcPr>
          <w:p w14:paraId="6399F27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w:t>
            </w:r>
          </w:p>
        </w:tc>
        <w:tc>
          <w:tcPr>
            <w:tcW w:w="1270" w:type="dxa"/>
            <w:shd w:val="clear" w:color="auto" w:fill="FFFFFF" w:themeFill="background1"/>
            <w:noWrap/>
            <w:vAlign w:val="center"/>
            <w:hideMark/>
          </w:tcPr>
          <w:p w14:paraId="23F8C6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8.6</w:t>
            </w:r>
          </w:p>
        </w:tc>
      </w:tr>
      <w:tr w:rsidR="00AE3458" w:rsidRPr="009041AF" w14:paraId="5F9255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5A9405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491708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VIC / TAS</w:t>
            </w:r>
          </w:p>
        </w:tc>
        <w:tc>
          <w:tcPr>
            <w:tcW w:w="1276" w:type="dxa"/>
            <w:shd w:val="clear" w:color="auto" w:fill="FFFFFF" w:themeFill="background1"/>
            <w:noWrap/>
            <w:vAlign w:val="center"/>
            <w:hideMark/>
          </w:tcPr>
          <w:p w14:paraId="13A55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26.8</w:t>
            </w:r>
          </w:p>
        </w:tc>
        <w:tc>
          <w:tcPr>
            <w:tcW w:w="1276" w:type="dxa"/>
            <w:shd w:val="clear" w:color="auto" w:fill="FFFFFF" w:themeFill="background1"/>
            <w:noWrap/>
            <w:vAlign w:val="center"/>
            <w:hideMark/>
          </w:tcPr>
          <w:p w14:paraId="4872C9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30.8</w:t>
            </w:r>
          </w:p>
        </w:tc>
        <w:tc>
          <w:tcPr>
            <w:tcW w:w="1559" w:type="dxa"/>
            <w:shd w:val="clear" w:color="auto" w:fill="FFFFFF" w:themeFill="background1"/>
            <w:noWrap/>
            <w:vAlign w:val="center"/>
            <w:hideMark/>
          </w:tcPr>
          <w:p w14:paraId="76A7C8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29.7</w:t>
            </w:r>
          </w:p>
        </w:tc>
        <w:tc>
          <w:tcPr>
            <w:tcW w:w="1276" w:type="dxa"/>
            <w:shd w:val="clear" w:color="auto" w:fill="FFFFFF" w:themeFill="background1"/>
            <w:noWrap/>
            <w:vAlign w:val="center"/>
            <w:hideMark/>
          </w:tcPr>
          <w:p w14:paraId="1DB365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27.8</w:t>
            </w:r>
          </w:p>
        </w:tc>
        <w:tc>
          <w:tcPr>
            <w:tcW w:w="1270" w:type="dxa"/>
            <w:shd w:val="clear" w:color="auto" w:fill="FFFFFF" w:themeFill="background1"/>
            <w:noWrap/>
            <w:vAlign w:val="center"/>
            <w:hideMark/>
          </w:tcPr>
          <w:p w14:paraId="0650A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27.5</w:t>
            </w:r>
          </w:p>
        </w:tc>
      </w:tr>
      <w:tr w:rsidR="00AE3458" w:rsidRPr="009041AF" w14:paraId="7C4A6C2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BF898CF"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5B0AF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WA</w:t>
            </w:r>
          </w:p>
        </w:tc>
        <w:tc>
          <w:tcPr>
            <w:tcW w:w="1276" w:type="dxa"/>
            <w:shd w:val="clear" w:color="auto" w:fill="FFFFFF" w:themeFill="background1"/>
            <w:noWrap/>
            <w:vAlign w:val="center"/>
            <w:hideMark/>
          </w:tcPr>
          <w:p w14:paraId="4F217E9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53031E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559" w:type="dxa"/>
            <w:shd w:val="clear" w:color="auto" w:fill="FFFFFF" w:themeFill="background1"/>
            <w:noWrap/>
            <w:vAlign w:val="center"/>
            <w:hideMark/>
          </w:tcPr>
          <w:p w14:paraId="39AC9F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2E7FE15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8.8</w:t>
            </w:r>
          </w:p>
        </w:tc>
        <w:tc>
          <w:tcPr>
            <w:tcW w:w="1270" w:type="dxa"/>
            <w:shd w:val="clear" w:color="auto" w:fill="FFFFFF" w:themeFill="background1"/>
            <w:noWrap/>
            <w:vAlign w:val="center"/>
            <w:hideMark/>
          </w:tcPr>
          <w:p w14:paraId="7AF3F6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10.8</w:t>
            </w:r>
          </w:p>
        </w:tc>
      </w:tr>
    </w:tbl>
    <w:p w14:paraId="4E236423" w14:textId="2EA707F3" w:rsidR="00AE3458" w:rsidRPr="008C2924" w:rsidRDefault="00AE3458" w:rsidP="00AE3458">
      <w:pPr>
        <w:pStyle w:val="SourceNotesText"/>
      </w:pPr>
      <w:r w:rsidRPr="008C2924">
        <w:t xml:space="preserve">Note: Table </w:t>
      </w:r>
      <w:r>
        <w:t>reports all units in</w:t>
      </w:r>
      <w:r w:rsidRPr="008C2924">
        <w:t xml:space="preserve"> trial without exclusions. SEIFA is the</w:t>
      </w:r>
      <w:r>
        <w:t xml:space="preserve"> </w:t>
      </w:r>
      <w:r w:rsidRPr="008C2924">
        <w:t>ABS SEIFA score</w:t>
      </w:r>
      <w:r>
        <w:t>. Pre-trial prescriptions are the average prescription rate for GPs over the full year before the trial.</w:t>
      </w:r>
    </w:p>
    <w:p w14:paraId="3EC5826F" w14:textId="77777777" w:rsidR="00AE3458" w:rsidRPr="00F34A74" w:rsidRDefault="00AE3458" w:rsidP="005A3939">
      <w:pPr>
        <w:pStyle w:val="FigureHeading"/>
      </w:pPr>
      <w:r>
        <w:br w:type="page"/>
      </w:r>
      <w:bookmarkStart w:id="26" w:name="_Ref514068293"/>
      <w:r w:rsidR="000C3741"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7</w:t>
      </w:r>
      <w:r w:rsidR="00AD3544">
        <w:rPr>
          <w:noProof/>
        </w:rPr>
        <w:fldChar w:fldCharType="end"/>
      </w:r>
      <w:bookmarkEnd w:id="26"/>
      <w:r w:rsidR="00952192" w:rsidRPr="00F34A74">
        <w:t xml:space="preserve">: </w:t>
      </w:r>
      <w:r w:rsidRPr="00F34A74">
        <w:t>Descriptive statistics – scripts, consults and rates (mean ± SD)</w:t>
      </w:r>
    </w:p>
    <w:tbl>
      <w:tblPr>
        <w:tblStyle w:val="DefaultTable"/>
        <w:tblW w:w="9767" w:type="dxa"/>
        <w:tblLook w:val="04A0" w:firstRow="1" w:lastRow="0" w:firstColumn="1" w:lastColumn="0" w:noHBand="0" w:noVBand="1"/>
        <w:tblCaption w:val="Descriptive statistics- scripts, consults and rates (mean ± SD)"/>
        <w:tblDescription w:val="Showing the descriptive statistics- scripts, consults and rates (mean ± SD) for the six months combined and monthly."/>
      </w:tblPr>
      <w:tblGrid>
        <w:gridCol w:w="1157"/>
        <w:gridCol w:w="960"/>
        <w:gridCol w:w="1077"/>
        <w:gridCol w:w="992"/>
        <w:gridCol w:w="861"/>
        <w:gridCol w:w="960"/>
        <w:gridCol w:w="960"/>
        <w:gridCol w:w="960"/>
        <w:gridCol w:w="960"/>
        <w:gridCol w:w="960"/>
      </w:tblGrid>
      <w:tr w:rsidR="00507269" w:rsidRPr="00E84B49" w14:paraId="5DBEEE84"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7" w:type="dxa"/>
            <w:tcBorders>
              <w:top w:val="single" w:sz="4" w:space="0" w:color="142E3A" w:themeColor="text2"/>
              <w:left w:val="single" w:sz="4" w:space="0" w:color="142E3A" w:themeColor="text2"/>
              <w:bottom w:val="single" w:sz="4" w:space="0" w:color="142E3A" w:themeColor="text2"/>
            </w:tcBorders>
            <w:shd w:val="clear" w:color="auto" w:fill="142E3A" w:themeFill="text2"/>
            <w:noWrap/>
            <w:hideMark/>
          </w:tcPr>
          <w:p w14:paraId="3A29AF7F" w14:textId="77777777" w:rsidR="00AE3458" w:rsidRPr="00E443FB" w:rsidRDefault="00AE3458" w:rsidP="007C058D">
            <w:pPr>
              <w:spacing w:before="0" w:after="0"/>
              <w:rPr>
                <w:rFonts w:asciiTheme="majorHAnsi" w:hAnsiTheme="majorHAnsi" w:cstheme="majorHAnsi"/>
                <w:sz w:val="18"/>
                <w:szCs w:val="18"/>
              </w:rPr>
            </w:pPr>
          </w:p>
        </w:tc>
        <w:tc>
          <w:tcPr>
            <w:tcW w:w="960" w:type="dxa"/>
            <w:tcBorders>
              <w:top w:val="single" w:sz="4" w:space="0" w:color="142E3A" w:themeColor="text2"/>
              <w:bottom w:val="single" w:sz="4" w:space="0" w:color="142E3A" w:themeColor="text2"/>
            </w:tcBorders>
            <w:shd w:val="clear" w:color="auto" w:fill="142E3A" w:themeFill="text2"/>
            <w:noWrap/>
            <w:hideMark/>
          </w:tcPr>
          <w:p w14:paraId="6C3E667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1027" w:type="dxa"/>
            <w:tcBorders>
              <w:top w:val="single" w:sz="4" w:space="0" w:color="142E3A" w:themeColor="text2"/>
              <w:bottom w:val="single" w:sz="4" w:space="0" w:color="142E3A" w:themeColor="text2"/>
            </w:tcBorders>
            <w:shd w:val="clear" w:color="auto" w:fill="142E3A" w:themeFill="text2"/>
            <w:noWrap/>
            <w:hideMark/>
          </w:tcPr>
          <w:p w14:paraId="30ECC595" w14:textId="7692413D" w:rsidR="00AE3458" w:rsidRPr="00E443FB" w:rsidRDefault="00AE3458" w:rsidP="00206798">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Jul </w:t>
            </w:r>
            <w:r w:rsidR="00206798">
              <w:rPr>
                <w:rFonts w:asciiTheme="majorHAnsi" w:hAnsiTheme="majorHAnsi" w:cstheme="majorHAnsi"/>
                <w:color w:val="FFFFFF" w:themeColor="background1"/>
                <w:sz w:val="18"/>
                <w:szCs w:val="18"/>
              </w:rPr>
              <w:t>–</w:t>
            </w:r>
            <w:r w:rsidRPr="00E443FB">
              <w:rPr>
                <w:rFonts w:asciiTheme="majorHAnsi" w:hAnsiTheme="majorHAnsi" w:cstheme="majorHAnsi"/>
                <w:color w:val="FFFFFF" w:themeColor="background1"/>
                <w:sz w:val="18"/>
                <w:szCs w:val="18"/>
              </w:rPr>
              <w:t xml:space="preserve"> Dec combined</w:t>
            </w:r>
          </w:p>
        </w:tc>
        <w:tc>
          <w:tcPr>
            <w:tcW w:w="992" w:type="dxa"/>
            <w:tcBorders>
              <w:top w:val="single" w:sz="4" w:space="0" w:color="142E3A" w:themeColor="text2"/>
              <w:bottom w:val="single" w:sz="4" w:space="0" w:color="142E3A" w:themeColor="text2"/>
            </w:tcBorders>
            <w:shd w:val="clear" w:color="auto" w:fill="142E3A" w:themeFill="text2"/>
            <w:noWrap/>
            <w:hideMark/>
          </w:tcPr>
          <w:p w14:paraId="0664B861"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Jun</w:t>
            </w:r>
            <w:r w:rsidRPr="00E443FB">
              <w:rPr>
                <w:rFonts w:asciiTheme="majorHAnsi" w:hAnsiTheme="majorHAnsi" w:cstheme="majorHAnsi"/>
                <w:color w:val="FFFFFF" w:themeColor="background1"/>
                <w:sz w:val="18"/>
                <w:szCs w:val="18"/>
              </w:rPr>
              <w:br/>
              <w:t>(pre-trial)</w:t>
            </w:r>
          </w:p>
        </w:tc>
        <w:tc>
          <w:tcPr>
            <w:tcW w:w="861" w:type="dxa"/>
            <w:tcBorders>
              <w:top w:val="single" w:sz="4" w:space="0" w:color="142E3A" w:themeColor="text2"/>
              <w:bottom w:val="single" w:sz="4" w:space="0" w:color="142E3A" w:themeColor="text2"/>
            </w:tcBorders>
            <w:shd w:val="clear" w:color="auto" w:fill="142E3A" w:themeFill="text2"/>
            <w:noWrap/>
            <w:hideMark/>
          </w:tcPr>
          <w:p w14:paraId="61020D2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Jul</w:t>
            </w:r>
            <w:r w:rsidRPr="00E443FB">
              <w:rPr>
                <w:rFonts w:asciiTheme="majorHAnsi" w:hAnsiTheme="majorHAnsi" w:cstheme="majorHAnsi"/>
                <w:color w:val="FFFFFF" w:themeColor="background1"/>
                <w:sz w:val="18"/>
                <w:szCs w:val="18"/>
              </w:rPr>
              <w:br/>
            </w:r>
          </w:p>
        </w:tc>
        <w:tc>
          <w:tcPr>
            <w:tcW w:w="960" w:type="dxa"/>
            <w:tcBorders>
              <w:top w:val="single" w:sz="4" w:space="0" w:color="142E3A" w:themeColor="text2"/>
              <w:bottom w:val="single" w:sz="4" w:space="0" w:color="142E3A" w:themeColor="text2"/>
            </w:tcBorders>
            <w:shd w:val="clear" w:color="auto" w:fill="142E3A" w:themeFill="text2"/>
            <w:noWrap/>
            <w:hideMark/>
          </w:tcPr>
          <w:p w14:paraId="26BF2F37"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Aug</w:t>
            </w:r>
          </w:p>
        </w:tc>
        <w:tc>
          <w:tcPr>
            <w:tcW w:w="960" w:type="dxa"/>
            <w:tcBorders>
              <w:top w:val="single" w:sz="4" w:space="0" w:color="142E3A" w:themeColor="text2"/>
              <w:bottom w:val="single" w:sz="4" w:space="0" w:color="142E3A" w:themeColor="text2"/>
            </w:tcBorders>
            <w:shd w:val="clear" w:color="auto" w:fill="142E3A" w:themeFill="text2"/>
            <w:noWrap/>
            <w:hideMark/>
          </w:tcPr>
          <w:p w14:paraId="0F83249B"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Sep</w:t>
            </w:r>
          </w:p>
        </w:tc>
        <w:tc>
          <w:tcPr>
            <w:tcW w:w="960" w:type="dxa"/>
            <w:tcBorders>
              <w:top w:val="single" w:sz="4" w:space="0" w:color="142E3A" w:themeColor="text2"/>
              <w:bottom w:val="single" w:sz="4" w:space="0" w:color="142E3A" w:themeColor="text2"/>
            </w:tcBorders>
            <w:shd w:val="clear" w:color="auto" w:fill="142E3A" w:themeFill="text2"/>
            <w:noWrap/>
            <w:hideMark/>
          </w:tcPr>
          <w:p w14:paraId="351FF6B2"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Oct</w:t>
            </w:r>
          </w:p>
        </w:tc>
        <w:tc>
          <w:tcPr>
            <w:tcW w:w="960" w:type="dxa"/>
            <w:tcBorders>
              <w:top w:val="single" w:sz="4" w:space="0" w:color="142E3A" w:themeColor="text2"/>
              <w:bottom w:val="single" w:sz="4" w:space="0" w:color="142E3A" w:themeColor="text2"/>
            </w:tcBorders>
            <w:shd w:val="clear" w:color="auto" w:fill="142E3A" w:themeFill="text2"/>
            <w:noWrap/>
            <w:hideMark/>
          </w:tcPr>
          <w:p w14:paraId="2647E0D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Nov</w:t>
            </w:r>
          </w:p>
        </w:tc>
        <w:tc>
          <w:tcPr>
            <w:tcW w:w="960" w:type="dxa"/>
            <w:tcBorders>
              <w:top w:val="single" w:sz="4" w:space="0" w:color="142E3A" w:themeColor="text2"/>
              <w:bottom w:val="single" w:sz="4" w:space="0" w:color="142E3A" w:themeColor="text2"/>
              <w:right w:val="single" w:sz="4" w:space="0" w:color="142E3A" w:themeColor="text2"/>
            </w:tcBorders>
            <w:shd w:val="clear" w:color="auto" w:fill="142E3A" w:themeFill="text2"/>
            <w:noWrap/>
            <w:hideMark/>
          </w:tcPr>
          <w:p w14:paraId="2E8920E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Dec</w:t>
            </w:r>
          </w:p>
        </w:tc>
      </w:tr>
      <w:tr w:rsidR="00AE3458" w:rsidRPr="00E84B49" w14:paraId="5F4F5AE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tcBorders>
              <w:top w:val="single" w:sz="4" w:space="0" w:color="142E3A" w:themeColor="text2"/>
            </w:tcBorders>
            <w:shd w:val="clear" w:color="auto" w:fill="FFFFFF" w:themeFill="background1"/>
            <w:noWrap/>
            <w:vAlign w:val="center"/>
            <w:hideMark/>
          </w:tcPr>
          <w:p w14:paraId="00D12030"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Control</w:t>
            </w:r>
          </w:p>
        </w:tc>
        <w:tc>
          <w:tcPr>
            <w:tcW w:w="960" w:type="dxa"/>
            <w:tcBorders>
              <w:top w:val="single" w:sz="4" w:space="0" w:color="142E3A" w:themeColor="text2"/>
            </w:tcBorders>
            <w:shd w:val="clear" w:color="auto" w:fill="FFFFFF" w:themeFill="background1"/>
            <w:noWrap/>
            <w:vAlign w:val="center"/>
            <w:hideMark/>
          </w:tcPr>
          <w:p w14:paraId="71CC89E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tcBorders>
              <w:top w:val="single" w:sz="4" w:space="0" w:color="142E3A" w:themeColor="text2"/>
            </w:tcBorders>
            <w:shd w:val="clear" w:color="auto" w:fill="FFFFFF" w:themeFill="background1"/>
            <w:noWrap/>
            <w:hideMark/>
          </w:tcPr>
          <w:p w14:paraId="4ED46E0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298.1 </w:t>
            </w:r>
            <w:r w:rsidRPr="00E443FB">
              <w:rPr>
                <w:rFonts w:asciiTheme="majorHAnsi" w:hAnsiTheme="majorHAnsi" w:cstheme="majorHAnsi"/>
                <w:color w:val="3F3F3F"/>
                <w:sz w:val="18"/>
                <w:szCs w:val="18"/>
              </w:rPr>
              <w:br/>
              <w:t>± 222.0</w:t>
            </w:r>
          </w:p>
        </w:tc>
        <w:tc>
          <w:tcPr>
            <w:tcW w:w="992" w:type="dxa"/>
            <w:tcBorders>
              <w:top w:val="single" w:sz="4" w:space="0" w:color="142E3A" w:themeColor="text2"/>
            </w:tcBorders>
            <w:shd w:val="clear" w:color="auto" w:fill="FFFFFF" w:themeFill="background1"/>
            <w:noWrap/>
            <w:hideMark/>
          </w:tcPr>
          <w:p w14:paraId="468D6C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50.8 </w:t>
            </w:r>
            <w:r w:rsidRPr="00E443FB">
              <w:rPr>
                <w:rFonts w:asciiTheme="majorHAnsi" w:hAnsiTheme="majorHAnsi" w:cstheme="majorHAnsi"/>
                <w:color w:val="3F3F3F"/>
                <w:sz w:val="18"/>
                <w:szCs w:val="18"/>
              </w:rPr>
              <w:br/>
              <w:t>± 39.2</w:t>
            </w:r>
          </w:p>
        </w:tc>
        <w:tc>
          <w:tcPr>
            <w:tcW w:w="861" w:type="dxa"/>
            <w:tcBorders>
              <w:top w:val="single" w:sz="4" w:space="0" w:color="142E3A" w:themeColor="text2"/>
            </w:tcBorders>
            <w:shd w:val="clear" w:color="auto" w:fill="FFFFFF" w:themeFill="background1"/>
            <w:noWrap/>
            <w:hideMark/>
          </w:tcPr>
          <w:p w14:paraId="3A972DB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w:t>
            </w:r>
            <w:r w:rsidRPr="00E443FB">
              <w:rPr>
                <w:rFonts w:asciiTheme="majorHAnsi" w:hAnsiTheme="majorHAnsi" w:cstheme="majorHAnsi"/>
                <w:color w:val="3F3F3F"/>
                <w:sz w:val="18"/>
                <w:szCs w:val="18"/>
              </w:rPr>
              <w:br/>
              <w:t>± 38.9</w:t>
            </w:r>
          </w:p>
        </w:tc>
        <w:tc>
          <w:tcPr>
            <w:tcW w:w="960" w:type="dxa"/>
            <w:tcBorders>
              <w:top w:val="single" w:sz="4" w:space="0" w:color="142E3A" w:themeColor="text2"/>
            </w:tcBorders>
            <w:shd w:val="clear" w:color="auto" w:fill="FFFFFF" w:themeFill="background1"/>
            <w:noWrap/>
            <w:hideMark/>
          </w:tcPr>
          <w:p w14:paraId="54C1728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59.9</w:t>
            </w:r>
            <w:r w:rsidRPr="00E443FB">
              <w:rPr>
                <w:rFonts w:asciiTheme="majorHAnsi" w:hAnsiTheme="majorHAnsi" w:cstheme="majorHAnsi"/>
                <w:color w:val="3F3F3F"/>
                <w:sz w:val="18"/>
                <w:szCs w:val="18"/>
              </w:rPr>
              <w:br/>
              <w:t xml:space="preserve"> ± 47.1</w:t>
            </w:r>
          </w:p>
        </w:tc>
        <w:tc>
          <w:tcPr>
            <w:tcW w:w="960" w:type="dxa"/>
            <w:tcBorders>
              <w:top w:val="single" w:sz="4" w:space="0" w:color="142E3A" w:themeColor="text2"/>
            </w:tcBorders>
            <w:shd w:val="clear" w:color="auto" w:fill="FFFFFF" w:themeFill="background1"/>
            <w:noWrap/>
            <w:hideMark/>
          </w:tcPr>
          <w:p w14:paraId="1C52EB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62.2 </w:t>
            </w:r>
            <w:r w:rsidRPr="00E443FB">
              <w:rPr>
                <w:rFonts w:asciiTheme="majorHAnsi" w:hAnsiTheme="majorHAnsi" w:cstheme="majorHAnsi"/>
                <w:color w:val="3F3F3F"/>
                <w:sz w:val="18"/>
                <w:szCs w:val="18"/>
              </w:rPr>
              <w:br/>
              <w:t>± 49.1</w:t>
            </w:r>
          </w:p>
        </w:tc>
        <w:tc>
          <w:tcPr>
            <w:tcW w:w="960" w:type="dxa"/>
            <w:tcBorders>
              <w:top w:val="single" w:sz="4" w:space="0" w:color="142E3A" w:themeColor="text2"/>
            </w:tcBorders>
            <w:shd w:val="clear" w:color="auto" w:fill="FFFFFF" w:themeFill="background1"/>
            <w:noWrap/>
            <w:hideMark/>
          </w:tcPr>
          <w:p w14:paraId="342CD3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50.3</w:t>
            </w:r>
            <w:r w:rsidRPr="00E443FB">
              <w:rPr>
                <w:rFonts w:asciiTheme="majorHAnsi" w:hAnsiTheme="majorHAnsi" w:cstheme="majorHAnsi"/>
                <w:color w:val="3F3F3F"/>
                <w:sz w:val="18"/>
                <w:szCs w:val="18"/>
              </w:rPr>
              <w:br/>
              <w:t>± 39.8</w:t>
            </w:r>
          </w:p>
        </w:tc>
        <w:tc>
          <w:tcPr>
            <w:tcW w:w="960" w:type="dxa"/>
            <w:tcBorders>
              <w:top w:val="single" w:sz="4" w:space="0" w:color="142E3A" w:themeColor="text2"/>
            </w:tcBorders>
            <w:shd w:val="clear" w:color="auto" w:fill="FFFFFF" w:themeFill="background1"/>
            <w:noWrap/>
            <w:hideMark/>
          </w:tcPr>
          <w:p w14:paraId="36C00EF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44.3</w:t>
            </w:r>
            <w:r w:rsidRPr="00E443FB">
              <w:rPr>
                <w:rFonts w:asciiTheme="majorHAnsi" w:hAnsiTheme="majorHAnsi" w:cstheme="majorHAnsi"/>
                <w:color w:val="3F3F3F"/>
                <w:sz w:val="18"/>
                <w:szCs w:val="18"/>
              </w:rPr>
              <w:br/>
              <w:t>± 34.0</w:t>
            </w:r>
          </w:p>
        </w:tc>
        <w:tc>
          <w:tcPr>
            <w:tcW w:w="960" w:type="dxa"/>
            <w:tcBorders>
              <w:top w:val="single" w:sz="4" w:space="0" w:color="142E3A" w:themeColor="text2"/>
            </w:tcBorders>
            <w:shd w:val="clear" w:color="auto" w:fill="FFFFFF" w:themeFill="background1"/>
            <w:noWrap/>
            <w:hideMark/>
          </w:tcPr>
          <w:p w14:paraId="010A47F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39.3</w:t>
            </w:r>
          </w:p>
          <w:p w14:paraId="027861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30.4</w:t>
            </w:r>
          </w:p>
        </w:tc>
      </w:tr>
      <w:tr w:rsidR="00AE3458" w:rsidRPr="00E84B49" w14:paraId="21FBE97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25EA89F"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047781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779FA14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2690.3</w:t>
            </w:r>
            <w:r w:rsidRPr="00E443FB">
              <w:rPr>
                <w:rFonts w:asciiTheme="majorHAnsi" w:hAnsiTheme="majorHAnsi" w:cstheme="majorHAnsi"/>
                <w:color w:val="3F3F3F"/>
                <w:sz w:val="18"/>
                <w:szCs w:val="18"/>
              </w:rPr>
              <w:br/>
              <w:t>± 1603.4</w:t>
            </w:r>
          </w:p>
        </w:tc>
        <w:tc>
          <w:tcPr>
            <w:tcW w:w="992" w:type="dxa"/>
            <w:shd w:val="clear" w:color="auto" w:fill="FFFFFF" w:themeFill="background1"/>
            <w:noWrap/>
            <w:hideMark/>
          </w:tcPr>
          <w:p w14:paraId="41FAF6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483.8 </w:t>
            </w:r>
            <w:r w:rsidRPr="00E443FB">
              <w:rPr>
                <w:rFonts w:asciiTheme="majorHAnsi" w:hAnsiTheme="majorHAnsi" w:cstheme="majorHAnsi"/>
                <w:color w:val="3F3F3F"/>
                <w:sz w:val="18"/>
                <w:szCs w:val="18"/>
              </w:rPr>
              <w:br/>
              <w:t>± 291.8</w:t>
            </w:r>
          </w:p>
        </w:tc>
        <w:tc>
          <w:tcPr>
            <w:tcW w:w="861" w:type="dxa"/>
            <w:shd w:val="clear" w:color="auto" w:fill="FFFFFF" w:themeFill="background1"/>
            <w:noWrap/>
            <w:hideMark/>
          </w:tcPr>
          <w:p w14:paraId="53CC95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419.1</w:t>
            </w:r>
            <w:r w:rsidRPr="00E443FB">
              <w:rPr>
                <w:rFonts w:asciiTheme="majorHAnsi" w:hAnsiTheme="majorHAnsi" w:cstheme="majorHAnsi"/>
                <w:color w:val="3F3F3F"/>
                <w:sz w:val="18"/>
                <w:szCs w:val="18"/>
              </w:rPr>
              <w:br/>
              <w:t>± 259.8</w:t>
            </w:r>
          </w:p>
        </w:tc>
        <w:tc>
          <w:tcPr>
            <w:tcW w:w="960" w:type="dxa"/>
            <w:shd w:val="clear" w:color="auto" w:fill="FFFFFF" w:themeFill="background1"/>
            <w:noWrap/>
            <w:hideMark/>
          </w:tcPr>
          <w:p w14:paraId="6A9CC4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494.4</w:t>
            </w:r>
            <w:r w:rsidRPr="00E443FB">
              <w:rPr>
                <w:rFonts w:asciiTheme="majorHAnsi" w:hAnsiTheme="majorHAnsi" w:cstheme="majorHAnsi"/>
                <w:color w:val="3F3F3F"/>
                <w:sz w:val="18"/>
                <w:szCs w:val="18"/>
              </w:rPr>
              <w:br/>
              <w:t>± 299.7</w:t>
            </w:r>
          </w:p>
        </w:tc>
        <w:tc>
          <w:tcPr>
            <w:tcW w:w="960" w:type="dxa"/>
            <w:shd w:val="clear" w:color="auto" w:fill="FFFFFF" w:themeFill="background1"/>
            <w:noWrap/>
            <w:hideMark/>
          </w:tcPr>
          <w:p w14:paraId="1B399D9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497.8</w:t>
            </w:r>
            <w:r w:rsidRPr="00E443FB">
              <w:rPr>
                <w:rFonts w:asciiTheme="majorHAnsi" w:hAnsiTheme="majorHAnsi" w:cstheme="majorHAnsi"/>
                <w:color w:val="3F3F3F"/>
                <w:sz w:val="18"/>
                <w:szCs w:val="18"/>
              </w:rPr>
              <w:br/>
              <w:t>± 302.8</w:t>
            </w:r>
          </w:p>
        </w:tc>
        <w:tc>
          <w:tcPr>
            <w:tcW w:w="960" w:type="dxa"/>
            <w:shd w:val="clear" w:color="auto" w:fill="FFFFFF" w:themeFill="background1"/>
            <w:noWrap/>
            <w:hideMark/>
          </w:tcPr>
          <w:p w14:paraId="0C5E95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442.2</w:t>
            </w:r>
            <w:r w:rsidRPr="00E443FB">
              <w:rPr>
                <w:rFonts w:asciiTheme="majorHAnsi" w:hAnsiTheme="majorHAnsi" w:cstheme="majorHAnsi"/>
                <w:color w:val="3F3F3F"/>
                <w:sz w:val="18"/>
                <w:szCs w:val="18"/>
              </w:rPr>
              <w:br/>
              <w:t>± 273.6</w:t>
            </w:r>
          </w:p>
        </w:tc>
        <w:tc>
          <w:tcPr>
            <w:tcW w:w="960" w:type="dxa"/>
            <w:shd w:val="clear" w:color="auto" w:fill="FFFFFF" w:themeFill="background1"/>
            <w:noWrap/>
            <w:hideMark/>
          </w:tcPr>
          <w:p w14:paraId="239A10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468.8</w:t>
            </w:r>
            <w:r w:rsidRPr="00E443FB">
              <w:rPr>
                <w:rFonts w:asciiTheme="majorHAnsi" w:hAnsiTheme="majorHAnsi" w:cstheme="majorHAnsi"/>
                <w:color w:val="3F3F3F"/>
                <w:sz w:val="18"/>
                <w:szCs w:val="18"/>
              </w:rPr>
              <w:br/>
              <w:t>± 282.9</w:t>
            </w:r>
          </w:p>
        </w:tc>
        <w:tc>
          <w:tcPr>
            <w:tcW w:w="960" w:type="dxa"/>
            <w:shd w:val="clear" w:color="auto" w:fill="FFFFFF" w:themeFill="background1"/>
            <w:noWrap/>
            <w:hideMark/>
          </w:tcPr>
          <w:p w14:paraId="68766B36" w14:textId="049FC359"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265.7</w:t>
            </w:r>
          </w:p>
        </w:tc>
      </w:tr>
      <w:tr w:rsidR="00AE3458" w:rsidRPr="00E84B49" w14:paraId="14BEEB4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838FEFB"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D9AC13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54F359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40.8</w:t>
            </w:r>
          </w:p>
        </w:tc>
        <w:tc>
          <w:tcPr>
            <w:tcW w:w="992" w:type="dxa"/>
            <w:shd w:val="clear" w:color="auto" w:fill="FFFFFF" w:themeFill="background1"/>
            <w:noWrap/>
            <w:hideMark/>
          </w:tcPr>
          <w:p w14:paraId="16C18E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103.9 </w:t>
            </w:r>
            <w:r w:rsidRPr="00E443FB">
              <w:rPr>
                <w:rFonts w:asciiTheme="majorHAnsi" w:hAnsiTheme="majorHAnsi" w:cstheme="majorHAnsi"/>
                <w:color w:val="3F3F3F"/>
                <w:sz w:val="18"/>
                <w:szCs w:val="18"/>
              </w:rPr>
              <w:br/>
              <w:t>± 52.4</w:t>
            </w:r>
          </w:p>
        </w:tc>
        <w:tc>
          <w:tcPr>
            <w:tcW w:w="861" w:type="dxa"/>
            <w:shd w:val="clear" w:color="auto" w:fill="FFFFFF" w:themeFill="background1"/>
            <w:noWrap/>
            <w:hideMark/>
          </w:tcPr>
          <w:p w14:paraId="1A83281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114.5</w:t>
            </w:r>
            <w:r w:rsidRPr="00E443FB">
              <w:rPr>
                <w:rFonts w:asciiTheme="majorHAnsi" w:hAnsiTheme="majorHAnsi" w:cstheme="majorHAnsi"/>
                <w:color w:val="3F3F3F"/>
                <w:sz w:val="18"/>
                <w:szCs w:val="18"/>
              </w:rPr>
              <w:br/>
              <w:t>± 44.7</w:t>
            </w:r>
          </w:p>
        </w:tc>
        <w:tc>
          <w:tcPr>
            <w:tcW w:w="960" w:type="dxa"/>
            <w:shd w:val="clear" w:color="auto" w:fill="FFFFFF" w:themeFill="background1"/>
            <w:noWrap/>
            <w:hideMark/>
          </w:tcPr>
          <w:p w14:paraId="34A527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118.8</w:t>
            </w:r>
            <w:r w:rsidRPr="00E443FB">
              <w:rPr>
                <w:rFonts w:asciiTheme="majorHAnsi" w:hAnsiTheme="majorHAnsi" w:cstheme="majorHAnsi"/>
                <w:color w:val="3F3F3F"/>
                <w:sz w:val="18"/>
                <w:szCs w:val="18"/>
              </w:rPr>
              <w:br/>
              <w:t>± 48.6</w:t>
            </w:r>
          </w:p>
        </w:tc>
        <w:tc>
          <w:tcPr>
            <w:tcW w:w="960" w:type="dxa"/>
            <w:shd w:val="clear" w:color="auto" w:fill="FFFFFF" w:themeFill="background1"/>
            <w:noWrap/>
            <w:hideMark/>
          </w:tcPr>
          <w:p w14:paraId="3EDFFE5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122.6</w:t>
            </w:r>
            <w:r w:rsidRPr="00E443FB">
              <w:rPr>
                <w:rFonts w:asciiTheme="majorHAnsi" w:hAnsiTheme="majorHAnsi" w:cstheme="majorHAnsi"/>
                <w:color w:val="3F3F3F"/>
                <w:sz w:val="18"/>
                <w:szCs w:val="18"/>
              </w:rPr>
              <w:br/>
              <w:t>± 53.4</w:t>
            </w:r>
          </w:p>
        </w:tc>
        <w:tc>
          <w:tcPr>
            <w:tcW w:w="960" w:type="dxa"/>
            <w:shd w:val="clear" w:color="auto" w:fill="FFFFFF" w:themeFill="background1"/>
            <w:noWrap/>
            <w:hideMark/>
          </w:tcPr>
          <w:p w14:paraId="322C667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113.2</w:t>
            </w:r>
            <w:r w:rsidRPr="00E443FB">
              <w:rPr>
                <w:rFonts w:asciiTheme="majorHAnsi" w:hAnsiTheme="majorHAnsi" w:cstheme="majorHAnsi"/>
                <w:color w:val="3F3F3F"/>
                <w:sz w:val="18"/>
                <w:szCs w:val="18"/>
              </w:rPr>
              <w:br/>
              <w:t>± 54.3</w:t>
            </w:r>
          </w:p>
        </w:tc>
        <w:tc>
          <w:tcPr>
            <w:tcW w:w="960" w:type="dxa"/>
            <w:shd w:val="clear" w:color="auto" w:fill="FFFFFF" w:themeFill="background1"/>
            <w:noWrap/>
            <w:hideMark/>
          </w:tcPr>
          <w:p w14:paraId="6C645C9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93.3</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6140F9E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89.1</w:t>
            </w:r>
            <w:r w:rsidRPr="00E443FB">
              <w:rPr>
                <w:rFonts w:asciiTheme="majorHAnsi" w:hAnsiTheme="majorHAnsi" w:cstheme="majorHAnsi"/>
                <w:color w:val="3F3F3F"/>
                <w:sz w:val="18"/>
                <w:szCs w:val="18"/>
              </w:rPr>
              <w:br/>
              <w:t>± 38.4</w:t>
            </w:r>
          </w:p>
        </w:tc>
      </w:tr>
      <w:tr w:rsidR="00AE3458" w:rsidRPr="00E84B49" w14:paraId="1CCB0B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B55DC82"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Education</w:t>
            </w:r>
            <w:r w:rsidR="00D90F6D" w:rsidRPr="00E443FB">
              <w:rPr>
                <w:rFonts w:asciiTheme="majorHAnsi" w:hAnsiTheme="majorHAnsi" w:cstheme="majorHAnsi"/>
                <w:color w:val="3F3F3F"/>
                <w:sz w:val="18"/>
                <w:szCs w:val="18"/>
              </w:rPr>
              <w:t>-</w:t>
            </w:r>
            <w:r w:rsidR="0096784A" w:rsidRPr="00E443FB">
              <w:rPr>
                <w:rFonts w:asciiTheme="majorHAnsi" w:hAnsiTheme="majorHAnsi" w:cstheme="majorHAnsi"/>
                <w:color w:val="3F3F3F"/>
                <w:sz w:val="18"/>
                <w:szCs w:val="18"/>
              </w:rPr>
              <w:t>only</w:t>
            </w:r>
          </w:p>
        </w:tc>
        <w:tc>
          <w:tcPr>
            <w:tcW w:w="960" w:type="dxa"/>
            <w:shd w:val="clear" w:color="auto" w:fill="FFFFFF" w:themeFill="background1"/>
            <w:noWrap/>
            <w:vAlign w:val="center"/>
            <w:hideMark/>
          </w:tcPr>
          <w:p w14:paraId="27F96A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2685F2C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288.2</w:t>
            </w:r>
            <w:r w:rsidRPr="00E443FB">
              <w:rPr>
                <w:rFonts w:asciiTheme="majorHAnsi" w:hAnsiTheme="majorHAnsi" w:cstheme="majorHAnsi"/>
                <w:color w:val="3F3F3F"/>
                <w:sz w:val="18"/>
                <w:szCs w:val="18"/>
              </w:rPr>
              <w:br/>
              <w:t>± 216.5</w:t>
            </w:r>
          </w:p>
        </w:tc>
        <w:tc>
          <w:tcPr>
            <w:tcW w:w="992" w:type="dxa"/>
            <w:shd w:val="clear" w:color="auto" w:fill="FFFFFF" w:themeFill="background1"/>
            <w:noWrap/>
            <w:hideMark/>
          </w:tcPr>
          <w:p w14:paraId="7BBEDF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w:t>
            </w:r>
            <w:r w:rsidRPr="00E443FB">
              <w:rPr>
                <w:rFonts w:asciiTheme="majorHAnsi" w:hAnsiTheme="majorHAnsi" w:cstheme="majorHAnsi"/>
                <w:color w:val="3F3F3F"/>
                <w:sz w:val="18"/>
                <w:szCs w:val="18"/>
              </w:rPr>
              <w:br/>
              <w:t>± 39.3</w:t>
            </w:r>
          </w:p>
        </w:tc>
        <w:tc>
          <w:tcPr>
            <w:tcW w:w="861" w:type="dxa"/>
            <w:shd w:val="clear" w:color="auto" w:fill="FFFFFF" w:themeFill="background1"/>
            <w:noWrap/>
            <w:hideMark/>
          </w:tcPr>
          <w:p w14:paraId="648103F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w:t>
            </w:r>
            <w:r w:rsidRPr="00E443FB">
              <w:rPr>
                <w:rFonts w:asciiTheme="majorHAnsi" w:hAnsiTheme="majorHAnsi" w:cstheme="majorHAnsi"/>
                <w:color w:val="3F3F3F"/>
                <w:sz w:val="18"/>
                <w:szCs w:val="18"/>
              </w:rPr>
              <w:br/>
              <w:t>± 39.5</w:t>
            </w:r>
          </w:p>
        </w:tc>
        <w:tc>
          <w:tcPr>
            <w:tcW w:w="960" w:type="dxa"/>
            <w:shd w:val="clear" w:color="auto" w:fill="FFFFFF" w:themeFill="background1"/>
            <w:noWrap/>
            <w:hideMark/>
          </w:tcPr>
          <w:p w14:paraId="448204C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57.9</w:t>
            </w:r>
            <w:r w:rsidRPr="00E443FB">
              <w:rPr>
                <w:rFonts w:asciiTheme="majorHAnsi" w:hAnsiTheme="majorHAnsi" w:cstheme="majorHAnsi"/>
                <w:color w:val="3F3F3F"/>
                <w:sz w:val="18"/>
                <w:szCs w:val="18"/>
              </w:rPr>
              <w:br/>
              <w:t>± 46.2</w:t>
            </w:r>
          </w:p>
        </w:tc>
        <w:tc>
          <w:tcPr>
            <w:tcW w:w="960" w:type="dxa"/>
            <w:shd w:val="clear" w:color="auto" w:fill="FFFFFF" w:themeFill="background1"/>
            <w:noWrap/>
            <w:hideMark/>
          </w:tcPr>
          <w:p w14:paraId="4AFD3AC7" w14:textId="4CFFCD9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46.9</w:t>
            </w:r>
          </w:p>
        </w:tc>
        <w:tc>
          <w:tcPr>
            <w:tcW w:w="960" w:type="dxa"/>
            <w:shd w:val="clear" w:color="auto" w:fill="FFFFFF" w:themeFill="background1"/>
            <w:noWrap/>
            <w:hideMark/>
          </w:tcPr>
          <w:p w14:paraId="6FC4B5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w:t>
            </w:r>
            <w:r w:rsidRPr="00E443FB">
              <w:rPr>
                <w:rFonts w:asciiTheme="majorHAnsi" w:hAnsiTheme="majorHAnsi" w:cstheme="majorHAnsi"/>
                <w:color w:val="3F3F3F"/>
                <w:sz w:val="18"/>
                <w:szCs w:val="18"/>
              </w:rPr>
              <w:br/>
              <w:t>± 39.0</w:t>
            </w:r>
          </w:p>
        </w:tc>
        <w:tc>
          <w:tcPr>
            <w:tcW w:w="960" w:type="dxa"/>
            <w:shd w:val="clear" w:color="auto" w:fill="FFFFFF" w:themeFill="background1"/>
            <w:noWrap/>
            <w:hideMark/>
          </w:tcPr>
          <w:p w14:paraId="6882BE3F" w14:textId="10361F3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33.1</w:t>
            </w:r>
          </w:p>
        </w:tc>
        <w:tc>
          <w:tcPr>
            <w:tcW w:w="960" w:type="dxa"/>
            <w:shd w:val="clear" w:color="auto" w:fill="FFFFFF" w:themeFill="background1"/>
            <w:noWrap/>
            <w:hideMark/>
          </w:tcPr>
          <w:p w14:paraId="7AC96F9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38.0</w:t>
            </w:r>
            <w:r w:rsidRPr="00E443FB">
              <w:rPr>
                <w:rFonts w:asciiTheme="majorHAnsi" w:hAnsiTheme="majorHAnsi" w:cstheme="majorHAnsi"/>
                <w:color w:val="3F3F3F"/>
                <w:sz w:val="18"/>
                <w:szCs w:val="18"/>
              </w:rPr>
              <w:br/>
              <w:t>± 29.3</w:t>
            </w:r>
          </w:p>
        </w:tc>
      </w:tr>
      <w:tr w:rsidR="00AE3458" w:rsidRPr="00E84B49" w14:paraId="3C990CE4"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3496AC0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351F2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9D17C5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2667.2</w:t>
            </w:r>
            <w:r w:rsidRPr="00E443FB">
              <w:rPr>
                <w:rFonts w:asciiTheme="majorHAnsi" w:hAnsiTheme="majorHAnsi" w:cstheme="majorHAnsi"/>
                <w:color w:val="3F3F3F"/>
                <w:sz w:val="18"/>
                <w:szCs w:val="18"/>
              </w:rPr>
              <w:br/>
              <w:t>± 1565.8</w:t>
            </w:r>
          </w:p>
        </w:tc>
        <w:tc>
          <w:tcPr>
            <w:tcW w:w="992" w:type="dxa"/>
            <w:shd w:val="clear" w:color="auto" w:fill="FFFFFF" w:themeFill="background1"/>
            <w:noWrap/>
            <w:hideMark/>
          </w:tcPr>
          <w:p w14:paraId="049C97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483.5</w:t>
            </w:r>
            <w:r w:rsidRPr="00E443FB">
              <w:rPr>
                <w:rFonts w:asciiTheme="majorHAnsi" w:hAnsiTheme="majorHAnsi" w:cstheme="majorHAnsi"/>
                <w:color w:val="3F3F3F"/>
                <w:sz w:val="18"/>
                <w:szCs w:val="18"/>
              </w:rPr>
              <w:br/>
              <w:t>± 285.5</w:t>
            </w:r>
          </w:p>
        </w:tc>
        <w:tc>
          <w:tcPr>
            <w:tcW w:w="861" w:type="dxa"/>
            <w:shd w:val="clear" w:color="auto" w:fill="FFFFFF" w:themeFill="background1"/>
            <w:noWrap/>
            <w:hideMark/>
          </w:tcPr>
          <w:p w14:paraId="065BF8C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418.6</w:t>
            </w:r>
            <w:r w:rsidRPr="00E443FB">
              <w:rPr>
                <w:rFonts w:asciiTheme="majorHAnsi" w:hAnsiTheme="majorHAnsi" w:cstheme="majorHAnsi"/>
                <w:color w:val="3F3F3F"/>
                <w:sz w:val="18"/>
                <w:szCs w:val="18"/>
              </w:rPr>
              <w:br/>
              <w:t>± 262.2</w:t>
            </w:r>
          </w:p>
        </w:tc>
        <w:tc>
          <w:tcPr>
            <w:tcW w:w="960" w:type="dxa"/>
            <w:shd w:val="clear" w:color="auto" w:fill="FFFFFF" w:themeFill="background1"/>
            <w:noWrap/>
            <w:hideMark/>
          </w:tcPr>
          <w:p w14:paraId="116404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489.3</w:t>
            </w:r>
            <w:r w:rsidRPr="00E443FB">
              <w:rPr>
                <w:rFonts w:asciiTheme="majorHAnsi" w:hAnsiTheme="majorHAnsi" w:cstheme="majorHAnsi"/>
                <w:color w:val="3F3F3F"/>
                <w:sz w:val="18"/>
                <w:szCs w:val="18"/>
              </w:rPr>
              <w:br/>
              <w:t>± 294.8</w:t>
            </w:r>
          </w:p>
        </w:tc>
        <w:tc>
          <w:tcPr>
            <w:tcW w:w="960" w:type="dxa"/>
            <w:shd w:val="clear" w:color="auto" w:fill="FFFFFF" w:themeFill="background1"/>
            <w:noWrap/>
            <w:hideMark/>
          </w:tcPr>
          <w:p w14:paraId="4518CE6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485.1</w:t>
            </w:r>
            <w:r w:rsidRPr="00E443FB">
              <w:rPr>
                <w:rFonts w:asciiTheme="majorHAnsi" w:hAnsiTheme="majorHAnsi" w:cstheme="majorHAnsi"/>
                <w:color w:val="3F3F3F"/>
                <w:sz w:val="18"/>
                <w:szCs w:val="18"/>
              </w:rPr>
              <w:br/>
              <w:t>± 291.9</w:t>
            </w:r>
          </w:p>
        </w:tc>
        <w:tc>
          <w:tcPr>
            <w:tcW w:w="960" w:type="dxa"/>
            <w:shd w:val="clear" w:color="auto" w:fill="FFFFFF" w:themeFill="background1"/>
            <w:noWrap/>
            <w:hideMark/>
          </w:tcPr>
          <w:p w14:paraId="63B39D3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435.5</w:t>
            </w:r>
            <w:r w:rsidRPr="00E443FB">
              <w:rPr>
                <w:rFonts w:asciiTheme="majorHAnsi" w:hAnsiTheme="majorHAnsi" w:cstheme="majorHAnsi"/>
                <w:color w:val="3F3F3F"/>
                <w:sz w:val="18"/>
                <w:szCs w:val="18"/>
              </w:rPr>
              <w:br/>
              <w:t>± 269.2</w:t>
            </w:r>
          </w:p>
        </w:tc>
        <w:tc>
          <w:tcPr>
            <w:tcW w:w="960" w:type="dxa"/>
            <w:shd w:val="clear" w:color="auto" w:fill="FFFFFF" w:themeFill="background1"/>
            <w:noWrap/>
            <w:hideMark/>
          </w:tcPr>
          <w:p w14:paraId="7CA2FF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459.2</w:t>
            </w:r>
            <w:r w:rsidRPr="00E443FB">
              <w:rPr>
                <w:rFonts w:asciiTheme="majorHAnsi" w:hAnsiTheme="majorHAnsi" w:cstheme="majorHAnsi"/>
                <w:color w:val="3F3F3F"/>
                <w:sz w:val="18"/>
                <w:szCs w:val="18"/>
              </w:rPr>
              <w:br/>
              <w:t>± 275.9</w:t>
            </w:r>
          </w:p>
        </w:tc>
        <w:tc>
          <w:tcPr>
            <w:tcW w:w="960" w:type="dxa"/>
            <w:shd w:val="clear" w:color="auto" w:fill="FFFFFF" w:themeFill="background1"/>
            <w:noWrap/>
            <w:hideMark/>
          </w:tcPr>
          <w:p w14:paraId="142723E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431.3</w:t>
            </w:r>
            <w:r w:rsidRPr="00E443FB">
              <w:rPr>
                <w:rFonts w:asciiTheme="majorHAnsi" w:hAnsiTheme="majorHAnsi" w:cstheme="majorHAnsi"/>
                <w:color w:val="3F3F3F"/>
                <w:sz w:val="18"/>
                <w:szCs w:val="18"/>
              </w:rPr>
              <w:br/>
              <w:t>± 258.2</w:t>
            </w:r>
          </w:p>
        </w:tc>
      </w:tr>
      <w:tr w:rsidR="00AE3458" w:rsidRPr="00E84B49" w14:paraId="2F8400C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690549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7A0A86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0DB19B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105.5</w:t>
            </w:r>
            <w:r w:rsidRPr="00E443FB">
              <w:rPr>
                <w:rFonts w:asciiTheme="majorHAnsi" w:hAnsiTheme="majorHAnsi" w:cstheme="majorHAnsi"/>
                <w:color w:val="3F3F3F"/>
                <w:sz w:val="18"/>
                <w:szCs w:val="18"/>
              </w:rPr>
              <w:br/>
              <w:t>± 37.7</w:t>
            </w:r>
          </w:p>
        </w:tc>
        <w:tc>
          <w:tcPr>
            <w:tcW w:w="992" w:type="dxa"/>
            <w:shd w:val="clear" w:color="auto" w:fill="FFFFFF" w:themeFill="background1"/>
            <w:noWrap/>
            <w:hideMark/>
          </w:tcPr>
          <w:p w14:paraId="7077464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55.5</w:t>
            </w:r>
          </w:p>
        </w:tc>
        <w:tc>
          <w:tcPr>
            <w:tcW w:w="861" w:type="dxa"/>
            <w:shd w:val="clear" w:color="auto" w:fill="FFFFFF" w:themeFill="background1"/>
            <w:noWrap/>
            <w:hideMark/>
          </w:tcPr>
          <w:p w14:paraId="2AD094E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112.6</w:t>
            </w:r>
            <w:r w:rsidRPr="00E443FB">
              <w:rPr>
                <w:rFonts w:asciiTheme="majorHAnsi" w:hAnsiTheme="majorHAnsi" w:cstheme="majorHAnsi"/>
                <w:color w:val="3F3F3F"/>
                <w:sz w:val="18"/>
                <w:szCs w:val="18"/>
              </w:rPr>
              <w:br/>
              <w:t>± 52.5</w:t>
            </w:r>
          </w:p>
        </w:tc>
        <w:tc>
          <w:tcPr>
            <w:tcW w:w="960" w:type="dxa"/>
            <w:shd w:val="clear" w:color="auto" w:fill="FFFFFF" w:themeFill="background1"/>
            <w:noWrap/>
            <w:hideMark/>
          </w:tcPr>
          <w:p w14:paraId="1EECFEE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113.9</w:t>
            </w:r>
            <w:r w:rsidRPr="00E443FB">
              <w:rPr>
                <w:rFonts w:asciiTheme="majorHAnsi" w:hAnsiTheme="majorHAnsi" w:cstheme="majorHAnsi"/>
                <w:color w:val="3F3F3F"/>
                <w:sz w:val="18"/>
                <w:szCs w:val="18"/>
              </w:rPr>
              <w:br/>
              <w:t>± 45.5</w:t>
            </w:r>
          </w:p>
        </w:tc>
        <w:tc>
          <w:tcPr>
            <w:tcW w:w="960" w:type="dxa"/>
            <w:shd w:val="clear" w:color="auto" w:fill="FFFFFF" w:themeFill="background1"/>
            <w:noWrap/>
            <w:hideMark/>
          </w:tcPr>
          <w:p w14:paraId="04FC3C2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117.8</w:t>
            </w:r>
            <w:r w:rsidRPr="00E443FB">
              <w:rPr>
                <w:rFonts w:asciiTheme="majorHAnsi" w:hAnsiTheme="majorHAnsi" w:cstheme="majorHAnsi"/>
                <w:color w:val="3F3F3F"/>
                <w:sz w:val="18"/>
                <w:szCs w:val="18"/>
              </w:rPr>
              <w:br/>
              <w:t>± 50.2</w:t>
            </w:r>
          </w:p>
        </w:tc>
        <w:tc>
          <w:tcPr>
            <w:tcW w:w="960" w:type="dxa"/>
            <w:shd w:val="clear" w:color="auto" w:fill="FFFFFF" w:themeFill="background1"/>
            <w:noWrap/>
            <w:hideMark/>
          </w:tcPr>
          <w:p w14:paraId="5B9CD2F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52.7</w:t>
            </w:r>
          </w:p>
        </w:tc>
        <w:tc>
          <w:tcPr>
            <w:tcW w:w="960" w:type="dxa"/>
            <w:shd w:val="clear" w:color="auto" w:fill="FFFFFF" w:themeFill="background1"/>
            <w:noWrap/>
            <w:hideMark/>
          </w:tcPr>
          <w:p w14:paraId="2A5691B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89.7</w:t>
            </w:r>
            <w:r w:rsidRPr="00E443FB">
              <w:rPr>
                <w:rFonts w:asciiTheme="majorHAnsi" w:hAnsiTheme="majorHAnsi" w:cstheme="majorHAnsi"/>
                <w:color w:val="3F3F3F"/>
                <w:sz w:val="18"/>
                <w:szCs w:val="18"/>
              </w:rPr>
              <w:br/>
              <w:t>± 37.2</w:t>
            </w:r>
          </w:p>
        </w:tc>
        <w:tc>
          <w:tcPr>
            <w:tcW w:w="960" w:type="dxa"/>
            <w:shd w:val="clear" w:color="auto" w:fill="FFFFFF" w:themeFill="background1"/>
            <w:noWrap/>
            <w:hideMark/>
          </w:tcPr>
          <w:p w14:paraId="5622067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86.8</w:t>
            </w:r>
          </w:p>
          <w:p w14:paraId="725E87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40.8</w:t>
            </w:r>
          </w:p>
        </w:tc>
      </w:tr>
      <w:tr w:rsidR="00AE3458" w:rsidRPr="00E84B49" w14:paraId="72D52E1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1E74D5"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Education </w:t>
            </w:r>
            <w:r w:rsidR="00E62BDB" w:rsidRPr="00E443FB">
              <w:rPr>
                <w:rFonts w:asciiTheme="majorHAnsi" w:hAnsiTheme="majorHAnsi" w:cstheme="majorHAnsi"/>
                <w:color w:val="3F3F3F"/>
                <w:sz w:val="18"/>
                <w:szCs w:val="18"/>
              </w:rPr>
              <w:t xml:space="preserve">with </w:t>
            </w:r>
            <w:r w:rsidRPr="00E443FB">
              <w:rPr>
                <w:rFonts w:asciiTheme="majorHAnsi" w:hAnsiTheme="majorHAnsi" w:cstheme="majorHAnsi"/>
                <w:color w:val="3F3F3F"/>
                <w:sz w:val="18"/>
                <w:szCs w:val="18"/>
              </w:rPr>
              <w:t>peer comparison</w:t>
            </w:r>
          </w:p>
        </w:tc>
        <w:tc>
          <w:tcPr>
            <w:tcW w:w="960" w:type="dxa"/>
            <w:shd w:val="clear" w:color="auto" w:fill="FFFFFF" w:themeFill="background1"/>
            <w:noWrap/>
            <w:vAlign w:val="center"/>
            <w:hideMark/>
          </w:tcPr>
          <w:p w14:paraId="0975057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695F8A4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259.3</w:t>
            </w:r>
            <w:r w:rsidRPr="00E443FB">
              <w:rPr>
                <w:rFonts w:asciiTheme="majorHAnsi" w:hAnsiTheme="majorHAnsi" w:cstheme="majorHAnsi"/>
                <w:color w:val="3F3F3F"/>
                <w:sz w:val="18"/>
                <w:szCs w:val="18"/>
              </w:rPr>
              <w:br/>
              <w:t>± 199.2</w:t>
            </w:r>
          </w:p>
        </w:tc>
        <w:tc>
          <w:tcPr>
            <w:tcW w:w="992" w:type="dxa"/>
            <w:shd w:val="clear" w:color="auto" w:fill="FFFFFF" w:themeFill="background1"/>
            <w:noWrap/>
            <w:hideMark/>
          </w:tcPr>
          <w:p w14:paraId="1147F2A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49.6</w:t>
            </w:r>
          </w:p>
          <w:p w14:paraId="1033A624" w14:textId="5BAF1EF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2879678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w:t>
            </w:r>
            <w:r w:rsidRPr="00E443FB">
              <w:rPr>
                <w:rFonts w:asciiTheme="majorHAnsi" w:hAnsiTheme="majorHAnsi" w:cstheme="majorHAnsi"/>
                <w:color w:val="3F3F3F"/>
                <w:sz w:val="18"/>
                <w:szCs w:val="18"/>
              </w:rPr>
              <w:br/>
              <w:t>± 35.4</w:t>
            </w:r>
          </w:p>
        </w:tc>
        <w:tc>
          <w:tcPr>
            <w:tcW w:w="960" w:type="dxa"/>
            <w:shd w:val="clear" w:color="auto" w:fill="FFFFFF" w:themeFill="background1"/>
            <w:noWrap/>
            <w:hideMark/>
          </w:tcPr>
          <w:p w14:paraId="548585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w:t>
            </w:r>
            <w:r w:rsidRPr="00E443FB">
              <w:rPr>
                <w:rFonts w:asciiTheme="majorHAnsi" w:hAnsiTheme="majorHAnsi" w:cstheme="majorHAnsi"/>
                <w:color w:val="3F3F3F"/>
                <w:sz w:val="18"/>
                <w:szCs w:val="18"/>
              </w:rPr>
              <w:br/>
              <w:t>± 41.4</w:t>
            </w:r>
          </w:p>
        </w:tc>
        <w:tc>
          <w:tcPr>
            <w:tcW w:w="960" w:type="dxa"/>
            <w:shd w:val="clear" w:color="auto" w:fill="FFFFFF" w:themeFill="background1"/>
            <w:noWrap/>
            <w:hideMark/>
          </w:tcPr>
          <w:p w14:paraId="216248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52.9</w:t>
            </w:r>
            <w:r w:rsidRPr="00E443FB">
              <w:rPr>
                <w:rFonts w:asciiTheme="majorHAnsi" w:hAnsiTheme="majorHAnsi" w:cstheme="majorHAnsi"/>
                <w:color w:val="3F3F3F"/>
                <w:sz w:val="18"/>
                <w:szCs w:val="18"/>
              </w:rPr>
              <w:br/>
              <w:t>± 43.1</w:t>
            </w:r>
          </w:p>
        </w:tc>
        <w:tc>
          <w:tcPr>
            <w:tcW w:w="960" w:type="dxa"/>
            <w:shd w:val="clear" w:color="auto" w:fill="FFFFFF" w:themeFill="background1"/>
            <w:noWrap/>
            <w:hideMark/>
          </w:tcPr>
          <w:p w14:paraId="52953F0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w:t>
            </w:r>
            <w:r w:rsidRPr="00E443FB">
              <w:rPr>
                <w:rFonts w:asciiTheme="majorHAnsi" w:hAnsiTheme="majorHAnsi" w:cstheme="majorHAnsi"/>
                <w:color w:val="3F3F3F"/>
                <w:sz w:val="18"/>
                <w:szCs w:val="18"/>
              </w:rPr>
              <w:br/>
              <w:t>± 35.3</w:t>
            </w:r>
          </w:p>
        </w:tc>
        <w:tc>
          <w:tcPr>
            <w:tcW w:w="960" w:type="dxa"/>
            <w:shd w:val="clear" w:color="auto" w:fill="FFFFFF" w:themeFill="background1"/>
            <w:noWrap/>
            <w:hideMark/>
          </w:tcPr>
          <w:p w14:paraId="429F1A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39.5</w:t>
            </w:r>
            <w:r w:rsidRPr="00E443FB">
              <w:rPr>
                <w:rFonts w:asciiTheme="majorHAnsi" w:hAnsiTheme="majorHAnsi" w:cstheme="majorHAnsi"/>
                <w:color w:val="3F3F3F"/>
                <w:sz w:val="18"/>
                <w:szCs w:val="18"/>
              </w:rPr>
              <w:br/>
              <w:t>± 31.3</w:t>
            </w:r>
          </w:p>
        </w:tc>
        <w:tc>
          <w:tcPr>
            <w:tcW w:w="960" w:type="dxa"/>
            <w:shd w:val="clear" w:color="auto" w:fill="FFFFFF" w:themeFill="background1"/>
            <w:noWrap/>
            <w:hideMark/>
          </w:tcPr>
          <w:p w14:paraId="6CC594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35.4</w:t>
            </w:r>
            <w:r w:rsidRPr="00E443FB">
              <w:rPr>
                <w:rFonts w:asciiTheme="majorHAnsi" w:hAnsiTheme="majorHAnsi" w:cstheme="majorHAnsi"/>
                <w:color w:val="3F3F3F"/>
                <w:sz w:val="18"/>
                <w:szCs w:val="18"/>
              </w:rPr>
              <w:br/>
              <w:t>± 28.1</w:t>
            </w:r>
          </w:p>
        </w:tc>
      </w:tr>
      <w:tr w:rsidR="00AE3458" w:rsidRPr="00E84B49" w14:paraId="7D56AEA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757313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67077EE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259CCDEC" w14:textId="15CFC733"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2627.4</w:t>
            </w:r>
            <w:r w:rsidRPr="00E443FB">
              <w:rPr>
                <w:rFonts w:asciiTheme="majorHAnsi" w:hAnsiTheme="majorHAnsi" w:cstheme="majorHAnsi"/>
                <w:color w:val="3F3F3F"/>
                <w:sz w:val="18"/>
                <w:szCs w:val="18"/>
              </w:rPr>
              <w:br/>
              <w:t xml:space="preserve"> ± 1606</w:t>
            </w:r>
            <w:r w:rsidR="00667E1E">
              <w:rPr>
                <w:rFonts w:asciiTheme="majorHAnsi" w:hAnsiTheme="majorHAnsi" w:cstheme="majorHAnsi"/>
                <w:color w:val="3F3F3F"/>
                <w:sz w:val="18"/>
                <w:szCs w:val="18"/>
              </w:rPr>
              <w:t>.0</w:t>
            </w:r>
          </w:p>
        </w:tc>
        <w:tc>
          <w:tcPr>
            <w:tcW w:w="992" w:type="dxa"/>
            <w:shd w:val="clear" w:color="auto" w:fill="FFFFFF" w:themeFill="background1"/>
            <w:noWrap/>
            <w:hideMark/>
          </w:tcPr>
          <w:p w14:paraId="0B949454" w14:textId="531DF2F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476.9</w:t>
            </w:r>
            <w:r w:rsidRPr="00E443FB">
              <w:rPr>
                <w:rFonts w:asciiTheme="majorHAnsi" w:hAnsiTheme="majorHAnsi" w:cstheme="majorHAnsi"/>
                <w:color w:val="3F3F3F"/>
                <w:sz w:val="18"/>
                <w:szCs w:val="18"/>
              </w:rPr>
              <w:br/>
              <w:t>± 291</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5E0B19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409.2</w:t>
            </w:r>
            <w:r w:rsidRPr="00E443FB">
              <w:rPr>
                <w:rFonts w:asciiTheme="majorHAnsi" w:hAnsiTheme="majorHAnsi" w:cstheme="majorHAnsi"/>
                <w:color w:val="3F3F3F"/>
                <w:sz w:val="18"/>
                <w:szCs w:val="18"/>
              </w:rPr>
              <w:br/>
              <w:t>± 264.8</w:t>
            </w:r>
          </w:p>
        </w:tc>
        <w:tc>
          <w:tcPr>
            <w:tcW w:w="960" w:type="dxa"/>
            <w:shd w:val="clear" w:color="auto" w:fill="FFFFFF" w:themeFill="background1"/>
            <w:noWrap/>
            <w:hideMark/>
          </w:tcPr>
          <w:p w14:paraId="6AEAC68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298.0</w:t>
            </w:r>
          </w:p>
        </w:tc>
        <w:tc>
          <w:tcPr>
            <w:tcW w:w="960" w:type="dxa"/>
            <w:shd w:val="clear" w:color="auto" w:fill="FFFFFF" w:themeFill="background1"/>
            <w:noWrap/>
            <w:hideMark/>
          </w:tcPr>
          <w:p w14:paraId="4BCE6A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484.5</w:t>
            </w:r>
            <w:r w:rsidRPr="00E443FB">
              <w:rPr>
                <w:rFonts w:asciiTheme="majorHAnsi" w:hAnsiTheme="majorHAnsi" w:cstheme="majorHAnsi"/>
                <w:color w:val="3F3F3F"/>
                <w:sz w:val="18"/>
                <w:szCs w:val="18"/>
              </w:rPr>
              <w:br/>
              <w:t>± 303.3</w:t>
            </w:r>
          </w:p>
        </w:tc>
        <w:tc>
          <w:tcPr>
            <w:tcW w:w="960" w:type="dxa"/>
            <w:shd w:val="clear" w:color="auto" w:fill="FFFFFF" w:themeFill="background1"/>
            <w:noWrap/>
            <w:hideMark/>
          </w:tcPr>
          <w:p w14:paraId="48C671AC" w14:textId="1C2B69C2"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429.5</w:t>
            </w:r>
            <w:r w:rsidRPr="00E443FB">
              <w:rPr>
                <w:rFonts w:asciiTheme="majorHAnsi" w:hAnsiTheme="majorHAnsi" w:cstheme="majorHAnsi"/>
                <w:color w:val="3F3F3F"/>
                <w:sz w:val="18"/>
                <w:szCs w:val="18"/>
              </w:rPr>
              <w:br/>
              <w:t>± 269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003B9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458.8</w:t>
            </w:r>
            <w:r w:rsidRPr="00E443FB">
              <w:rPr>
                <w:rFonts w:asciiTheme="majorHAnsi" w:hAnsiTheme="majorHAnsi" w:cstheme="majorHAnsi"/>
                <w:color w:val="3F3F3F"/>
                <w:sz w:val="18"/>
                <w:szCs w:val="18"/>
              </w:rPr>
              <w:br/>
              <w:t>± 282.1</w:t>
            </w:r>
          </w:p>
        </w:tc>
        <w:tc>
          <w:tcPr>
            <w:tcW w:w="960" w:type="dxa"/>
            <w:shd w:val="clear" w:color="auto" w:fill="FFFFFF" w:themeFill="background1"/>
            <w:noWrap/>
            <w:hideMark/>
          </w:tcPr>
          <w:p w14:paraId="29E626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426.6</w:t>
            </w:r>
            <w:r w:rsidRPr="00E443FB">
              <w:rPr>
                <w:rFonts w:asciiTheme="majorHAnsi" w:hAnsiTheme="majorHAnsi" w:cstheme="majorHAnsi"/>
                <w:color w:val="3F3F3F"/>
                <w:sz w:val="18"/>
                <w:szCs w:val="18"/>
              </w:rPr>
              <w:br/>
              <w:t>± 264.1</w:t>
            </w:r>
          </w:p>
        </w:tc>
      </w:tr>
      <w:tr w:rsidR="00AE3458" w:rsidRPr="00E84B49" w14:paraId="3B38351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177544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9E9504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66BAAD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98.7</w:t>
            </w:r>
            <w:r w:rsidRPr="00E443FB">
              <w:rPr>
                <w:rFonts w:asciiTheme="majorHAnsi" w:hAnsiTheme="majorHAnsi" w:cstheme="majorHAnsi"/>
                <w:color w:val="3F3F3F"/>
                <w:sz w:val="18"/>
                <w:szCs w:val="18"/>
              </w:rPr>
              <w:br/>
              <w:t>± 50.1</w:t>
            </w:r>
          </w:p>
        </w:tc>
        <w:tc>
          <w:tcPr>
            <w:tcW w:w="992" w:type="dxa"/>
            <w:shd w:val="clear" w:color="auto" w:fill="FFFFFF" w:themeFill="background1"/>
            <w:noWrap/>
            <w:hideMark/>
          </w:tcPr>
          <w:p w14:paraId="22A7CB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100.7</w:t>
            </w:r>
            <w:r w:rsidRPr="00E443FB">
              <w:rPr>
                <w:rFonts w:asciiTheme="majorHAnsi" w:hAnsiTheme="majorHAnsi" w:cstheme="majorHAnsi"/>
                <w:color w:val="3F3F3F"/>
                <w:sz w:val="18"/>
                <w:szCs w:val="18"/>
              </w:rPr>
              <w:br/>
              <w:t>± 38.7</w:t>
            </w:r>
          </w:p>
        </w:tc>
        <w:tc>
          <w:tcPr>
            <w:tcW w:w="861" w:type="dxa"/>
            <w:shd w:val="clear" w:color="auto" w:fill="FFFFFF" w:themeFill="background1"/>
            <w:noWrap/>
            <w:hideMark/>
          </w:tcPr>
          <w:p w14:paraId="1A3F94E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101.5</w:t>
            </w:r>
            <w:r w:rsidRPr="00E443FB">
              <w:rPr>
                <w:rFonts w:asciiTheme="majorHAnsi" w:hAnsiTheme="majorHAnsi" w:cstheme="majorHAnsi"/>
                <w:color w:val="3F3F3F"/>
                <w:sz w:val="18"/>
                <w:szCs w:val="18"/>
              </w:rPr>
              <w:br/>
              <w:t>± 41.9</w:t>
            </w:r>
          </w:p>
        </w:tc>
        <w:tc>
          <w:tcPr>
            <w:tcW w:w="960" w:type="dxa"/>
            <w:shd w:val="clear" w:color="auto" w:fill="FFFFFF" w:themeFill="background1"/>
            <w:noWrap/>
            <w:hideMark/>
          </w:tcPr>
          <w:p w14:paraId="143F74AD" w14:textId="2F75D41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45.0</w:t>
            </w:r>
          </w:p>
        </w:tc>
        <w:tc>
          <w:tcPr>
            <w:tcW w:w="960" w:type="dxa"/>
            <w:shd w:val="clear" w:color="auto" w:fill="FFFFFF" w:themeFill="background1"/>
            <w:noWrap/>
            <w:hideMark/>
          </w:tcPr>
          <w:p w14:paraId="616BCAC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106.7</w:t>
            </w:r>
            <w:r w:rsidRPr="00E443FB">
              <w:rPr>
                <w:rFonts w:asciiTheme="majorHAnsi" w:hAnsiTheme="majorHAnsi" w:cstheme="majorHAnsi"/>
                <w:color w:val="3F3F3F"/>
                <w:sz w:val="18"/>
                <w:szCs w:val="18"/>
              </w:rPr>
              <w:br/>
              <w:t>± 47.1</w:t>
            </w:r>
          </w:p>
        </w:tc>
        <w:tc>
          <w:tcPr>
            <w:tcW w:w="960" w:type="dxa"/>
            <w:shd w:val="clear" w:color="auto" w:fill="FFFFFF" w:themeFill="background1"/>
            <w:noWrap/>
            <w:hideMark/>
          </w:tcPr>
          <w:p w14:paraId="7F4EAAB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102.1</w:t>
            </w:r>
            <w:r w:rsidRPr="00E443FB">
              <w:rPr>
                <w:rFonts w:asciiTheme="majorHAnsi" w:hAnsiTheme="majorHAnsi" w:cstheme="majorHAnsi"/>
                <w:color w:val="3F3F3F"/>
                <w:sz w:val="18"/>
                <w:szCs w:val="18"/>
              </w:rPr>
              <w:br/>
              <w:t>± 50.1</w:t>
            </w:r>
          </w:p>
        </w:tc>
        <w:tc>
          <w:tcPr>
            <w:tcW w:w="960" w:type="dxa"/>
            <w:shd w:val="clear" w:color="auto" w:fill="FFFFFF" w:themeFill="background1"/>
            <w:noWrap/>
            <w:hideMark/>
          </w:tcPr>
          <w:p w14:paraId="07F78BA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84.9</w:t>
            </w:r>
            <w:r w:rsidRPr="00E443FB">
              <w:rPr>
                <w:rFonts w:asciiTheme="majorHAnsi" w:hAnsiTheme="majorHAnsi" w:cstheme="majorHAnsi"/>
                <w:color w:val="3F3F3F"/>
                <w:sz w:val="18"/>
                <w:szCs w:val="18"/>
              </w:rPr>
              <w:br/>
              <w:t>± 36.7</w:t>
            </w:r>
          </w:p>
        </w:tc>
        <w:tc>
          <w:tcPr>
            <w:tcW w:w="960" w:type="dxa"/>
            <w:shd w:val="clear" w:color="auto" w:fill="FFFFFF" w:themeFill="background1"/>
            <w:noWrap/>
            <w:hideMark/>
          </w:tcPr>
          <w:p w14:paraId="3EB4DABC" w14:textId="5620F94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81.7</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556F235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588DB0" w14:textId="77777777" w:rsidR="00AE3458" w:rsidRPr="00E443FB" w:rsidRDefault="00B20C36">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D90F6D" w:rsidRPr="00E443FB">
              <w:rPr>
                <w:rFonts w:asciiTheme="majorHAnsi" w:hAnsiTheme="majorHAnsi" w:cstheme="majorHAnsi"/>
                <w:color w:val="3F3F3F"/>
                <w:sz w:val="18"/>
                <w:szCs w:val="18"/>
              </w:rPr>
              <w:t>with</w:t>
            </w:r>
            <w:r w:rsidRPr="00E443FB">
              <w:rPr>
                <w:rFonts w:asciiTheme="majorHAnsi" w:hAnsiTheme="majorHAnsi" w:cstheme="majorHAnsi"/>
                <w:color w:val="3F3F3F"/>
                <w:sz w:val="18"/>
                <w:szCs w:val="18"/>
              </w:rPr>
              <w:t xml:space="preserve"> delayed prescribing</w:t>
            </w:r>
          </w:p>
        </w:tc>
        <w:tc>
          <w:tcPr>
            <w:tcW w:w="960" w:type="dxa"/>
            <w:shd w:val="clear" w:color="auto" w:fill="FFFFFF" w:themeFill="background1"/>
            <w:noWrap/>
            <w:vAlign w:val="center"/>
            <w:hideMark/>
          </w:tcPr>
          <w:p w14:paraId="3E4081D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4BC1D3F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272.6 </w:t>
            </w:r>
            <w:r w:rsidRPr="00E443FB">
              <w:rPr>
                <w:rFonts w:asciiTheme="majorHAnsi" w:hAnsiTheme="majorHAnsi" w:cstheme="majorHAnsi"/>
                <w:color w:val="3F3F3F"/>
                <w:sz w:val="18"/>
                <w:szCs w:val="18"/>
              </w:rPr>
              <w:br/>
              <w:t>± 202.1</w:t>
            </w:r>
          </w:p>
        </w:tc>
        <w:tc>
          <w:tcPr>
            <w:tcW w:w="992" w:type="dxa"/>
            <w:shd w:val="clear" w:color="auto" w:fill="FFFFFF" w:themeFill="background1"/>
            <w:noWrap/>
            <w:hideMark/>
          </w:tcPr>
          <w:p w14:paraId="65EDBA2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52.4</w:t>
            </w:r>
            <w:r w:rsidRPr="00E443FB">
              <w:rPr>
                <w:rFonts w:asciiTheme="majorHAnsi" w:hAnsiTheme="majorHAnsi" w:cstheme="majorHAnsi"/>
                <w:color w:val="3F3F3F"/>
                <w:sz w:val="18"/>
                <w:szCs w:val="18"/>
              </w:rPr>
              <w:br/>
              <w:t>± 39.5</w:t>
            </w:r>
          </w:p>
        </w:tc>
        <w:tc>
          <w:tcPr>
            <w:tcW w:w="861" w:type="dxa"/>
            <w:shd w:val="clear" w:color="auto" w:fill="FFFFFF" w:themeFill="background1"/>
            <w:noWrap/>
            <w:hideMark/>
          </w:tcPr>
          <w:p w14:paraId="6C0AEA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45.4</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79C92D5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43.3</w:t>
            </w:r>
          </w:p>
        </w:tc>
        <w:tc>
          <w:tcPr>
            <w:tcW w:w="960" w:type="dxa"/>
            <w:shd w:val="clear" w:color="auto" w:fill="FFFFFF" w:themeFill="background1"/>
            <w:noWrap/>
            <w:hideMark/>
          </w:tcPr>
          <w:p w14:paraId="35DCE36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55.5</w:t>
            </w:r>
            <w:r w:rsidRPr="00E443FB">
              <w:rPr>
                <w:rFonts w:asciiTheme="majorHAnsi" w:hAnsiTheme="majorHAnsi" w:cstheme="majorHAnsi"/>
                <w:color w:val="3F3F3F"/>
                <w:sz w:val="18"/>
                <w:szCs w:val="18"/>
              </w:rPr>
              <w:br/>
              <w:t>± 44.4</w:t>
            </w:r>
          </w:p>
        </w:tc>
        <w:tc>
          <w:tcPr>
            <w:tcW w:w="960" w:type="dxa"/>
            <w:shd w:val="clear" w:color="auto" w:fill="FFFFFF" w:themeFill="background1"/>
            <w:noWrap/>
            <w:hideMark/>
          </w:tcPr>
          <w:p w14:paraId="760DCC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46.1</w:t>
            </w:r>
            <w:r w:rsidRPr="00E443FB">
              <w:rPr>
                <w:rFonts w:asciiTheme="majorHAnsi" w:hAnsiTheme="majorHAnsi" w:cstheme="majorHAnsi"/>
                <w:color w:val="3F3F3F"/>
                <w:sz w:val="18"/>
                <w:szCs w:val="18"/>
              </w:rPr>
              <w:br/>
              <w:t>± 36.2</w:t>
            </w:r>
          </w:p>
        </w:tc>
        <w:tc>
          <w:tcPr>
            <w:tcW w:w="960" w:type="dxa"/>
            <w:shd w:val="clear" w:color="auto" w:fill="FFFFFF" w:themeFill="background1"/>
            <w:noWrap/>
            <w:hideMark/>
          </w:tcPr>
          <w:p w14:paraId="0A76A62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41.5</w:t>
            </w:r>
            <w:r w:rsidRPr="00E443FB">
              <w:rPr>
                <w:rFonts w:asciiTheme="majorHAnsi" w:hAnsiTheme="majorHAnsi" w:cstheme="majorHAnsi"/>
                <w:color w:val="3F3F3F"/>
                <w:sz w:val="18"/>
                <w:szCs w:val="18"/>
              </w:rPr>
              <w:br/>
              <w:t>± 30.5</w:t>
            </w:r>
          </w:p>
        </w:tc>
        <w:tc>
          <w:tcPr>
            <w:tcW w:w="960" w:type="dxa"/>
            <w:shd w:val="clear" w:color="auto" w:fill="FFFFFF" w:themeFill="background1"/>
            <w:noWrap/>
            <w:hideMark/>
          </w:tcPr>
          <w:p w14:paraId="04D0B2F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36.9</w:t>
            </w:r>
            <w:r w:rsidRPr="00E443FB">
              <w:rPr>
                <w:rFonts w:asciiTheme="majorHAnsi" w:hAnsiTheme="majorHAnsi" w:cstheme="majorHAnsi"/>
                <w:color w:val="3F3F3F"/>
                <w:sz w:val="18"/>
                <w:szCs w:val="18"/>
              </w:rPr>
              <w:br/>
              <w:t>± 27.5</w:t>
            </w:r>
          </w:p>
        </w:tc>
      </w:tr>
      <w:tr w:rsidR="00AE3458" w:rsidRPr="00E84B49" w14:paraId="3EEE440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3ABD0D8"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177BB3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3955470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2768.3</w:t>
            </w:r>
            <w:r w:rsidRPr="00E443FB">
              <w:rPr>
                <w:rFonts w:asciiTheme="majorHAnsi" w:hAnsiTheme="majorHAnsi" w:cstheme="majorHAnsi"/>
                <w:color w:val="3F3F3F"/>
                <w:sz w:val="18"/>
                <w:szCs w:val="18"/>
              </w:rPr>
              <w:br/>
              <w:t>± 1660.1</w:t>
            </w:r>
          </w:p>
        </w:tc>
        <w:tc>
          <w:tcPr>
            <w:tcW w:w="992" w:type="dxa"/>
            <w:shd w:val="clear" w:color="auto" w:fill="FFFFFF" w:themeFill="background1"/>
            <w:noWrap/>
            <w:hideMark/>
          </w:tcPr>
          <w:p w14:paraId="1791C3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498.9</w:t>
            </w:r>
            <w:r w:rsidRPr="00E443FB">
              <w:rPr>
                <w:rFonts w:asciiTheme="majorHAnsi" w:hAnsiTheme="majorHAnsi" w:cstheme="majorHAnsi"/>
                <w:color w:val="3F3F3F"/>
                <w:sz w:val="18"/>
                <w:szCs w:val="18"/>
              </w:rPr>
              <w:br/>
              <w:t>± 293.8</w:t>
            </w:r>
          </w:p>
        </w:tc>
        <w:tc>
          <w:tcPr>
            <w:tcW w:w="861" w:type="dxa"/>
            <w:shd w:val="clear" w:color="auto" w:fill="FFFFFF" w:themeFill="background1"/>
            <w:noWrap/>
            <w:hideMark/>
          </w:tcPr>
          <w:p w14:paraId="4DF409A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434.3</w:t>
            </w:r>
            <w:r w:rsidRPr="00E443FB">
              <w:rPr>
                <w:rFonts w:asciiTheme="majorHAnsi" w:hAnsiTheme="majorHAnsi" w:cstheme="majorHAnsi"/>
                <w:color w:val="3F3F3F"/>
                <w:sz w:val="18"/>
                <w:szCs w:val="18"/>
              </w:rPr>
              <w:br/>
              <w:t>± 279.1</w:t>
            </w:r>
          </w:p>
        </w:tc>
        <w:tc>
          <w:tcPr>
            <w:tcW w:w="960" w:type="dxa"/>
            <w:shd w:val="clear" w:color="auto" w:fill="FFFFFF" w:themeFill="background1"/>
            <w:noWrap/>
            <w:hideMark/>
          </w:tcPr>
          <w:p w14:paraId="2623669F" w14:textId="0D9588F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510</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311.6</w:t>
            </w:r>
          </w:p>
        </w:tc>
        <w:tc>
          <w:tcPr>
            <w:tcW w:w="960" w:type="dxa"/>
            <w:shd w:val="clear" w:color="auto" w:fill="FFFFFF" w:themeFill="background1"/>
            <w:noWrap/>
            <w:hideMark/>
          </w:tcPr>
          <w:p w14:paraId="3724AD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508.7</w:t>
            </w:r>
            <w:r w:rsidRPr="00E443FB">
              <w:rPr>
                <w:rFonts w:asciiTheme="majorHAnsi" w:hAnsiTheme="majorHAnsi" w:cstheme="majorHAnsi"/>
                <w:color w:val="3F3F3F"/>
                <w:sz w:val="18"/>
                <w:szCs w:val="18"/>
              </w:rPr>
              <w:br/>
              <w:t>± 312.6</w:t>
            </w:r>
          </w:p>
        </w:tc>
        <w:tc>
          <w:tcPr>
            <w:tcW w:w="960" w:type="dxa"/>
            <w:shd w:val="clear" w:color="auto" w:fill="FFFFFF" w:themeFill="background1"/>
            <w:noWrap/>
            <w:hideMark/>
          </w:tcPr>
          <w:p w14:paraId="15216CEF" w14:textId="70C8A6B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455</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280.1</w:t>
            </w:r>
          </w:p>
        </w:tc>
        <w:tc>
          <w:tcPr>
            <w:tcW w:w="960" w:type="dxa"/>
            <w:shd w:val="clear" w:color="auto" w:fill="FFFFFF" w:themeFill="background1"/>
            <w:noWrap/>
            <w:hideMark/>
          </w:tcPr>
          <w:p w14:paraId="3E5CC758" w14:textId="41ECD90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482.3</w:t>
            </w:r>
            <w:r w:rsidRPr="00E443FB">
              <w:rPr>
                <w:rFonts w:asciiTheme="majorHAnsi" w:hAnsiTheme="majorHAnsi" w:cstheme="majorHAnsi"/>
                <w:color w:val="3F3F3F"/>
                <w:sz w:val="18"/>
                <w:szCs w:val="18"/>
              </w:rPr>
              <w:br/>
              <w:t>± 289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8584F7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444.2</w:t>
            </w:r>
            <w:r w:rsidRPr="00E443FB">
              <w:rPr>
                <w:rFonts w:asciiTheme="majorHAnsi" w:hAnsiTheme="majorHAnsi" w:cstheme="majorHAnsi"/>
                <w:color w:val="3F3F3F"/>
                <w:sz w:val="18"/>
                <w:szCs w:val="18"/>
              </w:rPr>
              <w:br/>
              <w:t>± 266.2</w:t>
            </w:r>
          </w:p>
        </w:tc>
      </w:tr>
      <w:tr w:rsidR="00AE3458" w:rsidRPr="00E84B49" w14:paraId="50F36A0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5B5982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329B5D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D5519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97.9</w:t>
            </w:r>
            <w:r w:rsidRPr="00E443FB">
              <w:rPr>
                <w:rFonts w:asciiTheme="majorHAnsi" w:hAnsiTheme="majorHAnsi" w:cstheme="majorHAnsi"/>
                <w:color w:val="3F3F3F"/>
                <w:sz w:val="18"/>
                <w:szCs w:val="18"/>
              </w:rPr>
              <w:br/>
              <w:t>± 38.9</w:t>
            </w:r>
          </w:p>
        </w:tc>
        <w:tc>
          <w:tcPr>
            <w:tcW w:w="992" w:type="dxa"/>
            <w:shd w:val="clear" w:color="auto" w:fill="FFFFFF" w:themeFill="background1"/>
            <w:noWrap/>
            <w:hideMark/>
          </w:tcPr>
          <w:p w14:paraId="14BFEE4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102.4</w:t>
            </w:r>
            <w:r w:rsidRPr="00E443FB">
              <w:rPr>
                <w:rFonts w:asciiTheme="majorHAnsi" w:hAnsiTheme="majorHAnsi" w:cstheme="majorHAnsi"/>
                <w:color w:val="3F3F3F"/>
                <w:sz w:val="18"/>
                <w:szCs w:val="18"/>
              </w:rPr>
              <w:br/>
              <w:t>± 46.8</w:t>
            </w:r>
          </w:p>
        </w:tc>
        <w:tc>
          <w:tcPr>
            <w:tcW w:w="861" w:type="dxa"/>
            <w:shd w:val="clear" w:color="auto" w:fill="FFFFFF" w:themeFill="background1"/>
            <w:noWrap/>
            <w:hideMark/>
          </w:tcPr>
          <w:p w14:paraId="2225357F" w14:textId="7C6593C0"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50.0</w:t>
            </w:r>
          </w:p>
        </w:tc>
        <w:tc>
          <w:tcPr>
            <w:tcW w:w="960" w:type="dxa"/>
            <w:shd w:val="clear" w:color="auto" w:fill="FFFFFF" w:themeFill="background1"/>
            <w:noWrap/>
            <w:hideMark/>
          </w:tcPr>
          <w:p w14:paraId="08820DD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102.7</w:t>
            </w:r>
            <w:r w:rsidRPr="00E443FB">
              <w:rPr>
                <w:rFonts w:asciiTheme="majorHAnsi" w:hAnsiTheme="majorHAnsi" w:cstheme="majorHAnsi"/>
                <w:color w:val="3F3F3F"/>
                <w:sz w:val="18"/>
                <w:szCs w:val="18"/>
              </w:rPr>
              <w:br/>
              <w:t>± 49.2</w:t>
            </w:r>
          </w:p>
        </w:tc>
        <w:tc>
          <w:tcPr>
            <w:tcW w:w="960" w:type="dxa"/>
            <w:shd w:val="clear" w:color="auto" w:fill="FFFFFF" w:themeFill="background1"/>
            <w:noWrap/>
            <w:hideMark/>
          </w:tcPr>
          <w:p w14:paraId="005A06F7" w14:textId="264F8ABF"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106.9</w:t>
            </w:r>
            <w:r w:rsidRPr="00E443FB">
              <w:rPr>
                <w:rFonts w:asciiTheme="majorHAnsi" w:hAnsiTheme="majorHAnsi" w:cstheme="majorHAnsi"/>
                <w:color w:val="3F3F3F"/>
                <w:sz w:val="18"/>
                <w:szCs w:val="18"/>
              </w:rPr>
              <w:br/>
              <w:t>± 49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18C9F00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100.4</w:t>
            </w:r>
            <w:r w:rsidRPr="00E443FB">
              <w:rPr>
                <w:rFonts w:asciiTheme="majorHAnsi" w:hAnsiTheme="majorHAnsi" w:cstheme="majorHAnsi"/>
                <w:color w:val="3F3F3F"/>
                <w:sz w:val="18"/>
                <w:szCs w:val="18"/>
              </w:rPr>
              <w:br/>
              <w:t>± 42.9</w:t>
            </w:r>
          </w:p>
        </w:tc>
        <w:tc>
          <w:tcPr>
            <w:tcW w:w="960" w:type="dxa"/>
            <w:shd w:val="clear" w:color="auto" w:fill="FFFFFF" w:themeFill="background1"/>
            <w:noWrap/>
            <w:hideMark/>
          </w:tcPr>
          <w:p w14:paraId="1608E14F" w14:textId="2FF2559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37.3</w:t>
            </w:r>
          </w:p>
        </w:tc>
        <w:tc>
          <w:tcPr>
            <w:tcW w:w="960" w:type="dxa"/>
            <w:shd w:val="clear" w:color="auto" w:fill="FFFFFF" w:themeFill="background1"/>
            <w:noWrap/>
            <w:hideMark/>
          </w:tcPr>
          <w:p w14:paraId="6DB8431C" w14:textId="011E0F8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82.1</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7505E2B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2537B7A8"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E62BDB" w:rsidRPr="00E443FB">
              <w:rPr>
                <w:rFonts w:asciiTheme="majorHAnsi" w:hAnsiTheme="majorHAnsi" w:cstheme="majorHAnsi"/>
                <w:color w:val="3F3F3F"/>
                <w:sz w:val="18"/>
                <w:szCs w:val="18"/>
              </w:rPr>
              <w:t xml:space="preserve">with </w:t>
            </w:r>
            <w:r w:rsidR="003F31E9" w:rsidRPr="00E443FB">
              <w:rPr>
                <w:rFonts w:asciiTheme="majorHAnsi" w:hAnsiTheme="majorHAnsi" w:cstheme="majorHAnsi"/>
                <w:color w:val="3F3F3F"/>
                <w:sz w:val="18"/>
                <w:szCs w:val="18"/>
              </w:rPr>
              <w:t>graph</w:t>
            </w:r>
          </w:p>
        </w:tc>
        <w:tc>
          <w:tcPr>
            <w:tcW w:w="960" w:type="dxa"/>
            <w:shd w:val="clear" w:color="auto" w:fill="FFFFFF" w:themeFill="background1"/>
            <w:noWrap/>
            <w:vAlign w:val="center"/>
            <w:hideMark/>
          </w:tcPr>
          <w:p w14:paraId="658D807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00857C2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267.5</w:t>
            </w:r>
            <w:r w:rsidRPr="00E443FB">
              <w:rPr>
                <w:rFonts w:asciiTheme="majorHAnsi" w:hAnsiTheme="majorHAnsi" w:cstheme="majorHAnsi"/>
                <w:color w:val="3F3F3F"/>
                <w:sz w:val="18"/>
                <w:szCs w:val="18"/>
              </w:rPr>
              <w:br/>
              <w:t>± 198.4</w:t>
            </w:r>
          </w:p>
        </w:tc>
        <w:tc>
          <w:tcPr>
            <w:tcW w:w="992" w:type="dxa"/>
            <w:shd w:val="clear" w:color="auto" w:fill="FFFFFF" w:themeFill="background1"/>
            <w:noWrap/>
            <w:hideMark/>
          </w:tcPr>
          <w:p w14:paraId="1BF84C0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52.1</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1F8A091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43.6</w:t>
            </w:r>
            <w:r w:rsidRPr="00E443FB">
              <w:rPr>
                <w:rFonts w:asciiTheme="majorHAnsi" w:hAnsiTheme="majorHAnsi" w:cstheme="majorHAnsi"/>
                <w:color w:val="3F3F3F"/>
                <w:sz w:val="18"/>
                <w:szCs w:val="18"/>
              </w:rPr>
              <w:br/>
              <w:t>± 34.4</w:t>
            </w:r>
          </w:p>
        </w:tc>
        <w:tc>
          <w:tcPr>
            <w:tcW w:w="960" w:type="dxa"/>
            <w:shd w:val="clear" w:color="auto" w:fill="FFFFFF" w:themeFill="background1"/>
            <w:noWrap/>
            <w:hideMark/>
          </w:tcPr>
          <w:p w14:paraId="0D8C1E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51.6</w:t>
            </w:r>
            <w:r w:rsidRPr="00E443FB">
              <w:rPr>
                <w:rFonts w:asciiTheme="majorHAnsi" w:hAnsiTheme="majorHAnsi" w:cstheme="majorHAnsi"/>
                <w:color w:val="3F3F3F"/>
                <w:sz w:val="18"/>
                <w:szCs w:val="18"/>
              </w:rPr>
              <w:br/>
              <w:t>± 40.2</w:t>
            </w:r>
          </w:p>
        </w:tc>
        <w:tc>
          <w:tcPr>
            <w:tcW w:w="960" w:type="dxa"/>
            <w:shd w:val="clear" w:color="auto" w:fill="FFFFFF" w:themeFill="background1"/>
            <w:noWrap/>
            <w:hideMark/>
          </w:tcPr>
          <w:p w14:paraId="5371396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43.6</w:t>
            </w:r>
          </w:p>
        </w:tc>
        <w:tc>
          <w:tcPr>
            <w:tcW w:w="960" w:type="dxa"/>
            <w:shd w:val="clear" w:color="auto" w:fill="FFFFFF" w:themeFill="background1"/>
            <w:noWrap/>
            <w:hideMark/>
          </w:tcPr>
          <w:p w14:paraId="39B3224E" w14:textId="1C2513BA"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2837E7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41.3</w:t>
            </w:r>
            <w:r w:rsidRPr="00E443FB">
              <w:rPr>
                <w:rFonts w:asciiTheme="majorHAnsi" w:hAnsiTheme="majorHAnsi" w:cstheme="majorHAnsi"/>
                <w:color w:val="3F3F3F"/>
                <w:sz w:val="18"/>
                <w:szCs w:val="18"/>
              </w:rPr>
              <w:br/>
              <w:t>± 33.0</w:t>
            </w:r>
          </w:p>
        </w:tc>
        <w:tc>
          <w:tcPr>
            <w:tcW w:w="960" w:type="dxa"/>
            <w:shd w:val="clear" w:color="auto" w:fill="FFFFFF" w:themeFill="background1"/>
            <w:noWrap/>
            <w:hideMark/>
          </w:tcPr>
          <w:p w14:paraId="03AF3EB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36.2</w:t>
            </w:r>
            <w:r w:rsidRPr="00E443FB">
              <w:rPr>
                <w:rFonts w:asciiTheme="majorHAnsi" w:hAnsiTheme="majorHAnsi" w:cstheme="majorHAnsi"/>
                <w:color w:val="3F3F3F"/>
                <w:sz w:val="18"/>
                <w:szCs w:val="18"/>
              </w:rPr>
              <w:br/>
              <w:t>± 28.3</w:t>
            </w:r>
          </w:p>
        </w:tc>
      </w:tr>
      <w:tr w:rsidR="00AE3458" w:rsidRPr="00E84B49" w14:paraId="7DCC7DD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DD7B0C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6A630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0A4D5C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2754.6 </w:t>
            </w:r>
            <w:r w:rsidRPr="00E443FB">
              <w:rPr>
                <w:rFonts w:asciiTheme="majorHAnsi" w:hAnsiTheme="majorHAnsi" w:cstheme="majorHAnsi"/>
                <w:color w:val="3F3F3F"/>
                <w:sz w:val="18"/>
                <w:szCs w:val="18"/>
              </w:rPr>
              <w:br/>
              <w:t>± 1564.3</w:t>
            </w:r>
          </w:p>
        </w:tc>
        <w:tc>
          <w:tcPr>
            <w:tcW w:w="992" w:type="dxa"/>
            <w:shd w:val="clear" w:color="auto" w:fill="FFFFFF" w:themeFill="background1"/>
            <w:noWrap/>
            <w:hideMark/>
          </w:tcPr>
          <w:p w14:paraId="0EA9F0B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498.1</w:t>
            </w:r>
            <w:r w:rsidRPr="00E443FB">
              <w:rPr>
                <w:rFonts w:asciiTheme="majorHAnsi" w:hAnsiTheme="majorHAnsi" w:cstheme="majorHAnsi"/>
                <w:color w:val="3F3F3F"/>
                <w:sz w:val="18"/>
                <w:szCs w:val="18"/>
              </w:rPr>
              <w:br/>
              <w:t>± 288.2</w:t>
            </w:r>
          </w:p>
        </w:tc>
        <w:tc>
          <w:tcPr>
            <w:tcW w:w="861" w:type="dxa"/>
            <w:shd w:val="clear" w:color="auto" w:fill="FFFFFF" w:themeFill="background1"/>
            <w:noWrap/>
            <w:hideMark/>
          </w:tcPr>
          <w:p w14:paraId="288534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427.9</w:t>
            </w:r>
          </w:p>
          <w:p w14:paraId="192A320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260.9</w:t>
            </w:r>
          </w:p>
        </w:tc>
        <w:tc>
          <w:tcPr>
            <w:tcW w:w="960" w:type="dxa"/>
            <w:shd w:val="clear" w:color="auto" w:fill="FFFFFF" w:themeFill="background1"/>
            <w:noWrap/>
            <w:hideMark/>
          </w:tcPr>
          <w:p w14:paraId="02CD506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502.6</w:t>
            </w:r>
            <w:r w:rsidRPr="00E443FB">
              <w:rPr>
                <w:rFonts w:asciiTheme="majorHAnsi" w:hAnsiTheme="majorHAnsi" w:cstheme="majorHAnsi"/>
                <w:color w:val="3F3F3F"/>
                <w:sz w:val="18"/>
                <w:szCs w:val="18"/>
              </w:rPr>
              <w:br/>
              <w:t>± 295.8</w:t>
            </w:r>
          </w:p>
        </w:tc>
        <w:tc>
          <w:tcPr>
            <w:tcW w:w="960" w:type="dxa"/>
            <w:shd w:val="clear" w:color="auto" w:fill="FFFFFF" w:themeFill="background1"/>
            <w:noWrap/>
            <w:hideMark/>
          </w:tcPr>
          <w:p w14:paraId="1992DC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495.6</w:t>
            </w:r>
            <w:r w:rsidRPr="00E443FB">
              <w:rPr>
                <w:rFonts w:asciiTheme="majorHAnsi" w:hAnsiTheme="majorHAnsi" w:cstheme="majorHAnsi"/>
                <w:color w:val="3F3F3F"/>
                <w:sz w:val="18"/>
                <w:szCs w:val="18"/>
              </w:rPr>
              <w:br/>
              <w:t>± 295.9</w:t>
            </w:r>
          </w:p>
        </w:tc>
        <w:tc>
          <w:tcPr>
            <w:tcW w:w="960" w:type="dxa"/>
            <w:shd w:val="clear" w:color="auto" w:fill="FFFFFF" w:themeFill="background1"/>
            <w:noWrap/>
            <w:hideMark/>
          </w:tcPr>
          <w:p w14:paraId="322607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452.8</w:t>
            </w:r>
            <w:r w:rsidRPr="00E443FB">
              <w:rPr>
                <w:rFonts w:asciiTheme="majorHAnsi" w:hAnsiTheme="majorHAnsi" w:cstheme="majorHAnsi"/>
                <w:color w:val="3F3F3F"/>
                <w:sz w:val="18"/>
                <w:szCs w:val="18"/>
              </w:rPr>
              <w:br/>
              <w:t>± 268.6</w:t>
            </w:r>
          </w:p>
        </w:tc>
        <w:tc>
          <w:tcPr>
            <w:tcW w:w="960" w:type="dxa"/>
            <w:shd w:val="clear" w:color="auto" w:fill="FFFFFF" w:themeFill="background1"/>
            <w:noWrap/>
            <w:hideMark/>
          </w:tcPr>
          <w:p w14:paraId="780B8D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281.0</w:t>
            </w:r>
          </w:p>
        </w:tc>
        <w:tc>
          <w:tcPr>
            <w:tcW w:w="960" w:type="dxa"/>
            <w:shd w:val="clear" w:color="auto" w:fill="FFFFFF" w:themeFill="background1"/>
            <w:noWrap/>
            <w:hideMark/>
          </w:tcPr>
          <w:p w14:paraId="6E2E35A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441.9</w:t>
            </w:r>
            <w:r w:rsidRPr="00E443FB">
              <w:rPr>
                <w:rFonts w:asciiTheme="majorHAnsi" w:hAnsiTheme="majorHAnsi" w:cstheme="majorHAnsi"/>
                <w:color w:val="3F3F3F"/>
                <w:sz w:val="18"/>
                <w:szCs w:val="18"/>
              </w:rPr>
              <w:br/>
              <w:t>± 259.4</w:t>
            </w:r>
          </w:p>
        </w:tc>
      </w:tr>
      <w:tr w:rsidR="00AE3458" w:rsidRPr="00E84B49" w14:paraId="2501E37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905646C"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4EEA54A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EBF82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96.2 </w:t>
            </w:r>
            <w:r w:rsidRPr="00E443FB">
              <w:rPr>
                <w:rFonts w:asciiTheme="majorHAnsi" w:hAnsiTheme="majorHAnsi" w:cstheme="majorHAnsi"/>
                <w:color w:val="3F3F3F"/>
                <w:sz w:val="18"/>
                <w:szCs w:val="18"/>
              </w:rPr>
              <w:br/>
              <w:t>± 37.4</w:t>
            </w:r>
          </w:p>
        </w:tc>
        <w:tc>
          <w:tcPr>
            <w:tcW w:w="992" w:type="dxa"/>
            <w:shd w:val="clear" w:color="auto" w:fill="FFFFFF" w:themeFill="background1"/>
            <w:noWrap/>
            <w:hideMark/>
          </w:tcPr>
          <w:p w14:paraId="63ED540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100.9</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22BDCE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102.5</w:t>
            </w:r>
            <w:r w:rsidRPr="00E443FB">
              <w:rPr>
                <w:rFonts w:asciiTheme="majorHAnsi" w:hAnsiTheme="majorHAnsi" w:cstheme="majorHAnsi"/>
                <w:color w:val="3F3F3F"/>
                <w:sz w:val="18"/>
                <w:szCs w:val="18"/>
              </w:rPr>
              <w:br/>
              <w:t>± 59.2</w:t>
            </w:r>
          </w:p>
        </w:tc>
        <w:tc>
          <w:tcPr>
            <w:tcW w:w="960" w:type="dxa"/>
            <w:shd w:val="clear" w:color="auto" w:fill="FFFFFF" w:themeFill="background1"/>
            <w:noWrap/>
            <w:hideMark/>
          </w:tcPr>
          <w:p w14:paraId="669EB6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44.6</w:t>
            </w:r>
          </w:p>
        </w:tc>
        <w:tc>
          <w:tcPr>
            <w:tcW w:w="960" w:type="dxa"/>
            <w:shd w:val="clear" w:color="auto" w:fill="FFFFFF" w:themeFill="background1"/>
            <w:noWrap/>
            <w:hideMark/>
          </w:tcPr>
          <w:p w14:paraId="71DACE1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105.9</w:t>
            </w:r>
            <w:r w:rsidRPr="00E443FB">
              <w:rPr>
                <w:rFonts w:asciiTheme="majorHAnsi" w:hAnsiTheme="majorHAnsi" w:cstheme="majorHAnsi"/>
                <w:color w:val="3F3F3F"/>
                <w:sz w:val="18"/>
                <w:szCs w:val="18"/>
              </w:rPr>
              <w:br/>
              <w:t>± 51.3</w:t>
            </w:r>
          </w:p>
        </w:tc>
        <w:tc>
          <w:tcPr>
            <w:tcW w:w="960" w:type="dxa"/>
            <w:shd w:val="clear" w:color="auto" w:fill="FFFFFF" w:themeFill="background1"/>
            <w:noWrap/>
            <w:hideMark/>
          </w:tcPr>
          <w:p w14:paraId="72207D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100.3</w:t>
            </w:r>
            <w:r w:rsidRPr="00E443FB">
              <w:rPr>
                <w:rFonts w:asciiTheme="majorHAnsi" w:hAnsiTheme="majorHAnsi" w:cstheme="majorHAnsi"/>
                <w:color w:val="3F3F3F"/>
                <w:sz w:val="18"/>
                <w:szCs w:val="18"/>
              </w:rPr>
              <w:br/>
              <w:t>± 46.3</w:t>
            </w:r>
          </w:p>
        </w:tc>
        <w:tc>
          <w:tcPr>
            <w:tcW w:w="960" w:type="dxa"/>
            <w:shd w:val="clear" w:color="auto" w:fill="FFFFFF" w:themeFill="background1"/>
            <w:noWrap/>
            <w:hideMark/>
          </w:tcPr>
          <w:p w14:paraId="638705A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85.6</w:t>
            </w:r>
            <w:r w:rsidRPr="00E443FB">
              <w:rPr>
                <w:rFonts w:asciiTheme="majorHAnsi" w:hAnsiTheme="majorHAnsi" w:cstheme="majorHAnsi"/>
                <w:color w:val="3F3F3F"/>
                <w:sz w:val="18"/>
                <w:szCs w:val="18"/>
              </w:rPr>
              <w:br/>
              <w:t>± 41.5</w:t>
            </w:r>
          </w:p>
        </w:tc>
        <w:tc>
          <w:tcPr>
            <w:tcW w:w="960" w:type="dxa"/>
            <w:shd w:val="clear" w:color="auto" w:fill="FFFFFF" w:themeFill="background1"/>
            <w:noWrap/>
            <w:hideMark/>
          </w:tcPr>
          <w:p w14:paraId="4DF0ABF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81.3</w:t>
            </w:r>
            <w:r w:rsidRPr="00E443FB">
              <w:rPr>
                <w:rFonts w:asciiTheme="majorHAnsi" w:hAnsiTheme="majorHAnsi" w:cstheme="majorHAnsi"/>
                <w:color w:val="3F3F3F"/>
                <w:sz w:val="18"/>
                <w:szCs w:val="18"/>
              </w:rPr>
              <w:br/>
              <w:t>± 37.0</w:t>
            </w:r>
          </w:p>
        </w:tc>
      </w:tr>
    </w:tbl>
    <w:p w14:paraId="54804A09" w14:textId="5FD50F15" w:rsidR="00FA49D6" w:rsidRDefault="00AE3458" w:rsidP="00AE3458">
      <w:pPr>
        <w:pStyle w:val="SourceNotesText"/>
      </w:pPr>
      <w:r w:rsidRPr="00C25A27">
        <w:t>Note: This table shows raw (unadjusted) group means ± SDs for scripts, consults and prescription rates (scripts per 1,000 consults). Averages were calculated after exclusions were made to the sample.</w:t>
      </w:r>
    </w:p>
    <w:p w14:paraId="50024686" w14:textId="77777777" w:rsidR="00AE3458" w:rsidRPr="00E443FB" w:rsidRDefault="000C3741" w:rsidP="00FA49D6">
      <w:pPr>
        <w:pStyle w:val="FigureHeading"/>
      </w:pPr>
      <w:bookmarkStart w:id="27" w:name="_Ref51406832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8</w:t>
      </w:r>
      <w:r w:rsidR="00AD3544">
        <w:rPr>
          <w:noProof/>
        </w:rPr>
        <w:fldChar w:fldCharType="end"/>
      </w:r>
      <w:bookmarkEnd w:id="27"/>
      <w:r w:rsidR="00952192" w:rsidRPr="00E443FB">
        <w:t>:</w:t>
      </w:r>
      <w:r w:rsidR="00AE3458" w:rsidRPr="00E443FB">
        <w:t xml:space="preserve"> Pooled effect of the three </w:t>
      </w:r>
      <w:r w:rsidR="00FF46CA" w:rsidRPr="00E443FB">
        <w:t xml:space="preserve">peer comparison </w:t>
      </w:r>
      <w:r w:rsidR="00AE3458" w:rsidRPr="00E443FB">
        <w:t xml:space="preserve">letters by prescribing level </w:t>
      </w:r>
    </w:p>
    <w:tbl>
      <w:tblPr>
        <w:tblStyle w:val="DefaultTable"/>
        <w:tblpPr w:leftFromText="180" w:rightFromText="180" w:vertAnchor="text" w:tblpY="1"/>
        <w:tblOverlap w:val="never"/>
        <w:tblW w:w="8931" w:type="dxa"/>
        <w:tblCellMar>
          <w:top w:w="28" w:type="dxa"/>
          <w:bottom w:w="28" w:type="dxa"/>
        </w:tblCellMar>
        <w:tblLook w:val="06A0" w:firstRow="1" w:lastRow="0" w:firstColumn="1" w:lastColumn="0" w:noHBand="1" w:noVBand="1"/>
        <w:tblCaption w:val="Pooled effect of the three peer comparison letters by prescribing level"/>
        <w:tblDescription w:val="Showing the pooled effect of the three peer comparison letters by prescribing level for each of the six months."/>
      </w:tblPr>
      <w:tblGrid>
        <w:gridCol w:w="1157"/>
        <w:gridCol w:w="1544"/>
        <w:gridCol w:w="2053"/>
        <w:gridCol w:w="940"/>
        <w:gridCol w:w="1850"/>
        <w:gridCol w:w="1387"/>
      </w:tblGrid>
      <w:tr w:rsidR="00AE3458" w:rsidRPr="00770BBF" w14:paraId="03759F00"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02586B49" w14:textId="77777777" w:rsidR="00AE3458" w:rsidRPr="008D1463" w:rsidRDefault="00AE3458" w:rsidP="007C058D">
            <w:pPr>
              <w:spacing w:before="0" w:after="0" w:line="240" w:lineRule="auto"/>
              <w:rPr>
                <w:rStyle w:val="TABLEACCReversed"/>
                <w:rFonts w:cstheme="minorHAnsi"/>
                <w:sz w:val="18"/>
                <w:szCs w:val="18"/>
              </w:rPr>
            </w:pPr>
            <w:r w:rsidRPr="008D1463">
              <w:rPr>
                <w:rStyle w:val="TABLEACCReversed"/>
                <w:rFonts w:cstheme="minorHAnsi"/>
                <w:sz w:val="18"/>
                <w:szCs w:val="18"/>
              </w:rPr>
              <w:t>Subgroup</w:t>
            </w:r>
          </w:p>
        </w:tc>
        <w:tc>
          <w:tcPr>
            <w:tcW w:w="1456" w:type="dxa"/>
            <w:tcBorders>
              <w:top w:val="single" w:sz="4" w:space="0" w:color="142E3A" w:themeColor="text2"/>
              <w:bottom w:val="single" w:sz="4" w:space="0" w:color="142E3A" w:themeColor="text2"/>
            </w:tcBorders>
            <w:shd w:val="clear" w:color="auto" w:fill="142E3A" w:themeFill="text2"/>
            <w:vAlign w:val="center"/>
          </w:tcPr>
          <w:p w14:paraId="15187284"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Prescriber l</w:t>
            </w:r>
            <w:r w:rsidRPr="008D1463">
              <w:rPr>
                <w:rStyle w:val="TABLEACCReversed"/>
                <w:rFonts w:cstheme="minorHAnsi"/>
                <w:sz w:val="18"/>
                <w:szCs w:val="18"/>
              </w:rPr>
              <w:t>evel</w:t>
            </w:r>
          </w:p>
        </w:tc>
        <w:tc>
          <w:tcPr>
            <w:tcW w:w="1838" w:type="dxa"/>
            <w:tcBorders>
              <w:top w:val="single" w:sz="4" w:space="0" w:color="142E3A" w:themeColor="text2"/>
              <w:bottom w:val="single" w:sz="4" w:space="0" w:color="142E3A" w:themeColor="text2"/>
            </w:tcBorders>
            <w:shd w:val="clear" w:color="auto" w:fill="142E3A" w:themeFill="text2"/>
            <w:vAlign w:val="center"/>
          </w:tcPr>
          <w:p w14:paraId="65EDDEC3" w14:textId="63DDC375"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Treatment</w:t>
            </w:r>
            <w:r w:rsidRPr="008D1463">
              <w:rPr>
                <w:rStyle w:val="TABLEACCReversed"/>
                <w:rFonts w:cstheme="minorHAnsi"/>
                <w:sz w:val="18"/>
                <w:szCs w:val="18"/>
              </w:rPr>
              <w:t xml:space="preserve"> </w:t>
            </w:r>
            <w:r w:rsidR="00206798">
              <w:rPr>
                <w:rStyle w:val="TABLEACCReversed"/>
                <w:rFonts w:cstheme="minorHAnsi"/>
                <w:sz w:val="18"/>
                <w:szCs w:val="18"/>
              </w:rPr>
              <w:t>–</w:t>
            </w:r>
            <w:r w:rsidRPr="008D1463">
              <w:rPr>
                <w:rStyle w:val="TABLEACCReversed"/>
                <w:rFonts w:cstheme="minorHAnsi"/>
                <w:sz w:val="18"/>
                <w:szCs w:val="18"/>
              </w:rPr>
              <w:t xml:space="preserve"> Control difference</w:t>
            </w:r>
          </w:p>
          <w:p w14:paraId="7187C125" w14:textId="4DA05AE9"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901" w:type="dxa"/>
            <w:tcBorders>
              <w:top w:val="single" w:sz="4" w:space="0" w:color="142E3A" w:themeColor="text2"/>
              <w:bottom w:val="single" w:sz="4" w:space="0" w:color="142E3A" w:themeColor="text2"/>
            </w:tcBorders>
            <w:shd w:val="clear" w:color="auto" w:fill="142E3A" w:themeFill="text2"/>
            <w:vAlign w:val="center"/>
          </w:tcPr>
          <w:p w14:paraId="00098E46"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c>
          <w:tcPr>
            <w:tcW w:w="1673" w:type="dxa"/>
            <w:tcBorders>
              <w:top w:val="single" w:sz="4" w:space="0" w:color="142E3A" w:themeColor="text2"/>
              <w:bottom w:val="single" w:sz="4" w:space="0" w:color="142E3A" w:themeColor="text2"/>
            </w:tcBorders>
            <w:shd w:val="clear" w:color="auto" w:fill="142E3A" w:themeFill="text2"/>
            <w:vAlign w:val="center"/>
          </w:tcPr>
          <w:p w14:paraId="09A3C137" w14:textId="1BCC7CB5"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 xml:space="preserve">Difference across levels </w:t>
            </w:r>
            <w:r w:rsidR="00206798">
              <w:rPr>
                <w:rStyle w:val="TABLEACCReversed"/>
                <w:rFonts w:cstheme="minorHAnsi"/>
                <w:sz w:val="18"/>
                <w:szCs w:val="18"/>
              </w:rPr>
              <w:br/>
            </w: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1219"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6A380DC8"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r>
      <w:tr w:rsidR="00AE3458" w:rsidRPr="00770BBF" w14:paraId="648D81DE"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142E3A" w:themeColor="text2"/>
            </w:tcBorders>
            <w:shd w:val="clear" w:color="auto" w:fill="FFFFFF" w:themeFill="background1"/>
            <w:vAlign w:val="center"/>
          </w:tcPr>
          <w:p w14:paraId="52616F2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July </w:t>
            </w:r>
          </w:p>
          <w:p w14:paraId="7EF144AA"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1)</w:t>
            </w:r>
          </w:p>
        </w:tc>
        <w:tc>
          <w:tcPr>
            <w:tcW w:w="1550" w:type="dxa"/>
            <w:tcBorders>
              <w:top w:val="single" w:sz="4" w:space="0" w:color="142E3A" w:themeColor="text2"/>
            </w:tcBorders>
            <w:shd w:val="clear" w:color="auto" w:fill="FFFFFF" w:themeFill="background1"/>
            <w:vAlign w:val="center"/>
          </w:tcPr>
          <w:p w14:paraId="08E41B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tcBorders>
              <w:top w:val="single" w:sz="4" w:space="0" w:color="142E3A" w:themeColor="text2"/>
            </w:tcBorders>
            <w:shd w:val="clear" w:color="auto" w:fill="FFFFFF" w:themeFill="background1"/>
            <w:vAlign w:val="center"/>
          </w:tcPr>
          <w:p w14:paraId="31FB28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0B418C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(-12.8 to -5.6)</w:t>
            </w:r>
          </w:p>
        </w:tc>
        <w:tc>
          <w:tcPr>
            <w:tcW w:w="943" w:type="dxa"/>
            <w:tcBorders>
              <w:top w:val="single" w:sz="4" w:space="0" w:color="142E3A" w:themeColor="text2"/>
            </w:tcBorders>
            <w:shd w:val="clear" w:color="auto" w:fill="FFFFFF" w:themeFill="background1"/>
            <w:vAlign w:val="center"/>
          </w:tcPr>
          <w:p w14:paraId="6CA509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tcBorders>
              <w:top w:val="single" w:sz="4" w:space="0" w:color="142E3A" w:themeColor="text2"/>
            </w:tcBorders>
            <w:shd w:val="clear" w:color="auto" w:fill="FFFFFF" w:themeFill="background1"/>
            <w:vAlign w:val="center"/>
          </w:tcPr>
          <w:p w14:paraId="12577B3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tcBorders>
              <w:top w:val="single" w:sz="4" w:space="0" w:color="142E3A" w:themeColor="text2"/>
            </w:tcBorders>
            <w:shd w:val="clear" w:color="auto" w:fill="FFFFFF" w:themeFill="background1"/>
            <w:vAlign w:val="center"/>
          </w:tcPr>
          <w:p w14:paraId="411F30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0F7FBE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3BC17D0"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01EA4B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1453A5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-14.5</w:t>
            </w:r>
          </w:p>
          <w:p w14:paraId="680839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(-18.7 to -10.4)</w:t>
            </w:r>
          </w:p>
        </w:tc>
        <w:tc>
          <w:tcPr>
            <w:tcW w:w="943" w:type="dxa"/>
            <w:shd w:val="clear" w:color="auto" w:fill="FFFFFF" w:themeFill="background1"/>
            <w:vAlign w:val="center"/>
          </w:tcPr>
          <w:p w14:paraId="1E9A03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157AD6A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-5.3</w:t>
            </w:r>
          </w:p>
          <w:p w14:paraId="2489DE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 to -0.2)</w:t>
            </w:r>
          </w:p>
        </w:tc>
        <w:tc>
          <w:tcPr>
            <w:tcW w:w="1398" w:type="dxa"/>
            <w:shd w:val="clear" w:color="auto" w:fill="FFFFFF" w:themeFill="background1"/>
            <w:vAlign w:val="center"/>
          </w:tcPr>
          <w:p w14:paraId="5820E4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2A8F2AC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448780B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August</w:t>
            </w:r>
          </w:p>
          <w:p w14:paraId="1D60F3D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2)</w:t>
            </w:r>
          </w:p>
        </w:tc>
        <w:tc>
          <w:tcPr>
            <w:tcW w:w="1550" w:type="dxa"/>
            <w:shd w:val="clear" w:color="auto" w:fill="FFFFFF" w:themeFill="background1"/>
            <w:vAlign w:val="center"/>
          </w:tcPr>
          <w:p w14:paraId="2B77A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2749B2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w:t>
            </w:r>
          </w:p>
          <w:p w14:paraId="51556A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-7.3)</w:t>
            </w:r>
          </w:p>
        </w:tc>
        <w:tc>
          <w:tcPr>
            <w:tcW w:w="943" w:type="dxa"/>
            <w:shd w:val="clear" w:color="auto" w:fill="FFFFFF" w:themeFill="background1"/>
            <w:vAlign w:val="center"/>
          </w:tcPr>
          <w:p w14:paraId="54F2F9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84D5A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1A8991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252A041E"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51688921" w14:textId="77777777" w:rsidR="00AE3458" w:rsidRPr="00FD4F97" w:rsidRDefault="00AE3458" w:rsidP="007C058D">
            <w:pPr>
              <w:spacing w:before="39" w:after="39"/>
              <w:rPr>
                <w:b/>
                <w:color w:val="3F3F3F"/>
              </w:rPr>
            </w:pPr>
          </w:p>
        </w:tc>
        <w:tc>
          <w:tcPr>
            <w:tcW w:w="1550" w:type="dxa"/>
            <w:shd w:val="clear" w:color="auto" w:fill="FFFFFF" w:themeFill="background1"/>
            <w:vAlign w:val="center"/>
          </w:tcPr>
          <w:p w14:paraId="32618E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639F0A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-21.9</w:t>
            </w:r>
          </w:p>
          <w:p w14:paraId="677420EF" w14:textId="0ED8D9F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w:t>
            </w:r>
            <w:r w:rsidR="00667E1E">
              <w:rPr>
                <w:rFonts w:cstheme="minorHAnsi"/>
                <w:color w:val="3F3F3F"/>
                <w:sz w:val="18"/>
                <w:szCs w:val="18"/>
              </w:rPr>
              <w:t>5</w:t>
            </w:r>
            <w:r w:rsidR="00667E1E" w:rsidRPr="00E443FB">
              <w:rPr>
                <w:rFonts w:cstheme="minorHAnsi"/>
                <w:color w:val="3F3F3F"/>
                <w:sz w:val="18"/>
                <w:szCs w:val="18"/>
              </w:rPr>
              <w:t xml:space="preserve"> </w:t>
            </w:r>
            <w:r w:rsidRPr="00E443FB">
              <w:rPr>
                <w:rFonts w:cstheme="minorHAnsi"/>
                <w:color w:val="3F3F3F"/>
                <w:sz w:val="18"/>
                <w:szCs w:val="18"/>
              </w:rPr>
              <w:t>to -17.3)</w:t>
            </w:r>
          </w:p>
        </w:tc>
        <w:tc>
          <w:tcPr>
            <w:tcW w:w="943" w:type="dxa"/>
            <w:shd w:val="clear" w:color="auto" w:fill="FFFFFF" w:themeFill="background1"/>
            <w:vAlign w:val="center"/>
          </w:tcPr>
          <w:p w14:paraId="6D20590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D0514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-11.3</w:t>
            </w:r>
          </w:p>
          <w:p w14:paraId="16F4198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(-16.4 to -6.2)</w:t>
            </w:r>
          </w:p>
        </w:tc>
        <w:tc>
          <w:tcPr>
            <w:tcW w:w="1398" w:type="dxa"/>
            <w:shd w:val="clear" w:color="auto" w:fill="FFFFFF" w:themeFill="background1"/>
            <w:vAlign w:val="center"/>
          </w:tcPr>
          <w:p w14:paraId="2D836798" w14:textId="4916CE16"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w:t>
            </w:r>
            <w:r w:rsidR="00667E1E">
              <w:rPr>
                <w:rFonts w:cstheme="minorHAnsi"/>
                <w:color w:val="3F3F3F"/>
                <w:sz w:val="18"/>
                <w:szCs w:val="18"/>
              </w:rPr>
              <w:t>0</w:t>
            </w:r>
            <w:r w:rsidRPr="00E443FB">
              <w:rPr>
                <w:rFonts w:cstheme="minorHAnsi"/>
                <w:color w:val="3F3F3F"/>
                <w:sz w:val="18"/>
                <w:szCs w:val="18"/>
              </w:rPr>
              <w:t>001</w:t>
            </w:r>
          </w:p>
        </w:tc>
      </w:tr>
      <w:tr w:rsidR="00AE3458" w:rsidRPr="00770BBF" w14:paraId="58B1759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7ECBAD4"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September </w:t>
            </w:r>
          </w:p>
          <w:p w14:paraId="2FC83F3E"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3)</w:t>
            </w:r>
          </w:p>
        </w:tc>
        <w:tc>
          <w:tcPr>
            <w:tcW w:w="1550" w:type="dxa"/>
            <w:shd w:val="clear" w:color="auto" w:fill="FFFFFF" w:themeFill="background1"/>
            <w:vAlign w:val="center"/>
          </w:tcPr>
          <w:p w14:paraId="302EFA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154902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-12.5</w:t>
            </w:r>
          </w:p>
          <w:p w14:paraId="2CFE6E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(-16.9 to -8.1)</w:t>
            </w:r>
          </w:p>
        </w:tc>
        <w:tc>
          <w:tcPr>
            <w:tcW w:w="943" w:type="dxa"/>
            <w:shd w:val="clear" w:color="auto" w:fill="FFFFFF" w:themeFill="background1"/>
            <w:vAlign w:val="center"/>
          </w:tcPr>
          <w:p w14:paraId="37EDD5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A1E31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368DB4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4CF9697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AF99F57"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456292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71A9F6D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w:t>
            </w:r>
          </w:p>
          <w:p w14:paraId="206F70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(-23.2 to -14.5)</w:t>
            </w:r>
          </w:p>
        </w:tc>
        <w:tc>
          <w:tcPr>
            <w:tcW w:w="943" w:type="dxa"/>
            <w:shd w:val="clear" w:color="auto" w:fill="FFFFFF" w:themeFill="background1"/>
            <w:vAlign w:val="center"/>
          </w:tcPr>
          <w:p w14:paraId="6E4BC6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6C1A7C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p>
          <w:p w14:paraId="4F258E1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(-12.1 to -0.4)</w:t>
            </w:r>
          </w:p>
        </w:tc>
        <w:tc>
          <w:tcPr>
            <w:tcW w:w="1398" w:type="dxa"/>
            <w:shd w:val="clear" w:color="auto" w:fill="FFFFFF" w:themeFill="background1"/>
            <w:vAlign w:val="center"/>
          </w:tcPr>
          <w:p w14:paraId="6EC9C0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53CCA97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17506356"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October </w:t>
            </w:r>
          </w:p>
          <w:p w14:paraId="01FF90F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4)</w:t>
            </w:r>
          </w:p>
          <w:p w14:paraId="446837F4"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D3773A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035C4F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-10.3</w:t>
            </w:r>
          </w:p>
          <w:p w14:paraId="0772AF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(-14.3 to -6.3)</w:t>
            </w:r>
          </w:p>
        </w:tc>
        <w:tc>
          <w:tcPr>
            <w:tcW w:w="943" w:type="dxa"/>
            <w:shd w:val="clear" w:color="auto" w:fill="FFFFFF" w:themeFill="background1"/>
            <w:vAlign w:val="center"/>
          </w:tcPr>
          <w:p w14:paraId="55B941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F12A7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49BF87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E830DC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6D8E1531"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7ECFE6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08C1CD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w:t>
            </w:r>
          </w:p>
          <w:p w14:paraId="0DF342F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 to -8.6)</w:t>
            </w:r>
          </w:p>
        </w:tc>
        <w:tc>
          <w:tcPr>
            <w:tcW w:w="943" w:type="dxa"/>
            <w:shd w:val="clear" w:color="auto" w:fill="FFFFFF" w:themeFill="background1"/>
            <w:vAlign w:val="center"/>
          </w:tcPr>
          <w:p w14:paraId="485BD7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66E67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-3.3</w:t>
            </w:r>
          </w:p>
          <w:p w14:paraId="548007E4" w14:textId="302F7529"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w:t>
            </w:r>
            <w:r w:rsidR="00667E1E">
              <w:rPr>
                <w:rFonts w:cstheme="minorHAnsi"/>
                <w:color w:val="3F3F3F"/>
                <w:sz w:val="18"/>
                <w:szCs w:val="18"/>
              </w:rPr>
              <w:t>3</w:t>
            </w:r>
            <w:r w:rsidR="00667E1E" w:rsidRPr="00E443FB">
              <w:rPr>
                <w:rFonts w:cstheme="minorHAnsi"/>
                <w:color w:val="3F3F3F"/>
                <w:sz w:val="18"/>
                <w:szCs w:val="18"/>
              </w:rPr>
              <w:t xml:space="preserve"> </w:t>
            </w:r>
            <w:r w:rsidRPr="00E443FB">
              <w:rPr>
                <w:rFonts w:cstheme="minorHAnsi"/>
                <w:color w:val="3F3F3F"/>
                <w:sz w:val="18"/>
                <w:szCs w:val="18"/>
              </w:rPr>
              <w:t xml:space="preserve">to 2.7) </w:t>
            </w:r>
          </w:p>
        </w:tc>
        <w:tc>
          <w:tcPr>
            <w:tcW w:w="1398" w:type="dxa"/>
            <w:shd w:val="clear" w:color="auto" w:fill="FFFFFF" w:themeFill="background1"/>
            <w:vAlign w:val="center"/>
          </w:tcPr>
          <w:p w14:paraId="4EBB9D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0.28</w:t>
            </w:r>
          </w:p>
        </w:tc>
      </w:tr>
      <w:tr w:rsidR="00AE3458" w:rsidRPr="00770BBF" w14:paraId="7D2C6C1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4B439AC"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November </w:t>
            </w:r>
          </w:p>
          <w:p w14:paraId="2115660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5)</w:t>
            </w:r>
          </w:p>
        </w:tc>
        <w:tc>
          <w:tcPr>
            <w:tcW w:w="1550" w:type="dxa"/>
            <w:shd w:val="clear" w:color="auto" w:fill="FFFFFF" w:themeFill="background1"/>
            <w:vAlign w:val="center"/>
          </w:tcPr>
          <w:p w14:paraId="4CF825F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66D60F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-5.2</w:t>
            </w:r>
          </w:p>
          <w:p w14:paraId="3D239B7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(-8.0 to -2.4)</w:t>
            </w:r>
          </w:p>
        </w:tc>
        <w:tc>
          <w:tcPr>
            <w:tcW w:w="943" w:type="dxa"/>
            <w:shd w:val="clear" w:color="auto" w:fill="FFFFFF" w:themeFill="background1"/>
            <w:vAlign w:val="center"/>
          </w:tcPr>
          <w:p w14:paraId="1A0EF7C0" w14:textId="27AE6CDA"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4B432E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6B6E2F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14F8E44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C3AA29E"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07D44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40ACE5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-10.1</w:t>
            </w:r>
          </w:p>
          <w:p w14:paraId="43DA71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-6.4)</w:t>
            </w:r>
          </w:p>
        </w:tc>
        <w:tc>
          <w:tcPr>
            <w:tcW w:w="943" w:type="dxa"/>
            <w:shd w:val="clear" w:color="auto" w:fill="FFFFFF" w:themeFill="background1"/>
            <w:vAlign w:val="center"/>
          </w:tcPr>
          <w:p w14:paraId="2E353B1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4B29D15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-4.8</w:t>
            </w:r>
          </w:p>
          <w:p w14:paraId="1E505E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 to -0.7)</w:t>
            </w:r>
          </w:p>
        </w:tc>
        <w:tc>
          <w:tcPr>
            <w:tcW w:w="1398" w:type="dxa"/>
            <w:shd w:val="clear" w:color="auto" w:fill="FFFFFF" w:themeFill="background1"/>
            <w:vAlign w:val="center"/>
          </w:tcPr>
          <w:p w14:paraId="0C50DB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r>
      <w:tr w:rsidR="00AE3458" w:rsidRPr="00770BBF" w14:paraId="29737974"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2B591A3B"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December </w:t>
            </w:r>
          </w:p>
          <w:p w14:paraId="14501F01"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6)</w:t>
            </w:r>
          </w:p>
          <w:p w14:paraId="60C22D79"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14575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7600C06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-4.9</w:t>
            </w:r>
          </w:p>
          <w:p w14:paraId="15E250D1" w14:textId="6992C18E"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(-7.6 to -2.</w:t>
            </w:r>
            <w:r w:rsidR="00667E1E">
              <w:rPr>
                <w:rFonts w:cstheme="minorHAnsi"/>
                <w:color w:val="3F3F3F"/>
                <w:sz w:val="18"/>
                <w:szCs w:val="18"/>
              </w:rPr>
              <w:t>2</w:t>
            </w:r>
            <w:r w:rsidRPr="00E443FB">
              <w:rPr>
                <w:rFonts w:cstheme="minorHAnsi"/>
                <w:color w:val="3F3F3F"/>
                <w:sz w:val="18"/>
                <w:szCs w:val="18"/>
              </w:rPr>
              <w:t>)</w:t>
            </w:r>
          </w:p>
        </w:tc>
        <w:tc>
          <w:tcPr>
            <w:tcW w:w="943" w:type="dxa"/>
            <w:shd w:val="clear" w:color="auto" w:fill="FFFFFF" w:themeFill="background1"/>
            <w:vAlign w:val="center"/>
          </w:tcPr>
          <w:p w14:paraId="26431F4B" w14:textId="3E186709"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7814510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E74FF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30CA7DE6"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E07255D" w14:textId="77777777" w:rsidR="00AE3458" w:rsidRPr="00E443FB" w:rsidRDefault="00AE3458" w:rsidP="007C058D">
            <w:pPr>
              <w:spacing w:before="0" w:after="0" w:line="240" w:lineRule="auto"/>
              <w:rPr>
                <w:rFonts w:cstheme="minorHAnsi"/>
                <w:color w:val="3F3F3F"/>
                <w:sz w:val="18"/>
                <w:szCs w:val="18"/>
              </w:rPr>
            </w:pPr>
          </w:p>
        </w:tc>
        <w:tc>
          <w:tcPr>
            <w:tcW w:w="1456" w:type="dxa"/>
            <w:shd w:val="clear" w:color="auto" w:fill="FFFFFF" w:themeFill="background1"/>
            <w:vAlign w:val="center"/>
          </w:tcPr>
          <w:p w14:paraId="03315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1838" w:type="dxa"/>
            <w:shd w:val="clear" w:color="auto" w:fill="FFFFFF" w:themeFill="background1"/>
            <w:vAlign w:val="center"/>
          </w:tcPr>
          <w:p w14:paraId="164633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1E41B91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(-13.6 to -4.8)</w:t>
            </w:r>
          </w:p>
        </w:tc>
        <w:tc>
          <w:tcPr>
            <w:tcW w:w="901" w:type="dxa"/>
            <w:shd w:val="clear" w:color="auto" w:fill="FFFFFF" w:themeFill="background1"/>
            <w:vAlign w:val="center"/>
          </w:tcPr>
          <w:p w14:paraId="5A65F96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673" w:type="dxa"/>
            <w:shd w:val="clear" w:color="auto" w:fill="FFFFFF" w:themeFill="background1"/>
            <w:vAlign w:val="center"/>
          </w:tcPr>
          <w:p w14:paraId="151E97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-4.2</w:t>
            </w:r>
          </w:p>
          <w:p w14:paraId="519A6540" w14:textId="4935A72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 to 0.</w:t>
            </w:r>
            <w:r w:rsidR="00667E1E">
              <w:rPr>
                <w:rFonts w:cstheme="minorHAnsi"/>
                <w:color w:val="3F3F3F"/>
                <w:sz w:val="18"/>
                <w:szCs w:val="18"/>
              </w:rPr>
              <w:t>7</w:t>
            </w:r>
            <w:r w:rsidRPr="00E443FB">
              <w:rPr>
                <w:rFonts w:cstheme="minorHAnsi"/>
                <w:color w:val="3F3F3F"/>
                <w:sz w:val="18"/>
                <w:szCs w:val="18"/>
              </w:rPr>
              <w:t>)</w:t>
            </w:r>
          </w:p>
        </w:tc>
        <w:tc>
          <w:tcPr>
            <w:tcW w:w="1219" w:type="dxa"/>
            <w:shd w:val="clear" w:color="auto" w:fill="FFFFFF" w:themeFill="background1"/>
            <w:vAlign w:val="center"/>
          </w:tcPr>
          <w:p w14:paraId="2B2B222A" w14:textId="2A5B3A32"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0.09</w:t>
            </w:r>
          </w:p>
        </w:tc>
      </w:tr>
    </w:tbl>
    <w:p w14:paraId="634CB5D2" w14:textId="08D469A2" w:rsidR="00AE3458" w:rsidRDefault="00AE3458" w:rsidP="00AE3458">
      <w:pPr>
        <w:pStyle w:val="SourceNotesText"/>
      </w:pPr>
      <w:r>
        <w:t>Note: Moderately</w:t>
      </w:r>
      <w:r w:rsidR="00206798">
        <w:t>-</w:t>
      </w:r>
      <w:r>
        <w:t>high prescribers refer to GPs between the 70</w:t>
      </w:r>
      <w:r w:rsidRPr="00B97D29">
        <w:rPr>
          <w:vertAlign w:val="superscript"/>
        </w:rPr>
        <w:t>th</w:t>
      </w:r>
      <w:r>
        <w:t xml:space="preserve"> and 85</w:t>
      </w:r>
      <w:r w:rsidRPr="00B97D29">
        <w:rPr>
          <w:vertAlign w:val="superscript"/>
        </w:rPr>
        <w:t>th</w:t>
      </w:r>
      <w:r>
        <w:t xml:space="preserve"> prescribing percentile. Highest prescribers are above the 85</w:t>
      </w:r>
      <w:r w:rsidRPr="00507269">
        <w:rPr>
          <w:vertAlign w:val="superscript"/>
        </w:rPr>
        <w:t>th</w:t>
      </w:r>
      <w:r>
        <w:t xml:space="preserve"> percentile.  This analysis was</w:t>
      </w:r>
      <w:r w:rsidRPr="00840CBF">
        <w:t xml:space="preserve"> performed using a linear regression model adjusted for previous prescription, age and </w:t>
      </w:r>
      <w:r>
        <w:t xml:space="preserve">sex using </w:t>
      </w:r>
      <w:r w:rsidRPr="00840CBF">
        <w:t xml:space="preserve">cluster robust standard errors. The difference across levels was tested by interacting an indicator for </w:t>
      </w:r>
      <w:r>
        <w:t xml:space="preserve">‘highest prescribing’ </w:t>
      </w:r>
      <w:r w:rsidRPr="00840CBF">
        <w:t xml:space="preserve">with an indicator for treatment. </w:t>
      </w:r>
      <w:r>
        <w:t xml:space="preserve">In this table the treatment group is the three </w:t>
      </w:r>
      <w:r w:rsidR="004A7590">
        <w:t xml:space="preserve">peer comparison </w:t>
      </w:r>
      <w:r>
        <w:t>letter groups combined.</w:t>
      </w:r>
    </w:p>
    <w:p w14:paraId="666A1450" w14:textId="0E9A3475" w:rsidR="00FA49D6" w:rsidRDefault="00FA49D6">
      <w:pPr>
        <w:spacing w:before="0" w:after="0" w:line="240" w:lineRule="auto"/>
      </w:pPr>
      <w:r>
        <w:br w:type="page"/>
      </w:r>
    </w:p>
    <w:p w14:paraId="36433BD8" w14:textId="77777777" w:rsidR="00AE3458" w:rsidRPr="00F34A74" w:rsidRDefault="000C3741" w:rsidP="00FA49D6">
      <w:pPr>
        <w:pStyle w:val="FigureHeading"/>
      </w:pPr>
      <w:bookmarkStart w:id="28" w:name="_Ref51406398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9</w:t>
      </w:r>
      <w:r w:rsidR="00AD3544">
        <w:rPr>
          <w:noProof/>
        </w:rPr>
        <w:fldChar w:fldCharType="end"/>
      </w:r>
      <w:bookmarkEnd w:id="28"/>
      <w:r w:rsidRPr="00E443FB">
        <w:t xml:space="preserve">: </w:t>
      </w:r>
      <w:r w:rsidR="00AE3458" w:rsidRPr="00F34A74">
        <w:t xml:space="preserve">Pooled effect of the three </w:t>
      </w:r>
      <w:r w:rsidR="00FF46CA" w:rsidRPr="00F34A74">
        <w:t xml:space="preserve">peer comparison </w:t>
      </w:r>
      <w:r w:rsidR="00AE3458" w:rsidRPr="00F34A74">
        <w:t xml:space="preserve">letters by subgroup </w:t>
      </w:r>
    </w:p>
    <w:tbl>
      <w:tblPr>
        <w:tblStyle w:val="DefaultTable"/>
        <w:tblW w:w="8931" w:type="dxa"/>
        <w:tblLayout w:type="fixed"/>
        <w:tblCellMar>
          <w:top w:w="28" w:type="dxa"/>
          <w:bottom w:w="28" w:type="dxa"/>
        </w:tblCellMar>
        <w:tblLook w:val="06A0" w:firstRow="1" w:lastRow="0" w:firstColumn="1" w:lastColumn="0" w:noHBand="1" w:noVBand="1"/>
        <w:tblCaption w:val="Pooled effect of the three peer comparison letters by subgroup"/>
        <w:tblDescription w:val="Showing the pooled effect of the three peer comparison letters by age and sex."/>
      </w:tblPr>
      <w:tblGrid>
        <w:gridCol w:w="1560"/>
        <w:gridCol w:w="1417"/>
        <w:gridCol w:w="1985"/>
        <w:gridCol w:w="1275"/>
        <w:gridCol w:w="1701"/>
        <w:gridCol w:w="993"/>
      </w:tblGrid>
      <w:tr w:rsidR="00AE3458" w:rsidRPr="00FA49D6" w14:paraId="7A663F41"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4C5BAB34" w14:textId="77777777" w:rsidR="00AE3458" w:rsidRPr="00FA49D6" w:rsidRDefault="00AE3458" w:rsidP="007C058D">
            <w:pPr>
              <w:pStyle w:val="TableACCHead"/>
              <w:jc w:val="left"/>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Subgroup</w:t>
            </w:r>
          </w:p>
        </w:tc>
        <w:tc>
          <w:tcPr>
            <w:tcW w:w="1417" w:type="dxa"/>
            <w:tcBorders>
              <w:top w:val="single" w:sz="4" w:space="0" w:color="142E3A" w:themeColor="text2"/>
              <w:bottom w:val="single" w:sz="4" w:space="0" w:color="142E3A" w:themeColor="text2"/>
            </w:tcBorders>
            <w:shd w:val="clear" w:color="auto" w:fill="142E3A" w:themeFill="text2"/>
            <w:vAlign w:val="center"/>
          </w:tcPr>
          <w:p w14:paraId="73C3CCA5"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Level</w:t>
            </w:r>
          </w:p>
        </w:tc>
        <w:tc>
          <w:tcPr>
            <w:tcW w:w="1985" w:type="dxa"/>
            <w:tcBorders>
              <w:top w:val="single" w:sz="4" w:space="0" w:color="142E3A" w:themeColor="text2"/>
              <w:bottom w:val="single" w:sz="4" w:space="0" w:color="142E3A" w:themeColor="text2"/>
            </w:tcBorders>
            <w:shd w:val="clear" w:color="auto" w:fill="142E3A" w:themeFill="text2"/>
            <w:vAlign w:val="center"/>
          </w:tcPr>
          <w:p w14:paraId="398EBF37" w14:textId="644C7440"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Treatment </w:t>
            </w:r>
            <w:r w:rsidR="00206798">
              <w:rPr>
                <w:rStyle w:val="TABLEACCReversed"/>
                <w:rFonts w:asciiTheme="minorHAnsi" w:hAnsiTheme="minorHAnsi" w:cstheme="minorHAnsi"/>
                <w:b/>
                <w:sz w:val="18"/>
                <w:szCs w:val="18"/>
                <w:lang w:val="en-AU"/>
              </w:rPr>
              <w:t>–</w:t>
            </w:r>
            <w:r w:rsidRPr="00FA49D6">
              <w:rPr>
                <w:rStyle w:val="TABLEACCReversed"/>
                <w:rFonts w:asciiTheme="minorHAnsi" w:hAnsiTheme="minorHAnsi" w:cstheme="minorHAnsi"/>
                <w:b/>
                <w:sz w:val="18"/>
                <w:szCs w:val="18"/>
                <w:lang w:val="en-AU"/>
              </w:rPr>
              <w:t xml:space="preserve"> </w:t>
            </w:r>
            <w:r w:rsidR="007A3D6E">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Control difference</w:t>
            </w:r>
          </w:p>
          <w:p w14:paraId="344A82C3" w14:textId="0B3D7336"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1275" w:type="dxa"/>
            <w:tcBorders>
              <w:top w:val="single" w:sz="4" w:space="0" w:color="142E3A" w:themeColor="text2"/>
              <w:bottom w:val="single" w:sz="4" w:space="0" w:color="142E3A" w:themeColor="text2"/>
            </w:tcBorders>
            <w:shd w:val="clear" w:color="auto" w:fill="142E3A" w:themeFill="text2"/>
            <w:vAlign w:val="center"/>
          </w:tcPr>
          <w:p w14:paraId="29874E4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c>
          <w:tcPr>
            <w:tcW w:w="1701" w:type="dxa"/>
            <w:tcBorders>
              <w:top w:val="single" w:sz="4" w:space="0" w:color="142E3A" w:themeColor="text2"/>
              <w:bottom w:val="single" w:sz="4" w:space="0" w:color="142E3A" w:themeColor="text2"/>
            </w:tcBorders>
            <w:shd w:val="clear" w:color="auto" w:fill="142E3A" w:themeFill="text2"/>
            <w:vAlign w:val="center"/>
          </w:tcPr>
          <w:p w14:paraId="46D1DE2B" w14:textId="4F79849B"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Difference across levels </w:t>
            </w:r>
            <w:r w:rsidR="00206798">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993"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C44E73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r>
      <w:tr w:rsidR="00AE3458" w:rsidRPr="009041AF" w14:paraId="36EC3878"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142E3A" w:themeColor="text2"/>
            </w:tcBorders>
            <w:shd w:val="clear" w:color="auto" w:fill="FFFFFF" w:themeFill="background1"/>
            <w:vAlign w:val="center"/>
          </w:tcPr>
          <w:p w14:paraId="3F959594"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 xml:space="preserve">Socioeconomic status of the area </w:t>
            </w:r>
          </w:p>
        </w:tc>
        <w:tc>
          <w:tcPr>
            <w:tcW w:w="1417" w:type="dxa"/>
            <w:tcBorders>
              <w:top w:val="single" w:sz="4" w:space="0" w:color="142E3A" w:themeColor="text2"/>
            </w:tcBorders>
            <w:shd w:val="clear" w:color="auto" w:fill="FFFFFF" w:themeFill="background1"/>
            <w:vAlign w:val="center"/>
          </w:tcPr>
          <w:p w14:paraId="68981712"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Low</w:t>
            </w:r>
          </w:p>
        </w:tc>
        <w:tc>
          <w:tcPr>
            <w:tcW w:w="1985" w:type="dxa"/>
            <w:tcBorders>
              <w:top w:val="single" w:sz="4" w:space="0" w:color="142E3A" w:themeColor="text2"/>
            </w:tcBorders>
            <w:shd w:val="clear" w:color="auto" w:fill="FFFFFF" w:themeFill="background1"/>
            <w:vAlign w:val="center"/>
          </w:tcPr>
          <w:p w14:paraId="2DB9F23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-15.3 </w:t>
            </w:r>
            <w:r w:rsidRPr="009041AF">
              <w:rPr>
                <w:rFonts w:asciiTheme="minorHAnsi" w:hAnsiTheme="minorHAnsi" w:cstheme="minorHAnsi"/>
                <w:sz w:val="18"/>
                <w:szCs w:val="18"/>
              </w:rPr>
              <w:br/>
              <w:t>(-18.9 to -11.7)</w:t>
            </w:r>
          </w:p>
        </w:tc>
        <w:tc>
          <w:tcPr>
            <w:tcW w:w="1275" w:type="dxa"/>
            <w:tcBorders>
              <w:top w:val="single" w:sz="4" w:space="0" w:color="142E3A" w:themeColor="text2"/>
            </w:tcBorders>
            <w:shd w:val="clear" w:color="auto" w:fill="FFFFFF" w:themeFill="background1"/>
            <w:vAlign w:val="center"/>
          </w:tcPr>
          <w:p w14:paraId="518F1328"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tcBorders>
              <w:top w:val="single" w:sz="4" w:space="0" w:color="142E3A" w:themeColor="text2"/>
            </w:tcBorders>
            <w:shd w:val="clear" w:color="auto" w:fill="FFFFFF" w:themeFill="background1"/>
            <w:vAlign w:val="center"/>
          </w:tcPr>
          <w:p w14:paraId="78DECF2D"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tcBorders>
              <w:top w:val="single" w:sz="4" w:space="0" w:color="142E3A" w:themeColor="text2"/>
            </w:tcBorders>
            <w:shd w:val="clear" w:color="auto" w:fill="FFFFFF" w:themeFill="background1"/>
            <w:vAlign w:val="center"/>
          </w:tcPr>
          <w:p w14:paraId="16BEF5E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3510634C"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F3F2B1D"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5565B10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High</w:t>
            </w:r>
          </w:p>
        </w:tc>
        <w:tc>
          <w:tcPr>
            <w:tcW w:w="1985" w:type="dxa"/>
            <w:shd w:val="clear" w:color="auto" w:fill="FFFFFF" w:themeFill="background1"/>
            <w:vAlign w:val="center"/>
          </w:tcPr>
          <w:p w14:paraId="3944596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-8.3 </w:t>
            </w:r>
            <w:r w:rsidRPr="009041AF">
              <w:rPr>
                <w:rFonts w:asciiTheme="minorHAnsi" w:hAnsiTheme="minorHAnsi" w:cstheme="minorHAnsi"/>
                <w:sz w:val="18"/>
                <w:szCs w:val="18"/>
              </w:rPr>
              <w:br/>
              <w:t>(-11.8 to -4.7)</w:t>
            </w:r>
          </w:p>
        </w:tc>
        <w:tc>
          <w:tcPr>
            <w:tcW w:w="1275" w:type="dxa"/>
            <w:shd w:val="clear" w:color="auto" w:fill="FFFFFF" w:themeFill="background1"/>
            <w:vAlign w:val="center"/>
          </w:tcPr>
          <w:p w14:paraId="0E27207C"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0E15FAE2"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7 </w:t>
            </w:r>
            <w:r w:rsidRPr="009041AF">
              <w:rPr>
                <w:rFonts w:asciiTheme="minorHAnsi" w:hAnsiTheme="minorHAnsi" w:cstheme="minorHAnsi"/>
                <w:sz w:val="18"/>
                <w:szCs w:val="18"/>
              </w:rPr>
              <w:br/>
              <w:t>(1.9 to 12)</w:t>
            </w:r>
          </w:p>
        </w:tc>
        <w:tc>
          <w:tcPr>
            <w:tcW w:w="993" w:type="dxa"/>
            <w:shd w:val="clear" w:color="auto" w:fill="FFFFFF" w:themeFill="background1"/>
            <w:vAlign w:val="center"/>
          </w:tcPr>
          <w:p w14:paraId="7C466EA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0.007</w:t>
            </w:r>
          </w:p>
        </w:tc>
      </w:tr>
      <w:tr w:rsidR="00AE3458" w:rsidRPr="009041AF" w14:paraId="10A69EE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50BE380B"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Age</w:t>
            </w:r>
          </w:p>
        </w:tc>
        <w:tc>
          <w:tcPr>
            <w:tcW w:w="1417" w:type="dxa"/>
            <w:shd w:val="clear" w:color="auto" w:fill="FFFFFF" w:themeFill="background1"/>
            <w:vAlign w:val="center"/>
          </w:tcPr>
          <w:p w14:paraId="2C78EB3E" w14:textId="27F4E690"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&lt;51</w:t>
            </w:r>
          </w:p>
        </w:tc>
        <w:tc>
          <w:tcPr>
            <w:tcW w:w="1985" w:type="dxa"/>
            <w:shd w:val="clear" w:color="auto" w:fill="FFFFFF" w:themeFill="background1"/>
            <w:vAlign w:val="center"/>
          </w:tcPr>
          <w:p w14:paraId="35E57CE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-13.2 </w:t>
            </w:r>
            <w:r w:rsidRPr="009041AF">
              <w:rPr>
                <w:rFonts w:asciiTheme="minorHAnsi" w:hAnsiTheme="minorHAnsi" w:cstheme="minorHAnsi"/>
                <w:sz w:val="18"/>
                <w:szCs w:val="18"/>
              </w:rPr>
              <w:br/>
              <w:t>(-17.3 to -9)</w:t>
            </w:r>
          </w:p>
        </w:tc>
        <w:tc>
          <w:tcPr>
            <w:tcW w:w="1275" w:type="dxa"/>
            <w:shd w:val="clear" w:color="auto" w:fill="FFFFFF" w:themeFill="background1"/>
            <w:vAlign w:val="center"/>
          </w:tcPr>
          <w:p w14:paraId="3FF62394"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60BFC74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shd w:val="clear" w:color="auto" w:fill="FFFFFF" w:themeFill="background1"/>
            <w:vAlign w:val="center"/>
          </w:tcPr>
          <w:p w14:paraId="384D82F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5A0FED23"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632A6426"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6C50DF0B" w14:textId="5AC8F7D3"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51+</w:t>
            </w:r>
          </w:p>
        </w:tc>
        <w:tc>
          <w:tcPr>
            <w:tcW w:w="1985" w:type="dxa"/>
            <w:shd w:val="clear" w:color="auto" w:fill="FFFFFF" w:themeFill="background1"/>
            <w:vAlign w:val="center"/>
          </w:tcPr>
          <w:p w14:paraId="75898F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-10.7 </w:t>
            </w:r>
            <w:r w:rsidRPr="009041AF">
              <w:rPr>
                <w:rFonts w:asciiTheme="minorHAnsi" w:hAnsiTheme="minorHAnsi" w:cstheme="minorHAnsi"/>
                <w:sz w:val="18"/>
                <w:szCs w:val="18"/>
              </w:rPr>
              <w:br/>
              <w:t>(-13.5 to -7.9)</w:t>
            </w:r>
          </w:p>
        </w:tc>
        <w:tc>
          <w:tcPr>
            <w:tcW w:w="1275" w:type="dxa"/>
            <w:shd w:val="clear" w:color="auto" w:fill="FFFFFF" w:themeFill="background1"/>
            <w:vAlign w:val="center"/>
          </w:tcPr>
          <w:p w14:paraId="3958A773"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91CC00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2.5 </w:t>
            </w:r>
            <w:r w:rsidRPr="009041AF">
              <w:rPr>
                <w:rFonts w:asciiTheme="minorHAnsi" w:hAnsiTheme="minorHAnsi" w:cstheme="minorHAnsi"/>
                <w:sz w:val="18"/>
                <w:szCs w:val="18"/>
              </w:rPr>
              <w:br/>
              <w:t>(-2.3 to 7.3)</w:t>
            </w:r>
          </w:p>
        </w:tc>
        <w:tc>
          <w:tcPr>
            <w:tcW w:w="993" w:type="dxa"/>
            <w:shd w:val="clear" w:color="auto" w:fill="FFFFFF" w:themeFill="background1"/>
            <w:vAlign w:val="center"/>
          </w:tcPr>
          <w:p w14:paraId="7EFF401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0.3</w:t>
            </w:r>
          </w:p>
          <w:p w14:paraId="214B1FC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5C21CAE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3009469C"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Sex</w:t>
            </w:r>
          </w:p>
        </w:tc>
        <w:tc>
          <w:tcPr>
            <w:tcW w:w="1417" w:type="dxa"/>
            <w:shd w:val="clear" w:color="auto" w:fill="FFFFFF" w:themeFill="background1"/>
            <w:vAlign w:val="center"/>
          </w:tcPr>
          <w:p w14:paraId="6EE6A1E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Female</w:t>
            </w:r>
          </w:p>
        </w:tc>
        <w:tc>
          <w:tcPr>
            <w:tcW w:w="1985" w:type="dxa"/>
            <w:shd w:val="clear" w:color="auto" w:fill="FFFFFF" w:themeFill="background1"/>
            <w:vAlign w:val="center"/>
          </w:tcPr>
          <w:p w14:paraId="20DE86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-12.6</w:t>
            </w:r>
            <w:r w:rsidRPr="009041AF">
              <w:rPr>
                <w:rFonts w:asciiTheme="minorHAnsi" w:hAnsiTheme="minorHAnsi" w:cstheme="minorHAnsi"/>
                <w:sz w:val="18"/>
                <w:szCs w:val="18"/>
              </w:rPr>
              <w:br/>
              <w:t>(-17.2 to -8.1)</w:t>
            </w:r>
          </w:p>
        </w:tc>
        <w:tc>
          <w:tcPr>
            <w:tcW w:w="1275" w:type="dxa"/>
            <w:shd w:val="clear" w:color="auto" w:fill="FFFFFF" w:themeFill="background1"/>
            <w:vAlign w:val="center"/>
          </w:tcPr>
          <w:p w14:paraId="13E02C8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A180C0F"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993" w:type="dxa"/>
            <w:shd w:val="clear" w:color="auto" w:fill="FFFFFF" w:themeFill="background1"/>
            <w:vAlign w:val="center"/>
          </w:tcPr>
          <w:p w14:paraId="279361F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6BD8601F"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7728E30" w14:textId="77777777" w:rsidR="00AE3458" w:rsidRPr="009041AF" w:rsidRDefault="00AE3458" w:rsidP="007C058D">
            <w:pPr>
              <w:pStyle w:val="TableACCBodyLeftBold"/>
              <w:rPr>
                <w:rFonts w:asciiTheme="minorHAnsi" w:hAnsiTheme="minorHAnsi" w:cstheme="minorHAnsi"/>
                <w:b w:val="0"/>
                <w:sz w:val="18"/>
                <w:szCs w:val="18"/>
              </w:rPr>
            </w:pPr>
          </w:p>
        </w:tc>
        <w:tc>
          <w:tcPr>
            <w:tcW w:w="1417" w:type="dxa"/>
            <w:shd w:val="clear" w:color="auto" w:fill="FFFFFF" w:themeFill="background1"/>
            <w:vAlign w:val="center"/>
          </w:tcPr>
          <w:p w14:paraId="20C581BC"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Male</w:t>
            </w:r>
          </w:p>
        </w:tc>
        <w:tc>
          <w:tcPr>
            <w:tcW w:w="1985" w:type="dxa"/>
            <w:shd w:val="clear" w:color="auto" w:fill="FFFFFF" w:themeFill="background1"/>
            <w:vAlign w:val="center"/>
          </w:tcPr>
          <w:p w14:paraId="540EC8E9"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-11.3</w:t>
            </w:r>
            <w:r w:rsidRPr="009041AF">
              <w:rPr>
                <w:rFonts w:asciiTheme="minorHAnsi" w:hAnsiTheme="minorHAnsi" w:cstheme="minorHAnsi"/>
                <w:sz w:val="18"/>
                <w:szCs w:val="18"/>
              </w:rPr>
              <w:br/>
              <w:t>(-14.1 to -8.6)</w:t>
            </w:r>
          </w:p>
        </w:tc>
        <w:tc>
          <w:tcPr>
            <w:tcW w:w="1275" w:type="dxa"/>
            <w:shd w:val="clear" w:color="auto" w:fill="FFFFFF" w:themeFill="background1"/>
            <w:vAlign w:val="center"/>
          </w:tcPr>
          <w:p w14:paraId="563E74A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350DF4A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 </w:t>
            </w:r>
            <w:r w:rsidRPr="009041AF">
              <w:rPr>
                <w:rFonts w:asciiTheme="minorHAnsi" w:hAnsiTheme="minorHAnsi" w:cstheme="minorHAnsi"/>
                <w:sz w:val="18"/>
                <w:szCs w:val="18"/>
              </w:rPr>
              <w:br/>
              <w:t>(-3.8 to 6.3)</w:t>
            </w:r>
          </w:p>
        </w:tc>
        <w:tc>
          <w:tcPr>
            <w:tcW w:w="993" w:type="dxa"/>
            <w:shd w:val="clear" w:color="auto" w:fill="FFFFFF" w:themeFill="background1"/>
            <w:vAlign w:val="center"/>
          </w:tcPr>
          <w:p w14:paraId="736E5C5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0.6</w:t>
            </w:r>
          </w:p>
        </w:tc>
      </w:tr>
    </w:tbl>
    <w:p w14:paraId="66EC773A" w14:textId="77777777" w:rsidR="00AE3458" w:rsidRDefault="00AE3458" w:rsidP="00AE3458">
      <w:pPr>
        <w:pStyle w:val="SourceNotesText"/>
      </w:pPr>
      <w:r w:rsidRPr="005E0008">
        <w:t>Note: Subgroup analyses were performed using a linear regression model adjusted for previous prescription, age and sex (when age or sex were not the subject of the subgroup analysis) with cluster robust standard errors. The difference across levels was tested by interacting an indicator for subgroup membership with an indicator for treatment.</w:t>
      </w:r>
      <w:r>
        <w:t xml:space="preserve"> </w:t>
      </w:r>
      <w:r w:rsidRPr="00840CBF">
        <w:t xml:space="preserve">In this table the treatment group is the three </w:t>
      </w:r>
      <w:r w:rsidR="004A7590">
        <w:t>peer comparison l</w:t>
      </w:r>
      <w:r w:rsidRPr="00840CBF">
        <w:t>etter groups combined.</w:t>
      </w:r>
    </w:p>
    <w:p w14:paraId="6E019FF4" w14:textId="4F624D79" w:rsidR="00FA49D6" w:rsidRDefault="00FA49D6">
      <w:pPr>
        <w:spacing w:before="0" w:after="0" w:line="240" w:lineRule="auto"/>
      </w:pPr>
      <w:r>
        <w:br w:type="page"/>
      </w:r>
    </w:p>
    <w:p w14:paraId="7B6C9DF1" w14:textId="1E8771CB" w:rsidR="00AE3458" w:rsidRPr="00E443FB" w:rsidRDefault="000C3741" w:rsidP="00FA49D6">
      <w:pPr>
        <w:pStyle w:val="FigureHeading"/>
      </w:pPr>
      <w:r w:rsidRPr="00E443FB">
        <w:lastRenderedPageBreak/>
        <w:t xml:space="preserve"> </w:t>
      </w:r>
      <w:bookmarkStart w:id="29" w:name="_Ref514067963"/>
      <w:r w:rsidRPr="00E443FB">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10</w:t>
      </w:r>
      <w:r w:rsidR="00AD3544">
        <w:rPr>
          <w:noProof/>
        </w:rPr>
        <w:fldChar w:fldCharType="end"/>
      </w:r>
      <w:bookmarkEnd w:id="29"/>
      <w:r w:rsidRPr="00E443FB">
        <w:t xml:space="preserve">: </w:t>
      </w:r>
      <w:r w:rsidR="005401CD">
        <w:t xml:space="preserve">Missing data and exclusions </w:t>
      </w:r>
    </w:p>
    <w:tbl>
      <w:tblPr>
        <w:tblStyle w:val="DefaultTable"/>
        <w:tblW w:w="5394" w:type="pct"/>
        <w:tblCellMar>
          <w:top w:w="57" w:type="dxa"/>
          <w:bottom w:w="57" w:type="dxa"/>
        </w:tblCellMar>
        <w:tblLook w:val="04A0" w:firstRow="1" w:lastRow="0" w:firstColumn="1" w:lastColumn="0" w:noHBand="0" w:noVBand="1"/>
        <w:tblCaption w:val="Missing data and exclusions"/>
        <w:tblDescription w:val="Showing the missing data and exclusions for each of the five treatment groups for the six months combined and by month."/>
      </w:tblPr>
      <w:tblGrid>
        <w:gridCol w:w="1275"/>
        <w:gridCol w:w="1275"/>
        <w:gridCol w:w="1276"/>
        <w:gridCol w:w="1276"/>
        <w:gridCol w:w="1274"/>
        <w:gridCol w:w="1274"/>
        <w:gridCol w:w="1270"/>
      </w:tblGrid>
      <w:tr w:rsidR="00FF46CA" w:rsidRPr="00E84B49" w14:paraId="20B1BE60" w14:textId="77777777" w:rsidTr="00B57F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7F2F667F" w14:textId="77777777" w:rsidR="00FF46CA" w:rsidRPr="00E443FB" w:rsidRDefault="00FF46CA" w:rsidP="007C058D">
            <w:pPr>
              <w:spacing w:before="0" w:after="0" w:line="240" w:lineRule="auto"/>
              <w:rPr>
                <w:rFonts w:asciiTheme="majorHAnsi" w:hAnsiTheme="majorHAnsi" w:cstheme="majorHAnsi"/>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587C21CD" w14:textId="77777777" w:rsidR="00FF46CA" w:rsidRPr="00E443FB" w:rsidRDefault="00FF46CA"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2D29A57E" w14:textId="77777777" w:rsidR="00FF46CA" w:rsidRPr="00E443FB" w:rsidRDefault="00FF46CA"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Control</w:t>
            </w:r>
          </w:p>
        </w:tc>
        <w:tc>
          <w:tcPr>
            <w:tcW w:w="715" w:type="pct"/>
            <w:tcBorders>
              <w:top w:val="single" w:sz="4" w:space="0" w:color="142E3A" w:themeColor="text2"/>
              <w:bottom w:val="single" w:sz="4" w:space="0" w:color="142E3A" w:themeColor="text2"/>
            </w:tcBorders>
            <w:shd w:val="clear" w:color="auto" w:fill="142E3A" w:themeFill="text2"/>
            <w:vAlign w:val="center"/>
          </w:tcPr>
          <w:p w14:paraId="31BE9B75"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Education</w:t>
            </w:r>
            <w:r w:rsidR="00D90F6D" w:rsidRPr="00E443FB">
              <w:rPr>
                <w:rFonts w:asciiTheme="majorHAnsi" w:hAnsiTheme="majorHAnsi" w:cstheme="majorHAnsi"/>
                <w:color w:val="FFFFFF" w:themeColor="background1"/>
                <w:sz w:val="18"/>
                <w:szCs w:val="18"/>
              </w:rPr>
              <w:t>-</w:t>
            </w:r>
            <w:r w:rsidR="00200EC8" w:rsidRPr="00E443FB">
              <w:rPr>
                <w:rFonts w:asciiTheme="majorHAnsi" w:hAnsiTheme="majorHAnsi" w:cstheme="majorHAnsi"/>
                <w:color w:val="FFFFFF" w:themeColor="background1"/>
                <w:sz w:val="18"/>
                <w:szCs w:val="18"/>
              </w:rPr>
              <w:t>only</w:t>
            </w:r>
          </w:p>
        </w:tc>
        <w:tc>
          <w:tcPr>
            <w:tcW w:w="714" w:type="pct"/>
            <w:tcBorders>
              <w:top w:val="single" w:sz="4" w:space="0" w:color="142E3A" w:themeColor="text2"/>
              <w:bottom w:val="single" w:sz="4" w:space="0" w:color="142E3A" w:themeColor="text2"/>
            </w:tcBorders>
            <w:shd w:val="clear" w:color="auto" w:fill="142E3A" w:themeFill="text2"/>
            <w:vAlign w:val="center"/>
          </w:tcPr>
          <w:p w14:paraId="785E9252"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Education </w:t>
            </w:r>
            <w:r w:rsidR="00D90F6D" w:rsidRPr="00E443FB">
              <w:rPr>
                <w:rFonts w:asciiTheme="majorHAnsi" w:hAnsiTheme="majorHAnsi" w:cstheme="majorHAnsi"/>
                <w:color w:val="FFFFFF" w:themeColor="background1"/>
                <w:sz w:val="18"/>
                <w:szCs w:val="18"/>
              </w:rPr>
              <w:t xml:space="preserve"> </w:t>
            </w:r>
            <w:r w:rsidR="00E62BDB" w:rsidRPr="00E443FB">
              <w:rPr>
                <w:rFonts w:asciiTheme="majorHAnsi" w:hAnsiTheme="majorHAnsi" w:cstheme="majorHAnsi"/>
                <w:color w:val="FFFFFF" w:themeColor="background1"/>
                <w:sz w:val="18"/>
                <w:szCs w:val="18"/>
              </w:rPr>
              <w:t xml:space="preserve">with </w:t>
            </w:r>
            <w:r w:rsidRPr="00E443FB">
              <w:rPr>
                <w:rFonts w:asciiTheme="majorHAnsi" w:hAnsiTheme="majorHAnsi" w:cstheme="majorHAnsi"/>
                <w:color w:val="FFFFFF" w:themeColor="background1"/>
                <w:sz w:val="18"/>
                <w:szCs w:val="18"/>
              </w:rPr>
              <w:t>peer comparison</w:t>
            </w:r>
          </w:p>
        </w:tc>
        <w:tc>
          <w:tcPr>
            <w:tcW w:w="714" w:type="pct"/>
            <w:tcBorders>
              <w:top w:val="single" w:sz="4" w:space="0" w:color="142E3A" w:themeColor="text2"/>
              <w:bottom w:val="single" w:sz="4" w:space="0" w:color="142E3A" w:themeColor="text2"/>
            </w:tcBorders>
            <w:shd w:val="clear" w:color="auto" w:fill="142E3A" w:themeFill="text2"/>
            <w:vAlign w:val="center"/>
          </w:tcPr>
          <w:p w14:paraId="5F20442E"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D90F6D" w:rsidRPr="00E443FB">
              <w:rPr>
                <w:rFonts w:asciiTheme="majorHAnsi" w:hAnsiTheme="majorHAnsi" w:cstheme="majorHAnsi"/>
                <w:color w:val="FFFFFF" w:themeColor="background1"/>
                <w:sz w:val="18"/>
                <w:szCs w:val="18"/>
              </w:rPr>
              <w:t>with</w:t>
            </w:r>
            <w:r w:rsidRPr="00E443FB">
              <w:rPr>
                <w:rFonts w:asciiTheme="majorHAnsi" w:hAnsiTheme="majorHAnsi" w:cstheme="majorHAnsi"/>
                <w:color w:val="FFFFFF" w:themeColor="background1"/>
                <w:sz w:val="18"/>
                <w:szCs w:val="18"/>
              </w:rPr>
              <w:t xml:space="preserve"> delayed prescribing</w:t>
            </w:r>
          </w:p>
        </w:tc>
        <w:tc>
          <w:tcPr>
            <w:tcW w:w="712" w:type="pct"/>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3E4843B"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E62BDB" w:rsidRPr="00E443FB">
              <w:rPr>
                <w:rFonts w:asciiTheme="majorHAnsi" w:hAnsiTheme="majorHAnsi" w:cstheme="majorHAnsi"/>
                <w:color w:val="FFFFFF" w:themeColor="background1"/>
                <w:sz w:val="18"/>
                <w:szCs w:val="18"/>
              </w:rPr>
              <w:t xml:space="preserve">with </w:t>
            </w:r>
            <w:r w:rsidR="003F31E9" w:rsidRPr="00E443FB">
              <w:rPr>
                <w:rFonts w:asciiTheme="majorHAnsi" w:hAnsiTheme="majorHAnsi" w:cstheme="majorHAnsi"/>
                <w:color w:val="FFFFFF" w:themeColor="background1"/>
                <w:sz w:val="18"/>
                <w:szCs w:val="18"/>
              </w:rPr>
              <w:t>graph</w:t>
            </w:r>
          </w:p>
        </w:tc>
      </w:tr>
      <w:tr w:rsidR="00AE3458" w:rsidRPr="00E84B49" w14:paraId="5F2B1495"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tcBorders>
              <w:top w:val="single" w:sz="4" w:space="0" w:color="142E3A" w:themeColor="text2"/>
            </w:tcBorders>
            <w:shd w:val="clear" w:color="auto" w:fill="FFFFFF" w:themeFill="background1"/>
            <w:vAlign w:val="center"/>
          </w:tcPr>
          <w:p w14:paraId="5DE134ED" w14:textId="03E10BAC" w:rsidR="00AE3458" w:rsidRPr="00FA49D6" w:rsidRDefault="00AE3458" w:rsidP="00206798">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Jul </w:t>
            </w:r>
            <w:r w:rsidR="00206798">
              <w:rPr>
                <w:rFonts w:asciiTheme="majorHAnsi" w:hAnsiTheme="majorHAnsi" w:cstheme="majorHAnsi"/>
                <w:b/>
                <w:sz w:val="18"/>
                <w:szCs w:val="18"/>
              </w:rPr>
              <w:t>–</w:t>
            </w:r>
            <w:r w:rsidRPr="00FA49D6">
              <w:rPr>
                <w:rFonts w:asciiTheme="majorHAnsi" w:hAnsiTheme="majorHAnsi" w:cstheme="majorHAnsi"/>
                <w:b/>
                <w:sz w:val="18"/>
                <w:szCs w:val="18"/>
              </w:rPr>
              <w:t xml:space="preserve"> Dec combined</w:t>
            </w:r>
          </w:p>
        </w:tc>
        <w:tc>
          <w:tcPr>
            <w:tcW w:w="715" w:type="pct"/>
            <w:tcBorders>
              <w:top w:val="single" w:sz="4" w:space="0" w:color="142E3A" w:themeColor="text2"/>
            </w:tcBorders>
            <w:shd w:val="clear" w:color="auto" w:fill="FFFFFF" w:themeFill="background1"/>
            <w:vAlign w:val="center"/>
          </w:tcPr>
          <w:p w14:paraId="23B84FF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Missing</w:t>
            </w:r>
          </w:p>
        </w:tc>
        <w:tc>
          <w:tcPr>
            <w:tcW w:w="715" w:type="pct"/>
            <w:tcBorders>
              <w:top w:val="single" w:sz="4" w:space="0" w:color="142E3A" w:themeColor="text2"/>
            </w:tcBorders>
            <w:shd w:val="clear" w:color="auto" w:fill="FFFFFF" w:themeFill="background1"/>
            <w:vAlign w:val="center"/>
          </w:tcPr>
          <w:p w14:paraId="70DFEDA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6</w:t>
            </w:r>
          </w:p>
          <w:p w14:paraId="59ADDB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(0.5%)</w:t>
            </w:r>
          </w:p>
        </w:tc>
        <w:tc>
          <w:tcPr>
            <w:tcW w:w="715" w:type="pct"/>
            <w:tcBorders>
              <w:top w:val="single" w:sz="4" w:space="0" w:color="142E3A" w:themeColor="text2"/>
            </w:tcBorders>
            <w:shd w:val="clear" w:color="auto" w:fill="FFFFFF" w:themeFill="background1"/>
            <w:vAlign w:val="center"/>
          </w:tcPr>
          <w:p w14:paraId="7DD89B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14</w:t>
            </w:r>
          </w:p>
          <w:p w14:paraId="79C705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(1.1%)</w:t>
            </w:r>
          </w:p>
        </w:tc>
        <w:tc>
          <w:tcPr>
            <w:tcW w:w="714" w:type="pct"/>
            <w:tcBorders>
              <w:top w:val="single" w:sz="4" w:space="0" w:color="142E3A" w:themeColor="text2"/>
            </w:tcBorders>
            <w:shd w:val="clear" w:color="auto" w:fill="FFFFFF" w:themeFill="background1"/>
            <w:vAlign w:val="center"/>
          </w:tcPr>
          <w:p w14:paraId="63301F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9</w:t>
            </w:r>
          </w:p>
          <w:p w14:paraId="484295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(0.7%)</w:t>
            </w:r>
          </w:p>
        </w:tc>
        <w:tc>
          <w:tcPr>
            <w:tcW w:w="714" w:type="pct"/>
            <w:tcBorders>
              <w:top w:val="single" w:sz="4" w:space="0" w:color="142E3A" w:themeColor="text2"/>
            </w:tcBorders>
            <w:shd w:val="clear" w:color="auto" w:fill="FFFFFF" w:themeFill="background1"/>
            <w:vAlign w:val="center"/>
          </w:tcPr>
          <w:p w14:paraId="3D69AA5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8</w:t>
            </w:r>
          </w:p>
          <w:p w14:paraId="19B9A2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(0.6%)</w:t>
            </w:r>
          </w:p>
        </w:tc>
        <w:tc>
          <w:tcPr>
            <w:tcW w:w="712" w:type="pct"/>
            <w:tcBorders>
              <w:top w:val="single" w:sz="4" w:space="0" w:color="142E3A" w:themeColor="text2"/>
            </w:tcBorders>
            <w:shd w:val="clear" w:color="auto" w:fill="FFFFFF" w:themeFill="background1"/>
            <w:vAlign w:val="center"/>
          </w:tcPr>
          <w:p w14:paraId="01A962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10</w:t>
            </w:r>
          </w:p>
          <w:p w14:paraId="5A3C87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(0.8%)</w:t>
            </w:r>
          </w:p>
        </w:tc>
      </w:tr>
      <w:tr w:rsidR="00AE3458" w:rsidRPr="00E84B49" w14:paraId="724B3CE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12C1842E"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24F889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 xml:space="preserve">Excluded </w:t>
            </w:r>
          </w:p>
        </w:tc>
        <w:tc>
          <w:tcPr>
            <w:tcW w:w="715" w:type="pct"/>
            <w:shd w:val="clear" w:color="auto" w:fill="FFFFFF" w:themeFill="background1"/>
            <w:vAlign w:val="center"/>
          </w:tcPr>
          <w:p w14:paraId="6DB9A40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5D656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5" w:type="pct"/>
            <w:shd w:val="clear" w:color="auto" w:fill="FFFFFF" w:themeFill="background1"/>
            <w:vAlign w:val="center"/>
          </w:tcPr>
          <w:p w14:paraId="0AC990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71C8F9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462178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D278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3FE689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A35FF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c>
          <w:tcPr>
            <w:tcW w:w="712" w:type="pct"/>
            <w:shd w:val="clear" w:color="auto" w:fill="FFFFFF" w:themeFill="background1"/>
            <w:vAlign w:val="center"/>
          </w:tcPr>
          <w:p w14:paraId="5487F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037A89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r>
      <w:tr w:rsidR="00AE3458" w:rsidRPr="00E84B49" w14:paraId="463E2649"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B6D90BD"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Jul</w:t>
            </w:r>
            <w:r w:rsidRPr="00FA49D6">
              <w:rPr>
                <w:rFonts w:asciiTheme="majorHAnsi" w:hAnsiTheme="majorHAnsi" w:cstheme="majorHAnsi"/>
                <w:b/>
                <w:sz w:val="18"/>
                <w:szCs w:val="18"/>
              </w:rPr>
              <w:br/>
              <w:t>(month 1)</w:t>
            </w:r>
          </w:p>
        </w:tc>
        <w:tc>
          <w:tcPr>
            <w:tcW w:w="715" w:type="pct"/>
            <w:shd w:val="clear" w:color="auto" w:fill="FFFFFF" w:themeFill="background1"/>
            <w:vAlign w:val="center"/>
          </w:tcPr>
          <w:p w14:paraId="45568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41AF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38F638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58DDD1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50A8FA0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7D8D658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347D4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463595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10AA49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2" w:type="pct"/>
            <w:shd w:val="clear" w:color="auto" w:fill="FFFFFF" w:themeFill="background1"/>
            <w:vAlign w:val="center"/>
          </w:tcPr>
          <w:p w14:paraId="6FE4E4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p w14:paraId="3B18EC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(2.0%)</w:t>
            </w:r>
          </w:p>
        </w:tc>
      </w:tr>
      <w:tr w:rsidR="00AE3458" w:rsidRPr="00E84B49" w14:paraId="5620C3B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94F9762"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5D6F74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7DFB88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CB702C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3F1C6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3D462C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4827A6F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43D1CB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7842B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47EA6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9B91D4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2DA60B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r>
      <w:tr w:rsidR="00AE3458" w:rsidRPr="00E84B49" w14:paraId="1A27BF6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2004AE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Aug </w:t>
            </w:r>
            <w:r w:rsidRPr="00FA49D6">
              <w:rPr>
                <w:rFonts w:asciiTheme="majorHAnsi" w:hAnsiTheme="majorHAnsi" w:cstheme="majorHAnsi"/>
                <w:b/>
                <w:sz w:val="18"/>
                <w:szCs w:val="18"/>
              </w:rPr>
              <w:br/>
              <w:t>(month 2)</w:t>
            </w:r>
          </w:p>
        </w:tc>
        <w:tc>
          <w:tcPr>
            <w:tcW w:w="715" w:type="pct"/>
            <w:shd w:val="clear" w:color="auto" w:fill="FFFFFF" w:themeFill="background1"/>
            <w:vAlign w:val="center"/>
          </w:tcPr>
          <w:p w14:paraId="20470F9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12E9F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p w14:paraId="54A124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450EE8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67FA70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0DBFD3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132323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4604CC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412D7EC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c>
          <w:tcPr>
            <w:tcW w:w="712" w:type="pct"/>
            <w:shd w:val="clear" w:color="auto" w:fill="FFFFFF" w:themeFill="background1"/>
            <w:vAlign w:val="center"/>
          </w:tcPr>
          <w:p w14:paraId="0964DE3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7DAE13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r>
      <w:tr w:rsidR="00AE3458" w:rsidRPr="00E84B49" w14:paraId="35A7A5A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1E69615"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61857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6EF2170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w:t>
            </w:r>
          </w:p>
          <w:p w14:paraId="586B83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5" w:type="pct"/>
            <w:shd w:val="clear" w:color="auto" w:fill="FFFFFF" w:themeFill="background1"/>
            <w:vAlign w:val="center"/>
          </w:tcPr>
          <w:p w14:paraId="2FAE95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w:t>
            </w:r>
          </w:p>
          <w:p w14:paraId="57B284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(0.003%)</w:t>
            </w:r>
          </w:p>
        </w:tc>
        <w:tc>
          <w:tcPr>
            <w:tcW w:w="714" w:type="pct"/>
            <w:shd w:val="clear" w:color="auto" w:fill="FFFFFF" w:themeFill="background1"/>
            <w:vAlign w:val="center"/>
          </w:tcPr>
          <w:p w14:paraId="76A1F36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E029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04B710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7DF8F5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2EB0FF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ED03C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040217D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7B89EB06"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Sep</w:t>
            </w:r>
            <w:r w:rsidRPr="00FA49D6">
              <w:rPr>
                <w:rFonts w:asciiTheme="majorHAnsi" w:hAnsiTheme="majorHAnsi" w:cstheme="majorHAnsi"/>
                <w:b/>
                <w:sz w:val="18"/>
                <w:szCs w:val="18"/>
              </w:rPr>
              <w:br/>
              <w:t xml:space="preserve">(month 3) </w:t>
            </w:r>
          </w:p>
        </w:tc>
        <w:tc>
          <w:tcPr>
            <w:tcW w:w="715" w:type="pct"/>
            <w:shd w:val="clear" w:color="auto" w:fill="FFFFFF" w:themeFill="background1"/>
            <w:vAlign w:val="center"/>
          </w:tcPr>
          <w:p w14:paraId="750A47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66DAE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58C8F33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028907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1F3A807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c>
          <w:tcPr>
            <w:tcW w:w="714" w:type="pct"/>
            <w:shd w:val="clear" w:color="auto" w:fill="FFFFFF" w:themeFill="background1"/>
            <w:vAlign w:val="center"/>
          </w:tcPr>
          <w:p w14:paraId="225E41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150E10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57A6D0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359104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(2.5%)</w:t>
            </w:r>
          </w:p>
        </w:tc>
        <w:tc>
          <w:tcPr>
            <w:tcW w:w="712" w:type="pct"/>
            <w:shd w:val="clear" w:color="auto" w:fill="FFFFFF" w:themeFill="background1"/>
            <w:vAlign w:val="center"/>
          </w:tcPr>
          <w:p w14:paraId="1771A0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p w14:paraId="7D320B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(2.3%)</w:t>
            </w:r>
          </w:p>
        </w:tc>
      </w:tr>
      <w:tr w:rsidR="00AE3458" w:rsidRPr="00E84B49" w14:paraId="43F5F88D"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F595890"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1A774C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0373EA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26A35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F86D5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2B5AEA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EF9A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97F275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4" w:type="pct"/>
            <w:shd w:val="clear" w:color="auto" w:fill="FFFFFF" w:themeFill="background1"/>
            <w:vAlign w:val="center"/>
          </w:tcPr>
          <w:p w14:paraId="1E14E2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224948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70765E1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080507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1BB07BC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E4D226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Oct</w:t>
            </w:r>
            <w:r w:rsidRPr="00FA49D6">
              <w:rPr>
                <w:rFonts w:asciiTheme="majorHAnsi" w:hAnsiTheme="majorHAnsi" w:cstheme="majorHAnsi"/>
                <w:b/>
                <w:sz w:val="18"/>
                <w:szCs w:val="18"/>
              </w:rPr>
              <w:br/>
              <w:t xml:space="preserve">(month 4) </w:t>
            </w:r>
          </w:p>
        </w:tc>
        <w:tc>
          <w:tcPr>
            <w:tcW w:w="715" w:type="pct"/>
            <w:shd w:val="clear" w:color="auto" w:fill="FFFFFF" w:themeFill="background1"/>
            <w:vAlign w:val="center"/>
          </w:tcPr>
          <w:p w14:paraId="002E63F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0EBE200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2EDF547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48B8D3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5A11D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1034CF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39</w:t>
            </w:r>
          </w:p>
          <w:p w14:paraId="36ACD4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4" w:type="pct"/>
            <w:shd w:val="clear" w:color="auto" w:fill="FFFFFF" w:themeFill="background1"/>
            <w:vAlign w:val="center"/>
          </w:tcPr>
          <w:p w14:paraId="1F5C8A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3C4C1D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2" w:type="pct"/>
            <w:shd w:val="clear" w:color="auto" w:fill="FFFFFF" w:themeFill="background1"/>
            <w:vAlign w:val="center"/>
          </w:tcPr>
          <w:p w14:paraId="4F276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p w14:paraId="34C8F0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r>
      <w:tr w:rsidR="00AE3458" w:rsidRPr="00E84B49" w14:paraId="51BD2CD6"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C8942B4"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8D0E3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20A85C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75E671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49021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5518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0388BC1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2FA45A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4F2372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DFC78A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79ADD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DF817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433947D3"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616DE51B"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Nov</w:t>
            </w:r>
            <w:r w:rsidRPr="00E443FB">
              <w:rPr>
                <w:rFonts w:asciiTheme="majorHAnsi" w:hAnsiTheme="majorHAnsi" w:cstheme="majorHAnsi"/>
                <w:sz w:val="18"/>
                <w:szCs w:val="18"/>
              </w:rPr>
              <w:br/>
              <w:t xml:space="preserve">(month 5) </w:t>
            </w:r>
          </w:p>
        </w:tc>
        <w:tc>
          <w:tcPr>
            <w:tcW w:w="715" w:type="pct"/>
            <w:shd w:val="clear" w:color="auto" w:fill="FFFFFF" w:themeFill="background1"/>
            <w:vAlign w:val="center"/>
          </w:tcPr>
          <w:p w14:paraId="4FFB351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732FBB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0937D2D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D9F8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2D4705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18BA5A9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42</w:t>
            </w:r>
          </w:p>
          <w:p w14:paraId="40322D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tc>
        <w:tc>
          <w:tcPr>
            <w:tcW w:w="714" w:type="pct"/>
            <w:shd w:val="clear" w:color="auto" w:fill="FFFFFF" w:themeFill="background1"/>
            <w:vAlign w:val="center"/>
          </w:tcPr>
          <w:p w14:paraId="600359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B80C7A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(3.3%)</w:t>
            </w:r>
          </w:p>
        </w:tc>
        <w:tc>
          <w:tcPr>
            <w:tcW w:w="712" w:type="pct"/>
            <w:shd w:val="clear" w:color="auto" w:fill="FFFFFF" w:themeFill="background1"/>
            <w:vAlign w:val="center"/>
          </w:tcPr>
          <w:p w14:paraId="1677FC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142DFC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r>
      <w:tr w:rsidR="00AE3458" w:rsidRPr="00E84B49" w14:paraId="5320E56E"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78530EA"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BB22A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D15FB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F6E4A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753777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BDF27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B0BB9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BCC5DA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A3182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7574A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5D082E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DE772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r w:rsidR="00AE3458" w:rsidRPr="00E84B49" w14:paraId="235C2FE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300E7EA2"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Dec</w:t>
            </w:r>
            <w:r w:rsidRPr="00E443FB">
              <w:rPr>
                <w:rFonts w:asciiTheme="majorHAnsi" w:hAnsiTheme="majorHAnsi" w:cstheme="majorHAnsi"/>
                <w:sz w:val="18"/>
                <w:szCs w:val="18"/>
              </w:rPr>
              <w:br/>
              <w:t>(month 6)</w:t>
            </w:r>
          </w:p>
        </w:tc>
        <w:tc>
          <w:tcPr>
            <w:tcW w:w="715" w:type="pct"/>
            <w:shd w:val="clear" w:color="auto" w:fill="FFFFFF" w:themeFill="background1"/>
            <w:vAlign w:val="center"/>
          </w:tcPr>
          <w:p w14:paraId="371CE6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AB9A6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40</w:t>
            </w:r>
          </w:p>
          <w:p w14:paraId="6F3EDF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5" w:type="pct"/>
            <w:shd w:val="clear" w:color="auto" w:fill="FFFFFF" w:themeFill="background1"/>
            <w:vAlign w:val="center"/>
          </w:tcPr>
          <w:p w14:paraId="5A1123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47</w:t>
            </w:r>
          </w:p>
          <w:p w14:paraId="5E98D02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4" w:type="pct"/>
            <w:shd w:val="clear" w:color="auto" w:fill="FFFFFF" w:themeFill="background1"/>
            <w:vAlign w:val="center"/>
          </w:tcPr>
          <w:p w14:paraId="2775B1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691AB2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03A4B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48</w:t>
            </w:r>
          </w:p>
          <w:p w14:paraId="177A7D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2" w:type="pct"/>
            <w:shd w:val="clear" w:color="auto" w:fill="FFFFFF" w:themeFill="background1"/>
            <w:vAlign w:val="center"/>
          </w:tcPr>
          <w:p w14:paraId="5134CC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38</w:t>
            </w:r>
          </w:p>
          <w:p w14:paraId="718556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tc>
      </w:tr>
      <w:tr w:rsidR="00AE3458" w:rsidRPr="00E84B49" w14:paraId="68CE09B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22A58137"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425AD0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30FCC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6D4532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2BA21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099EA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65CF1A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56AFEF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4" w:type="pct"/>
            <w:shd w:val="clear" w:color="auto" w:fill="FFFFFF" w:themeFill="background1"/>
            <w:vAlign w:val="center"/>
          </w:tcPr>
          <w:p w14:paraId="368CC52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517367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2" w:type="pct"/>
            <w:shd w:val="clear" w:color="auto" w:fill="FFFFFF" w:themeFill="background1"/>
            <w:vAlign w:val="center"/>
          </w:tcPr>
          <w:p w14:paraId="53666F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BD22B2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bl>
    <w:p w14:paraId="4358E663" w14:textId="6B898565" w:rsidR="00AE3458" w:rsidRPr="005E0008" w:rsidRDefault="00AE3458" w:rsidP="00AE3458">
      <w:pPr>
        <w:pStyle w:val="SourceNotesText"/>
        <w:rPr>
          <w:lang w:eastAsia="en-US"/>
        </w:rPr>
      </w:pPr>
      <w:r w:rsidRPr="005E0008">
        <w:rPr>
          <w:lang w:eastAsia="en-US"/>
        </w:rPr>
        <w:t xml:space="preserve">Note: This table shows the number of GPs </w:t>
      </w:r>
      <w:r w:rsidR="00206798">
        <w:rPr>
          <w:lang w:eastAsia="en-US"/>
        </w:rPr>
        <w:t>for whom we</w:t>
      </w:r>
      <w:r w:rsidR="00206798" w:rsidRPr="005E0008">
        <w:rPr>
          <w:lang w:eastAsia="en-US"/>
        </w:rPr>
        <w:t xml:space="preserve"> </w:t>
      </w:r>
      <w:r w:rsidRPr="005E0008">
        <w:rPr>
          <w:lang w:eastAsia="en-US"/>
        </w:rPr>
        <w:t>had missing data</w:t>
      </w:r>
      <w:r w:rsidR="00036F57">
        <w:rPr>
          <w:lang w:eastAsia="en-US"/>
        </w:rPr>
        <w:t>,</w:t>
      </w:r>
      <w:r w:rsidRPr="005E0008">
        <w:rPr>
          <w:lang w:eastAsia="en-US"/>
        </w:rPr>
        <w:t xml:space="preserve"> and the number we excluded because prescriptions were greater than consults for each month.</w:t>
      </w:r>
    </w:p>
    <w:p w14:paraId="41F35C2D" w14:textId="77777777" w:rsidR="00A80A6F" w:rsidRDefault="00A80A6F">
      <w:pPr>
        <w:spacing w:before="0" w:after="0" w:line="240" w:lineRule="auto"/>
        <w:rPr>
          <w:rFonts w:cs="Arial"/>
          <w:b/>
          <w:color w:val="2C276C" w:themeColor="accent1"/>
        </w:rPr>
      </w:pPr>
    </w:p>
    <w:p w14:paraId="2DA66FCF" w14:textId="77777777" w:rsidR="00C2417E" w:rsidRDefault="00C2417E">
      <w:pPr>
        <w:spacing w:before="0" w:after="0" w:line="240" w:lineRule="auto"/>
        <w:rPr>
          <w:rFonts w:cs="Arial"/>
          <w:b/>
          <w:color w:val="2C276C" w:themeColor="accent1"/>
        </w:rPr>
      </w:pPr>
      <w:r>
        <w:rPr>
          <w:rFonts w:cs="Arial"/>
          <w:b/>
          <w:color w:val="2C276C" w:themeColor="accent1"/>
        </w:rPr>
        <w:br w:type="page"/>
      </w:r>
    </w:p>
    <w:p w14:paraId="0553DFD6" w14:textId="5468CADB" w:rsidR="00804465" w:rsidRPr="008A1F58" w:rsidRDefault="00804465" w:rsidP="002B5B84">
      <w:pPr>
        <w:pStyle w:val="Heading2TOC"/>
        <w:rPr>
          <w:color w:val="2158A8"/>
        </w:rPr>
      </w:pPr>
      <w:bookmarkStart w:id="30" w:name="_Toc516822210"/>
      <w:r w:rsidRPr="008A1F58">
        <w:rPr>
          <w:color w:val="2158A8"/>
        </w:rPr>
        <w:lastRenderedPageBreak/>
        <w:t xml:space="preserve">Appendix </w:t>
      </w:r>
      <w:r w:rsidR="00C2417E" w:rsidRPr="008A1F58">
        <w:rPr>
          <w:color w:val="2158A8"/>
        </w:rPr>
        <w:t>C</w:t>
      </w:r>
      <w:r w:rsidRPr="008A1F58">
        <w:rPr>
          <w:color w:val="2158A8"/>
        </w:rPr>
        <w:t>: Letters</w:t>
      </w:r>
      <w:bookmarkEnd w:id="30"/>
    </w:p>
    <w:p w14:paraId="54095A68" w14:textId="533B248D" w:rsidR="00FA49D6" w:rsidRDefault="00ED7992" w:rsidP="00A53E3D">
      <w:pPr>
        <w:pStyle w:val="Heading3"/>
        <w:numPr>
          <w:ilvl w:val="0"/>
          <w:numId w:val="18"/>
        </w:numPr>
        <w:spacing w:before="0" w:after="0" w:line="240" w:lineRule="auto"/>
      </w:pPr>
      <w:r>
        <w:rPr>
          <w:noProof/>
        </w:rPr>
        <w:drawing>
          <wp:anchor distT="0" distB="0" distL="114300" distR="114300" simplePos="0" relativeHeight="251668480" behindDoc="0" locked="0" layoutInCell="1" allowOverlap="1" wp14:anchorId="215350A9" wp14:editId="7A00795C">
            <wp:simplePos x="0" y="0"/>
            <wp:positionH relativeFrom="margin">
              <wp:posOffset>-1264285</wp:posOffset>
            </wp:positionH>
            <wp:positionV relativeFrom="margin">
              <wp:posOffset>1766570</wp:posOffset>
            </wp:positionV>
            <wp:extent cx="7776845" cy="5384165"/>
            <wp:effectExtent l="53340" t="60960" r="106045" b="106045"/>
            <wp:wrapSquare wrapText="bothSides"/>
            <wp:docPr id="44" name="Picture 44" descr="Snapshot of the first page of the education-only letter." title="Education only letter and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776845" cy="53841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4465" w:rsidRPr="00804465">
        <w:t>Education</w:t>
      </w:r>
      <w:r w:rsidR="00200EC8">
        <w:t xml:space="preserve">-only </w:t>
      </w:r>
      <w:r w:rsidR="00804465" w:rsidRPr="00804465">
        <w:t>letter</w:t>
      </w:r>
      <w:r w:rsidR="00804465">
        <w:t xml:space="preserve"> and materials</w:t>
      </w:r>
      <w:r w:rsidR="00FA49D6">
        <w:br w:type="page"/>
      </w:r>
    </w:p>
    <w:p w14:paraId="45B477BC" w14:textId="7B13FCDA" w:rsidR="00A80A6F" w:rsidRDefault="00A53E3D" w:rsidP="00A53E3D">
      <w:pPr>
        <w:spacing w:before="0" w:after="0" w:line="240" w:lineRule="auto"/>
        <w:jc w:val="center"/>
      </w:pPr>
      <w:r>
        <w:rPr>
          <w:noProof/>
        </w:rPr>
        <w:lastRenderedPageBreak/>
        <w:drawing>
          <wp:anchor distT="0" distB="0" distL="114300" distR="114300" simplePos="0" relativeHeight="251666432" behindDoc="0" locked="0" layoutInCell="1" allowOverlap="1" wp14:anchorId="6BF9BA8C" wp14:editId="648FC188">
            <wp:simplePos x="-247015" y="2158365"/>
            <wp:positionH relativeFrom="margin">
              <wp:align>center</wp:align>
            </wp:positionH>
            <wp:positionV relativeFrom="margin">
              <wp:align>center</wp:align>
            </wp:positionV>
            <wp:extent cx="7613015" cy="5385435"/>
            <wp:effectExtent l="66040" t="48260" r="111125" b="111125"/>
            <wp:wrapSquare wrapText="bothSides"/>
            <wp:docPr id="45" name="Picture 45" descr="Snapshot of the second page of the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613015" cy="53854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2F5F828" w14:textId="77777777" w:rsidR="00F329A4" w:rsidRDefault="00D50E51" w:rsidP="00A80A6F">
      <w:r w:rsidRPr="003D1881">
        <w:rPr>
          <w:noProof/>
        </w:rPr>
        <w:lastRenderedPageBreak/>
        <w:drawing>
          <wp:inline distT="0" distB="0" distL="0" distR="0" wp14:anchorId="675E6731" wp14:editId="6DF82AD3">
            <wp:extent cx="5396400" cy="7621200"/>
            <wp:effectExtent l="57150" t="57150" r="109220" b="113665"/>
            <wp:docPr id="23" name="Picture 23"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65" t="1158" r="1965" b="1158"/>
                    <a:stretch/>
                  </pic:blipFill>
                  <pic:spPr bwMode="auto">
                    <a:xfrm>
                      <a:off x="0" y="0"/>
                      <a:ext cx="5396400" cy="76212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04465">
        <w:br w:type="page"/>
      </w:r>
    </w:p>
    <w:p w14:paraId="6EF38CED" w14:textId="77777777" w:rsidR="00F329A4" w:rsidRDefault="00F329A4" w:rsidP="00F329A4">
      <w:pPr>
        <w:pStyle w:val="FigureHeading"/>
      </w:pPr>
    </w:p>
    <w:p w14:paraId="41E33E6A" w14:textId="107242EE" w:rsidR="00FA49D6" w:rsidRDefault="00D50E51" w:rsidP="00F329A4">
      <w:r w:rsidRPr="003D1881">
        <w:rPr>
          <w:noProof/>
        </w:rPr>
        <w:drawing>
          <wp:inline distT="0" distB="0" distL="0" distR="0" wp14:anchorId="2AB64E85" wp14:editId="4217DC72">
            <wp:extent cx="5418000" cy="7642800"/>
            <wp:effectExtent l="57150" t="57150" r="106680" b="111125"/>
            <wp:docPr id="25" name="Picture 25"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80" t="2444" r="3180" b="2444"/>
                    <a:stretch/>
                  </pic:blipFill>
                  <pic:spPr bwMode="auto">
                    <a:xfrm>
                      <a:off x="0" y="0"/>
                      <a:ext cx="5418000" cy="76428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A49D6">
        <w:br w:type="page"/>
      </w:r>
    </w:p>
    <w:p w14:paraId="395F18EE" w14:textId="456A207D" w:rsidR="00FA49D6" w:rsidRDefault="00D50E51" w:rsidP="009B0A2B">
      <w:pPr>
        <w:pStyle w:val="FigureHeading"/>
        <w:numPr>
          <w:ilvl w:val="0"/>
          <w:numId w:val="18"/>
        </w:numPr>
        <w:rPr>
          <w:noProof/>
        </w:rPr>
      </w:pPr>
      <w:r>
        <w:lastRenderedPageBreak/>
        <w:t xml:space="preserve">Education </w:t>
      </w:r>
      <w:r w:rsidR="00E62BDB">
        <w:t xml:space="preserve">with </w:t>
      </w:r>
      <w:r>
        <w:t>peer comparison</w:t>
      </w:r>
      <w:r w:rsidRPr="00804465">
        <w:t xml:space="preserve"> letter</w:t>
      </w:r>
      <w:r w:rsidR="00140211">
        <w:t xml:space="preserve"> </w:t>
      </w:r>
      <w:r w:rsidR="00694B88">
        <w:t>and attached posters</w:t>
      </w:r>
    </w:p>
    <w:p w14:paraId="50DCFB9D" w14:textId="502F7973" w:rsidR="00D50E51" w:rsidRPr="00FA49D6" w:rsidRDefault="00A53E3D" w:rsidP="00FA49D6">
      <w:r>
        <w:rPr>
          <w:noProof/>
        </w:rPr>
        <w:drawing>
          <wp:inline distT="0" distB="0" distL="0" distR="0" wp14:anchorId="485312C9" wp14:editId="4B1BD913">
            <wp:extent cx="7749416" cy="5371602"/>
            <wp:effectExtent l="64770" t="49530" r="107315" b="107315"/>
            <wp:docPr id="46" name="Picture 46" descr="Snapshot of the first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749416" cy="537160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8BFDFE" w14:textId="77777777" w:rsidR="00D50E51" w:rsidRDefault="00D50E51" w:rsidP="00D50E51">
      <w:pPr>
        <w:spacing w:before="0" w:after="0" w:line="240" w:lineRule="auto"/>
        <w:rPr>
          <w:b/>
        </w:rPr>
      </w:pPr>
    </w:p>
    <w:p w14:paraId="2D20970D" w14:textId="134A361D" w:rsidR="005F0152" w:rsidRDefault="005F0152" w:rsidP="005B0738">
      <w:pPr>
        <w:jc w:val="center"/>
        <w:rPr>
          <w:sz w:val="18"/>
          <w:szCs w:val="18"/>
        </w:rPr>
      </w:pPr>
      <w:r w:rsidRPr="00140211">
        <w:rPr>
          <w:noProof/>
          <w:sz w:val="18"/>
          <w:szCs w:val="18"/>
        </w:rPr>
        <w:lastRenderedPageBreak/>
        <w:drawing>
          <wp:inline distT="0" distB="0" distL="0" distR="0" wp14:anchorId="210AB64E" wp14:editId="5AA0396D">
            <wp:extent cx="5612832" cy="3957272"/>
            <wp:effectExtent l="66040" t="48260" r="111125" b="111125"/>
            <wp:docPr id="48" name="Picture 48" descr="Snapshot of the second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5603500" cy="395069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A672CFE" w14:textId="77777777" w:rsidR="0032083E" w:rsidRPr="00E1069A" w:rsidRDefault="0032083E" w:rsidP="009B0A2B">
      <w:pPr>
        <w:rPr>
          <w:noProof/>
          <w:szCs w:val="18"/>
        </w:rPr>
      </w:pPr>
      <w:r w:rsidRPr="00E1069A">
        <w:rPr>
          <w:szCs w:val="18"/>
        </w:rPr>
        <w:t xml:space="preserve">The educational posters attached to this letter are shown below. These posters </w:t>
      </w:r>
      <w:r w:rsidR="005F0152" w:rsidRPr="00E1069A">
        <w:rPr>
          <w:szCs w:val="18"/>
        </w:rPr>
        <w:t xml:space="preserve">were the same as those </w:t>
      </w:r>
      <w:r w:rsidRPr="00E1069A">
        <w:rPr>
          <w:szCs w:val="18"/>
        </w:rPr>
        <w:t>attached to the</w:t>
      </w:r>
      <w:r w:rsidR="005F0152" w:rsidRPr="00E1069A">
        <w:rPr>
          <w:szCs w:val="18"/>
        </w:rPr>
        <w:t xml:space="preserve"> education-only letter. See pg. 44-45 for full-size images of these posters. </w:t>
      </w:r>
      <w:r w:rsidR="005F0152" w:rsidRPr="00E1069A">
        <w:rPr>
          <w:noProof/>
          <w:szCs w:val="18"/>
        </w:rPr>
        <w:t xml:space="preserve"> </w:t>
      </w:r>
    </w:p>
    <w:p w14:paraId="609BD369" w14:textId="2335D841" w:rsidR="00D50E51" w:rsidRPr="00140211" w:rsidRDefault="0032083E" w:rsidP="009B0A2B">
      <w:pPr>
        <w:rPr>
          <w:sz w:val="18"/>
          <w:szCs w:val="18"/>
        </w:rPr>
      </w:pPr>
      <w:r>
        <w:rPr>
          <w:noProof/>
        </w:rPr>
        <w:drawing>
          <wp:inline distT="0" distB="0" distL="0" distR="0" wp14:anchorId="08019602" wp14:editId="000A7CE2">
            <wp:extent cx="3267987" cy="2046220"/>
            <wp:effectExtent l="0" t="0" r="8890" b="0"/>
            <wp:docPr id="7" name="Picture 7" descr="This picture shows a snapshot of the two educational materials that were attached to the education with peer comparison letter. " title="Education with peer comparison letter an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9915" b="1853"/>
                    <a:stretch/>
                  </pic:blipFill>
                  <pic:spPr bwMode="auto">
                    <a:xfrm>
                      <a:off x="0" y="0"/>
                      <a:ext cx="3274505" cy="2050301"/>
                    </a:xfrm>
                    <a:prstGeom prst="rect">
                      <a:avLst/>
                    </a:prstGeom>
                    <a:ln>
                      <a:noFill/>
                    </a:ln>
                    <a:extLst>
                      <a:ext uri="{53640926-AAD7-44D8-BBD7-CCE9431645EC}">
                        <a14:shadowObscured xmlns:a14="http://schemas.microsoft.com/office/drawing/2010/main"/>
                      </a:ext>
                    </a:extLst>
                  </pic:spPr>
                </pic:pic>
              </a:graphicData>
            </a:graphic>
          </wp:inline>
        </w:drawing>
      </w:r>
    </w:p>
    <w:p w14:paraId="763D969E" w14:textId="7992F531" w:rsidR="009B0A2B" w:rsidRDefault="00D50E51" w:rsidP="009B0A2B">
      <w:pPr>
        <w:pStyle w:val="FigureHeading"/>
        <w:numPr>
          <w:ilvl w:val="0"/>
          <w:numId w:val="18"/>
        </w:numPr>
      </w:pPr>
      <w:r w:rsidRPr="00140211">
        <w:rPr>
          <w:sz w:val="18"/>
          <w:szCs w:val="18"/>
        </w:rPr>
        <w:lastRenderedPageBreak/>
        <w:t>P</w:t>
      </w:r>
      <w:r>
        <w:t xml:space="preserve">eer comparison </w:t>
      </w:r>
      <w:r w:rsidR="00E62BDB">
        <w:t xml:space="preserve">with </w:t>
      </w:r>
      <w:r w:rsidR="003F31E9">
        <w:t>graph</w:t>
      </w:r>
      <w:r w:rsidR="00C2417E">
        <w:t xml:space="preserve"> letter</w:t>
      </w:r>
    </w:p>
    <w:p w14:paraId="711183DA" w14:textId="7FA78730" w:rsidR="00A80A6F" w:rsidRDefault="00A53E3D" w:rsidP="009B0A2B">
      <w:r>
        <w:rPr>
          <w:noProof/>
        </w:rPr>
        <w:drawing>
          <wp:inline distT="0" distB="0" distL="0" distR="0" wp14:anchorId="5CE6A87D" wp14:editId="7332C126">
            <wp:extent cx="7896998" cy="5370245"/>
            <wp:effectExtent l="63182" t="51118" r="110173" b="110172"/>
            <wp:docPr id="49" name="Picture 49" descr="First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7897818" cy="537080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718AFC5" w14:textId="60ED0361" w:rsidR="009F7C04" w:rsidRDefault="009F7C04" w:rsidP="009F7C04">
      <w:pPr>
        <w:pStyle w:val="FigureHeading"/>
      </w:pPr>
    </w:p>
    <w:p w14:paraId="178899C7" w14:textId="7B512714" w:rsidR="009B0A2B" w:rsidRDefault="00A53E3D" w:rsidP="009B0A2B">
      <w:r>
        <w:rPr>
          <w:noProof/>
        </w:rPr>
        <w:drawing>
          <wp:inline distT="0" distB="0" distL="0" distR="0" wp14:anchorId="7355297E" wp14:editId="14A584A8">
            <wp:extent cx="7613155" cy="5391025"/>
            <wp:effectExtent l="63500" t="50800" r="108585" b="108585"/>
            <wp:docPr id="51" name="Picture 51" descr="Second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7632461" cy="540469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5E3D66" w14:textId="6FCF591F" w:rsidR="009B0A2B" w:rsidRDefault="009B0A2B">
      <w:pPr>
        <w:spacing w:before="0" w:after="0" w:line="240" w:lineRule="auto"/>
      </w:pPr>
      <w:r>
        <w:br w:type="page"/>
      </w:r>
    </w:p>
    <w:p w14:paraId="4947681D" w14:textId="27B00637" w:rsidR="00960D38" w:rsidRDefault="00ED7992" w:rsidP="00960D38">
      <w:pPr>
        <w:pStyle w:val="FigureHeading"/>
        <w:numPr>
          <w:ilvl w:val="0"/>
          <w:numId w:val="18"/>
        </w:numPr>
        <w:rPr>
          <w:noProof/>
        </w:rPr>
      </w:pPr>
      <w:r>
        <w:rPr>
          <w:noProof/>
        </w:rPr>
        <w:lastRenderedPageBreak/>
        <w:drawing>
          <wp:anchor distT="0" distB="0" distL="114300" distR="114300" simplePos="0" relativeHeight="251669504" behindDoc="0" locked="0" layoutInCell="1" allowOverlap="1" wp14:anchorId="78927CD0" wp14:editId="2897CA5E">
            <wp:simplePos x="0" y="0"/>
            <wp:positionH relativeFrom="margin">
              <wp:posOffset>-1113790</wp:posOffset>
            </wp:positionH>
            <wp:positionV relativeFrom="margin">
              <wp:posOffset>1684655</wp:posOffset>
            </wp:positionV>
            <wp:extent cx="7658100" cy="5421630"/>
            <wp:effectExtent l="51435" t="62865" r="108585" b="108585"/>
            <wp:wrapSquare wrapText="bothSides"/>
            <wp:docPr id="53" name="Picture 53" descr="First page of peer comparison with delayed prescribing and NPS action plan letter (example of a sticker is on right hand corner of letter)." title="Peer comparison with delayed prescribing and NPS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7658100" cy="542163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2417E" w:rsidRPr="009B0A2B">
        <w:t xml:space="preserve">Peer comparison </w:t>
      </w:r>
      <w:r w:rsidR="00131941" w:rsidRPr="009B0A2B">
        <w:t>with</w:t>
      </w:r>
      <w:r w:rsidR="00DD3DFE" w:rsidRPr="009B0A2B">
        <w:t xml:space="preserve"> </w:t>
      </w:r>
      <w:r w:rsidR="00C2417E" w:rsidRPr="009B0A2B">
        <w:t xml:space="preserve">delayed prescribing and NPS action plan (example of </w:t>
      </w:r>
      <w:r w:rsidR="00C2417E">
        <w:t>a sticker is on right hand corner of letter)</w:t>
      </w:r>
      <w:r w:rsidR="00960D38">
        <w:rPr>
          <w:noProof/>
        </w:rPr>
        <w:t xml:space="preserve"> </w:t>
      </w:r>
    </w:p>
    <w:p w14:paraId="7EA1DBDF" w14:textId="26EB3470" w:rsidR="00960D38" w:rsidRDefault="00960D38">
      <w:pPr>
        <w:spacing w:before="0" w:after="0" w:line="240" w:lineRule="auto"/>
        <w:rPr>
          <w:b/>
          <w:noProof/>
          <w:color w:val="auto"/>
        </w:rPr>
      </w:pPr>
      <w:r>
        <w:rPr>
          <w:noProof/>
        </w:rPr>
        <w:drawing>
          <wp:anchor distT="0" distB="0" distL="114300" distR="114300" simplePos="0" relativeHeight="251670528" behindDoc="0" locked="0" layoutInCell="1" allowOverlap="1" wp14:anchorId="148FEFD6" wp14:editId="2D3E83FA">
            <wp:simplePos x="0" y="0"/>
            <wp:positionH relativeFrom="margin">
              <wp:posOffset>-1087755</wp:posOffset>
            </wp:positionH>
            <wp:positionV relativeFrom="margin">
              <wp:posOffset>1629410</wp:posOffset>
            </wp:positionV>
            <wp:extent cx="7716520" cy="5385435"/>
            <wp:effectExtent l="60642" t="53658" r="116523" b="116522"/>
            <wp:wrapSquare wrapText="bothSides"/>
            <wp:docPr id="54" name="Picture 54" descr="Second page of the peer comparison with delayed prescribing and NPS action plan letter" title="Peer comparison with delayed prescribing and NPS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716520" cy="538543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br w:type="page"/>
      </w:r>
    </w:p>
    <w:p w14:paraId="603D91E5" w14:textId="77777777" w:rsidR="001E01B2" w:rsidRDefault="001E01B2" w:rsidP="001E01B2">
      <w:pPr>
        <w:pStyle w:val="FigureHeading"/>
      </w:pPr>
    </w:p>
    <w:p w14:paraId="38F6BE7B" w14:textId="1C74B552" w:rsidR="00C2417E" w:rsidRDefault="00C2417E" w:rsidP="009B0A2B">
      <w:pPr>
        <w:spacing w:before="0" w:after="0" w:line="240" w:lineRule="auto"/>
      </w:pPr>
      <w:r w:rsidRPr="009B0A2B">
        <w:rPr>
          <w:noProof/>
        </w:rPr>
        <w:drawing>
          <wp:inline distT="0" distB="0" distL="0" distR="0" wp14:anchorId="7B7EBCF0" wp14:editId="623B49E5">
            <wp:extent cx="5400000" cy="7498800"/>
            <wp:effectExtent l="57150" t="57150" r="106045" b="121285"/>
            <wp:docPr id="38" name="Picture 38" descr="Snapshot of NPS action plan attached to peer comparison with delayed prescribing letter." title="Peer comparison with delayed prescribing and NPS acti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rotWithShape="1">
                    <a:blip r:embed="rId44" cstate="print">
                      <a:extLst>
                        <a:ext uri="{28A0092B-C50C-407E-A947-70E740481C1C}">
                          <a14:useLocalDpi xmlns:a14="http://schemas.microsoft.com/office/drawing/2010/main" val="0"/>
                        </a:ext>
                      </a:extLst>
                    </a:blip>
                    <a:srcRect l="3395" t="2186" r="3395" b="2186"/>
                    <a:stretch/>
                  </pic:blipFill>
                  <pic:spPr bwMode="auto">
                    <a:xfrm>
                      <a:off x="0" y="0"/>
                      <a:ext cx="5400000" cy="7498800"/>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F636D8" w14:textId="77777777" w:rsidR="00E27C39" w:rsidRDefault="00E27C39" w:rsidP="00E27C39">
      <w:pPr>
        <w:pStyle w:val="Heading1"/>
      </w:pPr>
      <w:bookmarkStart w:id="31" w:name="_Toc516822211"/>
      <w:r>
        <w:lastRenderedPageBreak/>
        <w:t>References</w:t>
      </w:r>
      <w:bookmarkEnd w:id="31"/>
    </w:p>
    <w:p w14:paraId="3CA2E538" w14:textId="5244CDDF" w:rsidR="00CC60F7" w:rsidRPr="00E443FB" w:rsidRDefault="00B76999" w:rsidP="009B0A2B">
      <w:pPr>
        <w:rPr>
          <w:lang w:val="en"/>
        </w:rPr>
      </w:pPr>
      <w:r w:rsidRPr="00E443FB">
        <w:rPr>
          <w:lang w:val="en"/>
        </w:rPr>
        <w:t>Allco</w:t>
      </w:r>
      <w:r w:rsidR="00A50001" w:rsidRPr="00E443FB">
        <w:rPr>
          <w:lang w:val="en"/>
        </w:rPr>
        <w:t>t</w:t>
      </w:r>
      <w:r w:rsidRPr="00E443FB">
        <w:rPr>
          <w:lang w:val="en"/>
        </w:rPr>
        <w:t xml:space="preserve">t, H. (2011). Social norms and energy conservation. </w:t>
      </w:r>
      <w:r w:rsidRPr="00507269">
        <w:rPr>
          <w:i/>
          <w:lang w:val="en"/>
        </w:rPr>
        <w:t>Journal of Public Economics, 95</w:t>
      </w:r>
      <w:r w:rsidRPr="00E443FB">
        <w:rPr>
          <w:lang w:val="en"/>
        </w:rPr>
        <w:t>(9-10), 1082</w:t>
      </w:r>
      <w:r w:rsidR="00206798">
        <w:rPr>
          <w:lang w:val="en"/>
        </w:rPr>
        <w:t>–</w:t>
      </w:r>
      <w:r w:rsidRPr="00E443FB">
        <w:rPr>
          <w:lang w:val="en"/>
        </w:rPr>
        <w:t>1095.</w:t>
      </w:r>
    </w:p>
    <w:p w14:paraId="50406CC9" w14:textId="77777777" w:rsidR="00CC60F7" w:rsidRPr="00E443FB" w:rsidRDefault="00B76999" w:rsidP="009B0A2B">
      <w:pPr>
        <w:rPr>
          <w:lang w:val="en"/>
        </w:rPr>
      </w:pPr>
      <w:r w:rsidRPr="00E443FB">
        <w:rPr>
          <w:lang w:val="en"/>
        </w:rPr>
        <w:t xml:space="preserve">Australian Commission on Safety and Quality in Health Care </w:t>
      </w:r>
      <w:r w:rsidR="0051704A" w:rsidRPr="00E443FB">
        <w:rPr>
          <w:lang w:val="en"/>
        </w:rPr>
        <w:t>(</w:t>
      </w:r>
      <w:r w:rsidRPr="00E443FB">
        <w:rPr>
          <w:lang w:val="en"/>
        </w:rPr>
        <w:t>ACSQHC</w:t>
      </w:r>
      <w:r w:rsidR="0051704A" w:rsidRPr="00E443FB">
        <w:rPr>
          <w:lang w:val="en"/>
        </w:rPr>
        <w:t>)</w:t>
      </w:r>
      <w:r w:rsidRPr="00E443FB">
        <w:rPr>
          <w:lang w:val="en"/>
        </w:rPr>
        <w:t xml:space="preserve"> (2017)</w:t>
      </w:r>
      <w:r w:rsidR="0051704A" w:rsidRPr="00E443FB">
        <w:rPr>
          <w:lang w:val="en"/>
        </w:rPr>
        <w:t>. AURA 2017: s</w:t>
      </w:r>
      <w:r w:rsidRPr="00E443FB">
        <w:rPr>
          <w:lang w:val="en"/>
        </w:rPr>
        <w:t xml:space="preserve">econd Australian </w:t>
      </w:r>
      <w:r w:rsidR="0051704A" w:rsidRPr="00E443FB">
        <w:rPr>
          <w:lang w:val="en"/>
        </w:rPr>
        <w:t>report on antimicrobial use and resistance in human health</w:t>
      </w:r>
      <w:r w:rsidRPr="00E443FB">
        <w:rPr>
          <w:lang w:val="en"/>
        </w:rPr>
        <w:t>. Sydney</w:t>
      </w:r>
      <w:r w:rsidR="0051704A" w:rsidRPr="00E443FB">
        <w:rPr>
          <w:lang w:val="en"/>
        </w:rPr>
        <w:t>, Australia</w:t>
      </w:r>
      <w:r w:rsidRPr="00E443FB">
        <w:rPr>
          <w:lang w:val="en"/>
        </w:rPr>
        <w:t>:</w:t>
      </w:r>
      <w:r w:rsidR="0051704A" w:rsidRPr="00E443FB">
        <w:rPr>
          <w:lang w:val="en"/>
        </w:rPr>
        <w:t xml:space="preserve"> ACSQHC.</w:t>
      </w:r>
    </w:p>
    <w:p w14:paraId="529A33E2" w14:textId="12792047" w:rsidR="00734C86" w:rsidRPr="00E443FB" w:rsidRDefault="00734C86" w:rsidP="009B0A2B">
      <w:pPr>
        <w:rPr>
          <w:lang w:val="en"/>
        </w:rPr>
      </w:pPr>
      <w:r w:rsidRPr="00E443FB">
        <w:rPr>
          <w:lang w:val="en"/>
        </w:rPr>
        <w:t xml:space="preserve">Chan, M. </w:t>
      </w:r>
      <w:r w:rsidRPr="00507269">
        <w:rPr>
          <w:i/>
          <w:lang w:val="en"/>
        </w:rPr>
        <w:t>Combat drug resistance: no action today means no cure tomorrow</w:t>
      </w:r>
      <w:r w:rsidRPr="00E443FB">
        <w:rPr>
          <w:lang w:val="en"/>
        </w:rPr>
        <w:t xml:space="preserve">. World Health Day 2011, 6 April 2011. World Health Organization. Available from: </w:t>
      </w:r>
      <w:hyperlink r:id="rId45" w:history="1">
        <w:r w:rsidR="00125753" w:rsidRPr="00E443FB">
          <w:rPr>
            <w:lang w:val="en"/>
          </w:rPr>
          <w:t>http://www.who.int/mediacentre/news/statements/2011/whd_20110407/en/</w:t>
        </w:r>
      </w:hyperlink>
    </w:p>
    <w:p w14:paraId="00C54F47" w14:textId="349ACA11" w:rsidR="002124A8" w:rsidRPr="00D6433F" w:rsidRDefault="0051704A" w:rsidP="009B0A2B">
      <w:pPr>
        <w:rPr>
          <w:lang w:val="en"/>
        </w:rPr>
      </w:pPr>
      <w:r w:rsidRPr="00E443FB">
        <w:rPr>
          <w:lang w:val="en"/>
        </w:rPr>
        <w:t>Del Mar, C. B., Scott, A. M., Glasziou, P. P., Hoffmann, T., van Driel, M. L., Beller, E., &amp; Dartnell, J. (2017). Reducing antibiotic prescribing in Australian general practice: time for a national strategy. </w:t>
      </w:r>
      <w:r w:rsidRPr="00507269">
        <w:rPr>
          <w:i/>
          <w:lang w:val="en"/>
        </w:rPr>
        <w:t>The Medical Journal of Australia, 207</w:t>
      </w:r>
      <w:r w:rsidRPr="00E443FB">
        <w:rPr>
          <w:lang w:val="en"/>
        </w:rPr>
        <w:t>(9), 401</w:t>
      </w:r>
      <w:r w:rsidR="00206798">
        <w:rPr>
          <w:lang w:val="en"/>
        </w:rPr>
        <w:t>–</w:t>
      </w:r>
      <w:r w:rsidRPr="00E443FB">
        <w:rPr>
          <w:lang w:val="en"/>
        </w:rPr>
        <w:t>406</w:t>
      </w:r>
      <w:r w:rsidR="00B76999" w:rsidRPr="00D6433F">
        <w:rPr>
          <w:lang w:val="en"/>
        </w:rPr>
        <w:t>.</w:t>
      </w:r>
    </w:p>
    <w:p w14:paraId="2C7F1908" w14:textId="77777777" w:rsidR="00ED49FD" w:rsidRPr="00E443FB" w:rsidRDefault="00B76999" w:rsidP="009B0A2B">
      <w:r w:rsidRPr="00E443FB">
        <w:t>Dolan, P., Hallsworth, M., Halpern, D., King, D., &amp; Vlaev, I. (2010). MINDSPACE: Influencing behaviour through public policy. London, UK: Cabinet Office.</w:t>
      </w:r>
    </w:p>
    <w:p w14:paraId="22F01144" w14:textId="3146B0CA" w:rsidR="00ED49FD" w:rsidRPr="00E443FB" w:rsidRDefault="00ED49FD" w:rsidP="009B0A2B">
      <w:r w:rsidRPr="00E443FB">
        <w:t>Doumas, D. M., Haustveit, T., &amp; Coll, K. M. (2010). Reducing heavy drinking among first year intercollegiate athletes: A randomized controlled trial of web-based normative feedback. </w:t>
      </w:r>
      <w:r w:rsidRPr="00E443FB">
        <w:rPr>
          <w:i/>
        </w:rPr>
        <w:t>Journal of Applied Sport Psychology</w:t>
      </w:r>
      <w:r w:rsidRPr="00E443FB">
        <w:t>, </w:t>
      </w:r>
      <w:r w:rsidRPr="00E443FB">
        <w:rPr>
          <w:i/>
        </w:rPr>
        <w:t>22</w:t>
      </w:r>
      <w:r w:rsidRPr="00E443FB">
        <w:t>(3), 247</w:t>
      </w:r>
      <w:r w:rsidR="00206798">
        <w:rPr>
          <w:lang w:val="en"/>
        </w:rPr>
        <w:t>–</w:t>
      </w:r>
      <w:r w:rsidRPr="00E443FB">
        <w:t>261.</w:t>
      </w:r>
    </w:p>
    <w:p w14:paraId="6ED31602" w14:textId="7FF8FB36" w:rsidR="002124A8" w:rsidRPr="00E443FB" w:rsidRDefault="00B76999" w:rsidP="009B0A2B">
      <w:r w:rsidRPr="00E443FB">
        <w:t xml:space="preserve">Fletcher-Lartey, S., Yee, Y., Gaarslev, G., &amp; Khan, R. (2016). Why do general practitioners prescribe antibiotics for upper respiratory tract infections to meet patient expectations: a mixed methods study. </w:t>
      </w:r>
      <w:r w:rsidR="0051704A" w:rsidRPr="00E443FB">
        <w:rPr>
          <w:i/>
          <w:iCs/>
          <w:shd w:val="clear" w:color="auto" w:fill="FFFFFF"/>
        </w:rPr>
        <w:t>BMJ open</w:t>
      </w:r>
      <w:r w:rsidR="0051704A" w:rsidRPr="00E443FB">
        <w:rPr>
          <w:shd w:val="clear" w:color="auto" w:fill="FFFFFF"/>
        </w:rPr>
        <w:t>, </w:t>
      </w:r>
      <w:r w:rsidR="0051704A" w:rsidRPr="00E443FB">
        <w:rPr>
          <w:i/>
          <w:iCs/>
          <w:shd w:val="clear" w:color="auto" w:fill="FFFFFF"/>
        </w:rPr>
        <w:t>6</w:t>
      </w:r>
      <w:r w:rsidR="0051704A" w:rsidRPr="00E443FB">
        <w:rPr>
          <w:shd w:val="clear" w:color="auto" w:fill="FFFFFF"/>
        </w:rPr>
        <w:t xml:space="preserve">(10), </w:t>
      </w:r>
      <w:r w:rsidRPr="00E443FB">
        <w:t>1</w:t>
      </w:r>
      <w:r w:rsidR="00206798">
        <w:rPr>
          <w:lang w:val="en"/>
        </w:rPr>
        <w:t>–</w:t>
      </w:r>
      <w:r w:rsidRPr="00E443FB">
        <w:t>8.</w:t>
      </w:r>
      <w:r w:rsidR="0051704A" w:rsidRPr="00E443FB">
        <w:t xml:space="preserve"> </w:t>
      </w:r>
    </w:p>
    <w:p w14:paraId="33004B0B" w14:textId="0DCA51EA" w:rsidR="002124A8" w:rsidRPr="00E443FB" w:rsidRDefault="00B76999"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Goldstein, N. J.,</w:t>
      </w:r>
      <w:r w:rsidR="0010070F"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 xml:space="preserve">Cialdini, R. B., &amp; Griskevicius, V. (2008). A room with a viewpoint: </w:t>
      </w:r>
      <w:r w:rsidR="0010070F" w:rsidRPr="00E443FB">
        <w:rPr>
          <w:rStyle w:val="meta-citation"/>
          <w:rFonts w:asciiTheme="majorHAnsi" w:hAnsiTheme="majorHAnsi" w:cstheme="majorHAnsi"/>
          <w:color w:val="3F3F3F"/>
          <w:szCs w:val="22"/>
          <w:lang w:val="en"/>
        </w:rPr>
        <w:t>U</w:t>
      </w:r>
      <w:r w:rsidRPr="00E443FB">
        <w:rPr>
          <w:rStyle w:val="meta-citation"/>
          <w:rFonts w:asciiTheme="majorHAnsi" w:hAnsiTheme="majorHAnsi" w:cstheme="majorHAnsi"/>
          <w:color w:val="3F3F3F"/>
          <w:szCs w:val="22"/>
          <w:lang w:val="en"/>
        </w:rPr>
        <w:t xml:space="preserve">sing social norms to motivate environment conservation in hotels. </w:t>
      </w:r>
      <w:r w:rsidRPr="00E443FB">
        <w:rPr>
          <w:rStyle w:val="meta-citation"/>
          <w:rFonts w:asciiTheme="majorHAnsi" w:hAnsiTheme="majorHAnsi" w:cstheme="majorHAnsi"/>
          <w:i/>
          <w:color w:val="3F3F3F"/>
          <w:szCs w:val="22"/>
          <w:lang w:val="en"/>
        </w:rPr>
        <w:t>Journal of Consumer Research</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35</w:t>
      </w:r>
      <w:r w:rsidRPr="00E443FB">
        <w:rPr>
          <w:rStyle w:val="meta-citation"/>
          <w:rFonts w:asciiTheme="majorHAnsi" w:hAnsiTheme="majorHAnsi" w:cstheme="majorHAnsi"/>
          <w:color w:val="3F3F3F"/>
          <w:szCs w:val="22"/>
          <w:lang w:val="en"/>
        </w:rPr>
        <w:t>(3), 472</w:t>
      </w:r>
      <w:r w:rsidR="00206798">
        <w:rPr>
          <w:lang w:val="en"/>
        </w:rPr>
        <w:t>–</w:t>
      </w:r>
      <w:r w:rsidRPr="00E443FB">
        <w:rPr>
          <w:rStyle w:val="meta-citation"/>
          <w:rFonts w:asciiTheme="majorHAnsi" w:hAnsiTheme="majorHAnsi" w:cstheme="majorHAnsi"/>
          <w:color w:val="3F3F3F"/>
          <w:szCs w:val="22"/>
          <w:lang w:val="en"/>
        </w:rPr>
        <w:t>482.</w:t>
      </w:r>
    </w:p>
    <w:p w14:paraId="2D4BAE0D" w14:textId="25B524E6" w:rsidR="002124A8" w:rsidRPr="00E443FB" w:rsidRDefault="00B76999" w:rsidP="009B0A2B">
      <w:r w:rsidRPr="00E443FB">
        <w:t>Hallsworth, M., Chadborn, T., Sallis, A., Sanders, M., Berry, D., Greaves, F., Clements, L.</w:t>
      </w:r>
      <w:r w:rsidR="005C508B" w:rsidRPr="00E443FB">
        <w:t xml:space="preserve">, &amp; </w:t>
      </w:r>
      <w:r w:rsidRPr="00E443FB">
        <w:t>Davies, S.C. (2016)</w:t>
      </w:r>
      <w:r w:rsidR="00206798">
        <w:t>.</w:t>
      </w:r>
      <w:r w:rsidRPr="00E443FB">
        <w:t xml:space="preserve"> Provision of social norm feedback to high prescribers of antibiotics in general practice: a pragmatic national randomised trial. </w:t>
      </w:r>
      <w:r w:rsidRPr="00E443FB">
        <w:rPr>
          <w:i/>
        </w:rPr>
        <w:t>The Lancet</w:t>
      </w:r>
      <w:r w:rsidR="00206798">
        <w:t>,</w:t>
      </w:r>
      <w:r w:rsidRPr="00E443FB">
        <w:t xml:space="preserve"> </w:t>
      </w:r>
      <w:r w:rsidRPr="00E443FB">
        <w:rPr>
          <w:i/>
        </w:rPr>
        <w:t>387</w:t>
      </w:r>
      <w:r w:rsidRPr="00E443FB">
        <w:t>(10089),</w:t>
      </w:r>
      <w:r w:rsidR="0010070F" w:rsidRPr="00E443FB">
        <w:t xml:space="preserve"> </w:t>
      </w:r>
      <w:r w:rsidRPr="00E443FB">
        <w:t>1743</w:t>
      </w:r>
      <w:r w:rsidR="00206798">
        <w:rPr>
          <w:lang w:val="en"/>
        </w:rPr>
        <w:t>–</w:t>
      </w:r>
      <w:r w:rsidRPr="00E443FB">
        <w:t>1752.</w:t>
      </w:r>
    </w:p>
    <w:p w14:paraId="4B610662" w14:textId="31554972" w:rsidR="002124A8" w:rsidRPr="00E443FB" w:rsidRDefault="00B76999" w:rsidP="009B0A2B">
      <w:pPr>
        <w:rPr>
          <w:rStyle w:val="meta-citation"/>
          <w:rFonts w:asciiTheme="majorHAnsi" w:hAnsiTheme="majorHAnsi" w:cstheme="majorHAnsi"/>
          <w:i/>
          <w:color w:val="3F3F3F"/>
          <w:szCs w:val="22"/>
          <w:lang w:val="en"/>
        </w:rPr>
      </w:pPr>
      <w:r w:rsidRPr="00E443FB">
        <w:rPr>
          <w:rStyle w:val="meta-citation"/>
          <w:rFonts w:asciiTheme="majorHAnsi" w:hAnsiTheme="majorHAnsi" w:cstheme="majorHAnsi"/>
          <w:color w:val="3F3F3F"/>
          <w:szCs w:val="22"/>
          <w:lang w:val="en"/>
        </w:rPr>
        <w:t>Halpern, D.</w:t>
      </w:r>
      <w:r w:rsidR="005C508B"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 xml:space="preserve">&amp; Gallagher, R. (2017). Can ‘nudging’ change behaviour? Using behavioural insights to improve program redesign. In Wanna, J., Lee, H., &amp; Yates, S. (Eds.), </w:t>
      </w:r>
      <w:r w:rsidRPr="00E443FB">
        <w:rPr>
          <w:rStyle w:val="meta-citation"/>
          <w:rFonts w:asciiTheme="majorHAnsi" w:hAnsiTheme="majorHAnsi" w:cstheme="majorHAnsi"/>
          <w:i/>
          <w:color w:val="3F3F3F"/>
          <w:szCs w:val="22"/>
          <w:lang w:val="en"/>
        </w:rPr>
        <w:t xml:space="preserve">Managing austerity, delivering under pressure </w:t>
      </w:r>
      <w:r w:rsidRPr="00E443FB">
        <w:rPr>
          <w:rStyle w:val="meta-citation"/>
          <w:rFonts w:asciiTheme="majorHAnsi" w:hAnsiTheme="majorHAnsi" w:cstheme="majorHAnsi"/>
          <w:color w:val="3F3F3F"/>
          <w:szCs w:val="22"/>
          <w:lang w:val="en"/>
        </w:rPr>
        <w:t>(pp</w:t>
      </w:r>
      <w:r w:rsidRPr="00E443FB">
        <w:rPr>
          <w:rStyle w:val="meta-citation"/>
          <w:rFonts w:asciiTheme="majorHAnsi" w:hAnsiTheme="majorHAnsi" w:cstheme="majorHAnsi"/>
          <w:i/>
          <w:color w:val="3F3F3F"/>
          <w:szCs w:val="22"/>
          <w:lang w:val="en"/>
        </w:rPr>
        <w:t xml:space="preserve">. </w:t>
      </w:r>
      <w:r w:rsidRPr="00E443FB">
        <w:rPr>
          <w:rStyle w:val="meta-citation"/>
          <w:rFonts w:asciiTheme="majorHAnsi" w:hAnsiTheme="majorHAnsi" w:cstheme="majorHAnsi"/>
          <w:color w:val="3F3F3F"/>
          <w:szCs w:val="22"/>
          <w:lang w:val="en"/>
        </w:rPr>
        <w:t>165</w:t>
      </w:r>
      <w:r w:rsidR="00206798">
        <w:rPr>
          <w:lang w:val="en"/>
        </w:rPr>
        <w:t>–</w:t>
      </w:r>
      <w:r w:rsidRPr="00E443FB">
        <w:rPr>
          <w:rStyle w:val="meta-citation"/>
          <w:rFonts w:asciiTheme="majorHAnsi" w:hAnsiTheme="majorHAnsi" w:cstheme="majorHAnsi"/>
          <w:color w:val="3F3F3F"/>
          <w:szCs w:val="22"/>
          <w:lang w:val="en"/>
        </w:rPr>
        <w:t>180). Canberra, Australia: ANU Press.</w:t>
      </w:r>
      <w:r w:rsidRPr="00E443FB">
        <w:rPr>
          <w:rStyle w:val="meta-citation"/>
          <w:rFonts w:asciiTheme="majorHAnsi" w:hAnsiTheme="majorHAnsi" w:cstheme="majorHAnsi"/>
          <w:i/>
          <w:color w:val="3F3F3F"/>
          <w:szCs w:val="22"/>
          <w:lang w:val="en"/>
        </w:rPr>
        <w:t xml:space="preserve"> </w:t>
      </w:r>
    </w:p>
    <w:p w14:paraId="643EB963" w14:textId="107F70F6" w:rsidR="007D5CF4" w:rsidRPr="00E443FB" w:rsidRDefault="007D5CF4" w:rsidP="009B0A2B">
      <w:r w:rsidRPr="00E443FB">
        <w:t xml:space="preserve">Imbens, G. W. </w:t>
      </w:r>
      <w:r w:rsidR="00206798">
        <w:t>&amp;</w:t>
      </w:r>
      <w:r w:rsidR="00206798" w:rsidRPr="00E443FB">
        <w:t xml:space="preserve"> </w:t>
      </w:r>
      <w:r w:rsidRPr="00E443FB">
        <w:t xml:space="preserve">Kolesar, M. (2016). Robust standard errors in small samples: Some practical advice. </w:t>
      </w:r>
      <w:r w:rsidRPr="00E443FB">
        <w:rPr>
          <w:i/>
        </w:rPr>
        <w:t>Review of Economics and Statistics</w:t>
      </w:r>
      <w:r w:rsidR="00206798">
        <w:t>,</w:t>
      </w:r>
      <w:r w:rsidRPr="00E443FB">
        <w:t xml:space="preserve"> </w:t>
      </w:r>
      <w:r w:rsidRPr="00507269">
        <w:rPr>
          <w:i/>
        </w:rPr>
        <w:t>98</w:t>
      </w:r>
      <w:r w:rsidRPr="00E443FB">
        <w:t>(4), 701</w:t>
      </w:r>
      <w:r w:rsidR="00206798">
        <w:rPr>
          <w:lang w:val="en"/>
        </w:rPr>
        <w:t>–</w:t>
      </w:r>
      <w:r w:rsidRPr="00E443FB">
        <w:t>712.</w:t>
      </w:r>
    </w:p>
    <w:p w14:paraId="555AF85C" w14:textId="041D42F2" w:rsidR="002124A8" w:rsidRPr="00E443FB" w:rsidRDefault="00B76999" w:rsidP="009B0A2B">
      <w:r w:rsidRPr="00E443FB">
        <w:t xml:space="preserve">Karau, S. J., &amp; Williams, K. D. (1993). Social loafing: a meta-analytic review and theoretical integration. </w:t>
      </w:r>
      <w:r w:rsidRPr="00E443FB">
        <w:rPr>
          <w:i/>
        </w:rPr>
        <w:t>Journal of Personality and Social Psychology, 65</w:t>
      </w:r>
      <w:r w:rsidRPr="00E443FB">
        <w:t>(4),</w:t>
      </w:r>
      <w:r w:rsidR="002124A8" w:rsidRPr="00E443FB">
        <w:t xml:space="preserve"> </w:t>
      </w:r>
      <w:r w:rsidRPr="00E443FB">
        <w:t>681</w:t>
      </w:r>
      <w:r w:rsidR="00206798">
        <w:rPr>
          <w:lang w:val="en"/>
        </w:rPr>
        <w:t>–</w:t>
      </w:r>
      <w:r w:rsidRPr="00E443FB">
        <w:t>706.</w:t>
      </w:r>
    </w:p>
    <w:p w14:paraId="1DF6C2C2" w14:textId="719DEC84" w:rsidR="00BF56B6" w:rsidRPr="00E443FB" w:rsidRDefault="00B76999" w:rsidP="009B0A2B">
      <w:r w:rsidRPr="00E443FB">
        <w:lastRenderedPageBreak/>
        <w:t xml:space="preserve">Latane, B., Williams, K., &amp; Harkins, S. (1979). Many hands make light the work: the causes and consequences of social loafing. </w:t>
      </w:r>
      <w:r w:rsidRPr="00E443FB">
        <w:rPr>
          <w:i/>
        </w:rPr>
        <w:t>Journal of Personality and Social Psychology, 37</w:t>
      </w:r>
      <w:r w:rsidRPr="00E443FB">
        <w:t>(6), 822</w:t>
      </w:r>
      <w:r w:rsidR="00206798">
        <w:rPr>
          <w:lang w:val="en"/>
        </w:rPr>
        <w:t>–</w:t>
      </w:r>
      <w:r w:rsidRPr="00E443FB">
        <w:t>832.</w:t>
      </w:r>
    </w:p>
    <w:p w14:paraId="1E9A3E15" w14:textId="33C90593" w:rsidR="0061674C" w:rsidRPr="00E443FB" w:rsidRDefault="0061674C"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 xml:space="preserve">Lin, W. (2013). Agnostic notes on regression adjustments to experimental data: </w:t>
      </w:r>
      <w:r w:rsidR="00206798">
        <w:rPr>
          <w:rStyle w:val="meta-citation"/>
          <w:rFonts w:asciiTheme="majorHAnsi" w:hAnsiTheme="majorHAnsi" w:cstheme="majorHAnsi"/>
          <w:color w:val="3F3F3F"/>
          <w:szCs w:val="22"/>
          <w:lang w:val="en"/>
        </w:rPr>
        <w:t>r</w:t>
      </w:r>
      <w:r w:rsidRPr="00E443FB">
        <w:rPr>
          <w:rStyle w:val="meta-citation"/>
          <w:rFonts w:asciiTheme="majorHAnsi" w:hAnsiTheme="majorHAnsi" w:cstheme="majorHAnsi"/>
          <w:color w:val="3F3F3F"/>
          <w:szCs w:val="22"/>
          <w:lang w:val="en"/>
        </w:rPr>
        <w:t xml:space="preserve">eexamining Freedman’s critique. </w:t>
      </w:r>
      <w:r w:rsidRPr="00E443FB">
        <w:rPr>
          <w:rStyle w:val="meta-citation"/>
          <w:rFonts w:asciiTheme="majorHAnsi" w:hAnsiTheme="majorHAnsi" w:cstheme="majorHAnsi"/>
          <w:i/>
          <w:color w:val="3F3F3F"/>
          <w:szCs w:val="22"/>
          <w:lang w:val="en"/>
        </w:rPr>
        <w:t>The Annals of Applied Statistics</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7</w:t>
      </w:r>
      <w:r w:rsidRPr="00E443FB">
        <w:rPr>
          <w:rStyle w:val="meta-citation"/>
          <w:rFonts w:asciiTheme="majorHAnsi" w:hAnsiTheme="majorHAnsi" w:cstheme="majorHAnsi"/>
          <w:color w:val="3F3F3F"/>
          <w:szCs w:val="22"/>
          <w:lang w:val="en"/>
        </w:rPr>
        <w:t>(1), 295</w:t>
      </w:r>
      <w:r w:rsidR="00206798">
        <w:rPr>
          <w:lang w:val="en"/>
        </w:rPr>
        <w:t>–</w:t>
      </w:r>
      <w:r w:rsidRPr="00E443FB">
        <w:rPr>
          <w:rStyle w:val="meta-citation"/>
          <w:rFonts w:asciiTheme="majorHAnsi" w:hAnsiTheme="majorHAnsi" w:cstheme="majorHAnsi"/>
          <w:color w:val="3F3F3F"/>
          <w:szCs w:val="22"/>
          <w:lang w:val="en"/>
        </w:rPr>
        <w:t>318.</w:t>
      </w:r>
    </w:p>
    <w:p w14:paraId="1E4C688C" w14:textId="41E7953F" w:rsidR="00BF56B6" w:rsidRPr="00E443FB" w:rsidRDefault="00B76999"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Martin, S. J., Bassi, S., &amp; Dunbar-Rees, R. (2012). Commitments, norms and custard creams – a social influence approach to reducing did no</w:t>
      </w:r>
      <w:r w:rsidR="002A0852">
        <w:rPr>
          <w:rStyle w:val="meta-citation"/>
          <w:rFonts w:asciiTheme="majorHAnsi" w:hAnsiTheme="majorHAnsi" w:cstheme="majorHAnsi"/>
          <w:color w:val="3F3F3F"/>
          <w:szCs w:val="22"/>
          <w:lang w:val="en"/>
        </w:rPr>
        <w:t>t</w:t>
      </w:r>
      <w:r w:rsidRPr="00E443FB">
        <w:rPr>
          <w:rStyle w:val="meta-citation"/>
          <w:rFonts w:asciiTheme="majorHAnsi" w:hAnsiTheme="majorHAnsi" w:cstheme="majorHAnsi"/>
          <w:color w:val="3F3F3F"/>
          <w:szCs w:val="22"/>
          <w:lang w:val="en"/>
        </w:rPr>
        <w:t xml:space="preserve"> attends (DNAs). </w:t>
      </w:r>
      <w:r w:rsidRPr="00E443FB">
        <w:rPr>
          <w:rStyle w:val="meta-citation"/>
          <w:rFonts w:asciiTheme="majorHAnsi" w:hAnsiTheme="majorHAnsi" w:cstheme="majorHAnsi"/>
          <w:i/>
          <w:color w:val="3F3F3F"/>
          <w:szCs w:val="22"/>
          <w:lang w:val="en"/>
        </w:rPr>
        <w:t>Journal of the Royal Society of Medicine, 105</w:t>
      </w:r>
      <w:r w:rsidRPr="00E443FB">
        <w:rPr>
          <w:rStyle w:val="meta-citation"/>
          <w:rFonts w:asciiTheme="majorHAnsi" w:hAnsiTheme="majorHAnsi" w:cstheme="majorHAnsi"/>
          <w:color w:val="3F3F3F"/>
          <w:szCs w:val="22"/>
          <w:lang w:val="en"/>
        </w:rPr>
        <w:t>(3),</w:t>
      </w:r>
      <w:r w:rsidR="00494F8A"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101</w:t>
      </w:r>
      <w:r w:rsidR="00206798">
        <w:rPr>
          <w:lang w:val="en"/>
        </w:rPr>
        <w:t>–</w:t>
      </w:r>
      <w:r w:rsidRPr="00E443FB">
        <w:rPr>
          <w:rStyle w:val="meta-citation"/>
          <w:rFonts w:asciiTheme="majorHAnsi" w:hAnsiTheme="majorHAnsi" w:cstheme="majorHAnsi"/>
          <w:color w:val="3F3F3F"/>
          <w:szCs w:val="22"/>
          <w:lang w:val="en"/>
        </w:rPr>
        <w:t>104.</w:t>
      </w:r>
    </w:p>
    <w:p w14:paraId="7453902F" w14:textId="6C55583E" w:rsidR="00BF56B6" w:rsidRPr="00E443FB" w:rsidRDefault="00A368B6" w:rsidP="009B0A2B">
      <w:pPr>
        <w:rPr>
          <w:lang w:val="en"/>
        </w:rPr>
      </w:pPr>
      <w:r w:rsidRPr="00E443FB">
        <w:rPr>
          <w:lang w:val="en"/>
        </w:rPr>
        <w:t>McCullough, A.</w:t>
      </w:r>
      <w:r w:rsidR="00206798">
        <w:rPr>
          <w:lang w:val="en"/>
        </w:rPr>
        <w:t xml:space="preserve"> </w:t>
      </w:r>
      <w:r w:rsidRPr="00E443FB">
        <w:rPr>
          <w:lang w:val="en"/>
        </w:rPr>
        <w:t>R., Pollack, A.</w:t>
      </w:r>
      <w:r w:rsidR="00206798">
        <w:rPr>
          <w:lang w:val="en"/>
        </w:rPr>
        <w:t xml:space="preserve"> </w:t>
      </w:r>
      <w:r w:rsidRPr="00E443FB">
        <w:rPr>
          <w:lang w:val="en"/>
        </w:rPr>
        <w:t>J., Hansen, M.</w:t>
      </w:r>
      <w:r w:rsidR="00206798">
        <w:rPr>
          <w:lang w:val="en"/>
        </w:rPr>
        <w:t xml:space="preserve"> </w:t>
      </w:r>
      <w:r w:rsidRPr="00E443FB">
        <w:rPr>
          <w:lang w:val="en"/>
        </w:rPr>
        <w:t>P., Glasziou, P.</w:t>
      </w:r>
      <w:r w:rsidR="00206798">
        <w:rPr>
          <w:lang w:val="en"/>
        </w:rPr>
        <w:t xml:space="preserve"> </w:t>
      </w:r>
      <w:r w:rsidRPr="00E443FB">
        <w:rPr>
          <w:lang w:val="en"/>
        </w:rPr>
        <w:t>P., Looke, D.</w:t>
      </w:r>
      <w:r w:rsidR="00206798">
        <w:rPr>
          <w:lang w:val="en"/>
        </w:rPr>
        <w:t xml:space="preserve"> </w:t>
      </w:r>
      <w:r w:rsidRPr="00E443FB">
        <w:rPr>
          <w:lang w:val="en"/>
        </w:rPr>
        <w:t>F.</w:t>
      </w:r>
      <w:r w:rsidR="00206798">
        <w:rPr>
          <w:lang w:val="en"/>
        </w:rPr>
        <w:t xml:space="preserve"> </w:t>
      </w:r>
      <w:r w:rsidRPr="00E443FB">
        <w:rPr>
          <w:lang w:val="en"/>
        </w:rPr>
        <w:t>M., Britt, H.</w:t>
      </w:r>
      <w:r w:rsidR="00206798">
        <w:rPr>
          <w:lang w:val="en"/>
        </w:rPr>
        <w:t xml:space="preserve"> </w:t>
      </w:r>
      <w:r w:rsidRPr="00E443FB">
        <w:rPr>
          <w:lang w:val="en"/>
        </w:rPr>
        <w:t xml:space="preserve">C. </w:t>
      </w:r>
      <w:r w:rsidR="00BF56B6" w:rsidRPr="00E443FB">
        <w:rPr>
          <w:lang w:val="en"/>
        </w:rPr>
        <w:t xml:space="preserve">&amp; </w:t>
      </w:r>
      <w:r w:rsidRPr="00E443FB">
        <w:rPr>
          <w:lang w:val="en"/>
        </w:rPr>
        <w:t>Del Mar, C.</w:t>
      </w:r>
      <w:r w:rsidR="00206798">
        <w:rPr>
          <w:lang w:val="en"/>
        </w:rPr>
        <w:t xml:space="preserve"> </w:t>
      </w:r>
      <w:r w:rsidRPr="00E443FB">
        <w:rPr>
          <w:lang w:val="en"/>
        </w:rPr>
        <w:t>B. (2017)</w:t>
      </w:r>
      <w:r w:rsidR="00F97BEE" w:rsidRPr="00E443FB">
        <w:rPr>
          <w:lang w:val="en"/>
        </w:rPr>
        <w:t>.</w:t>
      </w:r>
      <w:r w:rsidRPr="00E443FB">
        <w:rPr>
          <w:lang w:val="en"/>
        </w:rPr>
        <w:t xml:space="preserve"> Antibiotics for acute respiratory infections in general practice: comparison of prescribing rates with guideline recommendations. </w:t>
      </w:r>
      <w:r w:rsidRPr="00E443FB">
        <w:rPr>
          <w:i/>
          <w:lang w:val="en"/>
        </w:rPr>
        <w:t>The Medical Journal of Australia</w:t>
      </w:r>
      <w:r w:rsidR="00206798">
        <w:rPr>
          <w:lang w:val="en"/>
        </w:rPr>
        <w:t>,</w:t>
      </w:r>
      <w:r w:rsidRPr="00E443FB">
        <w:rPr>
          <w:lang w:val="en"/>
        </w:rPr>
        <w:t xml:space="preserve"> </w:t>
      </w:r>
      <w:r w:rsidRPr="00E443FB">
        <w:rPr>
          <w:i/>
          <w:lang w:val="en"/>
        </w:rPr>
        <w:t>207</w:t>
      </w:r>
      <w:r w:rsidRPr="00E443FB">
        <w:rPr>
          <w:lang w:val="en"/>
        </w:rPr>
        <w:t>(2), 65</w:t>
      </w:r>
      <w:r w:rsidR="00206798">
        <w:rPr>
          <w:lang w:val="en"/>
        </w:rPr>
        <w:t>–</w:t>
      </w:r>
      <w:r w:rsidRPr="00E443FB">
        <w:rPr>
          <w:lang w:val="en"/>
        </w:rPr>
        <w:t>69.</w:t>
      </w:r>
    </w:p>
    <w:p w14:paraId="44CF464C" w14:textId="212731DE" w:rsidR="00BF56B6" w:rsidRPr="00E443FB" w:rsidRDefault="00795D73" w:rsidP="009B0A2B">
      <w:pPr>
        <w:rPr>
          <w:lang w:val="en"/>
        </w:rPr>
      </w:pPr>
      <w:r w:rsidRPr="00E443FB">
        <w:rPr>
          <w:lang w:val="en"/>
        </w:rPr>
        <w:t>Meeker, D., Linder, J. A., Fox, C. R., Friedberg, M. W., Persell, S. D., Goldstein, N. J., Knight, T.K., Hay, J.W. &amp; Doctor, J. N.</w:t>
      </w:r>
      <w:r w:rsidRPr="00E443FB" w:rsidDel="00795D73">
        <w:rPr>
          <w:lang w:val="en"/>
        </w:rPr>
        <w:t xml:space="preserve"> </w:t>
      </w:r>
      <w:r w:rsidR="00BF56B6" w:rsidRPr="00E443FB">
        <w:rPr>
          <w:lang w:val="en"/>
        </w:rPr>
        <w:t>(2016). Effect of behavioral interventions on inappropriate antibiotic prescribing among primary care practices: a randomized clinical trial. </w:t>
      </w:r>
      <w:r w:rsidR="00BF56B6" w:rsidRPr="00507269">
        <w:rPr>
          <w:i/>
          <w:lang w:val="en"/>
        </w:rPr>
        <w:t>JAMA</w:t>
      </w:r>
      <w:r w:rsidR="00BF56B6" w:rsidRPr="00E443FB">
        <w:rPr>
          <w:lang w:val="en"/>
        </w:rPr>
        <w:t>, </w:t>
      </w:r>
      <w:r w:rsidR="00BF56B6" w:rsidRPr="00E443FB">
        <w:rPr>
          <w:i/>
          <w:lang w:val="en"/>
        </w:rPr>
        <w:t>315</w:t>
      </w:r>
      <w:r w:rsidR="00BF56B6" w:rsidRPr="00E443FB">
        <w:rPr>
          <w:lang w:val="en"/>
        </w:rPr>
        <w:t>(6), 562</w:t>
      </w:r>
      <w:r w:rsidR="00206798">
        <w:rPr>
          <w:lang w:val="en"/>
        </w:rPr>
        <w:t>–</w:t>
      </w:r>
      <w:r w:rsidR="00BF56B6" w:rsidRPr="00E443FB">
        <w:rPr>
          <w:lang w:val="en"/>
        </w:rPr>
        <w:t>570.</w:t>
      </w:r>
    </w:p>
    <w:p w14:paraId="5EC8A8C0" w14:textId="77B0E87D" w:rsidR="00BF56B6" w:rsidRPr="00E443FB" w:rsidRDefault="00A55755" w:rsidP="009B0A2B">
      <w:pPr>
        <w:rPr>
          <w:rStyle w:val="meta-citation"/>
          <w:rFonts w:asciiTheme="majorHAnsi" w:hAnsiTheme="majorHAnsi" w:cstheme="majorHAnsi"/>
          <w:color w:val="3F3F3F"/>
          <w:szCs w:val="22"/>
          <w:lang w:val="en"/>
        </w:rPr>
      </w:pPr>
      <w:r w:rsidRPr="00E93D82">
        <w:rPr>
          <w:lang w:val="es-AR"/>
        </w:rPr>
        <w:t>Mehrotra, A.</w:t>
      </w:r>
      <w:r w:rsidR="00BF56B6" w:rsidRPr="00E93D82">
        <w:rPr>
          <w:lang w:val="es-AR"/>
        </w:rPr>
        <w:t xml:space="preserve">, &amp; </w:t>
      </w:r>
      <w:r w:rsidRPr="00E93D82">
        <w:rPr>
          <w:lang w:val="es-AR"/>
        </w:rPr>
        <w:t>Linder, J.A. (2016)</w:t>
      </w:r>
      <w:r w:rsidR="00BF56B6" w:rsidRPr="00E93D82">
        <w:rPr>
          <w:lang w:val="es-AR"/>
        </w:rPr>
        <w:t>.</w:t>
      </w:r>
      <w:r w:rsidR="00443322" w:rsidRPr="00E93D82">
        <w:rPr>
          <w:lang w:val="es-AR"/>
        </w:rPr>
        <w:t xml:space="preserve"> </w:t>
      </w:r>
      <w:r w:rsidRPr="00E443FB">
        <w:rPr>
          <w:lang w:val="en"/>
        </w:rPr>
        <w:t xml:space="preserve">Tipping the balance toward fewer antibiotics. </w:t>
      </w:r>
      <w:r w:rsidRPr="00E443FB">
        <w:rPr>
          <w:rStyle w:val="meta-citation-journal-name2"/>
          <w:rFonts w:asciiTheme="majorHAnsi" w:hAnsiTheme="majorHAnsi" w:cstheme="majorHAnsi"/>
          <w:color w:val="3F3F3F"/>
          <w:szCs w:val="22"/>
          <w:lang w:val="en"/>
        </w:rPr>
        <w:t>JAMA Internal Medicine</w:t>
      </w:r>
      <w:r w:rsidR="00BF56B6" w:rsidRPr="00E443FB">
        <w:rPr>
          <w:rStyle w:val="meta-citation-journal-name2"/>
          <w:rFonts w:asciiTheme="majorHAnsi" w:hAnsiTheme="majorHAnsi" w:cstheme="majorHAnsi"/>
          <w:color w:val="3F3F3F"/>
          <w:szCs w:val="22"/>
          <w:lang w:val="en"/>
        </w:rPr>
        <w:t>,</w:t>
      </w:r>
      <w:r w:rsidRPr="00E443FB">
        <w:rPr>
          <w:rStyle w:val="meta-citation-journal-name2"/>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176</w:t>
      </w:r>
      <w:r w:rsidRPr="00E443FB">
        <w:rPr>
          <w:rStyle w:val="meta-citation"/>
          <w:rFonts w:asciiTheme="majorHAnsi" w:hAnsiTheme="majorHAnsi" w:cstheme="majorHAnsi"/>
          <w:color w:val="3F3F3F"/>
          <w:szCs w:val="22"/>
          <w:lang w:val="en"/>
        </w:rPr>
        <w:t>(11),</w:t>
      </w:r>
      <w:r w:rsidR="00BF56B6"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1649</w:t>
      </w:r>
      <w:r w:rsidR="00206798">
        <w:rPr>
          <w:lang w:val="en"/>
        </w:rPr>
        <w:t>–</w:t>
      </w:r>
      <w:r w:rsidRPr="00E443FB">
        <w:rPr>
          <w:rStyle w:val="meta-citation"/>
          <w:rFonts w:asciiTheme="majorHAnsi" w:hAnsiTheme="majorHAnsi" w:cstheme="majorHAnsi"/>
          <w:color w:val="3F3F3F"/>
          <w:szCs w:val="22"/>
          <w:lang w:val="en"/>
        </w:rPr>
        <w:t>1650.</w:t>
      </w:r>
    </w:p>
    <w:p w14:paraId="52FEB11B" w14:textId="55DB2F8A" w:rsidR="007D5CF4" w:rsidRPr="00E443FB" w:rsidRDefault="007D5CF4" w:rsidP="009B0A2B">
      <w:r w:rsidRPr="00E443FB">
        <w:t xml:space="preserve">Middleton, J. A. </w:t>
      </w:r>
      <w:r w:rsidR="00206798">
        <w:t>&amp;</w:t>
      </w:r>
      <w:r w:rsidR="00206798" w:rsidRPr="00E443FB">
        <w:t xml:space="preserve"> </w:t>
      </w:r>
      <w:r w:rsidRPr="00E443FB">
        <w:t>Aronow</w:t>
      </w:r>
      <w:r w:rsidR="00206798">
        <w:t>,</w:t>
      </w:r>
      <w:r w:rsidRPr="00E443FB">
        <w:t xml:space="preserve"> </w:t>
      </w:r>
      <w:r w:rsidR="00206798" w:rsidRPr="00E443FB">
        <w:t xml:space="preserve">P. M. </w:t>
      </w:r>
      <w:r w:rsidRPr="00E443FB">
        <w:t xml:space="preserve">(2011). Unbiased estimation of the average treatment effect in cluster-randomized experiments. Working Paper. </w:t>
      </w:r>
    </w:p>
    <w:p w14:paraId="0FDD2D1B" w14:textId="66CEDFE7" w:rsidR="00BF56B6" w:rsidRPr="00E443FB" w:rsidRDefault="00B76999" w:rsidP="009B0A2B">
      <w:r w:rsidRPr="00E443FB">
        <w:t xml:space="preserve">OECD (2017). </w:t>
      </w:r>
      <w:r w:rsidRPr="00E443FB">
        <w:rPr>
          <w:i/>
        </w:rPr>
        <w:t>Health at a Glance 2017: OCED indicators</w:t>
      </w:r>
      <w:r w:rsidRPr="00E443FB">
        <w:t>.</w:t>
      </w:r>
      <w:r w:rsidR="00443322" w:rsidRPr="00E443FB">
        <w:t xml:space="preserve"> Paris, France: OECD Publishing. </w:t>
      </w:r>
      <w:r w:rsidRPr="00E443FB">
        <w:t xml:space="preserve">Available from: </w:t>
      </w:r>
      <w:hyperlink r:id="rId46" w:history="1">
        <w:r w:rsidR="00443322" w:rsidRPr="00C83333">
          <w:rPr>
            <w:rStyle w:val="Hyperlink"/>
          </w:rPr>
          <w:t>http://dx.doi.org/10.1787/health_glance-2017-en</w:t>
        </w:r>
      </w:hyperlink>
      <w:r w:rsidR="00443322" w:rsidRPr="00E443FB">
        <w:t>.</w:t>
      </w:r>
    </w:p>
    <w:p w14:paraId="3318258C" w14:textId="54BBB4AC" w:rsidR="00BF56B6" w:rsidRPr="00E443FB" w:rsidRDefault="00132E7A" w:rsidP="009B0A2B">
      <w:r w:rsidRPr="00E443FB">
        <w:t xml:space="preserve">Pornpitakpan, C. (2006). The persuasiveness of source credibility: a critical review of five decades’ evidence. </w:t>
      </w:r>
      <w:r w:rsidRPr="00E443FB">
        <w:rPr>
          <w:i/>
        </w:rPr>
        <w:t xml:space="preserve">Journal of Applied Social Psychology, </w:t>
      </w:r>
      <w:r w:rsidRPr="00E443FB">
        <w:t>34(2), 243</w:t>
      </w:r>
      <w:r w:rsidR="00206798">
        <w:rPr>
          <w:lang w:val="en"/>
        </w:rPr>
        <w:t>–</w:t>
      </w:r>
      <w:r w:rsidRPr="00E443FB">
        <w:t>281.</w:t>
      </w:r>
    </w:p>
    <w:p w14:paraId="4065434D" w14:textId="1BA9EFE1" w:rsidR="00804465" w:rsidRPr="00E443FB" w:rsidRDefault="00E27C39" w:rsidP="009B0A2B">
      <w:r w:rsidRPr="00E443FB">
        <w:t xml:space="preserve">Sargent, L., McCullough, A., Del Mar, C., &amp; Lowe, J. (2016). Is Australia ready to implement delayed prescribing in primary care? A review of the evidence. </w:t>
      </w:r>
      <w:r w:rsidRPr="00E443FB">
        <w:rPr>
          <w:i/>
        </w:rPr>
        <w:t xml:space="preserve">Australian Family Physician, </w:t>
      </w:r>
      <w:r w:rsidRPr="00E443FB">
        <w:t>35(9),</w:t>
      </w:r>
      <w:r w:rsidR="00443322" w:rsidRPr="00E443FB">
        <w:t xml:space="preserve"> </w:t>
      </w:r>
      <w:r w:rsidRPr="00E443FB">
        <w:t>688</w:t>
      </w:r>
      <w:r w:rsidR="00206798">
        <w:rPr>
          <w:lang w:val="en"/>
        </w:rPr>
        <w:t>–</w:t>
      </w:r>
      <w:r w:rsidRPr="00E443FB">
        <w:t>690.</w:t>
      </w:r>
    </w:p>
    <w:bookmarkEnd w:id="17"/>
    <w:p w14:paraId="07D3B9D7" w14:textId="27A6F9B5" w:rsidR="00E27C39" w:rsidRPr="00E443FB" w:rsidRDefault="0061674C" w:rsidP="009B0A2B">
      <w:pPr>
        <w:rPr>
          <w:lang w:val="en"/>
        </w:rPr>
      </w:pPr>
      <w:r w:rsidRPr="00E443FB">
        <w:rPr>
          <w:lang w:val="en"/>
        </w:rPr>
        <w:t xml:space="preserve">Wasserstein, R.L. </w:t>
      </w:r>
      <w:r w:rsidR="00206798">
        <w:rPr>
          <w:lang w:val="en"/>
        </w:rPr>
        <w:t>&amp;</w:t>
      </w:r>
      <w:r w:rsidR="00206798" w:rsidRPr="00E443FB">
        <w:rPr>
          <w:lang w:val="en"/>
        </w:rPr>
        <w:t xml:space="preserve"> </w:t>
      </w:r>
      <w:r w:rsidRPr="00E443FB">
        <w:rPr>
          <w:lang w:val="en"/>
        </w:rPr>
        <w:t xml:space="preserve">Lazar, N.A. (2016). The ASA's Statement on p-Values: Context, Process, and Purpose, </w:t>
      </w:r>
      <w:r w:rsidRPr="00E443FB">
        <w:rPr>
          <w:i/>
          <w:lang w:val="en"/>
        </w:rPr>
        <w:t>The American Statistician</w:t>
      </w:r>
      <w:r w:rsidRPr="00E443FB">
        <w:rPr>
          <w:lang w:val="en"/>
        </w:rPr>
        <w:t>, 70(2), 129</w:t>
      </w:r>
      <w:r w:rsidR="00206798">
        <w:rPr>
          <w:lang w:val="en"/>
        </w:rPr>
        <w:t>–</w:t>
      </w:r>
      <w:r w:rsidRPr="00E443FB">
        <w:rPr>
          <w:lang w:val="en"/>
        </w:rPr>
        <w:t>133.</w:t>
      </w:r>
    </w:p>
    <w:sectPr w:rsidR="00E27C39" w:rsidRPr="00E443FB" w:rsidSect="001919C9">
      <w:headerReference w:type="default" r:id="rId47"/>
      <w:footerReference w:type="default" r:id="rId48"/>
      <w:pgSz w:w="11906" w:h="16838" w:code="9"/>
      <w:pgMar w:top="1566"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241EA" w14:textId="77777777" w:rsidR="00286B62" w:rsidRDefault="00286B62">
      <w:r>
        <w:separator/>
      </w:r>
    </w:p>
  </w:endnote>
  <w:endnote w:type="continuationSeparator" w:id="0">
    <w:p w14:paraId="377D14D5" w14:textId="77777777" w:rsidR="00286B62" w:rsidRDefault="00286B62">
      <w:r>
        <w:continuationSeparator/>
      </w:r>
    </w:p>
  </w:endnote>
  <w:endnote w:type="continuationNotice" w:id="1">
    <w:p w14:paraId="71761EB5" w14:textId="77777777" w:rsidR="00286B62" w:rsidRDefault="00286B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807B" w14:textId="55A4BB42" w:rsidR="00286B62" w:rsidRDefault="00286B62" w:rsidP="00646904">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CDDC4" w14:textId="7AB75EFF" w:rsidR="00286B62" w:rsidRPr="005D17D0" w:rsidRDefault="00286B62" w:rsidP="00CD588D">
    <w:pPr>
      <w:pStyle w:val="Footer"/>
      <w:rPr>
        <w:color w:val="FFFFFF" w:themeColor="background1"/>
      </w:rPr>
    </w:pPr>
    <w:r w:rsidRPr="005D17D0">
      <w:rPr>
        <w:color w:val="FFFFFF" w:themeColor="background1"/>
      </w:rPr>
      <w:tab/>
    </w:r>
    <w:r w:rsidRPr="005D17D0">
      <w:rPr>
        <w:color w:val="FFFFFF" w:themeColor="background1"/>
      </w:rPr>
      <w:fldChar w:fldCharType="begin"/>
    </w:r>
    <w:r w:rsidRPr="005D17D0">
      <w:rPr>
        <w:color w:val="FFFFFF" w:themeColor="background1"/>
      </w:rPr>
      <w:instrText xml:space="preserve"> PAGE   \* MERGEFORMAT </w:instrText>
    </w:r>
    <w:r w:rsidRPr="005D17D0">
      <w:rPr>
        <w:color w:val="FFFFFF" w:themeColor="background1"/>
      </w:rPr>
      <w:fldChar w:fldCharType="separate"/>
    </w:r>
    <w:r w:rsidR="00533694">
      <w:rPr>
        <w:noProof/>
        <w:color w:val="FFFFFF" w:themeColor="background1"/>
      </w:rPr>
      <w:t>3</w:t>
    </w:r>
    <w:r w:rsidRPr="005D17D0">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0EEFA" w14:textId="37D0E3FF" w:rsidR="00286B62" w:rsidRPr="00555DB4" w:rsidRDefault="00286B62" w:rsidP="00555DB4">
    <w:pPr>
      <w:pStyle w:val="Footer"/>
    </w:pPr>
    <w:r w:rsidRPr="00555DB4">
      <w:tab/>
    </w:r>
    <w:r w:rsidRPr="00555DB4">
      <w:fldChar w:fldCharType="begin"/>
    </w:r>
    <w:r w:rsidRPr="00555DB4">
      <w:instrText xml:space="preserve"> PAGE   \* MERGEFORMAT </w:instrText>
    </w:r>
    <w:r w:rsidRPr="00555DB4">
      <w:fldChar w:fldCharType="separate"/>
    </w:r>
    <w:r w:rsidR="00533694">
      <w:rPr>
        <w:noProof/>
      </w:rPr>
      <w:t>5</w:t>
    </w:r>
    <w:r w:rsidRPr="00555D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4F2E3" w14:textId="77777777" w:rsidR="00286B62" w:rsidRDefault="00286B62">
      <w:r>
        <w:separator/>
      </w:r>
    </w:p>
  </w:footnote>
  <w:footnote w:type="continuationSeparator" w:id="0">
    <w:p w14:paraId="0144BE3E" w14:textId="77777777" w:rsidR="00286B62" w:rsidRDefault="00286B62">
      <w:r>
        <w:continuationSeparator/>
      </w:r>
    </w:p>
  </w:footnote>
  <w:footnote w:type="continuationNotice" w:id="1">
    <w:p w14:paraId="38369794" w14:textId="77777777" w:rsidR="00286B62" w:rsidRDefault="00286B62">
      <w:pPr>
        <w:spacing w:before="0" w:after="0" w:line="240" w:lineRule="auto"/>
      </w:pPr>
    </w:p>
  </w:footnote>
  <w:footnote w:id="2">
    <w:p w14:paraId="4CC4B0EF" w14:textId="16EC5292" w:rsidR="00286B62" w:rsidRDefault="00286B62" w:rsidP="00A56319">
      <w:pPr>
        <w:pStyle w:val="FootnoteText"/>
      </w:pPr>
      <w:r>
        <w:rPr>
          <w:rStyle w:val="FootnoteReference"/>
        </w:rPr>
        <w:footnoteRef/>
      </w:r>
      <w:r>
        <w:t xml:space="preserve"> Note that monthly counts begin on 9 June 2017, when the letters were sent. For example, month 1 after the intervention captures data from 9 June to 8 July.</w:t>
      </w:r>
    </w:p>
  </w:footnote>
  <w:footnote w:id="3">
    <w:p w14:paraId="30C4B214" w14:textId="77777777" w:rsidR="00286B62" w:rsidRPr="000F3F6A" w:rsidRDefault="00286B62" w:rsidP="00A56319">
      <w:pPr>
        <w:pStyle w:val="FootnoteText"/>
        <w:rPr>
          <w:lang w:val="en-US"/>
        </w:rPr>
      </w:pPr>
      <w:r>
        <w:rPr>
          <w:rStyle w:val="FootnoteReference"/>
        </w:rPr>
        <w:footnoteRef/>
      </w:r>
      <w:r>
        <w:t xml:space="preserve"> </w:t>
      </w:r>
      <w:r w:rsidRPr="00A14E71">
        <w:t>We are aware, however,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P-Values’ (Wasserstein and Lazar,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3757" w14:textId="7A2AC94E" w:rsidR="00286B62" w:rsidRDefault="00286B62">
    <w:pPr>
      <w:pStyle w:val="Header"/>
    </w:pPr>
    <w:r>
      <w:rPr>
        <w:noProof/>
      </w:rPr>
      <w:drawing>
        <wp:anchor distT="0" distB="0" distL="114300" distR="114300" simplePos="0" relativeHeight="251659264" behindDoc="1" locked="0" layoutInCell="1" allowOverlap="1" wp14:anchorId="5679A44E" wp14:editId="58C59202">
          <wp:simplePos x="0" y="0"/>
          <wp:positionH relativeFrom="column">
            <wp:posOffset>-504949</wp:posOffset>
          </wp:positionH>
          <wp:positionV relativeFrom="paragraph">
            <wp:posOffset>-325829</wp:posOffset>
          </wp:positionV>
          <wp:extent cx="7562911" cy="10687050"/>
          <wp:effectExtent l="0" t="0" r="0" b="0"/>
          <wp:wrapNone/>
          <wp:docPr id="40" name="Picture 40" descr="Cover of report featuring a back-lit image of microbes/bacteria" title="Nudge vs Superbug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562911"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C209F" w14:textId="316A51F1" w:rsidR="00286B62" w:rsidRPr="00F5776E" w:rsidRDefault="00286B62" w:rsidP="00F5776E">
    <w:pPr>
      <w:pStyle w:val="Header"/>
      <w:rPr>
        <w:color w:val="FFFFFF" w:themeColor="background1"/>
      </w:rPr>
    </w:pPr>
    <w:r w:rsidRPr="00F5776E">
      <w:rPr>
        <w:color w:val="FFFFFF" w:themeColor="background1"/>
      </w:rPr>
      <w:t>Nudge vs superbugs – A behavioural economics trial to reduce the overprescribing of antibiotics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3BD2" w14:textId="77777777" w:rsidR="00286B62" w:rsidRDefault="00286B62" w:rsidP="00646904">
    <w:pPr>
      <w:pStyle w:val="Header"/>
    </w:pPr>
  </w:p>
  <w:p w14:paraId="2E94BF4A" w14:textId="6E2D22FF" w:rsidR="00286B62" w:rsidRPr="00646904" w:rsidRDefault="00286B62" w:rsidP="00646904">
    <w:pPr>
      <w:pStyle w:val="Header"/>
    </w:pPr>
    <w:r w:rsidRPr="003D2DE8">
      <w:t>Nudge vs superbugs – A behavioural economics trial to reduce the overprescribing of antibiotics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41A3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3CCE1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148D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1DA109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722D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8CDD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EBEAD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B0AC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043B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D9E08B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91FE4"/>
    <w:multiLevelType w:val="hybridMultilevel"/>
    <w:tmpl w:val="698A3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3" w15:restartNumberingAfterBreak="0">
    <w:nsid w:val="0F722891"/>
    <w:multiLevelType w:val="hybridMultilevel"/>
    <w:tmpl w:val="E1008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1B0C05"/>
    <w:multiLevelType w:val="hybridMultilevel"/>
    <w:tmpl w:val="79648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0B041F"/>
    <w:multiLevelType w:val="hybridMultilevel"/>
    <w:tmpl w:val="3C9EC4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AA2C1D"/>
    <w:multiLevelType w:val="hybridMultilevel"/>
    <w:tmpl w:val="57B076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686742"/>
    <w:multiLevelType w:val="hybridMultilevel"/>
    <w:tmpl w:val="36B2B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D1567E"/>
    <w:multiLevelType w:val="hybridMultilevel"/>
    <w:tmpl w:val="AB70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51B77"/>
    <w:multiLevelType w:val="hybridMultilevel"/>
    <w:tmpl w:val="30BE5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F4141"/>
    <w:multiLevelType w:val="hybridMultilevel"/>
    <w:tmpl w:val="F4C2522E"/>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4ED016A"/>
    <w:multiLevelType w:val="hybridMultilevel"/>
    <w:tmpl w:val="FB8E303C"/>
    <w:lvl w:ilvl="0" w:tplc="57E67816">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2" w15:restartNumberingAfterBreak="0">
    <w:nsid w:val="55AD2006"/>
    <w:multiLevelType w:val="hybridMultilevel"/>
    <w:tmpl w:val="710A2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120035"/>
    <w:multiLevelType w:val="hybridMultilevel"/>
    <w:tmpl w:val="2BAA6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C756F7"/>
    <w:multiLevelType w:val="hybridMultilevel"/>
    <w:tmpl w:val="2788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F24CD8"/>
    <w:multiLevelType w:val="hybridMultilevel"/>
    <w:tmpl w:val="7AD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85036"/>
    <w:multiLevelType w:val="hybridMultilevel"/>
    <w:tmpl w:val="D1347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31F58"/>
    <w:multiLevelType w:val="hybridMultilevel"/>
    <w:tmpl w:val="61381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67598C"/>
    <w:multiLevelType w:val="hybridMultilevel"/>
    <w:tmpl w:val="9216C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24"/>
  </w:num>
  <w:num w:numId="4">
    <w:abstractNumId w:val="25"/>
  </w:num>
  <w:num w:numId="5">
    <w:abstractNumId w:val="13"/>
  </w:num>
  <w:num w:numId="6">
    <w:abstractNumId w:val="11"/>
  </w:num>
  <w:num w:numId="7">
    <w:abstractNumId w:val="14"/>
  </w:num>
  <w:num w:numId="8">
    <w:abstractNumId w:val="12"/>
  </w:num>
  <w:num w:numId="9">
    <w:abstractNumId w:val="27"/>
  </w:num>
  <w:num w:numId="10">
    <w:abstractNumId w:val="20"/>
  </w:num>
  <w:num w:numId="11">
    <w:abstractNumId w:val="22"/>
  </w:num>
  <w:num w:numId="12">
    <w:abstractNumId w:val="18"/>
  </w:num>
  <w:num w:numId="13">
    <w:abstractNumId w:val="26"/>
  </w:num>
  <w:num w:numId="14">
    <w:abstractNumId w:val="19"/>
  </w:num>
  <w:num w:numId="15">
    <w:abstractNumId w:val="17"/>
  </w:num>
  <w:num w:numId="16">
    <w:abstractNumId w:val="16"/>
  </w:num>
  <w:num w:numId="17">
    <w:abstractNumId w:val="15"/>
  </w:num>
  <w:num w:numId="18">
    <w:abstractNumId w:val="23"/>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28"/>
  </w:num>
  <w:num w:numId="2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displayBackgroundShape/>
  <w:activeWritingStyle w:appName="MSWord" w:lang="es-A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AU"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s-AR"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19F9"/>
    <w:rsid w:val="0000406E"/>
    <w:rsid w:val="00004553"/>
    <w:rsid w:val="00004AF4"/>
    <w:rsid w:val="00005364"/>
    <w:rsid w:val="00005785"/>
    <w:rsid w:val="00005A84"/>
    <w:rsid w:val="00006876"/>
    <w:rsid w:val="000079AD"/>
    <w:rsid w:val="00007D1F"/>
    <w:rsid w:val="00010D84"/>
    <w:rsid w:val="00010F15"/>
    <w:rsid w:val="00011CE3"/>
    <w:rsid w:val="0001265F"/>
    <w:rsid w:val="000176B5"/>
    <w:rsid w:val="00017FC9"/>
    <w:rsid w:val="00022D71"/>
    <w:rsid w:val="00022E9C"/>
    <w:rsid w:val="00024EF0"/>
    <w:rsid w:val="00025631"/>
    <w:rsid w:val="00025C46"/>
    <w:rsid w:val="0002783D"/>
    <w:rsid w:val="00027B26"/>
    <w:rsid w:val="00030705"/>
    <w:rsid w:val="0003181B"/>
    <w:rsid w:val="00031E7D"/>
    <w:rsid w:val="00032861"/>
    <w:rsid w:val="00032B77"/>
    <w:rsid w:val="00034D96"/>
    <w:rsid w:val="00036F57"/>
    <w:rsid w:val="00037DDF"/>
    <w:rsid w:val="00037F3D"/>
    <w:rsid w:val="00041F16"/>
    <w:rsid w:val="00042285"/>
    <w:rsid w:val="00043256"/>
    <w:rsid w:val="00045A89"/>
    <w:rsid w:val="00046F8E"/>
    <w:rsid w:val="00047524"/>
    <w:rsid w:val="0005040E"/>
    <w:rsid w:val="0005087D"/>
    <w:rsid w:val="000508BB"/>
    <w:rsid w:val="00050F9E"/>
    <w:rsid w:val="000518A0"/>
    <w:rsid w:val="000547EF"/>
    <w:rsid w:val="000552FC"/>
    <w:rsid w:val="000554FB"/>
    <w:rsid w:val="00055616"/>
    <w:rsid w:val="00056004"/>
    <w:rsid w:val="000564AB"/>
    <w:rsid w:val="0006075A"/>
    <w:rsid w:val="000616FE"/>
    <w:rsid w:val="00061755"/>
    <w:rsid w:val="00061C84"/>
    <w:rsid w:val="00062484"/>
    <w:rsid w:val="00063129"/>
    <w:rsid w:val="00064EE9"/>
    <w:rsid w:val="00065022"/>
    <w:rsid w:val="00065A5E"/>
    <w:rsid w:val="00066CB9"/>
    <w:rsid w:val="00067DBE"/>
    <w:rsid w:val="00070681"/>
    <w:rsid w:val="0007097B"/>
    <w:rsid w:val="00070F67"/>
    <w:rsid w:val="000720F6"/>
    <w:rsid w:val="00072DA5"/>
    <w:rsid w:val="00080A09"/>
    <w:rsid w:val="00081CEB"/>
    <w:rsid w:val="00082AA4"/>
    <w:rsid w:val="00083082"/>
    <w:rsid w:val="00083F36"/>
    <w:rsid w:val="00086D9F"/>
    <w:rsid w:val="00087B2C"/>
    <w:rsid w:val="00087D4E"/>
    <w:rsid w:val="00087DBD"/>
    <w:rsid w:val="00090718"/>
    <w:rsid w:val="00090C1A"/>
    <w:rsid w:val="00090D3D"/>
    <w:rsid w:val="00091B4E"/>
    <w:rsid w:val="00091CD7"/>
    <w:rsid w:val="00093DD5"/>
    <w:rsid w:val="000947B2"/>
    <w:rsid w:val="00095C85"/>
    <w:rsid w:val="000A03DD"/>
    <w:rsid w:val="000A1A09"/>
    <w:rsid w:val="000A347F"/>
    <w:rsid w:val="000A3A03"/>
    <w:rsid w:val="000A47A8"/>
    <w:rsid w:val="000A48B2"/>
    <w:rsid w:val="000A5817"/>
    <w:rsid w:val="000A6E70"/>
    <w:rsid w:val="000A73FB"/>
    <w:rsid w:val="000A7CC8"/>
    <w:rsid w:val="000B0129"/>
    <w:rsid w:val="000B218A"/>
    <w:rsid w:val="000B306B"/>
    <w:rsid w:val="000B4C8B"/>
    <w:rsid w:val="000C014D"/>
    <w:rsid w:val="000C29B4"/>
    <w:rsid w:val="000C31C1"/>
    <w:rsid w:val="000C3741"/>
    <w:rsid w:val="000C3B26"/>
    <w:rsid w:val="000C5CD8"/>
    <w:rsid w:val="000C7A69"/>
    <w:rsid w:val="000D0827"/>
    <w:rsid w:val="000D1158"/>
    <w:rsid w:val="000D3C1F"/>
    <w:rsid w:val="000D4703"/>
    <w:rsid w:val="000D4E62"/>
    <w:rsid w:val="000D63DD"/>
    <w:rsid w:val="000E12D4"/>
    <w:rsid w:val="000E16A1"/>
    <w:rsid w:val="000E2DEA"/>
    <w:rsid w:val="000E39EF"/>
    <w:rsid w:val="000E44AB"/>
    <w:rsid w:val="000E51CE"/>
    <w:rsid w:val="000E620E"/>
    <w:rsid w:val="000F2063"/>
    <w:rsid w:val="000F2425"/>
    <w:rsid w:val="000F3820"/>
    <w:rsid w:val="000F3A1B"/>
    <w:rsid w:val="000F3C43"/>
    <w:rsid w:val="000F3D28"/>
    <w:rsid w:val="000F3F6A"/>
    <w:rsid w:val="000F4960"/>
    <w:rsid w:val="000F5351"/>
    <w:rsid w:val="000F63C4"/>
    <w:rsid w:val="000F6C42"/>
    <w:rsid w:val="000F7463"/>
    <w:rsid w:val="00100200"/>
    <w:rsid w:val="0010070F"/>
    <w:rsid w:val="00100B46"/>
    <w:rsid w:val="00100D65"/>
    <w:rsid w:val="0010263D"/>
    <w:rsid w:val="00102824"/>
    <w:rsid w:val="0010300A"/>
    <w:rsid w:val="00103A9D"/>
    <w:rsid w:val="00104674"/>
    <w:rsid w:val="001058A6"/>
    <w:rsid w:val="001059E8"/>
    <w:rsid w:val="001060D0"/>
    <w:rsid w:val="001074AC"/>
    <w:rsid w:val="001131F0"/>
    <w:rsid w:val="001139C7"/>
    <w:rsid w:val="00114EBC"/>
    <w:rsid w:val="00115C30"/>
    <w:rsid w:val="001163BD"/>
    <w:rsid w:val="00116776"/>
    <w:rsid w:val="00117B60"/>
    <w:rsid w:val="00120463"/>
    <w:rsid w:val="001215E8"/>
    <w:rsid w:val="001239B3"/>
    <w:rsid w:val="0012427E"/>
    <w:rsid w:val="001244E3"/>
    <w:rsid w:val="001247E0"/>
    <w:rsid w:val="001252F6"/>
    <w:rsid w:val="00125753"/>
    <w:rsid w:val="00126750"/>
    <w:rsid w:val="001271A1"/>
    <w:rsid w:val="00130119"/>
    <w:rsid w:val="00131941"/>
    <w:rsid w:val="00131C0F"/>
    <w:rsid w:val="001325BF"/>
    <w:rsid w:val="00132E7A"/>
    <w:rsid w:val="00132F0D"/>
    <w:rsid w:val="00133713"/>
    <w:rsid w:val="00135B7E"/>
    <w:rsid w:val="00140211"/>
    <w:rsid w:val="00140979"/>
    <w:rsid w:val="00140FC9"/>
    <w:rsid w:val="001413C5"/>
    <w:rsid w:val="0014231B"/>
    <w:rsid w:val="00142956"/>
    <w:rsid w:val="00142D10"/>
    <w:rsid w:val="0014322D"/>
    <w:rsid w:val="001432B0"/>
    <w:rsid w:val="001436E5"/>
    <w:rsid w:val="00144868"/>
    <w:rsid w:val="001452BC"/>
    <w:rsid w:val="00150D2A"/>
    <w:rsid w:val="00150E25"/>
    <w:rsid w:val="00150EA9"/>
    <w:rsid w:val="00151650"/>
    <w:rsid w:val="00152B85"/>
    <w:rsid w:val="00154AC1"/>
    <w:rsid w:val="00155B98"/>
    <w:rsid w:val="001561C9"/>
    <w:rsid w:val="00157001"/>
    <w:rsid w:val="00157709"/>
    <w:rsid w:val="00160AAA"/>
    <w:rsid w:val="00160B66"/>
    <w:rsid w:val="00160E91"/>
    <w:rsid w:val="00160F3C"/>
    <w:rsid w:val="00161A1C"/>
    <w:rsid w:val="00161BD9"/>
    <w:rsid w:val="001630FE"/>
    <w:rsid w:val="00165626"/>
    <w:rsid w:val="00165832"/>
    <w:rsid w:val="00165901"/>
    <w:rsid w:val="00166272"/>
    <w:rsid w:val="001671D2"/>
    <w:rsid w:val="00167CF4"/>
    <w:rsid w:val="00170BE9"/>
    <w:rsid w:val="0017147C"/>
    <w:rsid w:val="0017194E"/>
    <w:rsid w:val="0017249B"/>
    <w:rsid w:val="001726AA"/>
    <w:rsid w:val="001727A4"/>
    <w:rsid w:val="0017371E"/>
    <w:rsid w:val="00175863"/>
    <w:rsid w:val="0017630F"/>
    <w:rsid w:val="00177EC4"/>
    <w:rsid w:val="00181533"/>
    <w:rsid w:val="001824C8"/>
    <w:rsid w:val="00182698"/>
    <w:rsid w:val="00182D0A"/>
    <w:rsid w:val="001864FD"/>
    <w:rsid w:val="00190084"/>
    <w:rsid w:val="00191457"/>
    <w:rsid w:val="001919C9"/>
    <w:rsid w:val="001936A7"/>
    <w:rsid w:val="001943DD"/>
    <w:rsid w:val="00196826"/>
    <w:rsid w:val="00196BAC"/>
    <w:rsid w:val="00197FDD"/>
    <w:rsid w:val="001A009A"/>
    <w:rsid w:val="001A0BF0"/>
    <w:rsid w:val="001A13F6"/>
    <w:rsid w:val="001A2D78"/>
    <w:rsid w:val="001A4FF5"/>
    <w:rsid w:val="001A6C37"/>
    <w:rsid w:val="001A7249"/>
    <w:rsid w:val="001A7CE6"/>
    <w:rsid w:val="001B28EE"/>
    <w:rsid w:val="001B385A"/>
    <w:rsid w:val="001B3904"/>
    <w:rsid w:val="001B3AEC"/>
    <w:rsid w:val="001B3E8D"/>
    <w:rsid w:val="001B4ECF"/>
    <w:rsid w:val="001B5259"/>
    <w:rsid w:val="001B53B8"/>
    <w:rsid w:val="001B60D4"/>
    <w:rsid w:val="001B6138"/>
    <w:rsid w:val="001B6F28"/>
    <w:rsid w:val="001C05CA"/>
    <w:rsid w:val="001C2762"/>
    <w:rsid w:val="001C48D9"/>
    <w:rsid w:val="001C4F4F"/>
    <w:rsid w:val="001C4F58"/>
    <w:rsid w:val="001C6BA1"/>
    <w:rsid w:val="001C6F22"/>
    <w:rsid w:val="001D039E"/>
    <w:rsid w:val="001D141C"/>
    <w:rsid w:val="001D2904"/>
    <w:rsid w:val="001D2BCE"/>
    <w:rsid w:val="001D62E1"/>
    <w:rsid w:val="001D652D"/>
    <w:rsid w:val="001D693F"/>
    <w:rsid w:val="001D6EDF"/>
    <w:rsid w:val="001D6F9E"/>
    <w:rsid w:val="001E01B2"/>
    <w:rsid w:val="001E38FB"/>
    <w:rsid w:val="001E5057"/>
    <w:rsid w:val="001E52C2"/>
    <w:rsid w:val="001E5850"/>
    <w:rsid w:val="001E6A27"/>
    <w:rsid w:val="001F01CF"/>
    <w:rsid w:val="001F0BA6"/>
    <w:rsid w:val="001F0BE1"/>
    <w:rsid w:val="001F101A"/>
    <w:rsid w:val="001F1968"/>
    <w:rsid w:val="001F24EF"/>
    <w:rsid w:val="001F3825"/>
    <w:rsid w:val="001F56C7"/>
    <w:rsid w:val="001F74AF"/>
    <w:rsid w:val="00200EC8"/>
    <w:rsid w:val="00203039"/>
    <w:rsid w:val="00203754"/>
    <w:rsid w:val="00203F6A"/>
    <w:rsid w:val="00204641"/>
    <w:rsid w:val="00204B17"/>
    <w:rsid w:val="00206798"/>
    <w:rsid w:val="002069D2"/>
    <w:rsid w:val="002076F4"/>
    <w:rsid w:val="00207B99"/>
    <w:rsid w:val="002111E1"/>
    <w:rsid w:val="00211DA2"/>
    <w:rsid w:val="002124A8"/>
    <w:rsid w:val="0021347E"/>
    <w:rsid w:val="00213693"/>
    <w:rsid w:val="002138C7"/>
    <w:rsid w:val="00215137"/>
    <w:rsid w:val="00215479"/>
    <w:rsid w:val="00215CCB"/>
    <w:rsid w:val="00216CF5"/>
    <w:rsid w:val="0022037B"/>
    <w:rsid w:val="00221202"/>
    <w:rsid w:val="00222C8D"/>
    <w:rsid w:val="002240BE"/>
    <w:rsid w:val="002256A8"/>
    <w:rsid w:val="00225C97"/>
    <w:rsid w:val="002274EC"/>
    <w:rsid w:val="00230E6B"/>
    <w:rsid w:val="00231992"/>
    <w:rsid w:val="002322C7"/>
    <w:rsid w:val="00232B97"/>
    <w:rsid w:val="00232F52"/>
    <w:rsid w:val="0023523A"/>
    <w:rsid w:val="0023757C"/>
    <w:rsid w:val="00237C47"/>
    <w:rsid w:val="002402E4"/>
    <w:rsid w:val="002404D9"/>
    <w:rsid w:val="00240A07"/>
    <w:rsid w:val="002417E6"/>
    <w:rsid w:val="002421A0"/>
    <w:rsid w:val="0024293D"/>
    <w:rsid w:val="00242B98"/>
    <w:rsid w:val="002445A1"/>
    <w:rsid w:val="00244A27"/>
    <w:rsid w:val="00246CDE"/>
    <w:rsid w:val="00246FE6"/>
    <w:rsid w:val="002470E3"/>
    <w:rsid w:val="002471EF"/>
    <w:rsid w:val="00250AFC"/>
    <w:rsid w:val="00250C58"/>
    <w:rsid w:val="0025145F"/>
    <w:rsid w:val="002517D6"/>
    <w:rsid w:val="0025207D"/>
    <w:rsid w:val="002535AE"/>
    <w:rsid w:val="00254DE9"/>
    <w:rsid w:val="00256447"/>
    <w:rsid w:val="00257AE6"/>
    <w:rsid w:val="002615D3"/>
    <w:rsid w:val="0026268A"/>
    <w:rsid w:val="00262845"/>
    <w:rsid w:val="00262DA5"/>
    <w:rsid w:val="00263460"/>
    <w:rsid w:val="00263A08"/>
    <w:rsid w:val="002672F1"/>
    <w:rsid w:val="00271414"/>
    <w:rsid w:val="00271922"/>
    <w:rsid w:val="00273412"/>
    <w:rsid w:val="0027373F"/>
    <w:rsid w:val="00273FCB"/>
    <w:rsid w:val="00274ACF"/>
    <w:rsid w:val="002764A2"/>
    <w:rsid w:val="002771D6"/>
    <w:rsid w:val="00277388"/>
    <w:rsid w:val="00277BB1"/>
    <w:rsid w:val="00277C8F"/>
    <w:rsid w:val="00277F9E"/>
    <w:rsid w:val="002803AC"/>
    <w:rsid w:val="0028159B"/>
    <w:rsid w:val="00282534"/>
    <w:rsid w:val="00282671"/>
    <w:rsid w:val="00282861"/>
    <w:rsid w:val="00283047"/>
    <w:rsid w:val="002843E2"/>
    <w:rsid w:val="00286AAD"/>
    <w:rsid w:val="00286B62"/>
    <w:rsid w:val="00287BAA"/>
    <w:rsid w:val="0029180D"/>
    <w:rsid w:val="002926CC"/>
    <w:rsid w:val="00293489"/>
    <w:rsid w:val="002947D0"/>
    <w:rsid w:val="00295B30"/>
    <w:rsid w:val="00296191"/>
    <w:rsid w:val="00296F5E"/>
    <w:rsid w:val="002A0852"/>
    <w:rsid w:val="002A1F6F"/>
    <w:rsid w:val="002A30F0"/>
    <w:rsid w:val="002A38A4"/>
    <w:rsid w:val="002A5E4B"/>
    <w:rsid w:val="002A6DF5"/>
    <w:rsid w:val="002B197D"/>
    <w:rsid w:val="002B39D4"/>
    <w:rsid w:val="002B5B84"/>
    <w:rsid w:val="002B6406"/>
    <w:rsid w:val="002B6809"/>
    <w:rsid w:val="002C23BE"/>
    <w:rsid w:val="002C3251"/>
    <w:rsid w:val="002C4231"/>
    <w:rsid w:val="002C5F07"/>
    <w:rsid w:val="002C6082"/>
    <w:rsid w:val="002C7080"/>
    <w:rsid w:val="002D00B0"/>
    <w:rsid w:val="002D1659"/>
    <w:rsid w:val="002D2364"/>
    <w:rsid w:val="002D2E16"/>
    <w:rsid w:val="002D2F76"/>
    <w:rsid w:val="002D4E86"/>
    <w:rsid w:val="002D5401"/>
    <w:rsid w:val="002D6050"/>
    <w:rsid w:val="002D6C4B"/>
    <w:rsid w:val="002D6E3E"/>
    <w:rsid w:val="002E1D31"/>
    <w:rsid w:val="002E21D6"/>
    <w:rsid w:val="002E2CDA"/>
    <w:rsid w:val="002E45A0"/>
    <w:rsid w:val="002E45D5"/>
    <w:rsid w:val="002E45F0"/>
    <w:rsid w:val="002E73EE"/>
    <w:rsid w:val="002E7778"/>
    <w:rsid w:val="002F0A2A"/>
    <w:rsid w:val="002F7252"/>
    <w:rsid w:val="003026CB"/>
    <w:rsid w:val="00304B3E"/>
    <w:rsid w:val="00304D97"/>
    <w:rsid w:val="003071E5"/>
    <w:rsid w:val="0031180A"/>
    <w:rsid w:val="00313127"/>
    <w:rsid w:val="00313304"/>
    <w:rsid w:val="003133C5"/>
    <w:rsid w:val="003155F4"/>
    <w:rsid w:val="00320309"/>
    <w:rsid w:val="0032083E"/>
    <w:rsid w:val="0032107F"/>
    <w:rsid w:val="00321D1E"/>
    <w:rsid w:val="00322B54"/>
    <w:rsid w:val="00324D3A"/>
    <w:rsid w:val="0032530E"/>
    <w:rsid w:val="00325A61"/>
    <w:rsid w:val="00326976"/>
    <w:rsid w:val="00326D12"/>
    <w:rsid w:val="003279E4"/>
    <w:rsid w:val="003302D4"/>
    <w:rsid w:val="00330A57"/>
    <w:rsid w:val="00330ACB"/>
    <w:rsid w:val="00330F46"/>
    <w:rsid w:val="00331006"/>
    <w:rsid w:val="003311D7"/>
    <w:rsid w:val="00331B9E"/>
    <w:rsid w:val="0033231F"/>
    <w:rsid w:val="00332A9B"/>
    <w:rsid w:val="00332B8B"/>
    <w:rsid w:val="003333D2"/>
    <w:rsid w:val="0033521E"/>
    <w:rsid w:val="0033603F"/>
    <w:rsid w:val="003363B4"/>
    <w:rsid w:val="003364C7"/>
    <w:rsid w:val="0033711F"/>
    <w:rsid w:val="00337420"/>
    <w:rsid w:val="00337CA2"/>
    <w:rsid w:val="00340112"/>
    <w:rsid w:val="003404A4"/>
    <w:rsid w:val="003418E4"/>
    <w:rsid w:val="003434FD"/>
    <w:rsid w:val="00344613"/>
    <w:rsid w:val="00346843"/>
    <w:rsid w:val="00347104"/>
    <w:rsid w:val="00350421"/>
    <w:rsid w:val="00350852"/>
    <w:rsid w:val="0035096E"/>
    <w:rsid w:val="0035129C"/>
    <w:rsid w:val="0035219F"/>
    <w:rsid w:val="0035572D"/>
    <w:rsid w:val="00355CB5"/>
    <w:rsid w:val="00355D01"/>
    <w:rsid w:val="00360B81"/>
    <w:rsid w:val="00361E59"/>
    <w:rsid w:val="0036411E"/>
    <w:rsid w:val="00364DCE"/>
    <w:rsid w:val="00366283"/>
    <w:rsid w:val="0036777E"/>
    <w:rsid w:val="003701FA"/>
    <w:rsid w:val="003715E1"/>
    <w:rsid w:val="003727DD"/>
    <w:rsid w:val="00372A26"/>
    <w:rsid w:val="00372B55"/>
    <w:rsid w:val="00372EC7"/>
    <w:rsid w:val="0037484C"/>
    <w:rsid w:val="003749CD"/>
    <w:rsid w:val="00374A6C"/>
    <w:rsid w:val="00374AC4"/>
    <w:rsid w:val="00375F6F"/>
    <w:rsid w:val="00382718"/>
    <w:rsid w:val="0038288F"/>
    <w:rsid w:val="00382B3B"/>
    <w:rsid w:val="00383E45"/>
    <w:rsid w:val="003859CF"/>
    <w:rsid w:val="00385ED2"/>
    <w:rsid w:val="003866D6"/>
    <w:rsid w:val="0038714A"/>
    <w:rsid w:val="00387551"/>
    <w:rsid w:val="00391DFA"/>
    <w:rsid w:val="00391F86"/>
    <w:rsid w:val="003923FB"/>
    <w:rsid w:val="003931C7"/>
    <w:rsid w:val="00393F00"/>
    <w:rsid w:val="003945C0"/>
    <w:rsid w:val="00395739"/>
    <w:rsid w:val="003958CE"/>
    <w:rsid w:val="003A25A7"/>
    <w:rsid w:val="003B087E"/>
    <w:rsid w:val="003B3BF6"/>
    <w:rsid w:val="003B49E9"/>
    <w:rsid w:val="003B52CE"/>
    <w:rsid w:val="003B535C"/>
    <w:rsid w:val="003B5F0C"/>
    <w:rsid w:val="003C07B9"/>
    <w:rsid w:val="003C149C"/>
    <w:rsid w:val="003C2120"/>
    <w:rsid w:val="003C221C"/>
    <w:rsid w:val="003C26E7"/>
    <w:rsid w:val="003C29B1"/>
    <w:rsid w:val="003C39FF"/>
    <w:rsid w:val="003C47C0"/>
    <w:rsid w:val="003C4BB1"/>
    <w:rsid w:val="003C4CE8"/>
    <w:rsid w:val="003C63A3"/>
    <w:rsid w:val="003D016F"/>
    <w:rsid w:val="003D030E"/>
    <w:rsid w:val="003D040D"/>
    <w:rsid w:val="003D0D8C"/>
    <w:rsid w:val="003D17E9"/>
    <w:rsid w:val="003D1F49"/>
    <w:rsid w:val="003D2061"/>
    <w:rsid w:val="003D44B0"/>
    <w:rsid w:val="003D543B"/>
    <w:rsid w:val="003D64CD"/>
    <w:rsid w:val="003D6AE7"/>
    <w:rsid w:val="003D7E3D"/>
    <w:rsid w:val="003E02C5"/>
    <w:rsid w:val="003E1FE3"/>
    <w:rsid w:val="003E23AC"/>
    <w:rsid w:val="003E32A7"/>
    <w:rsid w:val="003E533E"/>
    <w:rsid w:val="003E5804"/>
    <w:rsid w:val="003E73AF"/>
    <w:rsid w:val="003E74AE"/>
    <w:rsid w:val="003F0C1A"/>
    <w:rsid w:val="003F129E"/>
    <w:rsid w:val="003F1A33"/>
    <w:rsid w:val="003F3072"/>
    <w:rsid w:val="003F31E6"/>
    <w:rsid w:val="003F31E9"/>
    <w:rsid w:val="003F4360"/>
    <w:rsid w:val="003F47B3"/>
    <w:rsid w:val="003F60B1"/>
    <w:rsid w:val="003F7729"/>
    <w:rsid w:val="00400BA7"/>
    <w:rsid w:val="00401057"/>
    <w:rsid w:val="00401F23"/>
    <w:rsid w:val="004024E4"/>
    <w:rsid w:val="0040501F"/>
    <w:rsid w:val="004061B4"/>
    <w:rsid w:val="00406289"/>
    <w:rsid w:val="00406578"/>
    <w:rsid w:val="004074EF"/>
    <w:rsid w:val="004102A9"/>
    <w:rsid w:val="004102C3"/>
    <w:rsid w:val="0041307C"/>
    <w:rsid w:val="004135E5"/>
    <w:rsid w:val="00413699"/>
    <w:rsid w:val="00413F89"/>
    <w:rsid w:val="004161D2"/>
    <w:rsid w:val="004167B4"/>
    <w:rsid w:val="004167BC"/>
    <w:rsid w:val="004202BF"/>
    <w:rsid w:val="0042032D"/>
    <w:rsid w:val="004225DC"/>
    <w:rsid w:val="0042315E"/>
    <w:rsid w:val="00423A41"/>
    <w:rsid w:val="00423C50"/>
    <w:rsid w:val="00425CEC"/>
    <w:rsid w:val="00425FBA"/>
    <w:rsid w:val="00427C7D"/>
    <w:rsid w:val="00427DED"/>
    <w:rsid w:val="00430D7E"/>
    <w:rsid w:val="00431B5F"/>
    <w:rsid w:val="00432332"/>
    <w:rsid w:val="00432368"/>
    <w:rsid w:val="00433641"/>
    <w:rsid w:val="00433B04"/>
    <w:rsid w:val="0043441F"/>
    <w:rsid w:val="00436478"/>
    <w:rsid w:val="0043784D"/>
    <w:rsid w:val="00440256"/>
    <w:rsid w:val="00440E22"/>
    <w:rsid w:val="00443322"/>
    <w:rsid w:val="00444DB4"/>
    <w:rsid w:val="0044547D"/>
    <w:rsid w:val="00446F93"/>
    <w:rsid w:val="0044704D"/>
    <w:rsid w:val="00451A74"/>
    <w:rsid w:val="0045238A"/>
    <w:rsid w:val="004552AB"/>
    <w:rsid w:val="004553FF"/>
    <w:rsid w:val="00455DD3"/>
    <w:rsid w:val="0045622C"/>
    <w:rsid w:val="00464787"/>
    <w:rsid w:val="00464B05"/>
    <w:rsid w:val="00464B51"/>
    <w:rsid w:val="00464FB1"/>
    <w:rsid w:val="0046632E"/>
    <w:rsid w:val="00467185"/>
    <w:rsid w:val="00467736"/>
    <w:rsid w:val="0047050C"/>
    <w:rsid w:val="00471BFD"/>
    <w:rsid w:val="00472A45"/>
    <w:rsid w:val="00473930"/>
    <w:rsid w:val="004745C5"/>
    <w:rsid w:val="00474D25"/>
    <w:rsid w:val="004750DB"/>
    <w:rsid w:val="00476861"/>
    <w:rsid w:val="00480F21"/>
    <w:rsid w:val="0048108E"/>
    <w:rsid w:val="004821BA"/>
    <w:rsid w:val="00484F6D"/>
    <w:rsid w:val="0048537F"/>
    <w:rsid w:val="004853FB"/>
    <w:rsid w:val="004874E5"/>
    <w:rsid w:val="00487885"/>
    <w:rsid w:val="00490755"/>
    <w:rsid w:val="00490A65"/>
    <w:rsid w:val="0049116C"/>
    <w:rsid w:val="00491968"/>
    <w:rsid w:val="004930C9"/>
    <w:rsid w:val="00493F62"/>
    <w:rsid w:val="00494832"/>
    <w:rsid w:val="00494F8A"/>
    <w:rsid w:val="004957C2"/>
    <w:rsid w:val="00495AF1"/>
    <w:rsid w:val="00497A89"/>
    <w:rsid w:val="004A0525"/>
    <w:rsid w:val="004A2352"/>
    <w:rsid w:val="004A4CED"/>
    <w:rsid w:val="004A4D74"/>
    <w:rsid w:val="004A5ABB"/>
    <w:rsid w:val="004A5C48"/>
    <w:rsid w:val="004A5F56"/>
    <w:rsid w:val="004A6BE6"/>
    <w:rsid w:val="004A7590"/>
    <w:rsid w:val="004A7E28"/>
    <w:rsid w:val="004B032A"/>
    <w:rsid w:val="004B047F"/>
    <w:rsid w:val="004B0828"/>
    <w:rsid w:val="004B0AA2"/>
    <w:rsid w:val="004B2D56"/>
    <w:rsid w:val="004B3304"/>
    <w:rsid w:val="004B3346"/>
    <w:rsid w:val="004B3DF1"/>
    <w:rsid w:val="004B41A1"/>
    <w:rsid w:val="004B4436"/>
    <w:rsid w:val="004B4BC0"/>
    <w:rsid w:val="004B5555"/>
    <w:rsid w:val="004C0484"/>
    <w:rsid w:val="004C0F90"/>
    <w:rsid w:val="004C1637"/>
    <w:rsid w:val="004C2542"/>
    <w:rsid w:val="004C259B"/>
    <w:rsid w:val="004C2659"/>
    <w:rsid w:val="004C26D6"/>
    <w:rsid w:val="004C2E86"/>
    <w:rsid w:val="004C32A0"/>
    <w:rsid w:val="004C6B4C"/>
    <w:rsid w:val="004C777E"/>
    <w:rsid w:val="004D0468"/>
    <w:rsid w:val="004D0C54"/>
    <w:rsid w:val="004D16A4"/>
    <w:rsid w:val="004D31DB"/>
    <w:rsid w:val="004D67DC"/>
    <w:rsid w:val="004E6682"/>
    <w:rsid w:val="004E6D8A"/>
    <w:rsid w:val="004F0411"/>
    <w:rsid w:val="004F15EF"/>
    <w:rsid w:val="004F1A55"/>
    <w:rsid w:val="004F22FE"/>
    <w:rsid w:val="004F4797"/>
    <w:rsid w:val="004F6E03"/>
    <w:rsid w:val="004F774D"/>
    <w:rsid w:val="004F7DE7"/>
    <w:rsid w:val="005006C5"/>
    <w:rsid w:val="005010BC"/>
    <w:rsid w:val="005013B0"/>
    <w:rsid w:val="005015E4"/>
    <w:rsid w:val="005017A6"/>
    <w:rsid w:val="00501FCC"/>
    <w:rsid w:val="0050251A"/>
    <w:rsid w:val="0050291D"/>
    <w:rsid w:val="00503187"/>
    <w:rsid w:val="00506147"/>
    <w:rsid w:val="005064CD"/>
    <w:rsid w:val="00506C00"/>
    <w:rsid w:val="00507269"/>
    <w:rsid w:val="00507365"/>
    <w:rsid w:val="00507ECA"/>
    <w:rsid w:val="0051005D"/>
    <w:rsid w:val="005107AE"/>
    <w:rsid w:val="00511016"/>
    <w:rsid w:val="005122FB"/>
    <w:rsid w:val="00512A22"/>
    <w:rsid w:val="00512FF9"/>
    <w:rsid w:val="005159B3"/>
    <w:rsid w:val="005161A8"/>
    <w:rsid w:val="0051704A"/>
    <w:rsid w:val="00520799"/>
    <w:rsid w:val="00521170"/>
    <w:rsid w:val="00522613"/>
    <w:rsid w:val="00522C03"/>
    <w:rsid w:val="00523110"/>
    <w:rsid w:val="005238D1"/>
    <w:rsid w:val="00525EA4"/>
    <w:rsid w:val="005276B7"/>
    <w:rsid w:val="0052791F"/>
    <w:rsid w:val="00532A8D"/>
    <w:rsid w:val="00532CFF"/>
    <w:rsid w:val="00533694"/>
    <w:rsid w:val="00534727"/>
    <w:rsid w:val="00534CEE"/>
    <w:rsid w:val="00534D3D"/>
    <w:rsid w:val="00535E16"/>
    <w:rsid w:val="00536880"/>
    <w:rsid w:val="00537EE0"/>
    <w:rsid w:val="005401CD"/>
    <w:rsid w:val="00540AD0"/>
    <w:rsid w:val="00543A76"/>
    <w:rsid w:val="00544044"/>
    <w:rsid w:val="00545BDA"/>
    <w:rsid w:val="00546BA5"/>
    <w:rsid w:val="00546E93"/>
    <w:rsid w:val="00547738"/>
    <w:rsid w:val="005522F3"/>
    <w:rsid w:val="005523D1"/>
    <w:rsid w:val="0055532E"/>
    <w:rsid w:val="00555BC3"/>
    <w:rsid w:val="00555D4C"/>
    <w:rsid w:val="00555DB4"/>
    <w:rsid w:val="00557C8E"/>
    <w:rsid w:val="00561B2B"/>
    <w:rsid w:val="005629A4"/>
    <w:rsid w:val="00562D64"/>
    <w:rsid w:val="0056357E"/>
    <w:rsid w:val="00564952"/>
    <w:rsid w:val="0056645F"/>
    <w:rsid w:val="00571AB1"/>
    <w:rsid w:val="005728F4"/>
    <w:rsid w:val="00577E1C"/>
    <w:rsid w:val="00580DB1"/>
    <w:rsid w:val="005814AC"/>
    <w:rsid w:val="005837CA"/>
    <w:rsid w:val="00584676"/>
    <w:rsid w:val="00584923"/>
    <w:rsid w:val="005854B7"/>
    <w:rsid w:val="0058685C"/>
    <w:rsid w:val="0058692F"/>
    <w:rsid w:val="00586ADF"/>
    <w:rsid w:val="00586BF2"/>
    <w:rsid w:val="00587AB1"/>
    <w:rsid w:val="0059070B"/>
    <w:rsid w:val="0059283C"/>
    <w:rsid w:val="00593738"/>
    <w:rsid w:val="00595082"/>
    <w:rsid w:val="00597594"/>
    <w:rsid w:val="00597893"/>
    <w:rsid w:val="005A0D95"/>
    <w:rsid w:val="005A0E1D"/>
    <w:rsid w:val="005A224B"/>
    <w:rsid w:val="005A3939"/>
    <w:rsid w:val="005A5EAE"/>
    <w:rsid w:val="005B02E6"/>
    <w:rsid w:val="005B0738"/>
    <w:rsid w:val="005B11D7"/>
    <w:rsid w:val="005B1225"/>
    <w:rsid w:val="005B17D8"/>
    <w:rsid w:val="005B1D82"/>
    <w:rsid w:val="005B4077"/>
    <w:rsid w:val="005B5A1D"/>
    <w:rsid w:val="005B65E5"/>
    <w:rsid w:val="005C1559"/>
    <w:rsid w:val="005C1EF6"/>
    <w:rsid w:val="005C28B0"/>
    <w:rsid w:val="005C29FF"/>
    <w:rsid w:val="005C2A6A"/>
    <w:rsid w:val="005C2F01"/>
    <w:rsid w:val="005C508B"/>
    <w:rsid w:val="005C5F3C"/>
    <w:rsid w:val="005C6C96"/>
    <w:rsid w:val="005D00C6"/>
    <w:rsid w:val="005D01BE"/>
    <w:rsid w:val="005D1177"/>
    <w:rsid w:val="005D17D0"/>
    <w:rsid w:val="005D1D13"/>
    <w:rsid w:val="005D254A"/>
    <w:rsid w:val="005D48E8"/>
    <w:rsid w:val="005D4FFE"/>
    <w:rsid w:val="005D5460"/>
    <w:rsid w:val="005D66D7"/>
    <w:rsid w:val="005D676A"/>
    <w:rsid w:val="005D7814"/>
    <w:rsid w:val="005D7E2D"/>
    <w:rsid w:val="005E0385"/>
    <w:rsid w:val="005E08CD"/>
    <w:rsid w:val="005E37E8"/>
    <w:rsid w:val="005E52B8"/>
    <w:rsid w:val="005E5BAC"/>
    <w:rsid w:val="005E74C5"/>
    <w:rsid w:val="005F0152"/>
    <w:rsid w:val="005F219D"/>
    <w:rsid w:val="005F2437"/>
    <w:rsid w:val="005F318A"/>
    <w:rsid w:val="005F31E3"/>
    <w:rsid w:val="005F34F5"/>
    <w:rsid w:val="005F7710"/>
    <w:rsid w:val="005F7719"/>
    <w:rsid w:val="006004F7"/>
    <w:rsid w:val="00603261"/>
    <w:rsid w:val="00603590"/>
    <w:rsid w:val="006065B2"/>
    <w:rsid w:val="00607597"/>
    <w:rsid w:val="00610150"/>
    <w:rsid w:val="00610F93"/>
    <w:rsid w:val="0061269B"/>
    <w:rsid w:val="006127CC"/>
    <w:rsid w:val="00613EBD"/>
    <w:rsid w:val="00614661"/>
    <w:rsid w:val="00616579"/>
    <w:rsid w:val="0061674C"/>
    <w:rsid w:val="006176CF"/>
    <w:rsid w:val="0061795A"/>
    <w:rsid w:val="00622BFC"/>
    <w:rsid w:val="00624396"/>
    <w:rsid w:val="006243C6"/>
    <w:rsid w:val="006273BC"/>
    <w:rsid w:val="006305EF"/>
    <w:rsid w:val="00630A63"/>
    <w:rsid w:val="006316FD"/>
    <w:rsid w:val="00632009"/>
    <w:rsid w:val="00632A27"/>
    <w:rsid w:val="00632C64"/>
    <w:rsid w:val="00632D70"/>
    <w:rsid w:val="00633CF1"/>
    <w:rsid w:val="00635970"/>
    <w:rsid w:val="00635A6C"/>
    <w:rsid w:val="00637091"/>
    <w:rsid w:val="0064053F"/>
    <w:rsid w:val="006420D0"/>
    <w:rsid w:val="00642839"/>
    <w:rsid w:val="006457F8"/>
    <w:rsid w:val="00645CCB"/>
    <w:rsid w:val="00646904"/>
    <w:rsid w:val="0064700E"/>
    <w:rsid w:val="006472A3"/>
    <w:rsid w:val="006474E0"/>
    <w:rsid w:val="006478CB"/>
    <w:rsid w:val="0065061F"/>
    <w:rsid w:val="00650B88"/>
    <w:rsid w:val="0065205B"/>
    <w:rsid w:val="00652C58"/>
    <w:rsid w:val="006530EF"/>
    <w:rsid w:val="00655273"/>
    <w:rsid w:val="006554DD"/>
    <w:rsid w:val="00660951"/>
    <w:rsid w:val="006636E2"/>
    <w:rsid w:val="0066433F"/>
    <w:rsid w:val="00664C4E"/>
    <w:rsid w:val="0066573D"/>
    <w:rsid w:val="00666273"/>
    <w:rsid w:val="00667E1E"/>
    <w:rsid w:val="00667FA9"/>
    <w:rsid w:val="00672291"/>
    <w:rsid w:val="0067233D"/>
    <w:rsid w:val="00672444"/>
    <w:rsid w:val="00672B2E"/>
    <w:rsid w:val="00673B61"/>
    <w:rsid w:val="006745AE"/>
    <w:rsid w:val="00675B9A"/>
    <w:rsid w:val="00676870"/>
    <w:rsid w:val="00676AF3"/>
    <w:rsid w:val="00677895"/>
    <w:rsid w:val="00677BEF"/>
    <w:rsid w:val="006814A3"/>
    <w:rsid w:val="00682AFC"/>
    <w:rsid w:val="00683344"/>
    <w:rsid w:val="00683B4F"/>
    <w:rsid w:val="00684FC9"/>
    <w:rsid w:val="00685ED3"/>
    <w:rsid w:val="0069072B"/>
    <w:rsid w:val="00690992"/>
    <w:rsid w:val="00690BBC"/>
    <w:rsid w:val="00691163"/>
    <w:rsid w:val="0069174B"/>
    <w:rsid w:val="00693279"/>
    <w:rsid w:val="00693340"/>
    <w:rsid w:val="00694B88"/>
    <w:rsid w:val="00697D42"/>
    <w:rsid w:val="006A04C7"/>
    <w:rsid w:val="006A11CB"/>
    <w:rsid w:val="006A28C5"/>
    <w:rsid w:val="006A32BA"/>
    <w:rsid w:val="006A4287"/>
    <w:rsid w:val="006A73FF"/>
    <w:rsid w:val="006B05E3"/>
    <w:rsid w:val="006B09BC"/>
    <w:rsid w:val="006B26FF"/>
    <w:rsid w:val="006B49F9"/>
    <w:rsid w:val="006B6D5D"/>
    <w:rsid w:val="006B76B0"/>
    <w:rsid w:val="006B7B5A"/>
    <w:rsid w:val="006C0801"/>
    <w:rsid w:val="006C0C2C"/>
    <w:rsid w:val="006C0D40"/>
    <w:rsid w:val="006C1C74"/>
    <w:rsid w:val="006C1CE6"/>
    <w:rsid w:val="006C1EAA"/>
    <w:rsid w:val="006C216F"/>
    <w:rsid w:val="006C402D"/>
    <w:rsid w:val="006C45D4"/>
    <w:rsid w:val="006C545A"/>
    <w:rsid w:val="006C6438"/>
    <w:rsid w:val="006C6B62"/>
    <w:rsid w:val="006D11BD"/>
    <w:rsid w:val="006D1ADA"/>
    <w:rsid w:val="006D2042"/>
    <w:rsid w:val="006D26C3"/>
    <w:rsid w:val="006D66E3"/>
    <w:rsid w:val="006D6BBA"/>
    <w:rsid w:val="006D75BA"/>
    <w:rsid w:val="006D7855"/>
    <w:rsid w:val="006E010C"/>
    <w:rsid w:val="006E1003"/>
    <w:rsid w:val="006E16BF"/>
    <w:rsid w:val="006E18F0"/>
    <w:rsid w:val="006E2C89"/>
    <w:rsid w:val="006E3301"/>
    <w:rsid w:val="006E38AF"/>
    <w:rsid w:val="006E4F93"/>
    <w:rsid w:val="006E6CFB"/>
    <w:rsid w:val="006E74CD"/>
    <w:rsid w:val="006F10FE"/>
    <w:rsid w:val="006F1174"/>
    <w:rsid w:val="006F257C"/>
    <w:rsid w:val="006F32BE"/>
    <w:rsid w:val="006F3A6A"/>
    <w:rsid w:val="006F5755"/>
    <w:rsid w:val="006F639D"/>
    <w:rsid w:val="00700135"/>
    <w:rsid w:val="0070023A"/>
    <w:rsid w:val="007007E5"/>
    <w:rsid w:val="0070212F"/>
    <w:rsid w:val="00702233"/>
    <w:rsid w:val="007034D5"/>
    <w:rsid w:val="00704C40"/>
    <w:rsid w:val="00705180"/>
    <w:rsid w:val="00706763"/>
    <w:rsid w:val="007105D4"/>
    <w:rsid w:val="00710A39"/>
    <w:rsid w:val="00711605"/>
    <w:rsid w:val="00711DF6"/>
    <w:rsid w:val="00712903"/>
    <w:rsid w:val="00716FBC"/>
    <w:rsid w:val="00717090"/>
    <w:rsid w:val="00720739"/>
    <w:rsid w:val="00720777"/>
    <w:rsid w:val="007210D0"/>
    <w:rsid w:val="00721153"/>
    <w:rsid w:val="0072253E"/>
    <w:rsid w:val="00723E1F"/>
    <w:rsid w:val="00723E90"/>
    <w:rsid w:val="0072443D"/>
    <w:rsid w:val="007247E5"/>
    <w:rsid w:val="007248B7"/>
    <w:rsid w:val="007254CA"/>
    <w:rsid w:val="007267D2"/>
    <w:rsid w:val="00730ADE"/>
    <w:rsid w:val="00730CF8"/>
    <w:rsid w:val="00731A90"/>
    <w:rsid w:val="00732608"/>
    <w:rsid w:val="00732FBA"/>
    <w:rsid w:val="00733251"/>
    <w:rsid w:val="00734083"/>
    <w:rsid w:val="00734C86"/>
    <w:rsid w:val="00736DCA"/>
    <w:rsid w:val="0073716C"/>
    <w:rsid w:val="00737257"/>
    <w:rsid w:val="00742A88"/>
    <w:rsid w:val="00743009"/>
    <w:rsid w:val="00745744"/>
    <w:rsid w:val="00745C47"/>
    <w:rsid w:val="00745E49"/>
    <w:rsid w:val="0075003D"/>
    <w:rsid w:val="00750FA7"/>
    <w:rsid w:val="00751D97"/>
    <w:rsid w:val="00752C55"/>
    <w:rsid w:val="007562D4"/>
    <w:rsid w:val="00756474"/>
    <w:rsid w:val="00756507"/>
    <w:rsid w:val="007573FA"/>
    <w:rsid w:val="00757897"/>
    <w:rsid w:val="00757ECC"/>
    <w:rsid w:val="00757EF9"/>
    <w:rsid w:val="00761DBF"/>
    <w:rsid w:val="00761FCF"/>
    <w:rsid w:val="00763537"/>
    <w:rsid w:val="00764339"/>
    <w:rsid w:val="00765503"/>
    <w:rsid w:val="00767B7E"/>
    <w:rsid w:val="007705E9"/>
    <w:rsid w:val="00771D7D"/>
    <w:rsid w:val="00773B2A"/>
    <w:rsid w:val="007745B7"/>
    <w:rsid w:val="007750C8"/>
    <w:rsid w:val="00776538"/>
    <w:rsid w:val="00776545"/>
    <w:rsid w:val="0077657D"/>
    <w:rsid w:val="007802BE"/>
    <w:rsid w:val="0078039C"/>
    <w:rsid w:val="00780EEF"/>
    <w:rsid w:val="0078134C"/>
    <w:rsid w:val="00781838"/>
    <w:rsid w:val="00781C47"/>
    <w:rsid w:val="00781E53"/>
    <w:rsid w:val="0078367D"/>
    <w:rsid w:val="007837C7"/>
    <w:rsid w:val="00783BB6"/>
    <w:rsid w:val="00784B44"/>
    <w:rsid w:val="00785465"/>
    <w:rsid w:val="00785701"/>
    <w:rsid w:val="007859D6"/>
    <w:rsid w:val="00787656"/>
    <w:rsid w:val="00791767"/>
    <w:rsid w:val="0079268A"/>
    <w:rsid w:val="00794859"/>
    <w:rsid w:val="00794CB2"/>
    <w:rsid w:val="00795D73"/>
    <w:rsid w:val="00795FB1"/>
    <w:rsid w:val="00796467"/>
    <w:rsid w:val="00796EE6"/>
    <w:rsid w:val="00797C88"/>
    <w:rsid w:val="007A0DD5"/>
    <w:rsid w:val="007A1013"/>
    <w:rsid w:val="007A199A"/>
    <w:rsid w:val="007A232C"/>
    <w:rsid w:val="007A235B"/>
    <w:rsid w:val="007A2E26"/>
    <w:rsid w:val="007A3B68"/>
    <w:rsid w:val="007A3D6E"/>
    <w:rsid w:val="007A4CA9"/>
    <w:rsid w:val="007A4D02"/>
    <w:rsid w:val="007A562C"/>
    <w:rsid w:val="007A60B4"/>
    <w:rsid w:val="007A7D19"/>
    <w:rsid w:val="007A7EC2"/>
    <w:rsid w:val="007B042D"/>
    <w:rsid w:val="007B05BB"/>
    <w:rsid w:val="007B0642"/>
    <w:rsid w:val="007B092A"/>
    <w:rsid w:val="007B671A"/>
    <w:rsid w:val="007B6E0A"/>
    <w:rsid w:val="007B764C"/>
    <w:rsid w:val="007C058D"/>
    <w:rsid w:val="007C118A"/>
    <w:rsid w:val="007C15D8"/>
    <w:rsid w:val="007C45DC"/>
    <w:rsid w:val="007C53A5"/>
    <w:rsid w:val="007C58D1"/>
    <w:rsid w:val="007C636F"/>
    <w:rsid w:val="007D06CF"/>
    <w:rsid w:val="007D0FC7"/>
    <w:rsid w:val="007D2655"/>
    <w:rsid w:val="007D39EB"/>
    <w:rsid w:val="007D5515"/>
    <w:rsid w:val="007D5CF4"/>
    <w:rsid w:val="007E2E4E"/>
    <w:rsid w:val="007E314E"/>
    <w:rsid w:val="007E35C0"/>
    <w:rsid w:val="007E4103"/>
    <w:rsid w:val="007E5ACB"/>
    <w:rsid w:val="007E5F5E"/>
    <w:rsid w:val="007E7238"/>
    <w:rsid w:val="007E7319"/>
    <w:rsid w:val="007E74E1"/>
    <w:rsid w:val="007E77A8"/>
    <w:rsid w:val="007F0B8E"/>
    <w:rsid w:val="007F30C2"/>
    <w:rsid w:val="007F491C"/>
    <w:rsid w:val="007F6B7B"/>
    <w:rsid w:val="007F7CEB"/>
    <w:rsid w:val="00800D07"/>
    <w:rsid w:val="008025F3"/>
    <w:rsid w:val="00803BF8"/>
    <w:rsid w:val="00804465"/>
    <w:rsid w:val="008061C9"/>
    <w:rsid w:val="008066D8"/>
    <w:rsid w:val="00806AC7"/>
    <w:rsid w:val="008074BB"/>
    <w:rsid w:val="00810B34"/>
    <w:rsid w:val="00811A18"/>
    <w:rsid w:val="008121AF"/>
    <w:rsid w:val="00812E18"/>
    <w:rsid w:val="00813711"/>
    <w:rsid w:val="00821E64"/>
    <w:rsid w:val="008253C4"/>
    <w:rsid w:val="00825A7E"/>
    <w:rsid w:val="008263C2"/>
    <w:rsid w:val="00827759"/>
    <w:rsid w:val="008307DB"/>
    <w:rsid w:val="00831965"/>
    <w:rsid w:val="00831A7E"/>
    <w:rsid w:val="00833398"/>
    <w:rsid w:val="00835AB7"/>
    <w:rsid w:val="00835D9D"/>
    <w:rsid w:val="00835FC9"/>
    <w:rsid w:val="008368F8"/>
    <w:rsid w:val="008370E3"/>
    <w:rsid w:val="00837E31"/>
    <w:rsid w:val="008405B8"/>
    <w:rsid w:val="008418FA"/>
    <w:rsid w:val="00842959"/>
    <w:rsid w:val="00842BB4"/>
    <w:rsid w:val="00843390"/>
    <w:rsid w:val="00844BCF"/>
    <w:rsid w:val="00845586"/>
    <w:rsid w:val="0085209F"/>
    <w:rsid w:val="0085235A"/>
    <w:rsid w:val="0085243A"/>
    <w:rsid w:val="00853417"/>
    <w:rsid w:val="00854138"/>
    <w:rsid w:val="00854410"/>
    <w:rsid w:val="008544DF"/>
    <w:rsid w:val="00854E87"/>
    <w:rsid w:val="00855FB3"/>
    <w:rsid w:val="00856095"/>
    <w:rsid w:val="008602B6"/>
    <w:rsid w:val="00860AAD"/>
    <w:rsid w:val="008617E8"/>
    <w:rsid w:val="00861AA6"/>
    <w:rsid w:val="00865972"/>
    <w:rsid w:val="00866139"/>
    <w:rsid w:val="008708F3"/>
    <w:rsid w:val="00871354"/>
    <w:rsid w:val="00872F0D"/>
    <w:rsid w:val="00873611"/>
    <w:rsid w:val="00873C8F"/>
    <w:rsid w:val="008745FE"/>
    <w:rsid w:val="00874FB3"/>
    <w:rsid w:val="00877B1A"/>
    <w:rsid w:val="00877F7C"/>
    <w:rsid w:val="00880BE3"/>
    <w:rsid w:val="00881359"/>
    <w:rsid w:val="00881EC3"/>
    <w:rsid w:val="00882093"/>
    <w:rsid w:val="00882588"/>
    <w:rsid w:val="0088398E"/>
    <w:rsid w:val="00884ADE"/>
    <w:rsid w:val="008856CF"/>
    <w:rsid w:val="00885864"/>
    <w:rsid w:val="00890A1D"/>
    <w:rsid w:val="00890BCB"/>
    <w:rsid w:val="0089281A"/>
    <w:rsid w:val="00893025"/>
    <w:rsid w:val="00893559"/>
    <w:rsid w:val="008936FC"/>
    <w:rsid w:val="0089383B"/>
    <w:rsid w:val="008940EF"/>
    <w:rsid w:val="0089534B"/>
    <w:rsid w:val="0089616F"/>
    <w:rsid w:val="008961BE"/>
    <w:rsid w:val="008A0232"/>
    <w:rsid w:val="008A1F58"/>
    <w:rsid w:val="008A6977"/>
    <w:rsid w:val="008A714C"/>
    <w:rsid w:val="008B0470"/>
    <w:rsid w:val="008B05E7"/>
    <w:rsid w:val="008B06C5"/>
    <w:rsid w:val="008B164E"/>
    <w:rsid w:val="008B3846"/>
    <w:rsid w:val="008B42E9"/>
    <w:rsid w:val="008B4F06"/>
    <w:rsid w:val="008B502A"/>
    <w:rsid w:val="008B57D8"/>
    <w:rsid w:val="008B65CF"/>
    <w:rsid w:val="008B7A65"/>
    <w:rsid w:val="008C03A3"/>
    <w:rsid w:val="008C0934"/>
    <w:rsid w:val="008C1219"/>
    <w:rsid w:val="008C123E"/>
    <w:rsid w:val="008C137D"/>
    <w:rsid w:val="008C1BF6"/>
    <w:rsid w:val="008C22DD"/>
    <w:rsid w:val="008C315E"/>
    <w:rsid w:val="008C3DFD"/>
    <w:rsid w:val="008C3ED0"/>
    <w:rsid w:val="008C5DA5"/>
    <w:rsid w:val="008C5E94"/>
    <w:rsid w:val="008D196A"/>
    <w:rsid w:val="008D1FF4"/>
    <w:rsid w:val="008D27BC"/>
    <w:rsid w:val="008D5551"/>
    <w:rsid w:val="008D62BC"/>
    <w:rsid w:val="008E0234"/>
    <w:rsid w:val="008E0A1B"/>
    <w:rsid w:val="008E3B70"/>
    <w:rsid w:val="008E3EF2"/>
    <w:rsid w:val="008E51C9"/>
    <w:rsid w:val="008E5246"/>
    <w:rsid w:val="008E5BEB"/>
    <w:rsid w:val="008E5D8A"/>
    <w:rsid w:val="008E6306"/>
    <w:rsid w:val="008F0865"/>
    <w:rsid w:val="008F12E0"/>
    <w:rsid w:val="008F6355"/>
    <w:rsid w:val="008F68F7"/>
    <w:rsid w:val="008F7948"/>
    <w:rsid w:val="009005A6"/>
    <w:rsid w:val="009006CF"/>
    <w:rsid w:val="00900C71"/>
    <w:rsid w:val="00902A1C"/>
    <w:rsid w:val="009037B6"/>
    <w:rsid w:val="009068FC"/>
    <w:rsid w:val="00906CBE"/>
    <w:rsid w:val="00910024"/>
    <w:rsid w:val="00910384"/>
    <w:rsid w:val="00910638"/>
    <w:rsid w:val="00910B8B"/>
    <w:rsid w:val="009125F5"/>
    <w:rsid w:val="00913055"/>
    <w:rsid w:val="0091643D"/>
    <w:rsid w:val="00916E33"/>
    <w:rsid w:val="00916F06"/>
    <w:rsid w:val="009173BB"/>
    <w:rsid w:val="0092093B"/>
    <w:rsid w:val="00922341"/>
    <w:rsid w:val="00926347"/>
    <w:rsid w:val="00926D2E"/>
    <w:rsid w:val="00927A51"/>
    <w:rsid w:val="00930669"/>
    <w:rsid w:val="00931E32"/>
    <w:rsid w:val="00932C33"/>
    <w:rsid w:val="00937C63"/>
    <w:rsid w:val="009427A1"/>
    <w:rsid w:val="00942FFE"/>
    <w:rsid w:val="009459D7"/>
    <w:rsid w:val="00950CA2"/>
    <w:rsid w:val="00951BC4"/>
    <w:rsid w:val="00952126"/>
    <w:rsid w:val="00952192"/>
    <w:rsid w:val="00953E4A"/>
    <w:rsid w:val="009551E0"/>
    <w:rsid w:val="0095654E"/>
    <w:rsid w:val="00956F3C"/>
    <w:rsid w:val="00960D38"/>
    <w:rsid w:val="009658EA"/>
    <w:rsid w:val="00965C6E"/>
    <w:rsid w:val="00967234"/>
    <w:rsid w:val="0096784A"/>
    <w:rsid w:val="00970598"/>
    <w:rsid w:val="00970678"/>
    <w:rsid w:val="00971C34"/>
    <w:rsid w:val="00972488"/>
    <w:rsid w:val="009726D0"/>
    <w:rsid w:val="0097421D"/>
    <w:rsid w:val="00976117"/>
    <w:rsid w:val="00976A23"/>
    <w:rsid w:val="00977D7C"/>
    <w:rsid w:val="00977FAF"/>
    <w:rsid w:val="009800BC"/>
    <w:rsid w:val="009816F6"/>
    <w:rsid w:val="009824D7"/>
    <w:rsid w:val="00982B08"/>
    <w:rsid w:val="00982E47"/>
    <w:rsid w:val="009835A8"/>
    <w:rsid w:val="0098438B"/>
    <w:rsid w:val="009843BA"/>
    <w:rsid w:val="00985958"/>
    <w:rsid w:val="009873C6"/>
    <w:rsid w:val="009878E2"/>
    <w:rsid w:val="00987D1A"/>
    <w:rsid w:val="00987D26"/>
    <w:rsid w:val="009900F0"/>
    <w:rsid w:val="00990B9B"/>
    <w:rsid w:val="00991370"/>
    <w:rsid w:val="00991769"/>
    <w:rsid w:val="00991ACA"/>
    <w:rsid w:val="009928B5"/>
    <w:rsid w:val="00993236"/>
    <w:rsid w:val="00993BC8"/>
    <w:rsid w:val="00993D8C"/>
    <w:rsid w:val="009946F9"/>
    <w:rsid w:val="00994E3D"/>
    <w:rsid w:val="0099646A"/>
    <w:rsid w:val="0099655A"/>
    <w:rsid w:val="00997138"/>
    <w:rsid w:val="009A0CFA"/>
    <w:rsid w:val="009A112C"/>
    <w:rsid w:val="009A2525"/>
    <w:rsid w:val="009A297E"/>
    <w:rsid w:val="009A5726"/>
    <w:rsid w:val="009A5CD5"/>
    <w:rsid w:val="009A6127"/>
    <w:rsid w:val="009A65CD"/>
    <w:rsid w:val="009B0A2B"/>
    <w:rsid w:val="009B0CC1"/>
    <w:rsid w:val="009B161B"/>
    <w:rsid w:val="009B4572"/>
    <w:rsid w:val="009B5572"/>
    <w:rsid w:val="009B69F0"/>
    <w:rsid w:val="009B6CAB"/>
    <w:rsid w:val="009B713C"/>
    <w:rsid w:val="009B75E2"/>
    <w:rsid w:val="009C0F18"/>
    <w:rsid w:val="009C11F3"/>
    <w:rsid w:val="009C12C6"/>
    <w:rsid w:val="009C2555"/>
    <w:rsid w:val="009C705A"/>
    <w:rsid w:val="009C7778"/>
    <w:rsid w:val="009C7A3C"/>
    <w:rsid w:val="009C7EE6"/>
    <w:rsid w:val="009D06AE"/>
    <w:rsid w:val="009D09E2"/>
    <w:rsid w:val="009D1E42"/>
    <w:rsid w:val="009D282B"/>
    <w:rsid w:val="009D44E7"/>
    <w:rsid w:val="009D5C24"/>
    <w:rsid w:val="009D7148"/>
    <w:rsid w:val="009D7BA2"/>
    <w:rsid w:val="009E02FD"/>
    <w:rsid w:val="009E0710"/>
    <w:rsid w:val="009E0ED8"/>
    <w:rsid w:val="009E4C74"/>
    <w:rsid w:val="009E56CC"/>
    <w:rsid w:val="009E59F1"/>
    <w:rsid w:val="009E62B6"/>
    <w:rsid w:val="009F0A1A"/>
    <w:rsid w:val="009F0C9E"/>
    <w:rsid w:val="009F1418"/>
    <w:rsid w:val="009F1AA3"/>
    <w:rsid w:val="009F21DE"/>
    <w:rsid w:val="009F26CA"/>
    <w:rsid w:val="009F35DA"/>
    <w:rsid w:val="009F4034"/>
    <w:rsid w:val="009F43D0"/>
    <w:rsid w:val="009F7C04"/>
    <w:rsid w:val="00A000F0"/>
    <w:rsid w:val="00A00568"/>
    <w:rsid w:val="00A00884"/>
    <w:rsid w:val="00A00EEB"/>
    <w:rsid w:val="00A020CE"/>
    <w:rsid w:val="00A02B24"/>
    <w:rsid w:val="00A02F62"/>
    <w:rsid w:val="00A02FA3"/>
    <w:rsid w:val="00A030C3"/>
    <w:rsid w:val="00A03E52"/>
    <w:rsid w:val="00A04803"/>
    <w:rsid w:val="00A06516"/>
    <w:rsid w:val="00A06D66"/>
    <w:rsid w:val="00A10147"/>
    <w:rsid w:val="00A10EDE"/>
    <w:rsid w:val="00A11331"/>
    <w:rsid w:val="00A12348"/>
    <w:rsid w:val="00A12A09"/>
    <w:rsid w:val="00A131E6"/>
    <w:rsid w:val="00A13843"/>
    <w:rsid w:val="00A146A5"/>
    <w:rsid w:val="00A14E71"/>
    <w:rsid w:val="00A17466"/>
    <w:rsid w:val="00A204B3"/>
    <w:rsid w:val="00A20576"/>
    <w:rsid w:val="00A21457"/>
    <w:rsid w:val="00A21593"/>
    <w:rsid w:val="00A221F7"/>
    <w:rsid w:val="00A22C21"/>
    <w:rsid w:val="00A22FF1"/>
    <w:rsid w:val="00A243B2"/>
    <w:rsid w:val="00A2573E"/>
    <w:rsid w:val="00A2604E"/>
    <w:rsid w:val="00A3119A"/>
    <w:rsid w:val="00A318B2"/>
    <w:rsid w:val="00A31CCE"/>
    <w:rsid w:val="00A33C95"/>
    <w:rsid w:val="00A33E8F"/>
    <w:rsid w:val="00A34295"/>
    <w:rsid w:val="00A345C4"/>
    <w:rsid w:val="00A34FF3"/>
    <w:rsid w:val="00A35351"/>
    <w:rsid w:val="00A361C7"/>
    <w:rsid w:val="00A36723"/>
    <w:rsid w:val="00A368B6"/>
    <w:rsid w:val="00A368DA"/>
    <w:rsid w:val="00A40935"/>
    <w:rsid w:val="00A40CD1"/>
    <w:rsid w:val="00A4267C"/>
    <w:rsid w:val="00A43140"/>
    <w:rsid w:val="00A432F3"/>
    <w:rsid w:val="00A4404A"/>
    <w:rsid w:val="00A45776"/>
    <w:rsid w:val="00A46DF5"/>
    <w:rsid w:val="00A50001"/>
    <w:rsid w:val="00A5065E"/>
    <w:rsid w:val="00A50D33"/>
    <w:rsid w:val="00A5149A"/>
    <w:rsid w:val="00A53650"/>
    <w:rsid w:val="00A536ED"/>
    <w:rsid w:val="00A53E3D"/>
    <w:rsid w:val="00A53E51"/>
    <w:rsid w:val="00A54136"/>
    <w:rsid w:val="00A545AE"/>
    <w:rsid w:val="00A5462E"/>
    <w:rsid w:val="00A5498C"/>
    <w:rsid w:val="00A550D4"/>
    <w:rsid w:val="00A55755"/>
    <w:rsid w:val="00A55A93"/>
    <w:rsid w:val="00A56319"/>
    <w:rsid w:val="00A57183"/>
    <w:rsid w:val="00A60693"/>
    <w:rsid w:val="00A6196D"/>
    <w:rsid w:val="00A619C0"/>
    <w:rsid w:val="00A61ADF"/>
    <w:rsid w:val="00A62012"/>
    <w:rsid w:val="00A624CB"/>
    <w:rsid w:val="00A6293D"/>
    <w:rsid w:val="00A62AC0"/>
    <w:rsid w:val="00A64067"/>
    <w:rsid w:val="00A64ECA"/>
    <w:rsid w:val="00A65B33"/>
    <w:rsid w:val="00A67C3F"/>
    <w:rsid w:val="00A73406"/>
    <w:rsid w:val="00A75118"/>
    <w:rsid w:val="00A763C7"/>
    <w:rsid w:val="00A76BD2"/>
    <w:rsid w:val="00A80A6F"/>
    <w:rsid w:val="00A8267D"/>
    <w:rsid w:val="00A82E14"/>
    <w:rsid w:val="00A846D1"/>
    <w:rsid w:val="00A8688E"/>
    <w:rsid w:val="00A8722B"/>
    <w:rsid w:val="00A901E9"/>
    <w:rsid w:val="00A917B6"/>
    <w:rsid w:val="00A91831"/>
    <w:rsid w:val="00A91B3B"/>
    <w:rsid w:val="00A91F65"/>
    <w:rsid w:val="00A923EB"/>
    <w:rsid w:val="00A93B4F"/>
    <w:rsid w:val="00A948A5"/>
    <w:rsid w:val="00A94F7A"/>
    <w:rsid w:val="00A95254"/>
    <w:rsid w:val="00A95D3B"/>
    <w:rsid w:val="00A97341"/>
    <w:rsid w:val="00AA0081"/>
    <w:rsid w:val="00AA2879"/>
    <w:rsid w:val="00AA3623"/>
    <w:rsid w:val="00AA4702"/>
    <w:rsid w:val="00AA4959"/>
    <w:rsid w:val="00AA4E4D"/>
    <w:rsid w:val="00AA5AF1"/>
    <w:rsid w:val="00AA5E38"/>
    <w:rsid w:val="00AB09ED"/>
    <w:rsid w:val="00AB3DC0"/>
    <w:rsid w:val="00AB4B68"/>
    <w:rsid w:val="00AB4CBB"/>
    <w:rsid w:val="00AB57A9"/>
    <w:rsid w:val="00AB5A68"/>
    <w:rsid w:val="00AB7F83"/>
    <w:rsid w:val="00AC125E"/>
    <w:rsid w:val="00AC31D6"/>
    <w:rsid w:val="00AC32E2"/>
    <w:rsid w:val="00AC3701"/>
    <w:rsid w:val="00AC45DF"/>
    <w:rsid w:val="00AC474D"/>
    <w:rsid w:val="00AC4DFD"/>
    <w:rsid w:val="00AC4F47"/>
    <w:rsid w:val="00AC5663"/>
    <w:rsid w:val="00AC5791"/>
    <w:rsid w:val="00AC58FD"/>
    <w:rsid w:val="00AD0F6D"/>
    <w:rsid w:val="00AD1166"/>
    <w:rsid w:val="00AD179C"/>
    <w:rsid w:val="00AD19D2"/>
    <w:rsid w:val="00AD1A96"/>
    <w:rsid w:val="00AD3042"/>
    <w:rsid w:val="00AD3544"/>
    <w:rsid w:val="00AD4770"/>
    <w:rsid w:val="00AD540C"/>
    <w:rsid w:val="00AD6E76"/>
    <w:rsid w:val="00AD7610"/>
    <w:rsid w:val="00AD793A"/>
    <w:rsid w:val="00AE0120"/>
    <w:rsid w:val="00AE071E"/>
    <w:rsid w:val="00AE3038"/>
    <w:rsid w:val="00AE3458"/>
    <w:rsid w:val="00AE3D4A"/>
    <w:rsid w:val="00AE3F4C"/>
    <w:rsid w:val="00AE5956"/>
    <w:rsid w:val="00AE619F"/>
    <w:rsid w:val="00AE7A88"/>
    <w:rsid w:val="00AF060F"/>
    <w:rsid w:val="00AF13D2"/>
    <w:rsid w:val="00AF1B2C"/>
    <w:rsid w:val="00AF2A56"/>
    <w:rsid w:val="00AF440A"/>
    <w:rsid w:val="00AF4A14"/>
    <w:rsid w:val="00AF51D1"/>
    <w:rsid w:val="00AF63AB"/>
    <w:rsid w:val="00B01784"/>
    <w:rsid w:val="00B01F1E"/>
    <w:rsid w:val="00B0283B"/>
    <w:rsid w:val="00B03507"/>
    <w:rsid w:val="00B0388B"/>
    <w:rsid w:val="00B03BEE"/>
    <w:rsid w:val="00B04418"/>
    <w:rsid w:val="00B0517E"/>
    <w:rsid w:val="00B05D5F"/>
    <w:rsid w:val="00B05F1F"/>
    <w:rsid w:val="00B107A7"/>
    <w:rsid w:val="00B11314"/>
    <w:rsid w:val="00B113E3"/>
    <w:rsid w:val="00B1156A"/>
    <w:rsid w:val="00B1213D"/>
    <w:rsid w:val="00B138E3"/>
    <w:rsid w:val="00B13FB5"/>
    <w:rsid w:val="00B144B8"/>
    <w:rsid w:val="00B15159"/>
    <w:rsid w:val="00B178FA"/>
    <w:rsid w:val="00B17D8E"/>
    <w:rsid w:val="00B204F1"/>
    <w:rsid w:val="00B207C3"/>
    <w:rsid w:val="00B20C36"/>
    <w:rsid w:val="00B21443"/>
    <w:rsid w:val="00B22468"/>
    <w:rsid w:val="00B23267"/>
    <w:rsid w:val="00B2333E"/>
    <w:rsid w:val="00B23906"/>
    <w:rsid w:val="00B23F96"/>
    <w:rsid w:val="00B257BF"/>
    <w:rsid w:val="00B27149"/>
    <w:rsid w:val="00B31D45"/>
    <w:rsid w:val="00B33007"/>
    <w:rsid w:val="00B34BB7"/>
    <w:rsid w:val="00B35636"/>
    <w:rsid w:val="00B35B4D"/>
    <w:rsid w:val="00B362F0"/>
    <w:rsid w:val="00B36652"/>
    <w:rsid w:val="00B40B55"/>
    <w:rsid w:val="00B425AB"/>
    <w:rsid w:val="00B425F8"/>
    <w:rsid w:val="00B43729"/>
    <w:rsid w:val="00B44917"/>
    <w:rsid w:val="00B45279"/>
    <w:rsid w:val="00B47090"/>
    <w:rsid w:val="00B532D1"/>
    <w:rsid w:val="00B5463D"/>
    <w:rsid w:val="00B57925"/>
    <w:rsid w:val="00B5796E"/>
    <w:rsid w:val="00B57D5D"/>
    <w:rsid w:val="00B57F7C"/>
    <w:rsid w:val="00B601BB"/>
    <w:rsid w:val="00B602A5"/>
    <w:rsid w:val="00B60FCD"/>
    <w:rsid w:val="00B618BB"/>
    <w:rsid w:val="00B61A34"/>
    <w:rsid w:val="00B61B33"/>
    <w:rsid w:val="00B61E3E"/>
    <w:rsid w:val="00B63862"/>
    <w:rsid w:val="00B64050"/>
    <w:rsid w:val="00B6432A"/>
    <w:rsid w:val="00B660FA"/>
    <w:rsid w:val="00B66971"/>
    <w:rsid w:val="00B67822"/>
    <w:rsid w:val="00B67A79"/>
    <w:rsid w:val="00B67E1C"/>
    <w:rsid w:val="00B70113"/>
    <w:rsid w:val="00B72335"/>
    <w:rsid w:val="00B72D62"/>
    <w:rsid w:val="00B74E71"/>
    <w:rsid w:val="00B767AF"/>
    <w:rsid w:val="00B76999"/>
    <w:rsid w:val="00B7749D"/>
    <w:rsid w:val="00B80511"/>
    <w:rsid w:val="00B80798"/>
    <w:rsid w:val="00B80876"/>
    <w:rsid w:val="00B82249"/>
    <w:rsid w:val="00B82B69"/>
    <w:rsid w:val="00B82C3C"/>
    <w:rsid w:val="00B82DE6"/>
    <w:rsid w:val="00B831CD"/>
    <w:rsid w:val="00B846F6"/>
    <w:rsid w:val="00B85329"/>
    <w:rsid w:val="00B91112"/>
    <w:rsid w:val="00B91B73"/>
    <w:rsid w:val="00B91B9D"/>
    <w:rsid w:val="00B92540"/>
    <w:rsid w:val="00B928CB"/>
    <w:rsid w:val="00B92989"/>
    <w:rsid w:val="00B9346F"/>
    <w:rsid w:val="00B96549"/>
    <w:rsid w:val="00B973B8"/>
    <w:rsid w:val="00B97D29"/>
    <w:rsid w:val="00BA0046"/>
    <w:rsid w:val="00BA1B71"/>
    <w:rsid w:val="00BA1E82"/>
    <w:rsid w:val="00BA3176"/>
    <w:rsid w:val="00BA3BCF"/>
    <w:rsid w:val="00BA5E20"/>
    <w:rsid w:val="00BA607C"/>
    <w:rsid w:val="00BA6734"/>
    <w:rsid w:val="00BB3E2A"/>
    <w:rsid w:val="00BB48A7"/>
    <w:rsid w:val="00BB4BD4"/>
    <w:rsid w:val="00BB4ED6"/>
    <w:rsid w:val="00BB7121"/>
    <w:rsid w:val="00BC0479"/>
    <w:rsid w:val="00BC1341"/>
    <w:rsid w:val="00BC1651"/>
    <w:rsid w:val="00BC16F5"/>
    <w:rsid w:val="00BC18FF"/>
    <w:rsid w:val="00BC287D"/>
    <w:rsid w:val="00BC2A38"/>
    <w:rsid w:val="00BC3275"/>
    <w:rsid w:val="00BC46EB"/>
    <w:rsid w:val="00BC57FE"/>
    <w:rsid w:val="00BC643B"/>
    <w:rsid w:val="00BD09DF"/>
    <w:rsid w:val="00BD174C"/>
    <w:rsid w:val="00BD2A41"/>
    <w:rsid w:val="00BD32E5"/>
    <w:rsid w:val="00BD36C4"/>
    <w:rsid w:val="00BD4BC6"/>
    <w:rsid w:val="00BD6E1A"/>
    <w:rsid w:val="00BD732F"/>
    <w:rsid w:val="00BD79DE"/>
    <w:rsid w:val="00BE05E0"/>
    <w:rsid w:val="00BE1095"/>
    <w:rsid w:val="00BE150A"/>
    <w:rsid w:val="00BE448D"/>
    <w:rsid w:val="00BE4776"/>
    <w:rsid w:val="00BE5614"/>
    <w:rsid w:val="00BE6767"/>
    <w:rsid w:val="00BE686C"/>
    <w:rsid w:val="00BE730D"/>
    <w:rsid w:val="00BE78EC"/>
    <w:rsid w:val="00BF1DCE"/>
    <w:rsid w:val="00BF46EE"/>
    <w:rsid w:val="00BF4914"/>
    <w:rsid w:val="00BF560C"/>
    <w:rsid w:val="00BF56B6"/>
    <w:rsid w:val="00BF607B"/>
    <w:rsid w:val="00BF646E"/>
    <w:rsid w:val="00C022EC"/>
    <w:rsid w:val="00C02E1D"/>
    <w:rsid w:val="00C03BC2"/>
    <w:rsid w:val="00C04235"/>
    <w:rsid w:val="00C0613C"/>
    <w:rsid w:val="00C1045C"/>
    <w:rsid w:val="00C10D05"/>
    <w:rsid w:val="00C13970"/>
    <w:rsid w:val="00C13DF9"/>
    <w:rsid w:val="00C144C1"/>
    <w:rsid w:val="00C14FBA"/>
    <w:rsid w:val="00C15484"/>
    <w:rsid w:val="00C15EA1"/>
    <w:rsid w:val="00C166A0"/>
    <w:rsid w:val="00C16CFB"/>
    <w:rsid w:val="00C174DB"/>
    <w:rsid w:val="00C17A8E"/>
    <w:rsid w:val="00C17DEE"/>
    <w:rsid w:val="00C22C7F"/>
    <w:rsid w:val="00C2378F"/>
    <w:rsid w:val="00C23EC0"/>
    <w:rsid w:val="00C2417E"/>
    <w:rsid w:val="00C24F70"/>
    <w:rsid w:val="00C25615"/>
    <w:rsid w:val="00C25DC2"/>
    <w:rsid w:val="00C26A06"/>
    <w:rsid w:val="00C2761C"/>
    <w:rsid w:val="00C30B10"/>
    <w:rsid w:val="00C324A0"/>
    <w:rsid w:val="00C33479"/>
    <w:rsid w:val="00C36424"/>
    <w:rsid w:val="00C40096"/>
    <w:rsid w:val="00C40ED2"/>
    <w:rsid w:val="00C41F10"/>
    <w:rsid w:val="00C432DD"/>
    <w:rsid w:val="00C4423A"/>
    <w:rsid w:val="00C44565"/>
    <w:rsid w:val="00C46402"/>
    <w:rsid w:val="00C47CA6"/>
    <w:rsid w:val="00C501FE"/>
    <w:rsid w:val="00C53577"/>
    <w:rsid w:val="00C53656"/>
    <w:rsid w:val="00C53FCF"/>
    <w:rsid w:val="00C55CEA"/>
    <w:rsid w:val="00C560A3"/>
    <w:rsid w:val="00C56957"/>
    <w:rsid w:val="00C5784B"/>
    <w:rsid w:val="00C62475"/>
    <w:rsid w:val="00C639FF"/>
    <w:rsid w:val="00C63CB4"/>
    <w:rsid w:val="00C63FAC"/>
    <w:rsid w:val="00C6442A"/>
    <w:rsid w:val="00C64684"/>
    <w:rsid w:val="00C64D15"/>
    <w:rsid w:val="00C66088"/>
    <w:rsid w:val="00C66DC6"/>
    <w:rsid w:val="00C67C4C"/>
    <w:rsid w:val="00C7414B"/>
    <w:rsid w:val="00C74B5D"/>
    <w:rsid w:val="00C74F74"/>
    <w:rsid w:val="00C7554B"/>
    <w:rsid w:val="00C75702"/>
    <w:rsid w:val="00C76D1F"/>
    <w:rsid w:val="00C80951"/>
    <w:rsid w:val="00C81F91"/>
    <w:rsid w:val="00C8205E"/>
    <w:rsid w:val="00C8223A"/>
    <w:rsid w:val="00C82EB5"/>
    <w:rsid w:val="00C83333"/>
    <w:rsid w:val="00C841C1"/>
    <w:rsid w:val="00C8599F"/>
    <w:rsid w:val="00C85CF2"/>
    <w:rsid w:val="00C8604A"/>
    <w:rsid w:val="00C86810"/>
    <w:rsid w:val="00C87966"/>
    <w:rsid w:val="00C902DE"/>
    <w:rsid w:val="00C916AE"/>
    <w:rsid w:val="00C93AAA"/>
    <w:rsid w:val="00C94DFC"/>
    <w:rsid w:val="00C95FCD"/>
    <w:rsid w:val="00C96FB3"/>
    <w:rsid w:val="00C97188"/>
    <w:rsid w:val="00C97A46"/>
    <w:rsid w:val="00CA025C"/>
    <w:rsid w:val="00CA0639"/>
    <w:rsid w:val="00CA11D0"/>
    <w:rsid w:val="00CA1D3C"/>
    <w:rsid w:val="00CA2E02"/>
    <w:rsid w:val="00CA416D"/>
    <w:rsid w:val="00CA4CCF"/>
    <w:rsid w:val="00CA4ECF"/>
    <w:rsid w:val="00CA54D7"/>
    <w:rsid w:val="00CA583A"/>
    <w:rsid w:val="00CA5EC6"/>
    <w:rsid w:val="00CB055C"/>
    <w:rsid w:val="00CB07E0"/>
    <w:rsid w:val="00CB38E1"/>
    <w:rsid w:val="00CB3CC2"/>
    <w:rsid w:val="00CB500F"/>
    <w:rsid w:val="00CB5744"/>
    <w:rsid w:val="00CB60DF"/>
    <w:rsid w:val="00CB7022"/>
    <w:rsid w:val="00CB7BC5"/>
    <w:rsid w:val="00CC0CE3"/>
    <w:rsid w:val="00CC141E"/>
    <w:rsid w:val="00CC21AC"/>
    <w:rsid w:val="00CC4167"/>
    <w:rsid w:val="00CC478B"/>
    <w:rsid w:val="00CC586D"/>
    <w:rsid w:val="00CC60F7"/>
    <w:rsid w:val="00CC6202"/>
    <w:rsid w:val="00CC7DBC"/>
    <w:rsid w:val="00CD05FA"/>
    <w:rsid w:val="00CD0632"/>
    <w:rsid w:val="00CD0750"/>
    <w:rsid w:val="00CD1715"/>
    <w:rsid w:val="00CD1BA3"/>
    <w:rsid w:val="00CD1D23"/>
    <w:rsid w:val="00CD3612"/>
    <w:rsid w:val="00CD3E69"/>
    <w:rsid w:val="00CD4224"/>
    <w:rsid w:val="00CD4B07"/>
    <w:rsid w:val="00CD588D"/>
    <w:rsid w:val="00CD6B7D"/>
    <w:rsid w:val="00CD7D29"/>
    <w:rsid w:val="00CE0847"/>
    <w:rsid w:val="00CE0B6C"/>
    <w:rsid w:val="00CE11D0"/>
    <w:rsid w:val="00CE2EEA"/>
    <w:rsid w:val="00CE4708"/>
    <w:rsid w:val="00CE4C50"/>
    <w:rsid w:val="00CE5924"/>
    <w:rsid w:val="00CE6858"/>
    <w:rsid w:val="00CE7450"/>
    <w:rsid w:val="00CE770C"/>
    <w:rsid w:val="00CF0742"/>
    <w:rsid w:val="00CF19AB"/>
    <w:rsid w:val="00CF3C64"/>
    <w:rsid w:val="00CF50BE"/>
    <w:rsid w:val="00CF538C"/>
    <w:rsid w:val="00CF7625"/>
    <w:rsid w:val="00CF7EF9"/>
    <w:rsid w:val="00D00026"/>
    <w:rsid w:val="00D00E6B"/>
    <w:rsid w:val="00D015B4"/>
    <w:rsid w:val="00D0451D"/>
    <w:rsid w:val="00D0506A"/>
    <w:rsid w:val="00D05F59"/>
    <w:rsid w:val="00D0643D"/>
    <w:rsid w:val="00D10FA1"/>
    <w:rsid w:val="00D1289C"/>
    <w:rsid w:val="00D142D3"/>
    <w:rsid w:val="00D1666F"/>
    <w:rsid w:val="00D17DAE"/>
    <w:rsid w:val="00D2071A"/>
    <w:rsid w:val="00D229C2"/>
    <w:rsid w:val="00D22EDA"/>
    <w:rsid w:val="00D22F44"/>
    <w:rsid w:val="00D25177"/>
    <w:rsid w:val="00D25622"/>
    <w:rsid w:val="00D30F73"/>
    <w:rsid w:val="00D30F97"/>
    <w:rsid w:val="00D313A0"/>
    <w:rsid w:val="00D31931"/>
    <w:rsid w:val="00D33397"/>
    <w:rsid w:val="00D35443"/>
    <w:rsid w:val="00D36B2E"/>
    <w:rsid w:val="00D36FE0"/>
    <w:rsid w:val="00D373FA"/>
    <w:rsid w:val="00D378F3"/>
    <w:rsid w:val="00D40799"/>
    <w:rsid w:val="00D41A06"/>
    <w:rsid w:val="00D42A57"/>
    <w:rsid w:val="00D42ABF"/>
    <w:rsid w:val="00D42F40"/>
    <w:rsid w:val="00D45B67"/>
    <w:rsid w:val="00D5034A"/>
    <w:rsid w:val="00D5062A"/>
    <w:rsid w:val="00D50E51"/>
    <w:rsid w:val="00D50E75"/>
    <w:rsid w:val="00D51F49"/>
    <w:rsid w:val="00D53EDC"/>
    <w:rsid w:val="00D558E6"/>
    <w:rsid w:val="00D55EE8"/>
    <w:rsid w:val="00D562CB"/>
    <w:rsid w:val="00D569D1"/>
    <w:rsid w:val="00D56AD8"/>
    <w:rsid w:val="00D56C05"/>
    <w:rsid w:val="00D5785A"/>
    <w:rsid w:val="00D57A29"/>
    <w:rsid w:val="00D6212A"/>
    <w:rsid w:val="00D62E64"/>
    <w:rsid w:val="00D63293"/>
    <w:rsid w:val="00D6375F"/>
    <w:rsid w:val="00D6416E"/>
    <w:rsid w:val="00D6433F"/>
    <w:rsid w:val="00D64353"/>
    <w:rsid w:val="00D64C48"/>
    <w:rsid w:val="00D6680B"/>
    <w:rsid w:val="00D66BAC"/>
    <w:rsid w:val="00D67867"/>
    <w:rsid w:val="00D709C0"/>
    <w:rsid w:val="00D70FDF"/>
    <w:rsid w:val="00D72F4F"/>
    <w:rsid w:val="00D731C4"/>
    <w:rsid w:val="00D74385"/>
    <w:rsid w:val="00D74EB4"/>
    <w:rsid w:val="00D7656C"/>
    <w:rsid w:val="00D77EB2"/>
    <w:rsid w:val="00D801FC"/>
    <w:rsid w:val="00D8403A"/>
    <w:rsid w:val="00D85BE0"/>
    <w:rsid w:val="00D86A7D"/>
    <w:rsid w:val="00D87F9F"/>
    <w:rsid w:val="00D87FD7"/>
    <w:rsid w:val="00D90C3C"/>
    <w:rsid w:val="00D90F6D"/>
    <w:rsid w:val="00D91466"/>
    <w:rsid w:val="00D915ED"/>
    <w:rsid w:val="00D91BEE"/>
    <w:rsid w:val="00D91DE4"/>
    <w:rsid w:val="00D92300"/>
    <w:rsid w:val="00D92D7F"/>
    <w:rsid w:val="00D93E9F"/>
    <w:rsid w:val="00D94AFC"/>
    <w:rsid w:val="00D950E6"/>
    <w:rsid w:val="00D96062"/>
    <w:rsid w:val="00D97047"/>
    <w:rsid w:val="00D9730E"/>
    <w:rsid w:val="00D974E4"/>
    <w:rsid w:val="00DA0467"/>
    <w:rsid w:val="00DA3619"/>
    <w:rsid w:val="00DA3E38"/>
    <w:rsid w:val="00DB0B88"/>
    <w:rsid w:val="00DB1652"/>
    <w:rsid w:val="00DB3B6D"/>
    <w:rsid w:val="00DB40FE"/>
    <w:rsid w:val="00DB4A7B"/>
    <w:rsid w:val="00DB508F"/>
    <w:rsid w:val="00DB50EF"/>
    <w:rsid w:val="00DB5773"/>
    <w:rsid w:val="00DB58A6"/>
    <w:rsid w:val="00DB6B99"/>
    <w:rsid w:val="00DC001A"/>
    <w:rsid w:val="00DC5FA4"/>
    <w:rsid w:val="00DC66CD"/>
    <w:rsid w:val="00DC6991"/>
    <w:rsid w:val="00DD22BB"/>
    <w:rsid w:val="00DD29B8"/>
    <w:rsid w:val="00DD3DFE"/>
    <w:rsid w:val="00DD4F44"/>
    <w:rsid w:val="00DD59B8"/>
    <w:rsid w:val="00DD686C"/>
    <w:rsid w:val="00DD6DDA"/>
    <w:rsid w:val="00DD7E0C"/>
    <w:rsid w:val="00DE05CE"/>
    <w:rsid w:val="00DE071C"/>
    <w:rsid w:val="00DE1A1A"/>
    <w:rsid w:val="00DE2AC3"/>
    <w:rsid w:val="00DE2E40"/>
    <w:rsid w:val="00DE3496"/>
    <w:rsid w:val="00DE3598"/>
    <w:rsid w:val="00DE3FBD"/>
    <w:rsid w:val="00DE43F5"/>
    <w:rsid w:val="00DE65FB"/>
    <w:rsid w:val="00DE779B"/>
    <w:rsid w:val="00DF0CC3"/>
    <w:rsid w:val="00DF234F"/>
    <w:rsid w:val="00DF420A"/>
    <w:rsid w:val="00E02472"/>
    <w:rsid w:val="00E04069"/>
    <w:rsid w:val="00E0418E"/>
    <w:rsid w:val="00E041F0"/>
    <w:rsid w:val="00E047EA"/>
    <w:rsid w:val="00E1069A"/>
    <w:rsid w:val="00E128D8"/>
    <w:rsid w:val="00E130C3"/>
    <w:rsid w:val="00E13CAC"/>
    <w:rsid w:val="00E14AF2"/>
    <w:rsid w:val="00E17EDF"/>
    <w:rsid w:val="00E201CC"/>
    <w:rsid w:val="00E2082D"/>
    <w:rsid w:val="00E211DA"/>
    <w:rsid w:val="00E21A47"/>
    <w:rsid w:val="00E221E2"/>
    <w:rsid w:val="00E23023"/>
    <w:rsid w:val="00E2330D"/>
    <w:rsid w:val="00E24303"/>
    <w:rsid w:val="00E27A16"/>
    <w:rsid w:val="00E27C39"/>
    <w:rsid w:val="00E320C4"/>
    <w:rsid w:val="00E35261"/>
    <w:rsid w:val="00E372CD"/>
    <w:rsid w:val="00E40F7B"/>
    <w:rsid w:val="00E414B2"/>
    <w:rsid w:val="00E43E48"/>
    <w:rsid w:val="00E443FB"/>
    <w:rsid w:val="00E46D60"/>
    <w:rsid w:val="00E47C33"/>
    <w:rsid w:val="00E47F58"/>
    <w:rsid w:val="00E50608"/>
    <w:rsid w:val="00E5121D"/>
    <w:rsid w:val="00E54283"/>
    <w:rsid w:val="00E54542"/>
    <w:rsid w:val="00E54BFC"/>
    <w:rsid w:val="00E55248"/>
    <w:rsid w:val="00E552E8"/>
    <w:rsid w:val="00E56D9D"/>
    <w:rsid w:val="00E60E2E"/>
    <w:rsid w:val="00E60FF2"/>
    <w:rsid w:val="00E616ED"/>
    <w:rsid w:val="00E62BDB"/>
    <w:rsid w:val="00E62E36"/>
    <w:rsid w:val="00E66D1C"/>
    <w:rsid w:val="00E71A2D"/>
    <w:rsid w:val="00E72FB3"/>
    <w:rsid w:val="00E74A73"/>
    <w:rsid w:val="00E75814"/>
    <w:rsid w:val="00E823C1"/>
    <w:rsid w:val="00E82DB7"/>
    <w:rsid w:val="00E83C85"/>
    <w:rsid w:val="00E8439A"/>
    <w:rsid w:val="00E8458C"/>
    <w:rsid w:val="00E84B49"/>
    <w:rsid w:val="00E8579C"/>
    <w:rsid w:val="00E859A6"/>
    <w:rsid w:val="00E861E7"/>
    <w:rsid w:val="00E865FE"/>
    <w:rsid w:val="00E86F5C"/>
    <w:rsid w:val="00E8790B"/>
    <w:rsid w:val="00E91408"/>
    <w:rsid w:val="00E91759"/>
    <w:rsid w:val="00E91AEC"/>
    <w:rsid w:val="00E93D82"/>
    <w:rsid w:val="00E9654B"/>
    <w:rsid w:val="00EA0A2A"/>
    <w:rsid w:val="00EA13E4"/>
    <w:rsid w:val="00EA18DB"/>
    <w:rsid w:val="00EA2FBA"/>
    <w:rsid w:val="00EA36F6"/>
    <w:rsid w:val="00EA4DC5"/>
    <w:rsid w:val="00EA5664"/>
    <w:rsid w:val="00EA66DF"/>
    <w:rsid w:val="00EA6ADC"/>
    <w:rsid w:val="00EB13A7"/>
    <w:rsid w:val="00EB14DF"/>
    <w:rsid w:val="00EB1A4D"/>
    <w:rsid w:val="00EB2779"/>
    <w:rsid w:val="00EB3A07"/>
    <w:rsid w:val="00EB3D07"/>
    <w:rsid w:val="00EB5539"/>
    <w:rsid w:val="00EC16E9"/>
    <w:rsid w:val="00EC3771"/>
    <w:rsid w:val="00EC3F31"/>
    <w:rsid w:val="00EC52E7"/>
    <w:rsid w:val="00EC74FB"/>
    <w:rsid w:val="00EC7E0E"/>
    <w:rsid w:val="00ED358B"/>
    <w:rsid w:val="00ED3698"/>
    <w:rsid w:val="00ED4206"/>
    <w:rsid w:val="00ED4794"/>
    <w:rsid w:val="00ED49FD"/>
    <w:rsid w:val="00ED64A3"/>
    <w:rsid w:val="00ED6C7F"/>
    <w:rsid w:val="00ED6FAB"/>
    <w:rsid w:val="00ED7992"/>
    <w:rsid w:val="00ED7B59"/>
    <w:rsid w:val="00EE265C"/>
    <w:rsid w:val="00EE33F3"/>
    <w:rsid w:val="00EE5231"/>
    <w:rsid w:val="00EE54C0"/>
    <w:rsid w:val="00EE553B"/>
    <w:rsid w:val="00EE5C63"/>
    <w:rsid w:val="00EE6895"/>
    <w:rsid w:val="00EE6BBF"/>
    <w:rsid w:val="00EF0A44"/>
    <w:rsid w:val="00EF3500"/>
    <w:rsid w:val="00EF416F"/>
    <w:rsid w:val="00EF48EC"/>
    <w:rsid w:val="00EF6426"/>
    <w:rsid w:val="00F00449"/>
    <w:rsid w:val="00F0095C"/>
    <w:rsid w:val="00F00E6E"/>
    <w:rsid w:val="00F01129"/>
    <w:rsid w:val="00F01CCA"/>
    <w:rsid w:val="00F01F2C"/>
    <w:rsid w:val="00F02104"/>
    <w:rsid w:val="00F02132"/>
    <w:rsid w:val="00F0309E"/>
    <w:rsid w:val="00F03FE4"/>
    <w:rsid w:val="00F0438F"/>
    <w:rsid w:val="00F04EF6"/>
    <w:rsid w:val="00F05AAF"/>
    <w:rsid w:val="00F05AE4"/>
    <w:rsid w:val="00F06826"/>
    <w:rsid w:val="00F06C17"/>
    <w:rsid w:val="00F07327"/>
    <w:rsid w:val="00F10EED"/>
    <w:rsid w:val="00F11B06"/>
    <w:rsid w:val="00F121B2"/>
    <w:rsid w:val="00F138B4"/>
    <w:rsid w:val="00F13C82"/>
    <w:rsid w:val="00F1632B"/>
    <w:rsid w:val="00F202CA"/>
    <w:rsid w:val="00F223A7"/>
    <w:rsid w:val="00F232F4"/>
    <w:rsid w:val="00F24A4B"/>
    <w:rsid w:val="00F25F00"/>
    <w:rsid w:val="00F26837"/>
    <w:rsid w:val="00F26A64"/>
    <w:rsid w:val="00F322AE"/>
    <w:rsid w:val="00F323E5"/>
    <w:rsid w:val="00F328AC"/>
    <w:rsid w:val="00F329A4"/>
    <w:rsid w:val="00F334CB"/>
    <w:rsid w:val="00F337BF"/>
    <w:rsid w:val="00F33B84"/>
    <w:rsid w:val="00F3495A"/>
    <w:rsid w:val="00F34A74"/>
    <w:rsid w:val="00F34E2C"/>
    <w:rsid w:val="00F36A7F"/>
    <w:rsid w:val="00F370BC"/>
    <w:rsid w:val="00F37143"/>
    <w:rsid w:val="00F40F47"/>
    <w:rsid w:val="00F42196"/>
    <w:rsid w:val="00F47082"/>
    <w:rsid w:val="00F47E54"/>
    <w:rsid w:val="00F47EEA"/>
    <w:rsid w:val="00F50562"/>
    <w:rsid w:val="00F507BF"/>
    <w:rsid w:val="00F50A92"/>
    <w:rsid w:val="00F50B0B"/>
    <w:rsid w:val="00F50D01"/>
    <w:rsid w:val="00F50DC5"/>
    <w:rsid w:val="00F52148"/>
    <w:rsid w:val="00F53D48"/>
    <w:rsid w:val="00F56BC1"/>
    <w:rsid w:val="00F5776E"/>
    <w:rsid w:val="00F618C4"/>
    <w:rsid w:val="00F62FFE"/>
    <w:rsid w:val="00F65774"/>
    <w:rsid w:val="00F65A34"/>
    <w:rsid w:val="00F65F4C"/>
    <w:rsid w:val="00F70CBF"/>
    <w:rsid w:val="00F71A60"/>
    <w:rsid w:val="00F725DA"/>
    <w:rsid w:val="00F7536E"/>
    <w:rsid w:val="00F75652"/>
    <w:rsid w:val="00F76137"/>
    <w:rsid w:val="00F77055"/>
    <w:rsid w:val="00F7782D"/>
    <w:rsid w:val="00F8168B"/>
    <w:rsid w:val="00F81CF2"/>
    <w:rsid w:val="00F81F93"/>
    <w:rsid w:val="00F857D1"/>
    <w:rsid w:val="00F86FD9"/>
    <w:rsid w:val="00F90F8C"/>
    <w:rsid w:val="00F91C33"/>
    <w:rsid w:val="00F91DCC"/>
    <w:rsid w:val="00F9323F"/>
    <w:rsid w:val="00F940D2"/>
    <w:rsid w:val="00F943FE"/>
    <w:rsid w:val="00F95814"/>
    <w:rsid w:val="00F95CE9"/>
    <w:rsid w:val="00F97100"/>
    <w:rsid w:val="00F97A64"/>
    <w:rsid w:val="00F97BEE"/>
    <w:rsid w:val="00FA01D9"/>
    <w:rsid w:val="00FA29DA"/>
    <w:rsid w:val="00FA43DF"/>
    <w:rsid w:val="00FA49D6"/>
    <w:rsid w:val="00FA4E57"/>
    <w:rsid w:val="00FA58D2"/>
    <w:rsid w:val="00FA7626"/>
    <w:rsid w:val="00FB0401"/>
    <w:rsid w:val="00FB2EBF"/>
    <w:rsid w:val="00FB4F74"/>
    <w:rsid w:val="00FB671C"/>
    <w:rsid w:val="00FB6D7A"/>
    <w:rsid w:val="00FC0DF0"/>
    <w:rsid w:val="00FC0FBB"/>
    <w:rsid w:val="00FC1DFB"/>
    <w:rsid w:val="00FC1EF2"/>
    <w:rsid w:val="00FC2B7F"/>
    <w:rsid w:val="00FC3343"/>
    <w:rsid w:val="00FC33BA"/>
    <w:rsid w:val="00FC35AB"/>
    <w:rsid w:val="00FC6134"/>
    <w:rsid w:val="00FC654D"/>
    <w:rsid w:val="00FC77CF"/>
    <w:rsid w:val="00FC7ACF"/>
    <w:rsid w:val="00FD0555"/>
    <w:rsid w:val="00FD06F5"/>
    <w:rsid w:val="00FD259E"/>
    <w:rsid w:val="00FD4B23"/>
    <w:rsid w:val="00FD4F97"/>
    <w:rsid w:val="00FD5961"/>
    <w:rsid w:val="00FE08E1"/>
    <w:rsid w:val="00FE2663"/>
    <w:rsid w:val="00FE2904"/>
    <w:rsid w:val="00FE2B3B"/>
    <w:rsid w:val="00FE37B8"/>
    <w:rsid w:val="00FE3EFA"/>
    <w:rsid w:val="00FE4030"/>
    <w:rsid w:val="00FE5C56"/>
    <w:rsid w:val="00FE5E20"/>
    <w:rsid w:val="00FE7AAC"/>
    <w:rsid w:val="00FE7B06"/>
    <w:rsid w:val="00FE7E98"/>
    <w:rsid w:val="00FF06BC"/>
    <w:rsid w:val="00FF20AC"/>
    <w:rsid w:val="00FF3801"/>
    <w:rsid w:val="00FF3A27"/>
    <w:rsid w:val="00FF3B27"/>
    <w:rsid w:val="00FF46CA"/>
    <w:rsid w:val="00FF4E8D"/>
    <w:rsid w:val="00FF58A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D6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3" w:qFormat="1"/>
    <w:lsdException w:name="heading 4" w:uiPriority="3"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B2C"/>
    <w:pPr>
      <w:spacing w:before="120" w:after="120" w:line="320" w:lineRule="atLeast"/>
    </w:pPr>
    <w:rPr>
      <w:rFonts w:asciiTheme="minorHAnsi" w:hAnsiTheme="minorHAnsi"/>
      <w:color w:val="000000" w:themeColor="text1"/>
      <w:szCs w:val="24"/>
    </w:rPr>
  </w:style>
  <w:style w:type="paragraph" w:styleId="Heading1">
    <w:name w:val="heading 1"/>
    <w:aliases w:val="Small H1"/>
    <w:basedOn w:val="Normal"/>
    <w:next w:val="Normal"/>
    <w:autoRedefine/>
    <w:uiPriority w:val="2"/>
    <w:qFormat/>
    <w:rsid w:val="00555DB4"/>
    <w:pPr>
      <w:keepNext/>
      <w:keepLines/>
      <w:pBdr>
        <w:bottom w:val="single" w:sz="24" w:space="31" w:color="00ADEF"/>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E5ACB"/>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link w:val="Heading4Char"/>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link w:val="FooterChar"/>
    <w:autoRedefine/>
    <w:uiPriority w:val="99"/>
    <w:qFormat/>
    <w:rsid w:val="008A1F58"/>
    <w:pPr>
      <w:pBdr>
        <w:bottom w:val="single" w:sz="24" w:space="10" w:color="00ADEF"/>
      </w:pBdr>
      <w:tabs>
        <w:tab w:val="clear" w:pos="10319"/>
        <w:tab w:val="right" w:pos="9940"/>
      </w:tabs>
      <w:ind w:right="-1661"/>
    </w:pPr>
  </w:style>
  <w:style w:type="character" w:styleId="Hyperlink">
    <w:name w:val="Hyperlink"/>
    <w:basedOn w:val="DefaultParagraphFont"/>
    <w:uiPriority w:val="99"/>
    <w:rsid w:val="007A232C"/>
    <w:rPr>
      <w:color w:val="2158A8"/>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7E5ACB"/>
    <w:rPr>
      <w:rFonts w:asciiTheme="majorHAnsi" w:hAnsiTheme="majorHAnsi"/>
      <w:b/>
      <w:color w:val="117478" w:themeColor="accent3"/>
      <w:sz w:val="24"/>
      <w:szCs w:val="44"/>
    </w:rPr>
  </w:style>
  <w:style w:type="paragraph" w:styleId="TOC1">
    <w:name w:val="toc 1"/>
    <w:basedOn w:val="Normal"/>
    <w:next w:val="Normal"/>
    <w:autoRedefine/>
    <w:uiPriority w:val="39"/>
    <w:rsid w:val="008A1F58"/>
    <w:pPr>
      <w:pBdr>
        <w:top w:val="single" w:sz="24" w:space="6" w:color="00ADEF"/>
        <w:between w:val="single" w:sz="24" w:space="6" w:color="00ADEF"/>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AA4959"/>
    <w:pPr>
      <w:tabs>
        <w:tab w:val="right" w:pos="6577"/>
      </w:tabs>
      <w:spacing w:before="60" w:after="60" w:line="240" w:lineRule="auto"/>
      <w:ind w:left="284" w:right="1758"/>
    </w:pPr>
    <w:rPr>
      <w:b/>
      <w:noProof/>
      <w:color w:val="FFFFFF" w:themeColor="background1"/>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6D6E71" w:themeColor="accent6"/>
          <w:bottom w:val="single" w:sz="4" w:space="0" w:color="6D6E71" w:themeColor="accent6"/>
        </w:tcBorders>
        <w:shd w:val="clear" w:color="auto" w:fill="6D6E71"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2076F4"/>
    <w:pPr>
      <w:spacing w:before="60" w:after="60" w:line="240" w:lineRule="auto"/>
    </w:pPr>
    <w:rPr>
      <w:b/>
      <w:color w:val="FFFFFF" w:themeColor="background1"/>
    </w:rPr>
  </w:style>
  <w:style w:type="paragraph" w:customStyle="1" w:styleId="FigureHeading">
    <w:name w:val="Figure Heading"/>
    <w:basedOn w:val="Normal"/>
    <w:next w:val="Normal"/>
    <w:uiPriority w:val="48"/>
    <w:qFormat/>
    <w:rsid w:val="00D35443"/>
    <w:pPr>
      <w:keepNext/>
      <w:keepLines/>
      <w:tabs>
        <w:tab w:val="left" w:pos="907"/>
      </w:tabs>
      <w:spacing w:before="24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3F129E"/>
    <w:pPr>
      <w:pBdr>
        <w:bottom w:val="single" w:sz="24" w:space="31" w:color="00ADEF"/>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3F129E"/>
    <w:pPr>
      <w:spacing w:before="240"/>
      <w:contextualSpacing/>
    </w:pPr>
    <w:rPr>
      <w:b/>
      <w:color w:val="254B59"/>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3F129E"/>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TitleL2">
    <w:name w:val="Title L2"/>
    <w:basedOn w:val="Title"/>
    <w:qFormat/>
    <w:rsid w:val="00BA3BCF"/>
    <w:pPr>
      <w:spacing w:after="480"/>
      <w:outlineLvl w:val="9"/>
    </w:pPr>
    <w:rPr>
      <w:b w:val="0"/>
      <w:bCs w:val="0"/>
      <w:sz w:val="40"/>
      <w:szCs w:val="40"/>
    </w:rPr>
  </w:style>
  <w:style w:type="paragraph" w:customStyle="1" w:styleId="Boxheader">
    <w:name w:val="Box header"/>
    <w:basedOn w:val="Normal"/>
    <w:rsid w:val="00890BCB"/>
    <w:pPr>
      <w:pBdr>
        <w:top w:val="single" w:sz="24" w:space="1" w:color="142E3A" w:themeColor="text2"/>
        <w:left w:val="single" w:sz="24" w:space="4" w:color="142E3A" w:themeColor="text2"/>
        <w:bottom w:val="single" w:sz="24" w:space="1" w:color="142E3A" w:themeColor="text2"/>
        <w:right w:val="single" w:sz="24" w:space="4" w:color="142E3A" w:themeColor="text2"/>
      </w:pBdr>
      <w:shd w:val="clear" w:color="auto" w:fill="142E3A" w:themeFill="text2"/>
      <w:spacing w:before="0" w:after="0" w:line="216" w:lineRule="auto"/>
    </w:pPr>
    <w:rPr>
      <w:rFonts w:asciiTheme="majorHAnsi" w:hAnsiTheme="majorHAnsi"/>
      <w:b/>
      <w:color w:val="FFFFFF" w:themeColor="background1"/>
      <w:szCs w:val="20"/>
      <w:shd w:val="clear" w:color="auto" w:fill="004052"/>
      <w:lang w:eastAsia="en-US"/>
    </w:rPr>
  </w:style>
  <w:style w:type="paragraph" w:customStyle="1" w:styleId="boxnormal">
    <w:name w:val="box normal"/>
    <w:basedOn w:val="Normal"/>
    <w:rsid w:val="00890BCB"/>
    <w:pPr>
      <w:pBdr>
        <w:top w:val="single" w:sz="24" w:space="1" w:color="C6EAFA"/>
        <w:left w:val="single" w:sz="24" w:space="4" w:color="C6EAFA"/>
        <w:bottom w:val="single" w:sz="24" w:space="1" w:color="C6EAFA"/>
        <w:right w:val="single" w:sz="24" w:space="4" w:color="C6EAFA"/>
      </w:pBdr>
      <w:shd w:val="clear" w:color="auto" w:fill="F2F2F2" w:themeFill="background1" w:themeFillShade="F2"/>
      <w:spacing w:before="0" w:after="60" w:line="216" w:lineRule="auto"/>
    </w:pPr>
    <w:rPr>
      <w:color w:val="auto"/>
      <w:szCs w:val="20"/>
      <w:lang w:eastAsia="en-US"/>
    </w:rPr>
  </w:style>
  <w:style w:type="paragraph" w:customStyle="1" w:styleId="sourcecontent">
    <w:name w:val="source content"/>
    <w:basedOn w:val="Normal"/>
    <w:qFormat/>
    <w:rsid w:val="00B5463D"/>
    <w:pPr>
      <w:spacing w:before="0" w:after="60" w:line="216" w:lineRule="auto"/>
    </w:pPr>
    <w:rPr>
      <w:rFonts w:ascii="Segoe UI" w:hAnsi="Segoe UI" w:cs="Segoe UI"/>
      <w:color w:val="auto"/>
      <w:sz w:val="16"/>
      <w:szCs w:val="20"/>
      <w:lang w:eastAsia="en-US"/>
    </w:rPr>
  </w:style>
  <w:style w:type="paragraph" w:customStyle="1" w:styleId="Tableheading0">
    <w:name w:val="Table heading"/>
    <w:basedOn w:val="Heading1"/>
    <w:qFormat/>
    <w:rsid w:val="00B5463D"/>
    <w:pPr>
      <w:keepLines w:val="0"/>
      <w:pBdr>
        <w:bottom w:val="none" w:sz="0" w:space="0" w:color="auto"/>
      </w:pBdr>
      <w:spacing w:before="120" w:after="0" w:line="216" w:lineRule="auto"/>
      <w:contextualSpacing w:val="0"/>
      <w:jc w:val="center"/>
    </w:pPr>
    <w:rPr>
      <w:rFonts w:ascii="Rockwell" w:hAnsi="Rockwell" w:cs="Arial"/>
      <w:bCs/>
      <w:color w:val="004052"/>
      <w:kern w:val="28"/>
      <w:sz w:val="28"/>
      <w:szCs w:val="32"/>
      <w:lang w:eastAsia="en-US"/>
    </w:rPr>
  </w:style>
  <w:style w:type="paragraph" w:customStyle="1" w:styleId="Tabletext0">
    <w:name w:val="Table text"/>
    <w:basedOn w:val="Normal"/>
    <w:qFormat/>
    <w:rsid w:val="0033231F"/>
    <w:pPr>
      <w:spacing w:after="80" w:line="240" w:lineRule="auto"/>
    </w:pPr>
    <w:rPr>
      <w:rFonts w:cs="Segoe UI"/>
      <w:color w:val="auto"/>
      <w:szCs w:val="20"/>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3E23AC"/>
    <w:rPr>
      <w:rFonts w:asciiTheme="minorHAnsi" w:hAnsiTheme="minorHAnsi"/>
      <w:color w:val="000000" w:themeColor="text1"/>
      <w:sz w:val="22"/>
      <w:szCs w:val="24"/>
    </w:rPr>
  </w:style>
  <w:style w:type="paragraph" w:styleId="Caption">
    <w:name w:val="caption"/>
    <w:basedOn w:val="Normal"/>
    <w:next w:val="Normal"/>
    <w:unhideWhenUsed/>
    <w:qFormat/>
    <w:rsid w:val="00066CB9"/>
    <w:pPr>
      <w:spacing w:before="0" w:after="200" w:line="240" w:lineRule="auto"/>
    </w:pPr>
    <w:rPr>
      <w:rFonts w:ascii="Calibri" w:hAnsi="Calibri"/>
      <w:b/>
      <w:bCs/>
      <w:color w:val="2C276C" w:themeColor="accent1"/>
      <w:sz w:val="18"/>
      <w:szCs w:val="18"/>
      <w:lang w:eastAsia="en-US"/>
    </w:rPr>
  </w:style>
  <w:style w:type="table" w:styleId="LightShading-Accent6">
    <w:name w:val="Light Shading Accent 6"/>
    <w:basedOn w:val="TableNormal"/>
    <w:uiPriority w:val="60"/>
    <w:rsid w:val="00066CB9"/>
    <w:rPr>
      <w:color w:val="515254" w:themeColor="accent6" w:themeShade="BF"/>
    </w:rPr>
    <w:tblPr>
      <w:tblStyleRowBandSize w:val="1"/>
      <w:tblStyleColBandSize w:val="1"/>
      <w:tblBorders>
        <w:top w:val="single" w:sz="8" w:space="0" w:color="6D6E71" w:themeColor="accent6"/>
        <w:bottom w:val="single" w:sz="8" w:space="0" w:color="6D6E71" w:themeColor="accent6"/>
      </w:tblBorders>
    </w:tblPr>
    <w:tblStylePr w:type="fir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la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left w:val="nil"/>
          <w:right w:val="nil"/>
          <w:insideH w:val="nil"/>
          <w:insideV w:val="nil"/>
        </w:tcBorders>
        <w:shd w:val="clear" w:color="auto" w:fill="DADADC" w:themeFill="accent6" w:themeFillTint="3F"/>
      </w:tcPr>
    </w:tblStylePr>
  </w:style>
  <w:style w:type="paragraph" w:styleId="Revision">
    <w:name w:val="Revision"/>
    <w:hidden/>
    <w:uiPriority w:val="99"/>
    <w:semiHidden/>
    <w:rsid w:val="00597893"/>
    <w:rPr>
      <w:rFonts w:asciiTheme="minorHAnsi" w:hAnsiTheme="minorHAnsi"/>
      <w:color w:val="000000" w:themeColor="text1"/>
      <w:sz w:val="22"/>
      <w:szCs w:val="24"/>
    </w:rPr>
  </w:style>
  <w:style w:type="table" w:styleId="LightList">
    <w:name w:val="Light List"/>
    <w:basedOn w:val="TableNormal"/>
    <w:uiPriority w:val="61"/>
    <w:rsid w:val="00A563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blBorders>
    </w:tblPr>
    <w:tcPr>
      <w:shd w:val="clear" w:color="auto" w:fill="666666" w:themeFill="text1" w:themeFillTint="99"/>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ta-citation-journal-name2">
    <w:name w:val="meta-citation-journal-name2"/>
    <w:basedOn w:val="DefaultParagraphFont"/>
    <w:rsid w:val="00A55755"/>
    <w:rPr>
      <w:i/>
      <w:iCs/>
    </w:rPr>
  </w:style>
  <w:style w:type="character" w:customStyle="1" w:styleId="meta-citation">
    <w:name w:val="meta-citation"/>
    <w:basedOn w:val="DefaultParagraphFont"/>
    <w:rsid w:val="00A55755"/>
  </w:style>
  <w:style w:type="paragraph" w:styleId="BodyText">
    <w:name w:val="Body Text"/>
    <w:basedOn w:val="Normal"/>
    <w:link w:val="BodyTextChar"/>
    <w:uiPriority w:val="1"/>
    <w:qFormat/>
    <w:rsid w:val="00C2417E"/>
    <w:pPr>
      <w:widowControl w:val="0"/>
      <w:spacing w:before="60" w:after="16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rsid w:val="00C2417E"/>
    <w:rPr>
      <w:rFonts w:ascii="Calibri Light" w:eastAsia="Calibri Light" w:hAnsi="Calibri Light" w:cstheme="minorBidi"/>
      <w:color w:val="082E28" w:themeColor="background2" w:themeShade="40"/>
      <w:lang w:val="en-US" w:eastAsia="en-US"/>
    </w:rPr>
  </w:style>
  <w:style w:type="character" w:customStyle="1" w:styleId="reference-text">
    <w:name w:val="reference-text"/>
    <w:basedOn w:val="DefaultParagraphFont"/>
    <w:rsid w:val="00C2417E"/>
  </w:style>
  <w:style w:type="paragraph" w:customStyle="1" w:styleId="Body">
    <w:name w:val="Body"/>
    <w:basedOn w:val="Normal"/>
    <w:uiPriority w:val="99"/>
    <w:rsid w:val="00C2417E"/>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Cs w:val="20"/>
      <w:lang w:val="en-US" w:eastAsia="en-US"/>
    </w:rPr>
  </w:style>
  <w:style w:type="paragraph" w:customStyle="1" w:styleId="TableHeading1">
    <w:name w:val="Table Heading 1"/>
    <w:basedOn w:val="NoSpacing"/>
    <w:link w:val="TableHeading1Char"/>
    <w:qFormat/>
    <w:rsid w:val="00C2417E"/>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2417E"/>
    <w:rPr>
      <w:rFonts w:ascii="Arial" w:hAnsi="Arial"/>
      <w:sz w:val="22"/>
      <w:szCs w:val="24"/>
    </w:rPr>
  </w:style>
  <w:style w:type="character" w:customStyle="1" w:styleId="TableHeading1Char">
    <w:name w:val="Table Heading 1 Char"/>
    <w:basedOn w:val="NoSpacingChar"/>
    <w:link w:val="TableHeading1"/>
    <w:rsid w:val="00C2417E"/>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E201CC"/>
    <w:rPr>
      <w:rFonts w:asciiTheme="minorHAnsi" w:eastAsiaTheme="minorEastAsia" w:hAnsiTheme="minorHAnsi" w:cstheme="minorBidi"/>
      <w:szCs w:val="22"/>
      <w:lang w:val="en-US" w:eastAsia="en-US"/>
    </w:rPr>
    <w:tblPr>
      <w:tblStyleRowBandSize w:val="1"/>
      <w:tblStyleColBandSize w:val="1"/>
      <w:tblCellMar>
        <w:top w:w="85" w:type="dxa"/>
        <w:bottom w:w="85" w:type="dxa"/>
      </w:tblCellMar>
    </w:tblPr>
    <w:tcPr>
      <w:shd w:val="clear" w:color="auto" w:fill="F2F2F2" w:themeFill="background1" w:themeFillShade="F2"/>
    </w:tcPr>
    <w:tblStylePr w:type="firstRow">
      <w:pPr>
        <w:wordWrap/>
        <w:jc w:val="left"/>
      </w:pPr>
      <w:rPr>
        <w:rFonts w:asciiTheme="majorHAnsi" w:hAnsiTheme="majorHAnsi"/>
        <w:b/>
        <w:i w:val="0"/>
        <w:sz w:val="20"/>
      </w:rPr>
      <w:tblPr/>
      <w:tcPr>
        <w:tcBorders>
          <w:top w:val="nil"/>
          <w:left w:val="nil"/>
          <w:bottom w:val="nil"/>
          <w:right w:val="nil"/>
          <w:insideH w:val="nil"/>
          <w:insideV w:val="nil"/>
          <w:tl2br w:val="nil"/>
          <w:tr2bl w:val="nil"/>
        </w:tcBorders>
        <w:shd w:val="clear" w:color="auto" w:fill="142E3A" w:themeFill="text2"/>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C2417E"/>
    <w:pPr>
      <w:widowControl w:val="0"/>
      <w:numPr>
        <w:numId w:val="8"/>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Cs w:val="20"/>
      <w:lang w:val="en-US" w:eastAsia="en-US"/>
    </w:rPr>
  </w:style>
  <w:style w:type="paragraph" w:customStyle="1" w:styleId="EndNoteBibliographyTitle">
    <w:name w:val="EndNote Bibliography Title"/>
    <w:basedOn w:val="Normal"/>
    <w:link w:val="EndNoteBibliographyTitleChar"/>
    <w:rsid w:val="00C2417E"/>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C2417E"/>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C2417E"/>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C2417E"/>
    <w:rPr>
      <w:rFonts w:ascii="Helvetica" w:hAnsi="Helvetica" w:cs="Helvetica"/>
      <w:noProof/>
      <w:color w:val="000000" w:themeColor="text1"/>
      <w:sz w:val="22"/>
      <w:szCs w:val="24"/>
    </w:rPr>
  </w:style>
  <w:style w:type="paragraph" w:customStyle="1" w:styleId="Whoweare-Body">
    <w:name w:val="Who we are - Body"/>
    <w:basedOn w:val="Normal"/>
    <w:link w:val="Whoweare-BodyChar"/>
    <w:uiPriority w:val="1"/>
    <w:qFormat/>
    <w:rsid w:val="00CB500F"/>
    <w:pPr>
      <w:keepNext/>
      <w:keepLines/>
      <w:widowControl w:val="0"/>
      <w:pBdr>
        <w:top w:val="single" w:sz="48" w:space="1" w:color="004052"/>
        <w:left w:val="single" w:sz="48" w:space="4" w:color="004052"/>
        <w:bottom w:val="single" w:sz="48" w:space="1" w:color="004052"/>
        <w:right w:val="single" w:sz="48" w:space="4" w:color="004052"/>
      </w:pBdr>
      <w:shd w:val="clear" w:color="auto" w:fill="004052"/>
      <w:spacing w:before="40" w:after="240" w:line="326" w:lineRule="auto"/>
      <w:outlineLvl w:val="4"/>
    </w:pPr>
    <w:rPr>
      <w:rFonts w:ascii="Calibri Light" w:eastAsiaTheme="majorEastAsia" w:hAnsi="Calibri Light" w:cstheme="majorBidi"/>
      <w:b/>
      <w:color w:val="FFFFFF" w:themeColor="background1"/>
      <w:spacing w:val="-4"/>
      <w:lang w:val="en-US" w:eastAsia="en-US"/>
    </w:rPr>
  </w:style>
  <w:style w:type="character" w:customStyle="1" w:styleId="Whoweare-BodyChar">
    <w:name w:val="Who we are - Body Char"/>
    <w:basedOn w:val="DefaultParagraphFont"/>
    <w:link w:val="Whoweare-Body"/>
    <w:uiPriority w:val="1"/>
    <w:rsid w:val="00CB500F"/>
    <w:rPr>
      <w:rFonts w:ascii="Calibri Light" w:eastAsiaTheme="majorEastAsia" w:hAnsi="Calibri Light" w:cstheme="majorBidi"/>
      <w:b/>
      <w:color w:val="FFFFFF" w:themeColor="background1"/>
      <w:spacing w:val="-4"/>
      <w:szCs w:val="24"/>
      <w:shd w:val="clear" w:color="auto" w:fill="004052"/>
      <w:lang w:val="en-US" w:eastAsia="en-US"/>
    </w:rPr>
  </w:style>
  <w:style w:type="paragraph" w:styleId="NormalWeb">
    <w:name w:val="Normal (Web)"/>
    <w:basedOn w:val="Normal"/>
    <w:uiPriority w:val="99"/>
    <w:semiHidden/>
    <w:unhideWhenUsed/>
    <w:rsid w:val="00C2417E"/>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C2417E"/>
    <w:rPr>
      <w:color w:val="808080"/>
    </w:rPr>
  </w:style>
  <w:style w:type="table" w:customStyle="1" w:styleId="ListTable3-Accent51">
    <w:name w:val="List Table 3 - Accent 5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customStyle="1" w:styleId="GridTable4-Accent51">
    <w:name w:val="Grid Table 4 - Accent 51"/>
    <w:basedOn w:val="TableNormal"/>
    <w:uiPriority w:val="49"/>
    <w:rsid w:val="00C2417E"/>
    <w:rPr>
      <w:rFonts w:asciiTheme="minorHAnsi" w:eastAsiaTheme="minorHAnsi" w:hAnsiTheme="minorHAnsi" w:cstheme="minorBidi"/>
      <w:sz w:val="22"/>
      <w:szCs w:val="22"/>
      <w:lang w:eastAsia="en-US"/>
    </w:rPr>
    <w:tblPr>
      <w:tblStyleRowBandSize w:val="1"/>
      <w:tblStyleColBandSize w:val="1"/>
      <w:tblBorders>
        <w:top w:val="single" w:sz="4" w:space="0" w:color="DE5F71" w:themeColor="accent5" w:themeTint="99"/>
        <w:left w:val="single" w:sz="4" w:space="0" w:color="DE5F71" w:themeColor="accent5" w:themeTint="99"/>
        <w:bottom w:val="single" w:sz="4" w:space="0" w:color="DE5F71" w:themeColor="accent5" w:themeTint="99"/>
        <w:right w:val="single" w:sz="4" w:space="0" w:color="DE5F71" w:themeColor="accent5" w:themeTint="99"/>
        <w:insideH w:val="single" w:sz="4" w:space="0" w:color="DE5F71" w:themeColor="accent5" w:themeTint="99"/>
        <w:insideV w:val="single" w:sz="4" w:space="0" w:color="DE5F71" w:themeColor="accent5" w:themeTint="99"/>
      </w:tblBorders>
    </w:tblPr>
    <w:tblStylePr w:type="firstRow">
      <w:rPr>
        <w:b/>
        <w:bCs/>
        <w:color w:val="FFFFFF" w:themeColor="background1"/>
      </w:rPr>
      <w:tblPr/>
      <w:tcPr>
        <w:tcBorders>
          <w:top w:val="single" w:sz="4" w:space="0" w:color="9D2033" w:themeColor="accent5"/>
          <w:left w:val="single" w:sz="4" w:space="0" w:color="9D2033" w:themeColor="accent5"/>
          <w:bottom w:val="single" w:sz="4" w:space="0" w:color="9D2033" w:themeColor="accent5"/>
          <w:right w:val="single" w:sz="4" w:space="0" w:color="9D2033" w:themeColor="accent5"/>
          <w:insideH w:val="nil"/>
          <w:insideV w:val="nil"/>
        </w:tcBorders>
        <w:shd w:val="clear" w:color="auto" w:fill="9D2033" w:themeFill="accent5"/>
      </w:tcPr>
    </w:tblStylePr>
    <w:tblStylePr w:type="lastRow">
      <w:rPr>
        <w:b/>
        <w:bCs/>
      </w:rPr>
      <w:tblPr/>
      <w:tcPr>
        <w:tcBorders>
          <w:top w:val="double" w:sz="4" w:space="0" w:color="9D2033" w:themeColor="accent5"/>
        </w:tcBorders>
      </w:tcPr>
    </w:tblStylePr>
    <w:tblStylePr w:type="firstCol">
      <w:rPr>
        <w:b/>
        <w:bCs/>
      </w:rPr>
    </w:tblStylePr>
    <w:tblStylePr w:type="lastCol">
      <w:rPr>
        <w:b/>
        <w:bCs/>
      </w:rPr>
    </w:tblStylePr>
    <w:tblStylePr w:type="band1Vert">
      <w:tblPr/>
      <w:tcPr>
        <w:shd w:val="clear" w:color="auto" w:fill="F4C9CF" w:themeFill="accent5" w:themeFillTint="33"/>
      </w:tcPr>
    </w:tblStylePr>
    <w:tblStylePr w:type="band1Horz">
      <w:tblPr/>
      <w:tcPr>
        <w:shd w:val="clear" w:color="auto" w:fill="F4C9CF" w:themeFill="accent5" w:themeFillTint="33"/>
      </w:tcPr>
    </w:tblStylePr>
  </w:style>
  <w:style w:type="table" w:customStyle="1" w:styleId="ListTable3-Accent11">
    <w:name w:val="List Table 3 - Accent 1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2C276C" w:themeColor="accent1"/>
        <w:left w:val="single" w:sz="4" w:space="0" w:color="2C276C" w:themeColor="accent1"/>
        <w:bottom w:val="single" w:sz="4" w:space="0" w:color="2C276C" w:themeColor="accent1"/>
        <w:right w:val="single" w:sz="4" w:space="0" w:color="2C276C" w:themeColor="accent1"/>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paragraph" w:customStyle="1" w:styleId="TableACCHead">
    <w:name w:val="Table ACC Head"/>
    <w:basedOn w:val="Normal"/>
    <w:uiPriority w:val="1"/>
    <w:qFormat/>
    <w:rsid w:val="00C2417E"/>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C2417E"/>
    <w:pPr>
      <w:widowControl/>
    </w:pPr>
    <w:rPr>
      <w:b w:val="0"/>
      <w:lang w:val="en-AU"/>
    </w:rPr>
  </w:style>
  <w:style w:type="paragraph" w:customStyle="1" w:styleId="TableACCBodyLeftBold">
    <w:name w:val="Table ACC Body Left Bold"/>
    <w:basedOn w:val="TableACCBody"/>
    <w:uiPriority w:val="1"/>
    <w:qFormat/>
    <w:rsid w:val="00C2417E"/>
    <w:pPr>
      <w:jc w:val="left"/>
    </w:pPr>
    <w:rPr>
      <w:b/>
    </w:rPr>
  </w:style>
  <w:style w:type="character" w:customStyle="1" w:styleId="TABLEACCReversed">
    <w:name w:val="TABLE ACC Reversed"/>
    <w:basedOn w:val="DefaultParagraphFont"/>
    <w:uiPriority w:val="1"/>
    <w:qFormat/>
    <w:rsid w:val="00C2417E"/>
    <w:rPr>
      <w:color w:val="FFFFFF"/>
    </w:rPr>
  </w:style>
  <w:style w:type="table" w:customStyle="1" w:styleId="ListTable3-Accent12">
    <w:name w:val="List Table 3 - Accent 12"/>
    <w:basedOn w:val="TableNormal"/>
    <w:uiPriority w:val="48"/>
    <w:rsid w:val="003071E5"/>
    <w:rPr>
      <w:rFonts w:asciiTheme="minorHAnsi" w:eastAsiaTheme="minorHAnsi" w:hAnsiTheme="minorHAnsi" w:cstheme="minorBidi"/>
      <w:sz w:val="22"/>
      <w:szCs w:val="22"/>
      <w:lang w:eastAsia="en-US"/>
    </w:rPr>
    <w:tblPr>
      <w:tblStyleRowBandSize w:val="1"/>
      <w:tblStyleColBandSize w:val="1"/>
    </w:tblPr>
    <w:tblStylePr w:type="firstRow">
      <w:rPr>
        <w:b/>
        <w:bCs/>
        <w:color w:val="FFFFFF" w:themeColor="background1"/>
      </w:rPr>
      <w:tblPr/>
      <w:tcPr>
        <w:tcBorders>
          <w:insideH w:val="single" w:sz="4" w:space="0" w:color="auto"/>
          <w:insideV w:val="single" w:sz="4" w:space="0" w:color="auto"/>
        </w:tcBorders>
        <w:shd w:val="clear" w:color="auto" w:fill="142E3A" w:themeFill="text2"/>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HeaderChar">
    <w:name w:val="Header Char"/>
    <w:basedOn w:val="DefaultParagraphFont"/>
    <w:link w:val="Header"/>
    <w:uiPriority w:val="99"/>
    <w:rsid w:val="00103A9D"/>
    <w:rPr>
      <w:rFonts w:asciiTheme="minorHAnsi" w:hAnsiTheme="minorHAnsi"/>
      <w:color w:val="000000" w:themeColor="text1"/>
      <w:sz w:val="14"/>
      <w:szCs w:val="24"/>
    </w:rPr>
  </w:style>
  <w:style w:type="character" w:customStyle="1" w:styleId="FooterChar">
    <w:name w:val="Footer Char"/>
    <w:basedOn w:val="DefaultParagraphFont"/>
    <w:link w:val="Footer"/>
    <w:uiPriority w:val="99"/>
    <w:rsid w:val="008A1F58"/>
    <w:rPr>
      <w:rFonts w:asciiTheme="minorHAnsi" w:hAnsiTheme="minorHAnsi"/>
      <w:color w:val="000000" w:themeColor="text1"/>
      <w:sz w:val="14"/>
      <w:szCs w:val="24"/>
    </w:rPr>
  </w:style>
  <w:style w:type="paragraph" w:customStyle="1" w:styleId="WhiteLargeH1">
    <w:name w:val="White Large H1"/>
    <w:basedOn w:val="LargeH1"/>
    <w:rsid w:val="00646904"/>
    <w:rPr>
      <w:color w:val="FFFFFF" w:themeColor="background1"/>
    </w:rPr>
  </w:style>
  <w:style w:type="paragraph" w:customStyle="1" w:styleId="WhiteHeading2">
    <w:name w:val="White Heading 2"/>
    <w:basedOn w:val="Heading2"/>
    <w:rsid w:val="005D17D0"/>
    <w:pPr>
      <w:spacing w:before="360" w:line="280" w:lineRule="atLeast"/>
    </w:pPr>
    <w:rPr>
      <w:color w:val="FFFFFF" w:themeColor="background1"/>
    </w:rPr>
  </w:style>
  <w:style w:type="paragraph" w:customStyle="1" w:styleId="WhiteNormal">
    <w:name w:val="White Normal"/>
    <w:basedOn w:val="Normal"/>
    <w:rsid w:val="005D17D0"/>
    <w:pPr>
      <w:keepLines/>
      <w:spacing w:line="280" w:lineRule="atLeast"/>
    </w:pPr>
    <w:rPr>
      <w:color w:val="FFFFFF" w:themeColor="background1"/>
    </w:rPr>
  </w:style>
  <w:style w:type="paragraph" w:customStyle="1" w:styleId="Heading2TOC">
    <w:name w:val="Heading 2 TOC"/>
    <w:basedOn w:val="Heading2"/>
    <w:qFormat/>
    <w:rsid w:val="007E5ACB"/>
  </w:style>
  <w:style w:type="paragraph" w:styleId="TOC3">
    <w:name w:val="toc 3"/>
    <w:basedOn w:val="Normal"/>
    <w:next w:val="Normal"/>
    <w:autoRedefine/>
    <w:uiPriority w:val="39"/>
    <w:rsid w:val="009A5726"/>
    <w:pPr>
      <w:ind w:left="400"/>
    </w:pPr>
  </w:style>
  <w:style w:type="paragraph" w:styleId="TOC4">
    <w:name w:val="toc 4"/>
    <w:basedOn w:val="Normal"/>
    <w:next w:val="Normal"/>
    <w:autoRedefine/>
    <w:semiHidden/>
    <w:rsid w:val="009A5726"/>
    <w:pPr>
      <w:ind w:left="600"/>
    </w:pPr>
  </w:style>
  <w:style w:type="paragraph" w:styleId="TOC5">
    <w:name w:val="toc 5"/>
    <w:basedOn w:val="Normal"/>
    <w:next w:val="Normal"/>
    <w:autoRedefine/>
    <w:semiHidden/>
    <w:rsid w:val="009A5726"/>
    <w:pPr>
      <w:ind w:left="800"/>
    </w:pPr>
  </w:style>
  <w:style w:type="paragraph" w:styleId="TOC6">
    <w:name w:val="toc 6"/>
    <w:basedOn w:val="Normal"/>
    <w:next w:val="Normal"/>
    <w:autoRedefine/>
    <w:semiHidden/>
    <w:rsid w:val="009A5726"/>
    <w:pPr>
      <w:ind w:left="1000"/>
    </w:pPr>
  </w:style>
  <w:style w:type="paragraph" w:styleId="TOC7">
    <w:name w:val="toc 7"/>
    <w:basedOn w:val="Normal"/>
    <w:next w:val="Normal"/>
    <w:autoRedefine/>
    <w:semiHidden/>
    <w:rsid w:val="009A5726"/>
    <w:pPr>
      <w:ind w:left="1200"/>
    </w:pPr>
  </w:style>
  <w:style w:type="paragraph" w:styleId="TOC8">
    <w:name w:val="toc 8"/>
    <w:basedOn w:val="Normal"/>
    <w:next w:val="Normal"/>
    <w:autoRedefine/>
    <w:semiHidden/>
    <w:rsid w:val="009A5726"/>
    <w:pPr>
      <w:ind w:left="1400"/>
    </w:pPr>
  </w:style>
  <w:style w:type="paragraph" w:styleId="TOC9">
    <w:name w:val="toc 9"/>
    <w:basedOn w:val="Normal"/>
    <w:next w:val="Normal"/>
    <w:autoRedefine/>
    <w:semiHidden/>
    <w:rsid w:val="009A5726"/>
    <w:pPr>
      <w:ind w:left="1600"/>
    </w:pPr>
  </w:style>
  <w:style w:type="paragraph" w:customStyle="1" w:styleId="Textbox">
    <w:name w:val="Text box"/>
    <w:basedOn w:val="SourceNotesText"/>
    <w:qFormat/>
    <w:rsid w:val="00AF1B2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pPr>
    <w:rPr>
      <w:sz w:val="20"/>
    </w:rPr>
  </w:style>
  <w:style w:type="paragraph" w:customStyle="1" w:styleId="Heading30">
    <w:name w:val="Heading3"/>
    <w:basedOn w:val="Heading4"/>
    <w:link w:val="Heading3Char"/>
    <w:qFormat/>
    <w:rsid w:val="000F5351"/>
    <w:pPr>
      <w:outlineLvl w:val="2"/>
    </w:pPr>
  </w:style>
  <w:style w:type="character" w:customStyle="1" w:styleId="Heading4Char">
    <w:name w:val="Heading 4 Char"/>
    <w:basedOn w:val="DefaultParagraphFont"/>
    <w:link w:val="Heading4"/>
    <w:uiPriority w:val="3"/>
    <w:rsid w:val="000F5351"/>
    <w:rPr>
      <w:rFonts w:asciiTheme="minorHAnsi" w:hAnsiTheme="minorHAnsi"/>
      <w:b/>
      <w:szCs w:val="24"/>
    </w:rPr>
  </w:style>
  <w:style w:type="character" w:customStyle="1" w:styleId="Heading3Char">
    <w:name w:val="Heading3 Char"/>
    <w:basedOn w:val="Heading4Char"/>
    <w:link w:val="Heading30"/>
    <w:rsid w:val="000F5351"/>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5507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4000834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913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en"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mc.gov.au/domestic-policy/behavioural-economics/beta-registered-trials?page=1"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yperlink" Target="http://www.who.int/mediacentre/news/statements/2011/whd_20110407/en/" TargetMode="External"/><Relationship Id="rId5" Type="http://schemas.openxmlformats.org/officeDocument/2006/relationships/numbering" Target="numbering.xml"/><Relationship Id="rId15" Type="http://schemas.openxmlformats.org/officeDocument/2006/relationships/hyperlink" Target="http://www.itsanhonour.gov.au/coat-arm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ocialscienceregistry.org/trials/242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dx.doi.org/10.1787/health_glance-2017-en" TargetMode="Externa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MC BETA Guidance Note Technical Greens 1">
      <a:dk1>
        <a:srgbClr val="000000"/>
      </a:dk1>
      <a:lt1>
        <a:srgbClr val="FFFFFF"/>
      </a:lt1>
      <a:dk2>
        <a:srgbClr val="142E3A"/>
      </a:dk2>
      <a:lt2>
        <a:srgbClr val="20B9A3"/>
      </a:lt2>
      <a:accent1>
        <a:srgbClr val="2C276C"/>
      </a:accent1>
      <a:accent2>
        <a:srgbClr val="2057A7"/>
      </a:accent2>
      <a:accent3>
        <a:srgbClr val="117478"/>
      </a:accent3>
      <a:accent4>
        <a:srgbClr val="8D7349"/>
      </a:accent4>
      <a:accent5>
        <a:srgbClr val="9D2033"/>
      </a:accent5>
      <a:accent6>
        <a:srgbClr val="6D6E71"/>
      </a:accent6>
      <a:hlink>
        <a:srgbClr val="20B9A3"/>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DOC18-222476</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PMCdoc-213507164-64529</_dlc_DocId>
    <_dlc_DocIdUrl xmlns="d0dfa800-9ef0-44cb-8a12-633e29de1e0b">
      <Url>https://pmc01.sharepoint.com/sites/pmc-ms-cb/_layouts/15/DocIdRedir.aspx?ID=PMCdoc-213507164-64529</Url>
      <Description>PMCdoc-213507164-64529</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A55501-9218-4D03-B4AB-1C93765039A9}"/>
</file>

<file path=customXml/itemProps2.xml><?xml version="1.0" encoding="utf-8"?>
<ds:datastoreItem xmlns:ds="http://schemas.openxmlformats.org/officeDocument/2006/customXml" ds:itemID="{FC9244B2-0D0C-4851-B9FD-1A50C085615B}"/>
</file>

<file path=customXml/itemProps3.xml><?xml version="1.0" encoding="utf-8"?>
<ds:datastoreItem xmlns:ds="http://schemas.openxmlformats.org/officeDocument/2006/customXml" ds:itemID="{A38ED537-5EF2-4438-81B5-360EFA591FD8}"/>
</file>

<file path=customXml/itemProps4.xml><?xml version="1.0" encoding="utf-8"?>
<ds:datastoreItem xmlns:ds="http://schemas.openxmlformats.org/officeDocument/2006/customXml" ds:itemID="{3E9A50C8-1690-4A65-9519-1F35FF1A7988}"/>
</file>

<file path=customXml/itemProps5.xml><?xml version="1.0" encoding="utf-8"?>
<ds:datastoreItem xmlns:ds="http://schemas.openxmlformats.org/officeDocument/2006/customXml" ds:itemID="{52502AF4-F97D-4D8E-8D23-402698D96C04}"/>
</file>

<file path=docProps/app.xml><?xml version="1.0" encoding="utf-8"?>
<Properties xmlns="http://schemas.openxmlformats.org/officeDocument/2006/extended-properties" xmlns:vt="http://schemas.openxmlformats.org/officeDocument/2006/docPropsVTypes">
  <Template>Normal</Template>
  <TotalTime>0</TotalTime>
  <Pages>54</Pages>
  <Words>11491</Words>
  <Characters>63649</Characters>
  <Application>Microsoft Office Word</Application>
  <DocSecurity>0</DocSecurity>
  <Lines>2121</Lines>
  <Paragraphs>1252</Paragraphs>
  <ScaleCrop>false</ScaleCrop>
  <HeadingPairs>
    <vt:vector size="2" baseType="variant">
      <vt:variant>
        <vt:lpstr>Title</vt:lpstr>
      </vt:variant>
      <vt:variant>
        <vt:i4>1</vt:i4>
      </vt:variant>
    </vt:vector>
  </HeadingPairs>
  <TitlesOfParts>
    <vt:vector size="1" baseType="lpstr">
      <vt:lpstr>Nudge vs Superbugs: A behavioural economics trial</vt:lpstr>
    </vt:vector>
  </TitlesOfParts>
  <LinksUpToDate>false</LinksUpToDate>
  <CharactersWithSpaces>73888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Nudge vs Superbugs: A behavioural economics trial</dc:title>
  <dc:creator/>
  <cp:lastModifiedBy/>
  <cp:revision>1</cp:revision>
  <dcterms:created xsi:type="dcterms:W3CDTF">2018-06-21T00:07:00Z</dcterms:created>
  <dcterms:modified xsi:type="dcterms:W3CDTF">2018-06-24T23:43:00Z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7f0e6a1e-176a-4826-8da1-dcd4de0c780d</vt:lpwstr>
  </property>
</Properties>
</file>