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2437392" w:displacedByCustomXml="next"/>
    <w:sdt>
      <w:sdtPr>
        <w:rPr>
          <w:b/>
          <w:color w:val="142E3A" w:themeColor="text2"/>
        </w:rPr>
        <w:id w:val="-388730264"/>
        <w:docPartObj>
          <w:docPartGallery w:val="Cover Pages"/>
          <w:docPartUnique/>
        </w:docPartObj>
      </w:sdtPr>
      <w:sdtEndPr>
        <w:rPr>
          <w:b w:val="0"/>
          <w:color w:val="000000" w:themeColor="text1"/>
        </w:rPr>
      </w:sdtEndPr>
      <w:sdtContent>
        <w:p w14:paraId="738C9AD3" w14:textId="3F3E35E0" w:rsidR="007D0FC7" w:rsidRDefault="0006174E" w:rsidP="00991370">
          <w:r w:rsidRPr="001727A4">
            <w:rPr>
              <w:noProof/>
            </w:rPr>
            <w:drawing>
              <wp:anchor distT="0" distB="0" distL="114300" distR="114300" simplePos="0" relativeHeight="251657728" behindDoc="1" locked="0" layoutInCell="0" allowOverlap="1" wp14:anchorId="6242F40D" wp14:editId="2CB082E0">
                <wp:simplePos x="0" y="0"/>
                <wp:positionH relativeFrom="page">
                  <wp:align>left</wp:align>
                </wp:positionH>
                <wp:positionV relativeFrom="page">
                  <wp:align>top</wp:align>
                </wp:positionV>
                <wp:extent cx="7559644" cy="10685145"/>
                <wp:effectExtent l="0" t="0" r="3810" b="1905"/>
                <wp:wrapNone/>
                <wp:docPr id="1" name="Picture 1" descr="Businessman's hands with calculator at the office and Financial data analysing counting on wood desk" title="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4" cy="10685145"/>
                        </a:xfrm>
                        <a:prstGeom prst="rect">
                          <a:avLst/>
                        </a:prstGeom>
                        <a:solidFill>
                          <a:schemeClr val="accent2"/>
                        </a:solidFill>
                      </pic:spPr>
                    </pic:pic>
                  </a:graphicData>
                </a:graphic>
                <wp14:sizeRelH relativeFrom="margin">
                  <wp14:pctWidth>0</wp14:pctWidth>
                </wp14:sizeRelH>
                <wp14:sizeRelV relativeFrom="margin">
                  <wp14:pctHeight>0</wp14:pctHeight>
                </wp14:sizeRelV>
              </wp:anchor>
            </w:drawing>
          </w:r>
        </w:p>
      </w:sdtContent>
    </w:sdt>
    <w:tbl>
      <w:tblPr>
        <w:tblpPr w:leftFromText="180" w:rightFromText="180" w:vertAnchor="page" w:horzAnchor="page" w:tblpX="5869" w:tblpY="10360"/>
        <w:tblW w:w="0" w:type="auto"/>
        <w:tblCellMar>
          <w:left w:w="0" w:type="dxa"/>
          <w:right w:w="0" w:type="dxa"/>
        </w:tblCellMar>
        <w:tblLook w:val="04A0" w:firstRow="1" w:lastRow="0" w:firstColumn="1" w:lastColumn="0" w:noHBand="0" w:noVBand="1"/>
        <w:tblDescription w:val="Report cover"/>
      </w:tblPr>
      <w:tblGrid>
        <w:gridCol w:w="4411"/>
      </w:tblGrid>
      <w:tr w:rsidR="00D40635" w:rsidRPr="00787BEC" w14:paraId="79DF57E3" w14:textId="77777777" w:rsidTr="00112024">
        <w:trPr>
          <w:trHeight w:hRule="exact" w:val="4015"/>
          <w:tblHeader/>
        </w:trPr>
        <w:tc>
          <w:tcPr>
            <w:tcW w:w="4411" w:type="dxa"/>
            <w:tcMar>
              <w:top w:w="851" w:type="dxa"/>
            </w:tcMar>
          </w:tcPr>
          <w:p w14:paraId="709D904F" w14:textId="77777777" w:rsidR="00D40635" w:rsidRPr="00D40635" w:rsidRDefault="00D40635" w:rsidP="00D40635">
            <w:pPr>
              <w:rPr>
                <w:rFonts w:asciiTheme="majorHAnsi" w:hAnsiTheme="majorHAnsi" w:cs="Arial"/>
                <w:bCs/>
                <w:color w:val="auto"/>
                <w:kern w:val="28"/>
                <w:sz w:val="56"/>
                <w:szCs w:val="32"/>
              </w:rPr>
            </w:pPr>
            <w:r w:rsidRPr="00D40635">
              <w:rPr>
                <w:rFonts w:asciiTheme="majorHAnsi" w:hAnsiTheme="majorHAnsi" w:cs="Arial"/>
                <w:b/>
                <w:bCs/>
                <w:color w:val="auto"/>
                <w:kern w:val="28"/>
                <w:sz w:val="56"/>
                <w:szCs w:val="130"/>
              </w:rPr>
              <w:t>Improved compliance with the Deferred GST Scheme</w:t>
            </w:r>
          </w:p>
          <w:p w14:paraId="67B623E7" w14:textId="77777777" w:rsidR="00D40635" w:rsidRPr="005C316B" w:rsidRDefault="00D40635" w:rsidP="00D40635">
            <w:pPr>
              <w:rPr>
                <w:rFonts w:asciiTheme="majorHAnsi" w:hAnsiTheme="majorHAnsi" w:cs="Arial"/>
                <w:b/>
                <w:bCs/>
                <w:color w:val="auto"/>
                <w:kern w:val="28"/>
                <w:sz w:val="48"/>
                <w:szCs w:val="130"/>
              </w:rPr>
            </w:pPr>
          </w:p>
          <w:p w14:paraId="518C42D6" w14:textId="77777777" w:rsidR="00D40635" w:rsidRPr="005C316B" w:rsidRDefault="00D40635" w:rsidP="00D40635">
            <w:pPr>
              <w:pStyle w:val="LargeTitle"/>
              <w:rPr>
                <w:sz w:val="48"/>
              </w:rPr>
            </w:pPr>
          </w:p>
          <w:p w14:paraId="0CECF77E" w14:textId="77777777" w:rsidR="00D40635" w:rsidRPr="005C316B" w:rsidRDefault="00D40635" w:rsidP="00D40635">
            <w:pPr>
              <w:pStyle w:val="Subtitle"/>
              <w:rPr>
                <w:sz w:val="48"/>
              </w:rPr>
            </w:pPr>
          </w:p>
        </w:tc>
      </w:tr>
      <w:tr w:rsidR="00D40635" w14:paraId="11DD0939" w14:textId="77777777" w:rsidTr="00112024">
        <w:trPr>
          <w:trHeight w:hRule="exact" w:val="493"/>
        </w:trPr>
        <w:tc>
          <w:tcPr>
            <w:tcW w:w="4411" w:type="dxa"/>
          </w:tcPr>
          <w:p w14:paraId="083BABBC" w14:textId="412C02DE" w:rsidR="00D40635" w:rsidRDefault="00D40635" w:rsidP="00D40635">
            <w:pPr>
              <w:pStyle w:val="Date"/>
            </w:pPr>
            <w:r>
              <w:t>June 2018</w:t>
            </w:r>
          </w:p>
          <w:p w14:paraId="7437FFF8" w14:textId="77777777" w:rsidR="00D40635" w:rsidRDefault="00D40635" w:rsidP="00D40635"/>
          <w:p w14:paraId="2363C189" w14:textId="77777777" w:rsidR="00D40635" w:rsidRDefault="00D40635" w:rsidP="00D40635"/>
          <w:p w14:paraId="450462BC" w14:textId="77777777" w:rsidR="00D40635" w:rsidRDefault="00D40635" w:rsidP="00D40635"/>
          <w:p w14:paraId="544CA874" w14:textId="77777777" w:rsidR="00D40635" w:rsidRDefault="00D40635" w:rsidP="00D40635"/>
          <w:p w14:paraId="1BE74209" w14:textId="0A498B06" w:rsidR="00D40635" w:rsidRPr="004E4DA7" w:rsidRDefault="00D40635" w:rsidP="00D40635"/>
        </w:tc>
      </w:tr>
    </w:tbl>
    <w:p w14:paraId="6A986577" w14:textId="78F6A600" w:rsidR="00112024" w:rsidRDefault="006D7BA9" w:rsidP="006D7BA9">
      <w:pPr>
        <w:tabs>
          <w:tab w:val="left" w:pos="5859"/>
        </w:tabs>
      </w:pPr>
      <w:r>
        <w:tab/>
      </w:r>
    </w:p>
    <w:p w14:paraId="493A2DCE" w14:textId="77777777" w:rsidR="00112024" w:rsidRDefault="00112024">
      <w:pPr>
        <w:keepLines w:val="0"/>
        <w:spacing w:before="0" w:after="0" w:line="240" w:lineRule="auto"/>
      </w:pPr>
      <w:r>
        <w:br w:type="page"/>
      </w:r>
    </w:p>
    <w:p w14:paraId="100D2673" w14:textId="1DA7787C" w:rsidR="00112024" w:rsidRDefault="00FE6C21" w:rsidP="00DE7DD4">
      <w:pPr>
        <w:pStyle w:val="LargeH1"/>
        <w:outlineLvl w:val="9"/>
      </w:pPr>
      <w:r>
        <w:lastRenderedPageBreak/>
        <w:br/>
      </w:r>
    </w:p>
    <w:p w14:paraId="6388D527" w14:textId="77777777" w:rsidR="00112024" w:rsidRDefault="00112024" w:rsidP="00112024">
      <w:pPr>
        <w:pStyle w:val="Heading2"/>
      </w:pPr>
      <w:r>
        <w:t>© Commonwealth of Australia 2018</w:t>
      </w:r>
    </w:p>
    <w:p w14:paraId="13662F09" w14:textId="3CFEA4C7" w:rsidR="00112024" w:rsidRDefault="000866DF" w:rsidP="00112024">
      <w:r>
        <w:t>978-1-925363-39-5</w:t>
      </w:r>
      <w:r w:rsidR="00112024">
        <w:t xml:space="preserve"> Improv</w:t>
      </w:r>
      <w:r w:rsidR="00353431">
        <w:t>ed</w:t>
      </w:r>
      <w:r w:rsidR="00112024">
        <w:t xml:space="preserve"> Compliance with the Deferred GST Scheme (DOCX)</w:t>
      </w:r>
    </w:p>
    <w:p w14:paraId="52271508" w14:textId="2D2BB56F" w:rsidR="00112024" w:rsidRDefault="000866DF" w:rsidP="00112024">
      <w:r>
        <w:t xml:space="preserve">978-1-925363-40-1 </w:t>
      </w:r>
      <w:r w:rsidR="00112024">
        <w:t>Improv</w:t>
      </w:r>
      <w:r w:rsidR="00353431">
        <w:t>ed</w:t>
      </w:r>
      <w:r w:rsidR="00112024">
        <w:t xml:space="preserve"> Compliance with the Deferred GST Scheme (PDF)</w:t>
      </w:r>
    </w:p>
    <w:p w14:paraId="405EA68D" w14:textId="77777777" w:rsidR="00112024" w:rsidRDefault="00112024" w:rsidP="00112024">
      <w:pPr>
        <w:pStyle w:val="Heading2"/>
      </w:pPr>
      <w:r>
        <w:t>Copyright Notice</w:t>
      </w:r>
    </w:p>
    <w:p w14:paraId="0A28567A" w14:textId="77777777" w:rsidR="00112024" w:rsidRDefault="00112024" w:rsidP="00112024">
      <w:r>
        <w:t xml:space="preserve">With the exception of the Commonwealth Coat of Arms, this work is licensed under a Creative Commons Attribution 4.0 International license (CC BY 4.0) </w:t>
      </w:r>
      <w:hyperlink r:id="rId12" w:history="1">
        <w:r w:rsidRPr="006911C0">
          <w:rPr>
            <w:rStyle w:val="Hyperlink"/>
          </w:rPr>
          <w:t>http://creativecommons.org/licensesby/4.0/deed.en</w:t>
        </w:r>
      </w:hyperlink>
    </w:p>
    <w:p w14:paraId="488A4556" w14:textId="77777777" w:rsidR="00112024" w:rsidRDefault="00112024" w:rsidP="00112024">
      <w:pPr>
        <w:spacing w:before="240"/>
      </w:pPr>
      <w:r>
        <w:rPr>
          <w:noProof/>
        </w:rPr>
        <w:drawing>
          <wp:inline distT="0" distB="0" distL="0" distR="0" wp14:anchorId="70FB9187" wp14:editId="7E0AD19D">
            <wp:extent cx="771146" cy="307849"/>
            <wp:effectExtent l="0" t="0" r="0" b="0"/>
            <wp:docPr id="6" name="Picture 6"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7B92C4DD" w14:textId="77777777" w:rsidR="00112024" w:rsidRDefault="00112024" w:rsidP="00112024">
      <w:pPr>
        <w:pStyle w:val="Heading2"/>
      </w:pPr>
      <w:r>
        <w:t>Third party copyright</w:t>
      </w:r>
    </w:p>
    <w:p w14:paraId="48973D35" w14:textId="77777777" w:rsidR="00112024" w:rsidRDefault="00112024" w:rsidP="00112024">
      <w:r>
        <w:t>Wherever a third party holds copyright in this material, the copyright remains with that party. Their permission may be required to use the material. Please contact them directly.</w:t>
      </w:r>
    </w:p>
    <w:p w14:paraId="6D13FBE2" w14:textId="77777777" w:rsidR="00112024" w:rsidRDefault="00112024" w:rsidP="00112024">
      <w:pPr>
        <w:pStyle w:val="Heading2"/>
      </w:pPr>
      <w:r>
        <w:t>Attribution</w:t>
      </w:r>
    </w:p>
    <w:p w14:paraId="32B300F1" w14:textId="4AF6377E" w:rsidR="00112024" w:rsidRDefault="00112024" w:rsidP="00112024">
      <w:r>
        <w:t>This publication should be attributed as follows: Commonwealth of Australia, Department of the Prime Minister and Cabinet, Improv</w:t>
      </w:r>
      <w:r w:rsidR="00353431">
        <w:t xml:space="preserve">ed </w:t>
      </w:r>
      <w:r>
        <w:t xml:space="preserve">Compliance with the Deferred GST Scheme. </w:t>
      </w:r>
    </w:p>
    <w:p w14:paraId="1837F080" w14:textId="77777777" w:rsidR="00112024" w:rsidRDefault="00112024" w:rsidP="00112024">
      <w:pPr>
        <w:pStyle w:val="Heading2"/>
      </w:pPr>
      <w:r>
        <w:t>Use of the Coat of Arms</w:t>
      </w:r>
    </w:p>
    <w:p w14:paraId="351214E6" w14:textId="77777777" w:rsidR="00112024" w:rsidRDefault="00112024" w:rsidP="00112024">
      <w:r>
        <w:t xml:space="preserve">The terms under which the Coat of Arms can be used are detailed on the following website: </w:t>
      </w:r>
      <w:hyperlink r:id="rId14" w:history="1">
        <w:r w:rsidRPr="006911C0">
          <w:rPr>
            <w:rStyle w:val="Hyperlink"/>
          </w:rPr>
          <w:t>http://www.itsanhonour.gov.au/coat-arms</w:t>
        </w:r>
      </w:hyperlink>
    </w:p>
    <w:p w14:paraId="11B89074" w14:textId="77777777" w:rsidR="00112024" w:rsidRDefault="00112024" w:rsidP="00112024">
      <w:r>
        <w:br w:type="page"/>
      </w:r>
    </w:p>
    <w:p w14:paraId="708A5DE5" w14:textId="659AFB1A" w:rsidR="00112024" w:rsidRPr="000E51CE" w:rsidRDefault="00112024" w:rsidP="00F57FF8">
      <w:pPr>
        <w:pStyle w:val="DisclaimerH1"/>
        <w:pBdr>
          <w:bottom w:val="single" w:sz="24" w:space="7" w:color="20B9A3" w:themeColor="background2"/>
        </w:pBdr>
      </w:pPr>
    </w:p>
    <w:p w14:paraId="07411D65" w14:textId="77777777" w:rsidR="00112024" w:rsidRPr="00E72FB3" w:rsidRDefault="00112024" w:rsidP="00112024">
      <w:pPr>
        <w:pStyle w:val="Heading2"/>
      </w:pPr>
      <w:r w:rsidRPr="00E72FB3">
        <w:t>Other uses</w:t>
      </w:r>
    </w:p>
    <w:p w14:paraId="68116143" w14:textId="77777777" w:rsidR="00112024" w:rsidRDefault="00112024" w:rsidP="00112024">
      <w:r>
        <w:t>Enquiries regarding this license and any other use of this document are welcome at:</w:t>
      </w:r>
    </w:p>
    <w:p w14:paraId="7DCD42AB" w14:textId="77777777" w:rsidR="00112024" w:rsidRDefault="00112024" w:rsidP="00112024">
      <w:pPr>
        <w:spacing w:before="0" w:after="0"/>
      </w:pPr>
      <w:r>
        <w:t>Managing Director</w:t>
      </w:r>
    </w:p>
    <w:p w14:paraId="46839993" w14:textId="77777777" w:rsidR="00112024" w:rsidRDefault="00112024" w:rsidP="00112024">
      <w:pPr>
        <w:spacing w:before="0" w:after="0"/>
      </w:pPr>
      <w:r>
        <w:t>Behavioural Economics Team of the Australian Government</w:t>
      </w:r>
    </w:p>
    <w:p w14:paraId="41A77531" w14:textId="77777777" w:rsidR="00112024" w:rsidRDefault="00112024" w:rsidP="00112024">
      <w:pPr>
        <w:spacing w:before="0" w:after="0"/>
      </w:pPr>
      <w:r>
        <w:t>Department of the Prime Minister and Cabinet</w:t>
      </w:r>
    </w:p>
    <w:p w14:paraId="5047BC01" w14:textId="77777777" w:rsidR="00112024" w:rsidRDefault="00112024" w:rsidP="00112024">
      <w:pPr>
        <w:spacing w:before="0" w:after="0"/>
      </w:pPr>
      <w:r>
        <w:t>Barton ACT 2600</w:t>
      </w:r>
    </w:p>
    <w:p w14:paraId="6B045F15" w14:textId="77777777" w:rsidR="00112024" w:rsidRDefault="00112024" w:rsidP="00112024">
      <w:pPr>
        <w:spacing w:before="0" w:after="0"/>
      </w:pPr>
      <w:r>
        <w:t>Email: beta@pmc.gov.au</w:t>
      </w:r>
    </w:p>
    <w:p w14:paraId="21C097F9" w14:textId="77777777" w:rsidR="00112024" w:rsidRDefault="00112024" w:rsidP="00112024">
      <w:r>
        <w:t>The views expressed in this paper are those of the authors and do not necessarily reflect those of the Department of the Prime Minister and Cabinet or the Australian Government.</w:t>
      </w:r>
    </w:p>
    <w:p w14:paraId="7493024C" w14:textId="77777777" w:rsidR="00112024" w:rsidRPr="00B23F96" w:rsidRDefault="00112024" w:rsidP="00112024">
      <w:pPr>
        <w:pStyle w:val="Heading2"/>
      </w:pPr>
      <w:r w:rsidRPr="00B23F96">
        <w:t>Research team</w:t>
      </w:r>
    </w:p>
    <w:p w14:paraId="46CC0B74" w14:textId="231E7A64" w:rsidR="00112024" w:rsidRPr="00D27600" w:rsidRDefault="00112024" w:rsidP="00112024">
      <w:pPr>
        <w:rPr>
          <w:lang w:val="en-GB"/>
        </w:rPr>
      </w:pPr>
      <w:r w:rsidRPr="00D27600">
        <w:rPr>
          <w:lang w:val="en-GB"/>
        </w:rPr>
        <w:t xml:space="preserve">Professor Michael J. </w:t>
      </w:r>
      <w:proofErr w:type="spellStart"/>
      <w:r w:rsidRPr="00D27600">
        <w:rPr>
          <w:lang w:val="en-GB"/>
        </w:rPr>
        <w:t>Hiscox</w:t>
      </w:r>
      <w:proofErr w:type="spellEnd"/>
      <w:r w:rsidRPr="00D27600">
        <w:rPr>
          <w:lang w:val="en-GB"/>
        </w:rPr>
        <w:t xml:space="preserve"> was the principal investigator for this project. Other (current and former) staff who contributed to the report were: Janine Bialecki; </w:t>
      </w:r>
      <w:r>
        <w:rPr>
          <w:lang w:val="en-GB"/>
        </w:rPr>
        <w:t>Heather Cotching;</w:t>
      </w:r>
      <w:r w:rsidRPr="00D27600">
        <w:rPr>
          <w:lang w:val="en-GB"/>
        </w:rPr>
        <w:t xml:space="preserve"> Michael Daffey; Harry Greenwell;</w:t>
      </w:r>
      <w:r>
        <w:rPr>
          <w:lang w:val="en-GB"/>
        </w:rPr>
        <w:t xml:space="preserve"> </w:t>
      </w:r>
      <w:r w:rsidRPr="00D27600">
        <w:rPr>
          <w:lang w:val="en-GB"/>
        </w:rPr>
        <w:t xml:space="preserve">Su Mon </w:t>
      </w:r>
      <w:proofErr w:type="spellStart"/>
      <w:r w:rsidRPr="00D27600">
        <w:rPr>
          <w:lang w:val="en-GB"/>
        </w:rPr>
        <w:t>Kyaw-Myint</w:t>
      </w:r>
      <w:proofErr w:type="spellEnd"/>
      <w:r w:rsidRPr="00D27600">
        <w:rPr>
          <w:lang w:val="en-GB"/>
        </w:rPr>
        <w:t>;</w:t>
      </w:r>
      <w:r>
        <w:rPr>
          <w:lang w:val="en-GB"/>
        </w:rPr>
        <w:t xml:space="preserve"> Rosa Lee,</w:t>
      </w:r>
      <w:r w:rsidRPr="00D27600">
        <w:rPr>
          <w:lang w:val="en-GB"/>
        </w:rPr>
        <w:t xml:space="preserve"> </w:t>
      </w:r>
      <w:r w:rsidR="00653670" w:rsidRPr="00D27600">
        <w:rPr>
          <w:lang w:val="en-GB"/>
        </w:rPr>
        <w:t>Kailash Rajah</w:t>
      </w:r>
      <w:r w:rsidR="00653670">
        <w:rPr>
          <w:lang w:val="en-GB"/>
        </w:rPr>
        <w:t>;</w:t>
      </w:r>
      <w:r w:rsidR="00653670" w:rsidRPr="00D27600">
        <w:rPr>
          <w:lang w:val="en-GB"/>
        </w:rPr>
        <w:t xml:space="preserve"> </w:t>
      </w:r>
      <w:r w:rsidRPr="00D27600">
        <w:rPr>
          <w:lang w:val="en-GB"/>
        </w:rPr>
        <w:t xml:space="preserve">Robert </w:t>
      </w:r>
      <w:proofErr w:type="spellStart"/>
      <w:r w:rsidRPr="00D27600">
        <w:rPr>
          <w:lang w:val="en-GB"/>
        </w:rPr>
        <w:t>Slonim</w:t>
      </w:r>
      <w:proofErr w:type="spellEnd"/>
      <w:r w:rsidRPr="00D27600">
        <w:rPr>
          <w:lang w:val="en-GB"/>
        </w:rPr>
        <w:t xml:space="preserve">; </w:t>
      </w:r>
      <w:r>
        <w:rPr>
          <w:lang w:val="en-GB"/>
        </w:rPr>
        <w:t xml:space="preserve">Nitin Srivastava; </w:t>
      </w:r>
      <w:r w:rsidRPr="00D27600">
        <w:rPr>
          <w:lang w:val="en-GB"/>
        </w:rPr>
        <w:t xml:space="preserve">Marcus Suresh; and </w:t>
      </w:r>
      <w:proofErr w:type="spellStart"/>
      <w:r w:rsidRPr="00D27600">
        <w:rPr>
          <w:lang w:val="en-GB"/>
        </w:rPr>
        <w:t>Bec</w:t>
      </w:r>
      <w:proofErr w:type="spellEnd"/>
      <w:r w:rsidR="00353431">
        <w:rPr>
          <w:lang w:val="en-GB"/>
        </w:rPr>
        <w:t> </w:t>
      </w:r>
      <w:r w:rsidRPr="00D27600">
        <w:rPr>
          <w:lang w:val="en-GB"/>
        </w:rPr>
        <w:t>Weeks.</w:t>
      </w:r>
    </w:p>
    <w:p w14:paraId="1CE04612" w14:textId="77777777" w:rsidR="00112024" w:rsidRPr="00B23F96" w:rsidRDefault="00112024" w:rsidP="00112024">
      <w:pPr>
        <w:pStyle w:val="Heading2"/>
      </w:pPr>
      <w:r w:rsidRPr="00B23F96">
        <w:t>Acknowledgments</w:t>
      </w:r>
    </w:p>
    <w:p w14:paraId="62ECEDB7" w14:textId="7524F6F2" w:rsidR="00112024" w:rsidRPr="008C37E9" w:rsidRDefault="00112024" w:rsidP="00112024">
      <w:pPr>
        <w:pStyle w:val="Pa1"/>
        <w:spacing w:before="120" w:after="120" w:line="320" w:lineRule="atLeast"/>
        <w:rPr>
          <w:rFonts w:asciiTheme="minorHAnsi" w:eastAsia="Times New Roman" w:hAnsiTheme="minorHAnsi" w:cs="Times New Roman"/>
          <w:color w:val="000000" w:themeColor="text1"/>
          <w:sz w:val="22"/>
          <w:lang w:eastAsia="en-AU"/>
        </w:rPr>
      </w:pPr>
      <w:r w:rsidRPr="00D27600">
        <w:rPr>
          <w:rFonts w:asciiTheme="minorHAnsi" w:eastAsia="Times New Roman" w:hAnsiTheme="minorHAnsi" w:cs="Times New Roman"/>
          <w:color w:val="000000" w:themeColor="text1"/>
          <w:sz w:val="22"/>
          <w:lang w:eastAsia="en-AU"/>
        </w:rPr>
        <w:t xml:space="preserve">Thank you to the Australian Taxation Office for collaborating with us on the project. In particular, special thanks to </w:t>
      </w:r>
      <w:r>
        <w:rPr>
          <w:rFonts w:asciiTheme="minorHAnsi" w:eastAsia="Times New Roman" w:hAnsiTheme="minorHAnsi" w:cs="Times New Roman"/>
          <w:color w:val="000000" w:themeColor="text1"/>
          <w:sz w:val="22"/>
          <w:lang w:eastAsia="en-AU"/>
        </w:rPr>
        <w:t xml:space="preserve">Annie Ferguson, </w:t>
      </w:r>
      <w:r w:rsidRPr="00D27600">
        <w:rPr>
          <w:rFonts w:asciiTheme="minorHAnsi" w:eastAsia="Times New Roman" w:hAnsiTheme="minorHAnsi" w:cs="Times New Roman"/>
          <w:color w:val="000000" w:themeColor="text1"/>
          <w:sz w:val="22"/>
          <w:lang w:eastAsia="en-AU"/>
        </w:rPr>
        <w:t xml:space="preserve">Cathy Cox; Matthew Sykes; Rosie </w:t>
      </w:r>
      <w:proofErr w:type="spellStart"/>
      <w:r w:rsidRPr="00D27600">
        <w:rPr>
          <w:rFonts w:asciiTheme="minorHAnsi" w:eastAsia="Times New Roman" w:hAnsiTheme="minorHAnsi" w:cs="Times New Roman"/>
          <w:color w:val="000000" w:themeColor="text1"/>
          <w:sz w:val="22"/>
          <w:lang w:eastAsia="en-AU"/>
        </w:rPr>
        <w:t>Cicchitti</w:t>
      </w:r>
      <w:proofErr w:type="spellEnd"/>
      <w:r w:rsidRPr="00D27600">
        <w:rPr>
          <w:rFonts w:asciiTheme="minorHAnsi" w:eastAsia="Times New Roman" w:hAnsiTheme="minorHAnsi" w:cs="Times New Roman"/>
          <w:color w:val="000000" w:themeColor="text1"/>
          <w:sz w:val="22"/>
          <w:lang w:eastAsia="en-AU"/>
        </w:rPr>
        <w:t xml:space="preserve">; </w:t>
      </w:r>
      <w:proofErr w:type="spellStart"/>
      <w:r w:rsidRPr="00D27600">
        <w:rPr>
          <w:rFonts w:asciiTheme="minorHAnsi" w:eastAsia="Times New Roman" w:hAnsiTheme="minorHAnsi" w:cs="Times New Roman"/>
          <w:color w:val="000000" w:themeColor="text1"/>
          <w:sz w:val="22"/>
          <w:lang w:eastAsia="en-AU"/>
        </w:rPr>
        <w:t>Sherolea</w:t>
      </w:r>
      <w:proofErr w:type="spellEnd"/>
      <w:r w:rsidRPr="00D27600">
        <w:rPr>
          <w:rFonts w:asciiTheme="minorHAnsi" w:eastAsia="Times New Roman" w:hAnsiTheme="minorHAnsi" w:cs="Times New Roman"/>
          <w:color w:val="000000" w:themeColor="text1"/>
          <w:sz w:val="22"/>
          <w:lang w:eastAsia="en-AU"/>
        </w:rPr>
        <w:t xml:space="preserve"> Leonidas; Jan Levingston; Sonya </w:t>
      </w:r>
      <w:proofErr w:type="spellStart"/>
      <w:r w:rsidRPr="00D27600">
        <w:rPr>
          <w:rFonts w:asciiTheme="minorHAnsi" w:eastAsia="Times New Roman" w:hAnsiTheme="minorHAnsi" w:cs="Times New Roman"/>
          <w:color w:val="000000" w:themeColor="text1"/>
          <w:sz w:val="22"/>
          <w:lang w:eastAsia="en-AU"/>
        </w:rPr>
        <w:t>Hup</w:t>
      </w:r>
      <w:proofErr w:type="spellEnd"/>
      <w:r w:rsidRPr="00D27600">
        <w:rPr>
          <w:rFonts w:asciiTheme="minorHAnsi" w:eastAsia="Times New Roman" w:hAnsiTheme="minorHAnsi" w:cs="Times New Roman"/>
          <w:color w:val="000000" w:themeColor="text1"/>
          <w:sz w:val="22"/>
          <w:lang w:eastAsia="en-AU"/>
        </w:rPr>
        <w:t>; Adam Crabbe; Jane Mitchell; Cindy Baker; Catherine Griffin;</w:t>
      </w:r>
      <w:r>
        <w:rPr>
          <w:rFonts w:asciiTheme="minorHAnsi" w:eastAsia="Times New Roman" w:hAnsiTheme="minorHAnsi" w:cs="Times New Roman"/>
          <w:color w:val="000000" w:themeColor="text1"/>
          <w:sz w:val="22"/>
          <w:lang w:eastAsia="en-AU"/>
        </w:rPr>
        <w:t xml:space="preserve"> Trish </w:t>
      </w:r>
      <w:proofErr w:type="spellStart"/>
      <w:r>
        <w:rPr>
          <w:rFonts w:asciiTheme="minorHAnsi" w:eastAsia="Times New Roman" w:hAnsiTheme="minorHAnsi" w:cs="Times New Roman"/>
          <w:color w:val="000000" w:themeColor="text1"/>
          <w:sz w:val="22"/>
          <w:lang w:eastAsia="en-AU"/>
        </w:rPr>
        <w:t>Westmore</w:t>
      </w:r>
      <w:proofErr w:type="spellEnd"/>
      <w:r w:rsidRPr="00D27600">
        <w:rPr>
          <w:rFonts w:asciiTheme="minorHAnsi" w:eastAsia="Times New Roman" w:hAnsiTheme="minorHAnsi" w:cs="Times New Roman"/>
          <w:color w:val="000000" w:themeColor="text1"/>
          <w:sz w:val="22"/>
          <w:lang w:eastAsia="en-AU"/>
        </w:rPr>
        <w:t xml:space="preserve"> and Louise</w:t>
      </w:r>
      <w:r w:rsidR="00353431">
        <w:rPr>
          <w:rFonts w:asciiTheme="minorHAnsi" w:eastAsia="Times New Roman" w:hAnsiTheme="minorHAnsi" w:cs="Times New Roman"/>
          <w:color w:val="000000" w:themeColor="text1"/>
          <w:sz w:val="22"/>
          <w:lang w:eastAsia="en-AU"/>
        </w:rPr>
        <w:t> </w:t>
      </w:r>
      <w:r w:rsidRPr="00D27600">
        <w:rPr>
          <w:rFonts w:asciiTheme="minorHAnsi" w:eastAsia="Times New Roman" w:hAnsiTheme="minorHAnsi" w:cs="Times New Roman"/>
          <w:color w:val="000000" w:themeColor="text1"/>
          <w:sz w:val="22"/>
          <w:lang w:eastAsia="en-AU"/>
        </w:rPr>
        <w:t>Woods.</w:t>
      </w:r>
      <w:r>
        <w:rPr>
          <w:rFonts w:asciiTheme="minorHAnsi" w:eastAsia="Times New Roman" w:hAnsiTheme="minorHAnsi" w:cs="Times New Roman"/>
          <w:color w:val="000000" w:themeColor="text1"/>
          <w:sz w:val="22"/>
          <w:lang w:eastAsia="en-AU"/>
        </w:rPr>
        <w:t xml:space="preserve"> </w:t>
      </w:r>
    </w:p>
    <w:p w14:paraId="366862C4" w14:textId="77777777" w:rsidR="00112024" w:rsidRDefault="00112024" w:rsidP="00112024">
      <w:r>
        <w:t>The trial was pre-registered on the BETA website and the American Economic Association registry:</w:t>
      </w:r>
    </w:p>
    <w:p w14:paraId="07F9B0FC" w14:textId="43A82737" w:rsidR="008E67A0" w:rsidRDefault="00D576B1" w:rsidP="00112024">
      <w:pPr>
        <w:rPr>
          <w:szCs w:val="20"/>
        </w:rPr>
      </w:pPr>
      <w:hyperlink r:id="rId15" w:history="1">
        <w:r w:rsidR="008E67A0" w:rsidRPr="00CF0E5F">
          <w:rPr>
            <w:rStyle w:val="Hyperlink"/>
            <w:szCs w:val="20"/>
          </w:rPr>
          <w:t>https://www.pmc.gov.au/domestic-policy/behavioural-economics/making-it-less-taxing-better-compliance-deferred-gst</w:t>
        </w:r>
      </w:hyperlink>
    </w:p>
    <w:p w14:paraId="6B1CD905" w14:textId="5333EB94" w:rsidR="00F57FF8" w:rsidRDefault="00D576B1" w:rsidP="00112024">
      <w:hyperlink r:id="rId16" w:history="1">
        <w:r w:rsidR="00F57FF8" w:rsidRPr="004C7DB6">
          <w:rPr>
            <w:rStyle w:val="Hyperlink"/>
          </w:rPr>
          <w:t>https://www.socialscienceregistry.org/trials/2201</w:t>
        </w:r>
      </w:hyperlink>
    </w:p>
    <w:p w14:paraId="6D64DE50" w14:textId="25167F42" w:rsidR="008253C4" w:rsidRDefault="00D576B1" w:rsidP="00112024">
      <w:pPr>
        <w:sectPr w:rsidR="008253C4" w:rsidSect="007D0FC7">
          <w:pgSz w:w="11906" w:h="16838" w:code="9"/>
          <w:pgMar w:top="2126" w:right="720" w:bottom="567" w:left="720" w:header="567" w:footer="567" w:gutter="0"/>
          <w:pgNumType w:start="0"/>
          <w:cols w:space="708"/>
          <w:titlePg/>
          <w:docGrid w:linePitch="360"/>
        </w:sectPr>
      </w:pPr>
      <w:hyperlink r:id="rId17" w:history="1">
        <w:r w:rsidR="008E67A0" w:rsidRPr="00CF0E5F">
          <w:rPr>
            <w:rStyle w:val="Hyperlink"/>
            <w:szCs w:val="20"/>
          </w:rPr>
          <w:t>https://www.socialscienceregistry.org/trials/2209/history/17464</w:t>
        </w:r>
      </w:hyperlink>
      <w:r w:rsidR="008E67A0">
        <w:rPr>
          <w:szCs w:val="20"/>
        </w:rPr>
        <w:t xml:space="preserve"> </w:t>
      </w:r>
    </w:p>
    <w:p w14:paraId="73796A68" w14:textId="77777777" w:rsidR="0035219F" w:rsidRDefault="00295B30" w:rsidP="003F31E6">
      <w:pPr>
        <w:pStyle w:val="TOCHeading"/>
      </w:pPr>
      <w:r>
        <w:lastRenderedPageBreak/>
        <w:t>Contents</w:t>
      </w:r>
    </w:p>
    <w:p w14:paraId="42C656F2" w14:textId="6D895DAF" w:rsidR="00A6734E" w:rsidRDefault="00295B30">
      <w:pPr>
        <w:pStyle w:val="TOC1"/>
        <w:rPr>
          <w:rFonts w:eastAsiaTheme="minorEastAsia" w:cstheme="minorBidi"/>
          <w:b w:val="0"/>
          <w:color w:val="auto"/>
          <w:sz w:val="22"/>
          <w:szCs w:val="22"/>
        </w:rPr>
      </w:pPr>
      <w:r>
        <w:fldChar w:fldCharType="begin"/>
      </w:r>
      <w:r>
        <w:instrText xml:space="preserve"> TOC \h \z \t "Heading 1,1,Large H1,1" </w:instrText>
      </w:r>
      <w:r>
        <w:fldChar w:fldCharType="separate"/>
      </w:r>
      <w:hyperlink w:anchor="_Toc517256237" w:history="1">
        <w:r w:rsidR="00A6734E" w:rsidRPr="004E1636">
          <w:rPr>
            <w:rStyle w:val="Hyperlink"/>
          </w:rPr>
          <w:t>Executive Summary</w:t>
        </w:r>
        <w:r w:rsidR="00A6734E">
          <w:rPr>
            <w:webHidden/>
          </w:rPr>
          <w:tab/>
        </w:r>
        <w:r w:rsidR="00A6734E">
          <w:rPr>
            <w:webHidden/>
          </w:rPr>
          <w:fldChar w:fldCharType="begin"/>
        </w:r>
        <w:r w:rsidR="00A6734E">
          <w:rPr>
            <w:webHidden/>
          </w:rPr>
          <w:instrText xml:space="preserve"> PAGEREF _Toc517256237 \h </w:instrText>
        </w:r>
        <w:r w:rsidR="00A6734E">
          <w:rPr>
            <w:webHidden/>
          </w:rPr>
        </w:r>
        <w:r w:rsidR="00A6734E">
          <w:rPr>
            <w:webHidden/>
          </w:rPr>
          <w:fldChar w:fldCharType="separate"/>
        </w:r>
        <w:r w:rsidR="00A6734E">
          <w:rPr>
            <w:webHidden/>
          </w:rPr>
          <w:t>4</w:t>
        </w:r>
        <w:r w:rsidR="00A6734E">
          <w:rPr>
            <w:webHidden/>
          </w:rPr>
          <w:fldChar w:fldCharType="end"/>
        </w:r>
      </w:hyperlink>
    </w:p>
    <w:p w14:paraId="4E026040" w14:textId="79DB9D62" w:rsidR="00A6734E" w:rsidRDefault="00D576B1">
      <w:pPr>
        <w:pStyle w:val="TOC1"/>
        <w:rPr>
          <w:rFonts w:eastAsiaTheme="minorEastAsia" w:cstheme="minorBidi"/>
          <w:b w:val="0"/>
          <w:color w:val="auto"/>
          <w:sz w:val="22"/>
          <w:szCs w:val="22"/>
        </w:rPr>
      </w:pPr>
      <w:hyperlink w:anchor="_Toc517256238" w:history="1">
        <w:r w:rsidR="00A6734E" w:rsidRPr="004E1636">
          <w:rPr>
            <w:rStyle w:val="Hyperlink"/>
          </w:rPr>
          <w:t>Why?</w:t>
        </w:r>
        <w:r w:rsidR="00A6734E">
          <w:rPr>
            <w:webHidden/>
          </w:rPr>
          <w:tab/>
        </w:r>
        <w:r w:rsidR="00A6734E">
          <w:rPr>
            <w:webHidden/>
          </w:rPr>
          <w:fldChar w:fldCharType="begin"/>
        </w:r>
        <w:r w:rsidR="00A6734E">
          <w:rPr>
            <w:webHidden/>
          </w:rPr>
          <w:instrText xml:space="preserve"> PAGEREF _Toc517256238 \h </w:instrText>
        </w:r>
        <w:r w:rsidR="00A6734E">
          <w:rPr>
            <w:webHidden/>
          </w:rPr>
        </w:r>
        <w:r w:rsidR="00A6734E">
          <w:rPr>
            <w:webHidden/>
          </w:rPr>
          <w:fldChar w:fldCharType="separate"/>
        </w:r>
        <w:r w:rsidR="00A6734E">
          <w:rPr>
            <w:webHidden/>
          </w:rPr>
          <w:t>6</w:t>
        </w:r>
        <w:r w:rsidR="00A6734E">
          <w:rPr>
            <w:webHidden/>
          </w:rPr>
          <w:fldChar w:fldCharType="end"/>
        </w:r>
      </w:hyperlink>
    </w:p>
    <w:p w14:paraId="4C334506" w14:textId="18530011" w:rsidR="00A6734E" w:rsidRDefault="00D576B1">
      <w:pPr>
        <w:pStyle w:val="TOC1"/>
        <w:rPr>
          <w:rFonts w:eastAsiaTheme="minorEastAsia" w:cstheme="minorBidi"/>
          <w:b w:val="0"/>
          <w:color w:val="auto"/>
          <w:sz w:val="22"/>
          <w:szCs w:val="22"/>
        </w:rPr>
      </w:pPr>
      <w:hyperlink w:anchor="_Toc517256239" w:history="1">
        <w:r w:rsidR="00A6734E" w:rsidRPr="004E1636">
          <w:rPr>
            <w:rStyle w:val="Hyperlink"/>
          </w:rPr>
          <w:t>What?</w:t>
        </w:r>
        <w:r w:rsidR="00A6734E">
          <w:rPr>
            <w:webHidden/>
          </w:rPr>
          <w:tab/>
        </w:r>
        <w:r w:rsidR="00A6734E">
          <w:rPr>
            <w:webHidden/>
          </w:rPr>
          <w:fldChar w:fldCharType="begin"/>
        </w:r>
        <w:r w:rsidR="00A6734E">
          <w:rPr>
            <w:webHidden/>
          </w:rPr>
          <w:instrText xml:space="preserve"> PAGEREF _Toc517256239 \h </w:instrText>
        </w:r>
        <w:r w:rsidR="00A6734E">
          <w:rPr>
            <w:webHidden/>
          </w:rPr>
        </w:r>
        <w:r w:rsidR="00A6734E">
          <w:rPr>
            <w:webHidden/>
          </w:rPr>
          <w:fldChar w:fldCharType="separate"/>
        </w:r>
        <w:r w:rsidR="00A6734E">
          <w:rPr>
            <w:webHidden/>
          </w:rPr>
          <w:t>7</w:t>
        </w:r>
        <w:r w:rsidR="00A6734E">
          <w:rPr>
            <w:webHidden/>
          </w:rPr>
          <w:fldChar w:fldCharType="end"/>
        </w:r>
      </w:hyperlink>
    </w:p>
    <w:p w14:paraId="65EBE5D9" w14:textId="3448C450" w:rsidR="00A6734E" w:rsidRDefault="00D576B1">
      <w:pPr>
        <w:pStyle w:val="TOC1"/>
        <w:rPr>
          <w:rFonts w:eastAsiaTheme="minorEastAsia" w:cstheme="minorBidi"/>
          <w:b w:val="0"/>
          <w:color w:val="auto"/>
          <w:sz w:val="22"/>
          <w:szCs w:val="22"/>
        </w:rPr>
      </w:pPr>
      <w:hyperlink w:anchor="_Toc517256240" w:history="1">
        <w:r w:rsidR="00A6734E" w:rsidRPr="004E1636">
          <w:rPr>
            <w:rStyle w:val="Hyperlink"/>
          </w:rPr>
          <w:t>Results: Existing businesses trial</w:t>
        </w:r>
        <w:r w:rsidR="00A6734E">
          <w:rPr>
            <w:webHidden/>
          </w:rPr>
          <w:tab/>
        </w:r>
        <w:r w:rsidR="00A6734E">
          <w:rPr>
            <w:webHidden/>
          </w:rPr>
          <w:fldChar w:fldCharType="begin"/>
        </w:r>
        <w:r w:rsidR="00A6734E">
          <w:rPr>
            <w:webHidden/>
          </w:rPr>
          <w:instrText xml:space="preserve"> PAGEREF _Toc517256240 \h </w:instrText>
        </w:r>
        <w:r w:rsidR="00A6734E">
          <w:rPr>
            <w:webHidden/>
          </w:rPr>
        </w:r>
        <w:r w:rsidR="00A6734E">
          <w:rPr>
            <w:webHidden/>
          </w:rPr>
          <w:fldChar w:fldCharType="separate"/>
        </w:r>
        <w:r w:rsidR="00A6734E">
          <w:rPr>
            <w:webHidden/>
          </w:rPr>
          <w:t>13</w:t>
        </w:r>
        <w:r w:rsidR="00A6734E">
          <w:rPr>
            <w:webHidden/>
          </w:rPr>
          <w:fldChar w:fldCharType="end"/>
        </w:r>
      </w:hyperlink>
    </w:p>
    <w:p w14:paraId="25DD9A8A" w14:textId="3F6C254D" w:rsidR="00A6734E" w:rsidRDefault="00D576B1">
      <w:pPr>
        <w:pStyle w:val="TOC1"/>
        <w:rPr>
          <w:rFonts w:eastAsiaTheme="minorEastAsia" w:cstheme="minorBidi"/>
          <w:b w:val="0"/>
          <w:color w:val="auto"/>
          <w:sz w:val="22"/>
          <w:szCs w:val="22"/>
        </w:rPr>
      </w:pPr>
      <w:hyperlink w:anchor="_Toc517256241" w:history="1">
        <w:r w:rsidR="00A6734E" w:rsidRPr="004E1636">
          <w:rPr>
            <w:rStyle w:val="Hyperlink"/>
          </w:rPr>
          <w:t>Results: New businesses trial</w:t>
        </w:r>
        <w:r w:rsidR="00A6734E">
          <w:rPr>
            <w:webHidden/>
          </w:rPr>
          <w:tab/>
        </w:r>
        <w:r w:rsidR="00A6734E">
          <w:rPr>
            <w:webHidden/>
          </w:rPr>
          <w:fldChar w:fldCharType="begin"/>
        </w:r>
        <w:r w:rsidR="00A6734E">
          <w:rPr>
            <w:webHidden/>
          </w:rPr>
          <w:instrText xml:space="preserve"> PAGEREF _Toc517256241 \h </w:instrText>
        </w:r>
        <w:r w:rsidR="00A6734E">
          <w:rPr>
            <w:webHidden/>
          </w:rPr>
        </w:r>
        <w:r w:rsidR="00A6734E">
          <w:rPr>
            <w:webHidden/>
          </w:rPr>
          <w:fldChar w:fldCharType="separate"/>
        </w:r>
        <w:r w:rsidR="00A6734E">
          <w:rPr>
            <w:webHidden/>
          </w:rPr>
          <w:t>17</w:t>
        </w:r>
        <w:r w:rsidR="00A6734E">
          <w:rPr>
            <w:webHidden/>
          </w:rPr>
          <w:fldChar w:fldCharType="end"/>
        </w:r>
      </w:hyperlink>
    </w:p>
    <w:p w14:paraId="417E5867" w14:textId="1F2D5F09" w:rsidR="00A6734E" w:rsidRDefault="00D576B1">
      <w:pPr>
        <w:pStyle w:val="TOC1"/>
        <w:rPr>
          <w:rFonts w:eastAsiaTheme="minorEastAsia" w:cstheme="minorBidi"/>
          <w:b w:val="0"/>
          <w:color w:val="auto"/>
          <w:sz w:val="22"/>
          <w:szCs w:val="22"/>
        </w:rPr>
      </w:pPr>
      <w:hyperlink w:anchor="_Toc517256242" w:history="1">
        <w:r w:rsidR="00A6734E" w:rsidRPr="004E1636">
          <w:rPr>
            <w:rStyle w:val="Hyperlink"/>
          </w:rPr>
          <w:t>Limitations</w:t>
        </w:r>
        <w:r w:rsidR="00A6734E">
          <w:rPr>
            <w:webHidden/>
          </w:rPr>
          <w:tab/>
        </w:r>
        <w:r w:rsidR="00A6734E">
          <w:rPr>
            <w:webHidden/>
          </w:rPr>
          <w:fldChar w:fldCharType="begin"/>
        </w:r>
        <w:r w:rsidR="00A6734E">
          <w:rPr>
            <w:webHidden/>
          </w:rPr>
          <w:instrText xml:space="preserve"> PAGEREF _Toc517256242 \h </w:instrText>
        </w:r>
        <w:r w:rsidR="00A6734E">
          <w:rPr>
            <w:webHidden/>
          </w:rPr>
        </w:r>
        <w:r w:rsidR="00A6734E">
          <w:rPr>
            <w:webHidden/>
          </w:rPr>
          <w:fldChar w:fldCharType="separate"/>
        </w:r>
        <w:r w:rsidR="00A6734E">
          <w:rPr>
            <w:webHidden/>
          </w:rPr>
          <w:t>18</w:t>
        </w:r>
        <w:r w:rsidR="00A6734E">
          <w:rPr>
            <w:webHidden/>
          </w:rPr>
          <w:fldChar w:fldCharType="end"/>
        </w:r>
      </w:hyperlink>
    </w:p>
    <w:p w14:paraId="27125112" w14:textId="6D458C56" w:rsidR="00A6734E" w:rsidRDefault="00D576B1">
      <w:pPr>
        <w:pStyle w:val="TOC1"/>
        <w:rPr>
          <w:rFonts w:eastAsiaTheme="minorEastAsia" w:cstheme="minorBidi"/>
          <w:b w:val="0"/>
          <w:color w:val="auto"/>
          <w:sz w:val="22"/>
          <w:szCs w:val="22"/>
        </w:rPr>
      </w:pPr>
      <w:hyperlink w:anchor="_Toc517256243" w:history="1">
        <w:r w:rsidR="00A6734E" w:rsidRPr="004E1636">
          <w:rPr>
            <w:rStyle w:val="Hyperlink"/>
          </w:rPr>
          <w:t>Discussion and Conclusion</w:t>
        </w:r>
        <w:r w:rsidR="00A6734E">
          <w:rPr>
            <w:webHidden/>
          </w:rPr>
          <w:tab/>
        </w:r>
        <w:r w:rsidR="00A6734E">
          <w:rPr>
            <w:webHidden/>
          </w:rPr>
          <w:fldChar w:fldCharType="begin"/>
        </w:r>
        <w:r w:rsidR="00A6734E">
          <w:rPr>
            <w:webHidden/>
          </w:rPr>
          <w:instrText xml:space="preserve"> PAGEREF _Toc517256243 \h </w:instrText>
        </w:r>
        <w:r w:rsidR="00A6734E">
          <w:rPr>
            <w:webHidden/>
          </w:rPr>
        </w:r>
        <w:r w:rsidR="00A6734E">
          <w:rPr>
            <w:webHidden/>
          </w:rPr>
          <w:fldChar w:fldCharType="separate"/>
        </w:r>
        <w:r w:rsidR="00A6734E">
          <w:rPr>
            <w:webHidden/>
          </w:rPr>
          <w:t>19</w:t>
        </w:r>
        <w:r w:rsidR="00A6734E">
          <w:rPr>
            <w:webHidden/>
          </w:rPr>
          <w:fldChar w:fldCharType="end"/>
        </w:r>
      </w:hyperlink>
    </w:p>
    <w:p w14:paraId="04BCD75D" w14:textId="171920CF" w:rsidR="00A6734E" w:rsidRDefault="00D576B1">
      <w:pPr>
        <w:pStyle w:val="TOC1"/>
        <w:rPr>
          <w:rFonts w:eastAsiaTheme="minorEastAsia" w:cstheme="minorBidi"/>
          <w:b w:val="0"/>
          <w:color w:val="auto"/>
          <w:sz w:val="22"/>
          <w:szCs w:val="22"/>
        </w:rPr>
      </w:pPr>
      <w:hyperlink w:anchor="_Toc517256244" w:history="1">
        <w:r w:rsidR="00A6734E" w:rsidRPr="004E1636">
          <w:rPr>
            <w:rStyle w:val="Hyperlink"/>
          </w:rPr>
          <w:t>Appendices</w:t>
        </w:r>
        <w:r w:rsidR="00A6734E">
          <w:rPr>
            <w:webHidden/>
          </w:rPr>
          <w:tab/>
        </w:r>
        <w:r w:rsidR="00A6734E">
          <w:rPr>
            <w:webHidden/>
          </w:rPr>
          <w:fldChar w:fldCharType="begin"/>
        </w:r>
        <w:r w:rsidR="00A6734E">
          <w:rPr>
            <w:webHidden/>
          </w:rPr>
          <w:instrText xml:space="preserve"> PAGEREF _Toc517256244 \h </w:instrText>
        </w:r>
        <w:r w:rsidR="00A6734E">
          <w:rPr>
            <w:webHidden/>
          </w:rPr>
        </w:r>
        <w:r w:rsidR="00A6734E">
          <w:rPr>
            <w:webHidden/>
          </w:rPr>
          <w:fldChar w:fldCharType="separate"/>
        </w:r>
        <w:r w:rsidR="00A6734E">
          <w:rPr>
            <w:webHidden/>
          </w:rPr>
          <w:t>20</w:t>
        </w:r>
        <w:r w:rsidR="00A6734E">
          <w:rPr>
            <w:webHidden/>
          </w:rPr>
          <w:fldChar w:fldCharType="end"/>
        </w:r>
      </w:hyperlink>
    </w:p>
    <w:p w14:paraId="5B9ECA9F" w14:textId="4F7DC952" w:rsidR="00A6734E" w:rsidRDefault="00D576B1">
      <w:pPr>
        <w:pStyle w:val="TOC1"/>
        <w:rPr>
          <w:rFonts w:eastAsiaTheme="minorEastAsia" w:cstheme="minorBidi"/>
          <w:b w:val="0"/>
          <w:color w:val="auto"/>
          <w:sz w:val="22"/>
          <w:szCs w:val="22"/>
        </w:rPr>
      </w:pPr>
      <w:hyperlink w:anchor="_Toc517256245" w:history="1">
        <w:r w:rsidR="00A6734E" w:rsidRPr="004E1636">
          <w:rPr>
            <w:rStyle w:val="Hyperlink"/>
          </w:rPr>
          <w:t>References</w:t>
        </w:r>
        <w:r w:rsidR="00A6734E">
          <w:rPr>
            <w:webHidden/>
          </w:rPr>
          <w:tab/>
        </w:r>
        <w:r w:rsidR="00A6734E">
          <w:rPr>
            <w:webHidden/>
          </w:rPr>
          <w:fldChar w:fldCharType="begin"/>
        </w:r>
        <w:r w:rsidR="00A6734E">
          <w:rPr>
            <w:webHidden/>
          </w:rPr>
          <w:instrText xml:space="preserve"> PAGEREF _Toc517256245 \h </w:instrText>
        </w:r>
        <w:r w:rsidR="00A6734E">
          <w:rPr>
            <w:webHidden/>
          </w:rPr>
        </w:r>
        <w:r w:rsidR="00A6734E">
          <w:rPr>
            <w:webHidden/>
          </w:rPr>
          <w:fldChar w:fldCharType="separate"/>
        </w:r>
        <w:r w:rsidR="00A6734E">
          <w:rPr>
            <w:webHidden/>
          </w:rPr>
          <w:t>34</w:t>
        </w:r>
        <w:r w:rsidR="00A6734E">
          <w:rPr>
            <w:webHidden/>
          </w:rPr>
          <w:fldChar w:fldCharType="end"/>
        </w:r>
      </w:hyperlink>
    </w:p>
    <w:p w14:paraId="389367EF" w14:textId="6EC626AB" w:rsidR="008253C4" w:rsidRPr="00B51004" w:rsidRDefault="00295B30" w:rsidP="00B51004">
      <w:r>
        <w:rPr>
          <w:noProof/>
        </w:rPr>
        <w:fldChar w:fldCharType="end"/>
      </w:r>
      <w:bookmarkEnd w:id="0"/>
    </w:p>
    <w:p w14:paraId="0A071451" w14:textId="77777777" w:rsidR="008253C4" w:rsidRPr="00B51004" w:rsidRDefault="008253C4" w:rsidP="00B51004">
      <w:pPr>
        <w:sectPr w:rsidR="008253C4" w:rsidRPr="00B51004" w:rsidSect="008253C4">
          <w:headerReference w:type="default" r:id="rId18"/>
          <w:footerReference w:type="default" r:id="rId19"/>
          <w:pgSz w:w="11906" w:h="16838" w:code="9"/>
          <w:pgMar w:top="2041" w:right="2381" w:bottom="1247" w:left="1247" w:header="720" w:footer="851" w:gutter="0"/>
          <w:cols w:space="708"/>
          <w:docGrid w:linePitch="360"/>
        </w:sectPr>
      </w:pPr>
    </w:p>
    <w:p w14:paraId="4CA32EC2" w14:textId="52CDA85C" w:rsidR="004B4BC0" w:rsidRDefault="00343565" w:rsidP="00175BD4">
      <w:pPr>
        <w:pStyle w:val="Heading1"/>
      </w:pPr>
      <w:bookmarkStart w:id="1" w:name="_Toc517256237"/>
      <w:r>
        <w:lastRenderedPageBreak/>
        <w:t>Executive Summary</w:t>
      </w:r>
      <w:bookmarkEnd w:id="1"/>
    </w:p>
    <w:p w14:paraId="3A2580B1" w14:textId="72D0C8FC" w:rsidR="001F2C32" w:rsidRPr="0006174E" w:rsidRDefault="0026516A" w:rsidP="0006174E">
      <w:r w:rsidRPr="0006174E">
        <w:t>The Australian Taxation Office is the Australian Government’s principal revenue collection agency and administers Australia’s tax system and significant aspects of Australia’s superannuation system. It administers legislation governing tax, superannuation and the Australian Business Register and supports the delivery of government benefits to the community.</w:t>
      </w:r>
      <w:r w:rsidR="00E01E17" w:rsidRPr="0006174E">
        <w:t xml:space="preserve"> </w:t>
      </w:r>
      <w:r w:rsidR="001F2C32" w:rsidRPr="0006174E">
        <w:t>Improving tax compliance is a major policy goal</w:t>
      </w:r>
      <w:r w:rsidR="00E01E17" w:rsidRPr="0006174E">
        <w:t xml:space="preserve"> as n</w:t>
      </w:r>
      <w:r w:rsidR="001F2C32" w:rsidRPr="0006174E">
        <w:t>on</w:t>
      </w:r>
      <w:r w:rsidR="001F2C32" w:rsidRPr="0006174E">
        <w:noBreakHyphen/>
        <w:t xml:space="preserve">compliance can reduce the overall tax base, increase the costs of administration and lead to an uneven playing field for businesses doing the right thing. </w:t>
      </w:r>
    </w:p>
    <w:p w14:paraId="79A40095" w14:textId="0776EA39" w:rsidR="008E5510" w:rsidRPr="00D206B8" w:rsidRDefault="0026516A" w:rsidP="0006174E">
      <w:r w:rsidRPr="00515232">
        <w:t>As part of the legislation t</w:t>
      </w:r>
      <w:r w:rsidR="008E5510" w:rsidRPr="00515232">
        <w:t xml:space="preserve">he Deferred Goods and Services Tax (DGST) Scheme allows businesses to defer the payment of GST on taxable </w:t>
      </w:r>
      <w:r w:rsidR="00603DFE">
        <w:t>importations into Australia</w:t>
      </w:r>
      <w:r w:rsidR="008E5510" w:rsidRPr="00515232">
        <w:t xml:space="preserve">. This helps businesses manage their cash flow. Cash flow is important for businesses because it helps them meet everyday business needs and avoid taking on more debt. This means there is a strong driver for businesses to be on the Scheme. </w:t>
      </w:r>
      <w:r w:rsidR="00470BB0" w:rsidRPr="00D206B8">
        <w:t>Participation in t</w:t>
      </w:r>
      <w:r w:rsidR="008E5510" w:rsidRPr="00D206B8">
        <w:t xml:space="preserve">he Scheme </w:t>
      </w:r>
      <w:r w:rsidR="00470BB0" w:rsidRPr="00D206B8">
        <w:t>allows 13,000 businesses to defer payment of $26 billion in GST annually.</w:t>
      </w:r>
    </w:p>
    <w:p w14:paraId="23B7595A" w14:textId="28EBD499" w:rsidR="008E5510" w:rsidRPr="0006174E" w:rsidRDefault="008E5510" w:rsidP="0006174E">
      <w:r w:rsidRPr="0006174E">
        <w:t xml:space="preserve">To be on the Scheme, businesses must comply with requirements including digital </w:t>
      </w:r>
      <w:proofErr w:type="spellStart"/>
      <w:r w:rsidRPr="0006174E">
        <w:t>lodgment</w:t>
      </w:r>
      <w:proofErr w:type="spellEnd"/>
      <w:r w:rsidRPr="0006174E">
        <w:t xml:space="preserve"> of monthly activity statement</w:t>
      </w:r>
      <w:r w:rsidR="006420AB" w:rsidRPr="0006174E">
        <w:t>s</w:t>
      </w:r>
      <w:r w:rsidRPr="0006174E">
        <w:t xml:space="preserve"> and being up to date on all </w:t>
      </w:r>
      <w:proofErr w:type="spellStart"/>
      <w:r w:rsidRPr="0006174E">
        <w:t>lodgments</w:t>
      </w:r>
      <w:proofErr w:type="spellEnd"/>
      <w:r w:rsidRPr="0006174E">
        <w:t xml:space="preserve"> and payments due to the ATO. </w:t>
      </w:r>
      <w:r w:rsidR="006420AB" w:rsidRPr="0006174E">
        <w:t>A</w:t>
      </w:r>
      <w:r w:rsidRPr="0006174E">
        <w:t xml:space="preserve">t any one time about one in three businesses do not comply. The ATO can revoke access to the Scheme if a business does not fully comply, which </w:t>
      </w:r>
      <w:r w:rsidR="006420AB" w:rsidRPr="0006174E">
        <w:t xml:space="preserve">negatively affects </w:t>
      </w:r>
      <w:r w:rsidRPr="0006174E">
        <w:t xml:space="preserve">cash flow and means the business will need to reapply to be reinstated. </w:t>
      </w:r>
    </w:p>
    <w:p w14:paraId="2AE6FB08" w14:textId="2DEC69F4" w:rsidR="008E5510" w:rsidRPr="0006174E" w:rsidRDefault="008E5510" w:rsidP="0006174E">
      <w:r w:rsidRPr="0006174E">
        <w:t>BETA partnered with the ATO to test behaviourally informed methods of communication</w:t>
      </w:r>
      <w:r w:rsidR="00290060" w:rsidRPr="0006174E">
        <w:t xml:space="preserve"> (variations on emails)</w:t>
      </w:r>
      <w:r w:rsidRPr="0006174E">
        <w:t xml:space="preserve"> aimed at improving compliance among businesses in the Scheme. We ran two separate randomised controlled trials to test the effectiveness of these emails. </w:t>
      </w:r>
    </w:p>
    <w:p w14:paraId="7A391AA0" w14:textId="22A84F06" w:rsidR="008E5510" w:rsidRPr="0006174E" w:rsidRDefault="008E5510" w:rsidP="0006174E">
      <w:r w:rsidRPr="0006174E">
        <w:t xml:space="preserve">The first trial evaluated the impact of sending a ‘cooperative’ or ‘direct’ toned reminder email to existing businesses who were found to be non-compliant with the Scheme. The aim was to encourage self-compliance, educate businesses on </w:t>
      </w:r>
      <w:r w:rsidR="00167C3F" w:rsidRPr="0006174E">
        <w:t>their</w:t>
      </w:r>
      <w:r w:rsidR="008528C8" w:rsidRPr="0006174E">
        <w:t xml:space="preserve"> </w:t>
      </w:r>
      <w:r w:rsidR="006420AB" w:rsidRPr="0006174E">
        <w:t xml:space="preserve">tax </w:t>
      </w:r>
      <w:r w:rsidRPr="0006174E">
        <w:t>obligations and reduce recurrent non-compliance. Both emails improved compliance rates but variations in the tone of the reminders did not affect the compliance rate.</w:t>
      </w:r>
    </w:p>
    <w:p w14:paraId="7025F80C" w14:textId="48086505" w:rsidR="008E5510" w:rsidRDefault="008E5510" w:rsidP="003866D6">
      <w:r w:rsidRPr="0006174E">
        <w:lastRenderedPageBreak/>
        <w:t>The second trial tested the effectiveness of sending a welcome email to new businesses who had just registered on the Scheme. The aim of the email was to educate the businesses from the first point of contact to promote good compliance behaviours and engagement with the ATO.</w:t>
      </w:r>
      <w:r w:rsidR="0006174E">
        <w:t xml:space="preserve"> </w:t>
      </w:r>
      <w:r w:rsidRPr="0006174E">
        <w:t xml:space="preserve">The email contained a planning prompt recommending businesses set up a monthly calendar reminder about their DGST obligations. It did not improve </w:t>
      </w:r>
      <w:r w:rsidR="006420AB" w:rsidRPr="0006174E">
        <w:t>compliance.</w:t>
      </w:r>
      <w:r w:rsidR="0006174E">
        <w:t xml:space="preserve"> </w:t>
      </w:r>
      <w:r>
        <w:br w:type="page"/>
      </w:r>
    </w:p>
    <w:p w14:paraId="24305B1E" w14:textId="713E1A98" w:rsidR="009843BA" w:rsidRPr="009843BA" w:rsidRDefault="009843BA" w:rsidP="00112024">
      <w:pPr>
        <w:pStyle w:val="LargeH1"/>
      </w:pPr>
      <w:bookmarkStart w:id="2" w:name="_Toc517256238"/>
      <w:r w:rsidRPr="009843BA">
        <w:lastRenderedPageBreak/>
        <w:t>Wh</w:t>
      </w:r>
      <w:r w:rsidR="003E02C5">
        <w:t>y</w:t>
      </w:r>
      <w:r w:rsidRPr="009843BA">
        <w:t>?</w:t>
      </w:r>
      <w:bookmarkEnd w:id="2"/>
    </w:p>
    <w:p w14:paraId="141DEE30" w14:textId="56719541" w:rsidR="00762F21" w:rsidRPr="00D40A67" w:rsidRDefault="00470BB0" w:rsidP="00762F21">
      <w:r w:rsidRPr="00D206B8">
        <w:t>Participation in the Scheme allows 13,000 businesses to defer payment of $26 billion in GST annually.</w:t>
      </w:r>
      <w:r w:rsidR="00762F21" w:rsidRPr="00D206B8">
        <w:t xml:space="preserve"> </w:t>
      </w:r>
      <w:r w:rsidR="00762F21">
        <w:t>A</w:t>
      </w:r>
      <w:r w:rsidR="00762F21" w:rsidRPr="008E5510">
        <w:t xml:space="preserve">t any one time about one in three businesses </w:t>
      </w:r>
      <w:r w:rsidR="00762F21">
        <w:t>are not compliant with the Scheme requirements. Increased compliance can help businesses by ensuring they are not revoked from the Scheme and also helps the Government from a tax revenue perspective.</w:t>
      </w:r>
    </w:p>
    <w:p w14:paraId="665F26A4" w14:textId="77777777" w:rsidR="008E5510" w:rsidRPr="00D40A67" w:rsidRDefault="008E5510" w:rsidP="00D40A67">
      <w:r w:rsidRPr="00D40A67">
        <w:t>To be eligible to participate in the Scheme, businesses must:</w:t>
      </w:r>
    </w:p>
    <w:p w14:paraId="6B5A5783" w14:textId="77777777" w:rsidR="008E5510" w:rsidRPr="00D40A67" w:rsidRDefault="008E5510" w:rsidP="004C462E">
      <w:pPr>
        <w:pStyle w:val="ListParagraph"/>
        <w:numPr>
          <w:ilvl w:val="0"/>
          <w:numId w:val="26"/>
        </w:numPr>
      </w:pPr>
      <w:r w:rsidRPr="00D40A67">
        <w:t xml:space="preserve">have an Australian Business Number; </w:t>
      </w:r>
    </w:p>
    <w:p w14:paraId="03DC390D" w14:textId="77777777" w:rsidR="008E5510" w:rsidRPr="00D40A67" w:rsidRDefault="008E5510" w:rsidP="004C462E">
      <w:pPr>
        <w:pStyle w:val="ListParagraph"/>
        <w:numPr>
          <w:ilvl w:val="0"/>
          <w:numId w:val="26"/>
        </w:numPr>
      </w:pPr>
      <w:r w:rsidRPr="00D40A67">
        <w:t>be registered for GST;</w:t>
      </w:r>
    </w:p>
    <w:p w14:paraId="32854FF6" w14:textId="77777777" w:rsidR="008E5510" w:rsidRPr="00D40A67" w:rsidRDefault="008E5510" w:rsidP="004C462E">
      <w:pPr>
        <w:pStyle w:val="ListParagraph"/>
        <w:numPr>
          <w:ilvl w:val="0"/>
          <w:numId w:val="26"/>
        </w:numPr>
      </w:pPr>
      <w:r w:rsidRPr="00D40A67">
        <w:t>lodge activity statements online;</w:t>
      </w:r>
    </w:p>
    <w:p w14:paraId="3F595899" w14:textId="77777777" w:rsidR="008E5510" w:rsidRPr="00D40A67" w:rsidRDefault="008E5510" w:rsidP="004C462E">
      <w:pPr>
        <w:pStyle w:val="ListParagraph"/>
        <w:numPr>
          <w:ilvl w:val="0"/>
          <w:numId w:val="26"/>
        </w:numPr>
      </w:pPr>
      <w:r w:rsidRPr="00D40A67">
        <w:t>lodge activity statements monthly; and</w:t>
      </w:r>
    </w:p>
    <w:p w14:paraId="61A8C351" w14:textId="77777777" w:rsidR="008E5510" w:rsidRPr="00D40A67" w:rsidRDefault="008E5510" w:rsidP="004C462E">
      <w:pPr>
        <w:pStyle w:val="ListParagraph"/>
        <w:numPr>
          <w:ilvl w:val="0"/>
          <w:numId w:val="26"/>
        </w:numPr>
      </w:pPr>
      <w:proofErr w:type="gramStart"/>
      <w:r w:rsidRPr="00D40A67">
        <w:t>make</w:t>
      </w:r>
      <w:proofErr w:type="gramEnd"/>
      <w:r w:rsidRPr="00D40A67">
        <w:t xml:space="preserve"> activity statement payments electronically.</w:t>
      </w:r>
    </w:p>
    <w:p w14:paraId="6C8716FC" w14:textId="10236AF4" w:rsidR="008E5510" w:rsidRPr="00D40A67" w:rsidRDefault="008E5510" w:rsidP="00D40A67">
      <w:r w:rsidRPr="00D40A67">
        <w:t>To continue to participate in the Scheme, businesses must:</w:t>
      </w:r>
      <w:r w:rsidR="0006174E">
        <w:t xml:space="preserve"> </w:t>
      </w:r>
    </w:p>
    <w:p w14:paraId="1589A342" w14:textId="32CBE252" w:rsidR="008E5510" w:rsidRPr="00D40A67" w:rsidRDefault="008E5510" w:rsidP="004C462E">
      <w:pPr>
        <w:pStyle w:val="ListParagraph"/>
        <w:numPr>
          <w:ilvl w:val="0"/>
          <w:numId w:val="27"/>
        </w:numPr>
      </w:pPr>
      <w:r w:rsidRPr="00D40A67">
        <w:t>lodge and pay business activity statements online;</w:t>
      </w:r>
      <w:r w:rsidR="0006174E">
        <w:t xml:space="preserve"> </w:t>
      </w:r>
    </w:p>
    <w:p w14:paraId="5C48C90E" w14:textId="77777777" w:rsidR="008E5510" w:rsidRPr="00D40A67" w:rsidRDefault="008E5510" w:rsidP="004C462E">
      <w:pPr>
        <w:pStyle w:val="ListParagraph"/>
        <w:numPr>
          <w:ilvl w:val="0"/>
          <w:numId w:val="27"/>
        </w:numPr>
      </w:pPr>
      <w:r w:rsidRPr="00D40A67">
        <w:t xml:space="preserve">lodge on time; and </w:t>
      </w:r>
    </w:p>
    <w:p w14:paraId="6F56131F" w14:textId="77777777" w:rsidR="008E5510" w:rsidRPr="00D40A67" w:rsidRDefault="008E5510" w:rsidP="004C462E">
      <w:pPr>
        <w:pStyle w:val="ListParagraph"/>
        <w:numPr>
          <w:ilvl w:val="0"/>
          <w:numId w:val="27"/>
        </w:numPr>
      </w:pPr>
      <w:proofErr w:type="gramStart"/>
      <w:r w:rsidRPr="00D40A67">
        <w:t>keep</w:t>
      </w:r>
      <w:proofErr w:type="gramEnd"/>
      <w:r w:rsidRPr="00D40A67">
        <w:t xml:space="preserve"> up to date with payments.</w:t>
      </w:r>
    </w:p>
    <w:p w14:paraId="542881D3" w14:textId="77777777" w:rsidR="008E5510" w:rsidRPr="00D40A67" w:rsidRDefault="008E5510" w:rsidP="00D40A67">
      <w:r w:rsidRPr="00D40A67">
        <w:t xml:space="preserve">Lodging on time and keeping up to date with payments includes all tax related obligations (e.g. income tax and Fringe Benefits Tax), not just GST obligations. </w:t>
      </w:r>
    </w:p>
    <w:p w14:paraId="31095558" w14:textId="672BCF73" w:rsidR="008E5510" w:rsidRPr="00D40A67" w:rsidRDefault="008E5510" w:rsidP="00D40A67">
      <w:r w:rsidRPr="00D40A67">
        <w:t xml:space="preserve">If businesses do not fully comply with these requirements, the ATO can revoke access to the Scheme. If access is revoked, businesses need to reapply to re-join the Scheme. </w:t>
      </w:r>
    </w:p>
    <w:p w14:paraId="4E1BD4B4" w14:textId="6FB47A29" w:rsidR="008E5510" w:rsidRPr="00D40A67" w:rsidRDefault="0084084D" w:rsidP="00D40A67">
      <w:r>
        <w:t xml:space="preserve">To further enhance compliance with the DGST Scheme, </w:t>
      </w:r>
      <w:r w:rsidR="008E5510" w:rsidRPr="00D40A67">
        <w:t xml:space="preserve">BETA partnered with the ATO to design and test </w:t>
      </w:r>
      <w:r w:rsidR="00D627F7">
        <w:t xml:space="preserve">more effective </w:t>
      </w:r>
      <w:r w:rsidR="008E5510" w:rsidRPr="00D40A67">
        <w:t>behaviourally informed methods of communications aimed at encouraging businesses in the Scheme to remain compliant</w:t>
      </w:r>
      <w:r w:rsidR="00203B5D">
        <w:t>.</w:t>
      </w:r>
    </w:p>
    <w:p w14:paraId="1CBBDF06" w14:textId="77777777" w:rsidR="008E5510" w:rsidRPr="00D40A67" w:rsidRDefault="008E5510" w:rsidP="00D40A67">
      <w:r w:rsidRPr="00D40A67">
        <w:br w:type="page"/>
      </w:r>
    </w:p>
    <w:p w14:paraId="31E9854C" w14:textId="42C75E09" w:rsidR="0013636E" w:rsidRPr="004B0B26" w:rsidRDefault="008E5510" w:rsidP="000D374D">
      <w:pPr>
        <w:pStyle w:val="LargeH1"/>
      </w:pPr>
      <w:bookmarkStart w:id="3" w:name="_Toc517256239"/>
      <w:r>
        <w:lastRenderedPageBreak/>
        <w:t>W</w:t>
      </w:r>
      <w:r w:rsidR="0013636E" w:rsidRPr="009843BA">
        <w:t>h</w:t>
      </w:r>
      <w:r w:rsidR="004B0B26">
        <w:t>at?</w:t>
      </w:r>
      <w:bookmarkEnd w:id="3"/>
    </w:p>
    <w:p w14:paraId="40741C4E" w14:textId="4071E8BF" w:rsidR="00F86BAB" w:rsidRDefault="00F86BAB" w:rsidP="002B6D18">
      <w:pPr>
        <w:pStyle w:val="Intro"/>
        <w:spacing w:after="120" w:line="320" w:lineRule="atLeast"/>
      </w:pPr>
      <w:r>
        <w:t>What we did for this study</w:t>
      </w:r>
    </w:p>
    <w:p w14:paraId="2C989374" w14:textId="745D9737" w:rsidR="004B0B26" w:rsidRPr="0006174E" w:rsidRDefault="004B0B26" w:rsidP="00095119">
      <w:pPr>
        <w:pStyle w:val="Heading2"/>
      </w:pPr>
      <w:r w:rsidRPr="0006174E">
        <w:t>Behavioural analysis</w:t>
      </w:r>
    </w:p>
    <w:p w14:paraId="4AA32BA2" w14:textId="77777777" w:rsidR="008E5510" w:rsidRPr="00D40A67" w:rsidRDefault="008E5510" w:rsidP="00D40A67">
      <w:r w:rsidRPr="00D40A67">
        <w:t xml:space="preserve">BETA and the ATO designed an approach to prompt businesses to meet their obligations under the DGST scheme. </w:t>
      </w:r>
    </w:p>
    <w:p w14:paraId="70CDCF93" w14:textId="77777777" w:rsidR="008E5510" w:rsidRPr="00D40A67" w:rsidRDefault="008E5510" w:rsidP="00D40A67">
      <w:r w:rsidRPr="00D40A67">
        <w:t xml:space="preserve">Throughout this report, we use the phrase ‘business managers’ to refer to the individuals responsible for ensuring a business meets its tax obligations. </w:t>
      </w:r>
    </w:p>
    <w:p w14:paraId="63810448" w14:textId="77777777" w:rsidR="000A48B2" w:rsidRDefault="000A48B2" w:rsidP="00F04EF6"/>
    <w:tbl>
      <w:tblPr>
        <w:tblStyle w:val="DefaultTable"/>
        <w:tblW w:w="0" w:type="auto"/>
        <w:tblBorders>
          <w:bottom w:val="none" w:sz="0" w:space="0" w:color="auto"/>
          <w:insideH w:val="none" w:sz="0" w:space="0" w:color="auto"/>
        </w:tblBorders>
        <w:tblLook w:val="0420" w:firstRow="1" w:lastRow="0" w:firstColumn="0" w:lastColumn="0" w:noHBand="0" w:noVBand="1"/>
        <w:tblDescription w:val="Example highlight box with Alt Text for accessibility"/>
      </w:tblPr>
      <w:tblGrid>
        <w:gridCol w:w="8278"/>
      </w:tblGrid>
      <w:tr w:rsidR="004E34CF" w14:paraId="24C9A28D" w14:textId="77777777" w:rsidTr="003F08B5">
        <w:trPr>
          <w:cnfStyle w:val="100000000000" w:firstRow="1" w:lastRow="0" w:firstColumn="0" w:lastColumn="0" w:oddVBand="0" w:evenVBand="0" w:oddHBand="0" w:evenHBand="0" w:firstRowFirstColumn="0" w:firstRowLastColumn="0" w:lastRowFirstColumn="0" w:lastRowLastColumn="0"/>
          <w:tblHeader/>
        </w:trPr>
        <w:tc>
          <w:tcPr>
            <w:tcW w:w="8278" w:type="dxa"/>
            <w:tcBorders>
              <w:top w:val="none" w:sz="0" w:space="0" w:color="auto"/>
              <w:bottom w:val="none" w:sz="0" w:space="0" w:color="auto"/>
            </w:tcBorders>
            <w:shd w:val="clear" w:color="auto" w:fill="142E3A" w:themeFill="text2"/>
          </w:tcPr>
          <w:p w14:paraId="435EBEC7" w14:textId="5947C0CB" w:rsidR="004E34CF" w:rsidRPr="00E43E48" w:rsidRDefault="008E5510" w:rsidP="008E5510">
            <w:pPr>
              <w:pStyle w:val="TableHeading"/>
            </w:pPr>
            <w:r>
              <w:t>Box 1</w:t>
            </w:r>
            <w:r w:rsidR="004E34CF" w:rsidRPr="00E43E48">
              <w:t xml:space="preserve">: </w:t>
            </w:r>
            <w:r w:rsidR="004E34CF">
              <w:t xml:space="preserve">Common </w:t>
            </w:r>
            <w:r>
              <w:t>factors</w:t>
            </w:r>
            <w:r w:rsidR="004E34CF">
              <w:t xml:space="preserve"> affecting </w:t>
            </w:r>
            <w:r>
              <w:t>business tax behaviour</w:t>
            </w:r>
          </w:p>
        </w:tc>
      </w:tr>
      <w:tr w:rsidR="004E34CF" w14:paraId="6CEC79F0" w14:textId="77777777" w:rsidTr="00D115FF">
        <w:trPr>
          <w:cantSplit w:val="0"/>
        </w:trPr>
        <w:tc>
          <w:tcPr>
            <w:tcW w:w="8278" w:type="dxa"/>
          </w:tcPr>
          <w:p w14:paraId="6414220E" w14:textId="79BF6D21" w:rsidR="008E5510" w:rsidRPr="008E5510" w:rsidRDefault="008E5510" w:rsidP="00A5601F">
            <w:pPr>
              <w:rPr>
                <w:lang w:val="en-US"/>
              </w:rPr>
            </w:pPr>
            <w:r w:rsidRPr="008E5510">
              <w:rPr>
                <w:b/>
                <w:lang w:val="en-US"/>
              </w:rPr>
              <w:t xml:space="preserve">Cognitive overload </w:t>
            </w:r>
            <w:r w:rsidRPr="008E5510">
              <w:rPr>
                <w:lang w:val="en-US"/>
              </w:rPr>
              <w:t xml:space="preserve">– we tend to become overwhelmed by large amounts of information. </w:t>
            </w:r>
            <w:r w:rsidR="00A5427D">
              <w:rPr>
                <w:lang w:val="en-US"/>
              </w:rPr>
              <w:t>C</w:t>
            </w:r>
            <w:r w:rsidRPr="008E5510">
              <w:rPr>
                <w:lang w:val="en-US"/>
              </w:rPr>
              <w:t>ognitive overload may lead us to forget things and delay decisions, due to having too many competing tasks.</w:t>
            </w:r>
          </w:p>
          <w:p w14:paraId="736B5D2E" w14:textId="77777777" w:rsidR="008E5510" w:rsidRPr="008E5510" w:rsidRDefault="008E5510" w:rsidP="00A5601F">
            <w:pPr>
              <w:rPr>
                <w:b/>
                <w:lang w:val="en-US"/>
              </w:rPr>
            </w:pPr>
            <w:r w:rsidRPr="008E5510">
              <w:rPr>
                <w:b/>
                <w:lang w:val="en-US"/>
              </w:rPr>
              <w:t xml:space="preserve">Present bias </w:t>
            </w:r>
            <w:r w:rsidRPr="008E5510">
              <w:rPr>
                <w:lang w:val="en-US"/>
              </w:rPr>
              <w:t>– we sometimes take short-term actions that do not align with our long</w:t>
            </w:r>
            <w:r w:rsidRPr="008E5510">
              <w:rPr>
                <w:lang w:val="en-US"/>
              </w:rPr>
              <w:noBreakHyphen/>
              <w:t>term interests. This is linked with procrastination, which can occur because we often put off decisions, even those in our best interests.</w:t>
            </w:r>
          </w:p>
          <w:p w14:paraId="723B6DB4" w14:textId="42576607" w:rsidR="004E34CF" w:rsidRDefault="008E5510" w:rsidP="00A5601F">
            <w:r w:rsidRPr="008E5510">
              <w:rPr>
                <w:b/>
                <w:lang w:val="en-US"/>
              </w:rPr>
              <w:t xml:space="preserve">Loss aversion </w:t>
            </w:r>
            <w:r w:rsidRPr="008E5510">
              <w:rPr>
                <w:lang w:val="en-US"/>
              </w:rPr>
              <w:t>– we tend to feel losses more acutely than equivalent gains. Giving up money you already hold can feel like a painful loss.</w:t>
            </w:r>
          </w:p>
        </w:tc>
      </w:tr>
    </w:tbl>
    <w:p w14:paraId="72B95FE9" w14:textId="77777777" w:rsidR="00ED7E2C" w:rsidRPr="00ED7E2C" w:rsidRDefault="00ED7E2C" w:rsidP="00ED7E2C">
      <w:r>
        <w:br w:type="page"/>
      </w:r>
    </w:p>
    <w:p w14:paraId="44E1B7BD" w14:textId="57765C22" w:rsidR="008E5510" w:rsidRPr="008E5510" w:rsidRDefault="008E5510" w:rsidP="00A5601F">
      <w:pPr>
        <w:pStyle w:val="Heading3"/>
      </w:pPr>
      <w:r w:rsidRPr="008E5510">
        <w:lastRenderedPageBreak/>
        <w:t xml:space="preserve">Cognitive overload </w:t>
      </w:r>
    </w:p>
    <w:p w14:paraId="22529751" w14:textId="77777777" w:rsidR="008E5510" w:rsidRPr="008E5510" w:rsidRDefault="008E5510" w:rsidP="008E5510">
      <w:pPr>
        <w:rPr>
          <w:lang w:val="en-GB"/>
        </w:rPr>
      </w:pPr>
      <w:r w:rsidRPr="008E5510">
        <w:rPr>
          <w:lang w:val="en-GB"/>
        </w:rPr>
        <w:t xml:space="preserve">Running a business is no small feat. Business managers must understand and comply with a range of laws and regulations, at both the State and Commonwealth level. In the face of competing demands, and the volume of decisions and information, business managers may become overwhelmed. Simplifying communications about DGST and bringing the issue to business managers’ attention may help. Salient communications emphasise key messages upfront, draw attention to the most relevant information and clearly set out required actions. </w:t>
      </w:r>
    </w:p>
    <w:p w14:paraId="5583C71B" w14:textId="3B3FE2C8" w:rsidR="008E5510" w:rsidRPr="008E5510" w:rsidRDefault="008E5510" w:rsidP="008E5510">
      <w:pPr>
        <w:rPr>
          <w:lang w:val="en-GB"/>
        </w:rPr>
      </w:pPr>
      <w:r w:rsidRPr="008E5510">
        <w:rPr>
          <w:lang w:val="en-GB"/>
        </w:rPr>
        <w:t>A study conducted by the World Bank and the UK Behavioural Insights Team (BIT) seeking to encourage on</w:t>
      </w:r>
      <w:r w:rsidRPr="008E5510">
        <w:rPr>
          <w:lang w:val="en-GB"/>
        </w:rPr>
        <w:noBreakHyphen/>
        <w:t>time tax reporting tested the impact of standard and simple behaviourally informed tax reminder emails in Poland.</w:t>
      </w:r>
      <w:r w:rsidRPr="008E5510" w:rsidDel="00D26410">
        <w:rPr>
          <w:lang w:val="en-GB"/>
        </w:rPr>
        <w:t xml:space="preserve"> </w:t>
      </w:r>
      <w:r w:rsidRPr="008E5510">
        <w:rPr>
          <w:lang w:val="en-GB"/>
        </w:rPr>
        <w:t>The</w:t>
      </w:r>
      <w:r w:rsidRPr="008E5510" w:rsidDel="00D26410">
        <w:rPr>
          <w:lang w:val="en-GB"/>
        </w:rPr>
        <w:t xml:space="preserve"> </w:t>
      </w:r>
      <w:r w:rsidRPr="008E5510">
        <w:rPr>
          <w:lang w:val="en-GB"/>
        </w:rPr>
        <w:t>behaviourally informed email made use of simplification</w:t>
      </w:r>
      <w:r w:rsidR="00F842A4">
        <w:rPr>
          <w:lang w:val="en-GB"/>
        </w:rPr>
        <w:t xml:space="preserve"> – </w:t>
      </w:r>
      <w:r w:rsidRPr="008E5510">
        <w:rPr>
          <w:lang w:val="en-GB"/>
        </w:rPr>
        <w:t xml:space="preserve">it included a ‘milder tone’ and clear and easy suggested actions to settle tax liabilities. The behaviourally informed email was significantly more effective, increasing the average amount paid by around </w:t>
      </w:r>
      <w:r w:rsidR="00C7141D">
        <w:rPr>
          <w:lang w:val="en-GB"/>
        </w:rPr>
        <w:t>US</w:t>
      </w:r>
      <w:r w:rsidRPr="008E5510">
        <w:rPr>
          <w:lang w:val="en-GB"/>
        </w:rPr>
        <w:t>$40 and payment</w:t>
      </w:r>
      <w:r w:rsidR="00395CA3">
        <w:rPr>
          <w:lang w:val="en-GB"/>
        </w:rPr>
        <w:t xml:space="preserve"> rates by 17 per cent (</w:t>
      </w:r>
      <w:r w:rsidR="004506D9">
        <w:rPr>
          <w:lang w:val="en-GB"/>
        </w:rPr>
        <w:t>Hernandez et al., 2017</w:t>
      </w:r>
      <w:r w:rsidRPr="008E5510">
        <w:rPr>
          <w:lang w:val="en-GB"/>
        </w:rPr>
        <w:t>).</w:t>
      </w:r>
      <w:r w:rsidR="00C7141D">
        <w:rPr>
          <w:rStyle w:val="FootnoteReference"/>
          <w:lang w:val="en-GB"/>
        </w:rPr>
        <w:footnoteReference w:id="2"/>
      </w:r>
      <w:r w:rsidRPr="008E5510">
        <w:rPr>
          <w:lang w:val="en-GB"/>
        </w:rPr>
        <w:tab/>
      </w:r>
    </w:p>
    <w:p w14:paraId="7F7DD67E" w14:textId="586C3FBF" w:rsidR="008E5510" w:rsidRPr="008E5510" w:rsidRDefault="008E5510" w:rsidP="0006174E">
      <w:pPr>
        <w:pStyle w:val="Heading3"/>
      </w:pPr>
      <w:r w:rsidRPr="008E5510">
        <w:t xml:space="preserve">Present </w:t>
      </w:r>
      <w:r w:rsidRPr="0006174E">
        <w:t>bias</w:t>
      </w:r>
    </w:p>
    <w:p w14:paraId="199A92B7" w14:textId="77777777" w:rsidR="008E5510" w:rsidRPr="004530A4" w:rsidRDefault="008E5510" w:rsidP="008E5510">
      <w:pPr>
        <w:rPr>
          <w:lang w:val="en-US"/>
        </w:rPr>
      </w:pPr>
      <w:r w:rsidRPr="004530A4">
        <w:rPr>
          <w:lang w:val="en-US"/>
        </w:rPr>
        <w:t>Present bias might cause business managers to focus on their business demands</w:t>
      </w:r>
      <w:r w:rsidRPr="004530A4" w:rsidDel="00876EF7">
        <w:rPr>
          <w:lang w:val="en-US"/>
        </w:rPr>
        <w:t xml:space="preserve"> </w:t>
      </w:r>
      <w:r w:rsidRPr="004530A4">
        <w:rPr>
          <w:lang w:val="en-US"/>
        </w:rPr>
        <w:t>and put off meeting tax obligations, particularly because tasks related to tax and financial issues are often seen as unpleasant (</w:t>
      </w:r>
      <w:proofErr w:type="spellStart"/>
      <w:r w:rsidRPr="004530A4">
        <w:rPr>
          <w:lang w:val="en-US"/>
        </w:rPr>
        <w:t>Benzarti</w:t>
      </w:r>
      <w:proofErr w:type="spellEnd"/>
      <w:r w:rsidRPr="004530A4">
        <w:rPr>
          <w:lang w:val="en-US"/>
        </w:rPr>
        <w:t xml:space="preserve">, 2015). </w:t>
      </w:r>
    </w:p>
    <w:p w14:paraId="59FB4288" w14:textId="3C2E36AD" w:rsidR="008E5510" w:rsidRDefault="008E5510" w:rsidP="008E5510">
      <w:pPr>
        <w:rPr>
          <w:lang w:val="en-US"/>
        </w:rPr>
      </w:pPr>
      <w:r w:rsidRPr="008E5510">
        <w:rPr>
          <w:lang w:val="en-US"/>
        </w:rPr>
        <w:t xml:space="preserve">One well-established tool to address present bias is the use of commitment devices and planning prompts. Commitment devices have been tested in a broad range of contexts. For example, Lusardi et al. (2009) designed a planning aid to help people implement their own savings plan. The planning aid was multi-pronged and included encouraging individuals to set aside specific time to </w:t>
      </w:r>
      <w:proofErr w:type="spellStart"/>
      <w:r w:rsidR="00CE2FF4" w:rsidRPr="008E5510">
        <w:rPr>
          <w:lang w:val="en-US"/>
        </w:rPr>
        <w:t>enrol</w:t>
      </w:r>
      <w:proofErr w:type="spellEnd"/>
      <w:r w:rsidRPr="008E5510">
        <w:rPr>
          <w:lang w:val="en-US"/>
        </w:rPr>
        <w:t xml:space="preserve">; setting out some simple steps to </w:t>
      </w:r>
      <w:proofErr w:type="spellStart"/>
      <w:r w:rsidRPr="008E5510">
        <w:rPr>
          <w:lang w:val="en-US"/>
        </w:rPr>
        <w:t>enro</w:t>
      </w:r>
      <w:r w:rsidR="008528C8">
        <w:rPr>
          <w:lang w:val="en-US"/>
        </w:rPr>
        <w:t>l</w:t>
      </w:r>
      <w:proofErr w:type="spellEnd"/>
      <w:r w:rsidRPr="008E5510">
        <w:rPr>
          <w:lang w:val="en-US"/>
        </w:rPr>
        <w:t>, including expected time for completing each step; and providing tips on what to do if individuals were stuck. The planning aid increased enrolment in an employer</w:t>
      </w:r>
      <w:r w:rsidRPr="008E5510">
        <w:rPr>
          <w:lang w:val="en-US"/>
        </w:rPr>
        <w:noBreakHyphen/>
        <w:t>sponsored savings plan by around 20 percentage points for new employees (within 60 days of starting).</w:t>
      </w:r>
    </w:p>
    <w:p w14:paraId="0D6825F5" w14:textId="6F84D290" w:rsidR="00ED7E2C" w:rsidRDefault="00ED7E2C">
      <w:pPr>
        <w:keepLines w:val="0"/>
        <w:spacing w:before="0" w:after="0" w:line="240" w:lineRule="auto"/>
        <w:rPr>
          <w:lang w:val="en-US"/>
        </w:rPr>
      </w:pPr>
      <w:r>
        <w:rPr>
          <w:lang w:val="en-US"/>
        </w:rPr>
        <w:br w:type="page"/>
      </w:r>
    </w:p>
    <w:p w14:paraId="17344342" w14:textId="42FDD13D" w:rsidR="008E5510" w:rsidRPr="008E5510" w:rsidRDefault="008E5510" w:rsidP="0006174E">
      <w:pPr>
        <w:pStyle w:val="Heading3"/>
      </w:pPr>
      <w:r w:rsidRPr="008E5510">
        <w:lastRenderedPageBreak/>
        <w:t xml:space="preserve">Loss aversion </w:t>
      </w:r>
    </w:p>
    <w:p w14:paraId="4B050B60" w14:textId="77777777" w:rsidR="008E5510" w:rsidRPr="008E5510" w:rsidRDefault="008E5510" w:rsidP="008E5510">
      <w:pPr>
        <w:rPr>
          <w:lang w:val="en-GB"/>
        </w:rPr>
      </w:pPr>
      <w:r w:rsidRPr="008E5510">
        <w:rPr>
          <w:lang w:val="en-GB"/>
        </w:rPr>
        <w:t xml:space="preserve">Loss aversion may be another factor driving non-compliant behaviour. It is easy for business managers to inadvertently consider the full value of imported goods as ‘theirs’, despite the fact the GST component of the goods is collected on behalf of the government. The thought of having to give up these GST payments could be painful for a business manager trying to manage cash flow. </w:t>
      </w:r>
    </w:p>
    <w:p w14:paraId="1B9237E5" w14:textId="73BEE6DA" w:rsidR="008E5510" w:rsidRPr="008E5510" w:rsidRDefault="008E5510" w:rsidP="008E5510">
      <w:pPr>
        <w:rPr>
          <w:lang w:val="en-GB"/>
        </w:rPr>
      </w:pPr>
      <w:r w:rsidRPr="008E5510">
        <w:rPr>
          <w:lang w:val="en-GB"/>
        </w:rPr>
        <w:t>A UK study found many business managers had feelings of ownership when it came to collecting and lodging value added taxes (VAT – equivalent to Australia’s GST) (</w:t>
      </w:r>
      <w:hyperlink r:id="rId20" w:history="1">
        <w:r w:rsidRPr="008E5510">
          <w:rPr>
            <w:rStyle w:val="Hyperlink"/>
            <w:lang w:val="en-GB"/>
          </w:rPr>
          <w:t>Adams and Webley</w:t>
        </w:r>
      </w:hyperlink>
      <w:r w:rsidRPr="008E5510">
        <w:rPr>
          <w:lang w:val="en-GB"/>
        </w:rPr>
        <w:t xml:space="preserve">, 2001). A majority of small businesses considered themselves the ‘owners’ of VAT and not mere collectors on behalf of government. </w:t>
      </w:r>
    </w:p>
    <w:p w14:paraId="537713BF" w14:textId="278DAB48" w:rsidR="008E5510" w:rsidRDefault="008E5510" w:rsidP="008E5510">
      <w:r w:rsidRPr="008E5510">
        <w:rPr>
          <w:lang w:val="en-GB"/>
        </w:rPr>
        <w:t>Loss aversion can also be used to nudge businesses in the right direction. Access to the Scheme is not guaranteed, and businesses can lose access if they fail to lodge on time or do not comply with their other obligations</w:t>
      </w:r>
      <w:r w:rsidRPr="008E5510">
        <w:t>. Emphasising the advantages of the Scheme – and the loss of flexibility from being cut off – could have an impact on business compliance.</w:t>
      </w:r>
    </w:p>
    <w:p w14:paraId="42071940" w14:textId="7067C037" w:rsidR="008E5510" w:rsidRDefault="008E5510" w:rsidP="00095119">
      <w:pPr>
        <w:pStyle w:val="Heading2"/>
      </w:pPr>
      <w:r>
        <w:t xml:space="preserve">The </w:t>
      </w:r>
      <w:r w:rsidRPr="00095119">
        <w:t>trial</w:t>
      </w:r>
      <w:r w:rsidR="00BB3A62" w:rsidRPr="00095119">
        <w:t>s</w:t>
      </w:r>
    </w:p>
    <w:p w14:paraId="72427A66" w14:textId="2A2DCD9A" w:rsidR="008E5510" w:rsidRPr="008E5510" w:rsidRDefault="008E5510" w:rsidP="008E5510">
      <w:pPr>
        <w:rPr>
          <w:lang w:val="en-GB"/>
        </w:rPr>
      </w:pPr>
      <w:r w:rsidRPr="008E5510">
        <w:rPr>
          <w:lang w:val="en-GB"/>
        </w:rPr>
        <w:t>We ran two trials to test whether we could increase compliance with the Scheme. In the first trial, we sent emails to existing non</w:t>
      </w:r>
      <w:r w:rsidRPr="008E5510">
        <w:rPr>
          <w:lang w:val="en-GB"/>
        </w:rPr>
        <w:noBreakHyphen/>
        <w:t xml:space="preserve">compliant businesses. In the second trial we sent emails to businesses newly registered with the Scheme. The emails were different </w:t>
      </w:r>
      <w:r w:rsidR="00A5427D">
        <w:rPr>
          <w:lang w:val="en-GB"/>
        </w:rPr>
        <w:t xml:space="preserve">in </w:t>
      </w:r>
      <w:r w:rsidRPr="008E5510">
        <w:rPr>
          <w:lang w:val="en-GB"/>
        </w:rPr>
        <w:t xml:space="preserve">each trial (see </w:t>
      </w:r>
      <w:r w:rsidRPr="008E5510">
        <w:rPr>
          <w:b/>
          <w:lang w:val="en-GB"/>
        </w:rPr>
        <w:t>Appendix 1</w:t>
      </w:r>
      <w:r w:rsidRPr="008E5510">
        <w:rPr>
          <w:lang w:val="en-GB"/>
        </w:rPr>
        <w:t xml:space="preserve">). </w:t>
      </w:r>
    </w:p>
    <w:p w14:paraId="6A299CD7" w14:textId="77777777" w:rsidR="002B6D18" w:rsidRDefault="002B6D18" w:rsidP="002B6D18"/>
    <w:tbl>
      <w:tblPr>
        <w:tblStyle w:val="DefaultTable"/>
        <w:tblW w:w="0" w:type="auto"/>
        <w:tblBorders>
          <w:bottom w:val="none" w:sz="0" w:space="0" w:color="auto"/>
          <w:insideH w:val="none" w:sz="0" w:space="0" w:color="auto"/>
        </w:tblBorders>
        <w:tblLook w:val="0420" w:firstRow="1" w:lastRow="0" w:firstColumn="0" w:lastColumn="0" w:noHBand="0" w:noVBand="1"/>
        <w:tblCaption w:val="Box 2: What is a randomised controlled trial?"/>
        <w:tblDescription w:val="A box describing what a randomised controlled trial is"/>
      </w:tblPr>
      <w:tblGrid>
        <w:gridCol w:w="8278"/>
      </w:tblGrid>
      <w:tr w:rsidR="004E34CF" w:rsidRPr="00E43E48" w14:paraId="134205E9" w14:textId="77777777" w:rsidTr="003F08B5">
        <w:trPr>
          <w:cnfStyle w:val="100000000000" w:firstRow="1" w:lastRow="0" w:firstColumn="0" w:lastColumn="0" w:oddVBand="0" w:evenVBand="0" w:oddHBand="0" w:evenHBand="0" w:firstRowFirstColumn="0" w:firstRowLastColumn="0" w:lastRowFirstColumn="0" w:lastRowLastColumn="0"/>
          <w:cantSplit w:val="0"/>
          <w:tblHeader/>
        </w:trPr>
        <w:tc>
          <w:tcPr>
            <w:tcW w:w="8278" w:type="dxa"/>
            <w:shd w:val="clear" w:color="auto" w:fill="142E3A" w:themeFill="text2"/>
          </w:tcPr>
          <w:p w14:paraId="17D2F65D" w14:textId="32F0D190" w:rsidR="004E34CF" w:rsidRPr="00E43E48" w:rsidRDefault="004E34CF" w:rsidP="004E34CF">
            <w:pPr>
              <w:pStyle w:val="TableHeading"/>
            </w:pPr>
            <w:r>
              <w:t xml:space="preserve">Box </w:t>
            </w:r>
            <w:r w:rsidR="008C6F31">
              <w:t>2</w:t>
            </w:r>
            <w:r w:rsidRPr="00E43E48">
              <w:t xml:space="preserve">: </w:t>
            </w:r>
            <w:r>
              <w:t>What is a randomised controlled trial?</w:t>
            </w:r>
          </w:p>
        </w:tc>
      </w:tr>
      <w:tr w:rsidR="004E34CF" w14:paraId="11B2883C" w14:textId="77777777" w:rsidTr="006428FC">
        <w:trPr>
          <w:cantSplit w:val="0"/>
        </w:trPr>
        <w:tc>
          <w:tcPr>
            <w:tcW w:w="8278" w:type="dxa"/>
          </w:tcPr>
          <w:p w14:paraId="148D7447" w14:textId="18AC38F0" w:rsidR="004E34CF" w:rsidRDefault="008E5510" w:rsidP="008E5510">
            <w:r w:rsidRPr="008E5510">
              <w:rPr>
                <w:lang w:val="en-US"/>
              </w:rPr>
              <w:t>An RCT is the best way of telling if a policy is working. RCTs work by randomly assigning individuals into different groups – usually one or more ‘treatment’ groups participate in the new intervention, and a ‘control’ group does not. The differences in outcomes across the groups are then compared. RCTs are considered the ‘gold standard’ for assessing causal impacts because an RCT determines the impact of an intervention or treatment compared to the status quo.</w:t>
            </w:r>
          </w:p>
        </w:tc>
      </w:tr>
    </w:tbl>
    <w:p w14:paraId="1320039B" w14:textId="42746E72" w:rsidR="00ED7E2C" w:rsidRDefault="00ED7E2C" w:rsidP="00ED7E2C"/>
    <w:p w14:paraId="07BDD333" w14:textId="77777777" w:rsidR="00ED7E2C" w:rsidRDefault="00ED7E2C">
      <w:pPr>
        <w:keepLines w:val="0"/>
        <w:spacing w:before="0" w:after="0" w:line="240" w:lineRule="auto"/>
      </w:pPr>
      <w:r>
        <w:br w:type="page"/>
      </w:r>
    </w:p>
    <w:p w14:paraId="4EFDEFAE" w14:textId="7EED19F3" w:rsidR="008C6F31" w:rsidRDefault="00BB3A62" w:rsidP="0046007A">
      <w:pPr>
        <w:pStyle w:val="Heading3"/>
      </w:pPr>
      <w:r w:rsidRPr="00BB3A62">
        <w:lastRenderedPageBreak/>
        <w:t>Trial 1</w:t>
      </w:r>
      <w:r w:rsidR="008C6F31">
        <w:t>: Existing businesses trial</w:t>
      </w:r>
    </w:p>
    <w:p w14:paraId="0DB22C8B" w14:textId="2A02F857" w:rsidR="008E5510" w:rsidRPr="008E5510" w:rsidRDefault="008E5510" w:rsidP="008E5510">
      <w:pPr>
        <w:rPr>
          <w:lang w:val="en-GB"/>
        </w:rPr>
      </w:pPr>
      <w:r w:rsidRPr="008E5510">
        <w:rPr>
          <w:lang w:val="en-GB"/>
        </w:rPr>
        <w:t>In the trial for existing non-compliant businesses, we designed two emails:</w:t>
      </w:r>
    </w:p>
    <w:p w14:paraId="0763894C" w14:textId="29F0D520" w:rsidR="008E5510" w:rsidRPr="008E5510" w:rsidRDefault="008E5510" w:rsidP="00063FF2">
      <w:pPr>
        <w:numPr>
          <w:ilvl w:val="0"/>
          <w:numId w:val="21"/>
        </w:numPr>
        <w:ind w:left="360"/>
        <w:rPr>
          <w:lang w:val="en-GB"/>
        </w:rPr>
      </w:pPr>
      <w:r w:rsidRPr="008E5510">
        <w:rPr>
          <w:lang w:val="en-GB"/>
        </w:rPr>
        <w:t xml:space="preserve">The ‘cooperative’ </w:t>
      </w:r>
      <w:r w:rsidR="0026516A">
        <w:rPr>
          <w:lang w:val="en-GB"/>
        </w:rPr>
        <w:t xml:space="preserve">(softer) </w:t>
      </w:r>
      <w:r w:rsidRPr="008E5510">
        <w:rPr>
          <w:lang w:val="en-GB"/>
        </w:rPr>
        <w:t>email contained a reminder with a simple and clear action, designed to help business managers overcome cognitive overload and present bias. This email stressed the benefits of the Scheme and the cost of having access to the Scheme revoked. By including next month’s due date for their activity statement, businesses were prompted to plan for the future.</w:t>
      </w:r>
    </w:p>
    <w:p w14:paraId="04B45E9E" w14:textId="549F6027" w:rsidR="008E5510" w:rsidRPr="008E5510" w:rsidRDefault="008E5510" w:rsidP="00063FF2">
      <w:pPr>
        <w:numPr>
          <w:ilvl w:val="0"/>
          <w:numId w:val="20"/>
        </w:numPr>
        <w:ind w:left="360"/>
        <w:rPr>
          <w:lang w:val="en-GB"/>
        </w:rPr>
      </w:pPr>
      <w:r w:rsidRPr="008E5510">
        <w:rPr>
          <w:lang w:val="en-GB"/>
        </w:rPr>
        <w:t>The ‘direct</w:t>
      </w:r>
      <w:r w:rsidR="00E01E17">
        <w:rPr>
          <w:lang w:val="en-GB"/>
        </w:rPr>
        <w:t>’</w:t>
      </w:r>
      <w:r w:rsidR="0026516A">
        <w:rPr>
          <w:lang w:val="en-GB"/>
        </w:rPr>
        <w:t xml:space="preserve"> (harder)</w:t>
      </w:r>
      <w:r w:rsidRPr="008E5510">
        <w:rPr>
          <w:lang w:val="en-GB"/>
        </w:rPr>
        <w:t xml:space="preserve"> email stressed the commitment and obligations incumbent on businesses accessing the Scheme. The direct email emphasised the cost of having access to the Scheme revoked</w:t>
      </w:r>
      <w:r w:rsidRPr="008E5510" w:rsidDel="00C7188D">
        <w:rPr>
          <w:lang w:val="en-GB"/>
        </w:rPr>
        <w:t xml:space="preserve"> </w:t>
      </w:r>
      <w:r w:rsidRPr="008E5510">
        <w:rPr>
          <w:lang w:val="en-GB"/>
        </w:rPr>
        <w:t xml:space="preserve">in stronger terms than the cooperative email. </w:t>
      </w:r>
    </w:p>
    <w:p w14:paraId="5CE7F72E" w14:textId="165A0C95" w:rsidR="008E5510" w:rsidRPr="008E5510" w:rsidRDefault="008E5510" w:rsidP="008E5510">
      <w:r w:rsidRPr="008E5510">
        <w:rPr>
          <w:lang w:val="en-GB"/>
        </w:rPr>
        <w:t xml:space="preserve">We then tested the emails with 1,286 businesses who had been non-compliant for more than 14 days before the start of the trial. </w:t>
      </w:r>
      <w:r w:rsidRPr="008E5510">
        <w:t xml:space="preserve">There were 1,279 businesses in the analysis sample (seven businesses were excluded as they exited the Scheme before the end of the trial). </w:t>
      </w:r>
    </w:p>
    <w:p w14:paraId="4A028CE2" w14:textId="2956B65D" w:rsidR="008E5510" w:rsidRPr="0046007A" w:rsidRDefault="008E5510" w:rsidP="0046007A">
      <w:pPr>
        <w:keepLines w:val="0"/>
        <w:spacing w:before="0" w:after="0" w:line="240" w:lineRule="auto"/>
        <w:rPr>
          <w:lang w:val="en-GB"/>
        </w:rPr>
      </w:pPr>
      <w:r w:rsidRPr="008E5510">
        <w:rPr>
          <w:lang w:val="en-GB"/>
        </w:rPr>
        <w:t>We randomly allocated businesses evenly into three groups</w:t>
      </w:r>
      <w:r w:rsidRPr="008E5510">
        <w:t>:</w:t>
      </w:r>
    </w:p>
    <w:p w14:paraId="5EE38687" w14:textId="001A48A1" w:rsidR="008E5510" w:rsidRPr="0006174E" w:rsidRDefault="008E5510" w:rsidP="0006174E">
      <w:pPr>
        <w:pStyle w:val="ListBullet"/>
        <w:numPr>
          <w:ilvl w:val="0"/>
          <w:numId w:val="36"/>
        </w:numPr>
      </w:pPr>
      <w:r w:rsidRPr="008E5510">
        <w:t xml:space="preserve">427 in the </w:t>
      </w:r>
      <w:r w:rsidR="005672F6">
        <w:t>direct email</w:t>
      </w:r>
      <w:r w:rsidRPr="008E5510">
        <w:t xml:space="preserve"> group</w:t>
      </w:r>
      <w:r w:rsidR="005672F6">
        <w:t xml:space="preserve"> (</w:t>
      </w:r>
      <w:r w:rsidR="005672F6" w:rsidRPr="0006174E">
        <w:t>first treatment group)</w:t>
      </w:r>
      <w:r w:rsidRPr="0006174E">
        <w:t xml:space="preserve"> </w:t>
      </w:r>
    </w:p>
    <w:p w14:paraId="59ACCD5F" w14:textId="3F06DDA0" w:rsidR="008E5510" w:rsidRPr="0006174E" w:rsidRDefault="008E5510" w:rsidP="0006174E">
      <w:pPr>
        <w:pStyle w:val="ListBullet"/>
        <w:numPr>
          <w:ilvl w:val="0"/>
          <w:numId w:val="36"/>
        </w:numPr>
      </w:pPr>
      <w:r w:rsidRPr="0006174E">
        <w:t xml:space="preserve">427 in the </w:t>
      </w:r>
      <w:r w:rsidR="005672F6" w:rsidRPr="0006174E">
        <w:t>cooperative email</w:t>
      </w:r>
      <w:r w:rsidRPr="0006174E">
        <w:t xml:space="preserve"> group</w:t>
      </w:r>
      <w:r w:rsidR="005672F6" w:rsidRPr="0006174E">
        <w:t xml:space="preserve"> (second treatment group)</w:t>
      </w:r>
      <w:r w:rsidRPr="0006174E">
        <w:t xml:space="preserve"> </w:t>
      </w:r>
    </w:p>
    <w:p w14:paraId="554F97AB" w14:textId="1CC533CC" w:rsidR="008E5510" w:rsidRPr="008E5510" w:rsidRDefault="008E5510" w:rsidP="0006174E">
      <w:pPr>
        <w:pStyle w:val="ListBullet"/>
        <w:numPr>
          <w:ilvl w:val="0"/>
          <w:numId w:val="36"/>
        </w:numPr>
        <w:rPr>
          <w:lang w:val="en-GB"/>
        </w:rPr>
      </w:pPr>
      <w:r w:rsidRPr="0006174E">
        <w:t xml:space="preserve">425 in the </w:t>
      </w:r>
      <w:r w:rsidR="00783F62" w:rsidRPr="0006174E">
        <w:t xml:space="preserve">no email group (control </w:t>
      </w:r>
      <w:r w:rsidR="00783F62">
        <w:t>group)</w:t>
      </w:r>
    </w:p>
    <w:p w14:paraId="697A5303" w14:textId="77777777" w:rsidR="008E5510" w:rsidRPr="008E5510" w:rsidRDefault="008E5510" w:rsidP="008E5510">
      <w:r w:rsidRPr="008E5510">
        <w:t>If taxpayers self-complied they received a thank you email and if they remained non</w:t>
      </w:r>
      <w:r w:rsidRPr="008E5510">
        <w:noBreakHyphen/>
        <w:t>compliant they received a revocation email.</w:t>
      </w:r>
    </w:p>
    <w:p w14:paraId="14CF7668" w14:textId="79CB9384" w:rsidR="008E5510" w:rsidRDefault="00A5427D" w:rsidP="008E5510">
      <w:r>
        <w:t xml:space="preserve">We were interested in </w:t>
      </w:r>
      <w:r w:rsidR="008E5510" w:rsidRPr="008E5510">
        <w:t xml:space="preserve">the proportion of </w:t>
      </w:r>
      <w:r w:rsidR="00B00579">
        <w:t>DGST</w:t>
      </w:r>
      <w:r w:rsidR="003C39D5">
        <w:t xml:space="preserve"> </w:t>
      </w:r>
      <w:r>
        <w:t>businesses</w:t>
      </w:r>
      <w:r w:rsidR="008E5510" w:rsidRPr="008E5510">
        <w:t xml:space="preserve"> becoming compliant after 14 and 21 days, the payment received by the ATO over a 21-day period, and the number of phone calls to the ATO. We also performed e</w:t>
      </w:r>
      <w:r w:rsidR="00653670">
        <w:t>xploratory</w:t>
      </w:r>
      <w:r w:rsidR="008E5510" w:rsidRPr="008E5510">
        <w:t xml:space="preserve"> analysis about the time taken for businesses to comply.</w:t>
      </w:r>
    </w:p>
    <w:p w14:paraId="6A079C6D" w14:textId="77777777" w:rsidR="00FE6C21" w:rsidRDefault="00FE6C21">
      <w:pPr>
        <w:keepLines w:val="0"/>
        <w:spacing w:before="0" w:after="0" w:line="240" w:lineRule="auto"/>
        <w:rPr>
          <w:b/>
          <w:color w:val="auto"/>
          <w:sz w:val="24"/>
          <w:lang w:val="en-US" w:eastAsia="ja-JP"/>
        </w:rPr>
      </w:pPr>
      <w:r>
        <w:br w:type="page"/>
      </w:r>
    </w:p>
    <w:p w14:paraId="2AE6341E" w14:textId="3FA9A40F" w:rsidR="008E5510" w:rsidRPr="008E5510" w:rsidRDefault="008E5510" w:rsidP="0046007A">
      <w:pPr>
        <w:pStyle w:val="FigureHeading"/>
      </w:pPr>
      <w:r w:rsidRPr="008E5510">
        <w:lastRenderedPageBreak/>
        <w:t xml:space="preserve">Figure 1: </w:t>
      </w:r>
      <w:r w:rsidR="0006174E">
        <w:t>Trial</w:t>
      </w:r>
      <w:r w:rsidR="00493669">
        <w:t xml:space="preserve"> 1</w:t>
      </w:r>
      <w:r w:rsidRPr="008E5510">
        <w:t xml:space="preserve"> </w:t>
      </w:r>
      <w:r w:rsidR="0006174E">
        <w:t>Design</w:t>
      </w:r>
      <w:r w:rsidRPr="008E5510">
        <w:t xml:space="preserve"> for existing </w:t>
      </w:r>
      <w:r w:rsidRPr="0006174E">
        <w:t>businesses</w:t>
      </w:r>
      <w:r w:rsidRPr="008E5510">
        <w:t xml:space="preserve"> </w:t>
      </w:r>
    </w:p>
    <w:p w14:paraId="5C6A3132" w14:textId="77777777" w:rsidR="008E5510" w:rsidRPr="008E5510" w:rsidRDefault="008E5510" w:rsidP="008E5510">
      <w:pPr>
        <w:spacing w:before="0" w:after="0" w:line="240" w:lineRule="auto"/>
        <w:rPr>
          <w:rFonts w:ascii="Montserrat Light" w:hAnsi="Montserrat Light"/>
          <w:b/>
          <w:bCs/>
          <w:caps/>
          <w:color w:val="1C2B39"/>
          <w:spacing w:val="20"/>
          <w:sz w:val="20"/>
          <w:szCs w:val="19"/>
          <w:lang w:val="en-US" w:eastAsia="ja-JP"/>
        </w:rPr>
      </w:pPr>
    </w:p>
    <w:p w14:paraId="012DCB0A" w14:textId="55C423D0" w:rsidR="00ED7E2C" w:rsidRPr="00ED7E2C" w:rsidRDefault="008E5510" w:rsidP="00ED7E2C">
      <w:pPr>
        <w:spacing w:before="0" w:after="200" w:line="276" w:lineRule="auto"/>
        <w:ind w:left="357"/>
        <w:rPr>
          <w:rFonts w:ascii="Calibri" w:eastAsia="Calibri" w:hAnsi="Calibri"/>
          <w:b/>
          <w:color w:val="auto"/>
          <w:szCs w:val="22"/>
          <w:lang w:eastAsia="en-US"/>
        </w:rPr>
      </w:pPr>
      <w:r w:rsidRPr="008E5510">
        <w:rPr>
          <w:rFonts w:ascii="Calibri" w:eastAsia="Calibri" w:hAnsi="Calibri"/>
          <w:b/>
          <w:noProof/>
          <w:color w:val="auto"/>
          <w:szCs w:val="22"/>
        </w:rPr>
        <mc:AlternateContent>
          <mc:Choice Requires="wpg">
            <w:drawing>
              <wp:inline distT="0" distB="0" distL="0" distR="0" wp14:anchorId="7FBD131A" wp14:editId="33728745">
                <wp:extent cx="4649638" cy="2290713"/>
                <wp:effectExtent l="0" t="0" r="17780" b="14605"/>
                <wp:docPr id="37" name="Group 37" descr="This shows that there were 427 businesses in the direct email group, 427 in the cooperative email group and 425 in the control group" title="Figure 1: Trial 1 Design for existing businesses"/>
                <wp:cNvGraphicFramePr/>
                <a:graphic xmlns:a="http://schemas.openxmlformats.org/drawingml/2006/main">
                  <a:graphicData uri="http://schemas.microsoft.com/office/word/2010/wordprocessingGroup">
                    <wpg:wgp>
                      <wpg:cNvGrpSpPr/>
                      <wpg:grpSpPr>
                        <a:xfrm>
                          <a:off x="0" y="0"/>
                          <a:ext cx="4649638" cy="2290713"/>
                          <a:chOff x="0" y="0"/>
                          <a:chExt cx="5480445" cy="2429240"/>
                        </a:xfrm>
                      </wpg:grpSpPr>
                      <wpg:grpSp>
                        <wpg:cNvPr id="38" name="Group 38"/>
                        <wpg:cNvGrpSpPr/>
                        <wpg:grpSpPr>
                          <a:xfrm>
                            <a:off x="0" y="0"/>
                            <a:ext cx="1058012" cy="2429240"/>
                            <a:chOff x="0" y="724336"/>
                            <a:chExt cx="940446" cy="470223"/>
                          </a:xfrm>
                        </wpg:grpSpPr>
                        <wps:wsp>
                          <wps:cNvPr id="39" name="Rounded Rectangle 39"/>
                          <wps:cNvSpPr/>
                          <wps:spPr>
                            <a:xfrm>
                              <a:off x="0" y="724336"/>
                              <a:ext cx="940446" cy="470223"/>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40" name="Rounded Rectangle 4"/>
                          <wps:cNvSpPr/>
                          <wps:spPr>
                            <a:xfrm>
                              <a:off x="13772" y="738108"/>
                              <a:ext cx="912902" cy="442679"/>
                            </a:xfrm>
                            <a:prstGeom prst="rect">
                              <a:avLst/>
                            </a:prstGeom>
                            <a:noFill/>
                            <a:ln>
                              <a:noFill/>
                            </a:ln>
                            <a:effectLst/>
                          </wps:spPr>
                          <wps:txbx>
                            <w:txbxContent>
                              <w:p w14:paraId="160BE3F3"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 xml:space="preserve">Non-compliant businesses </w:t>
                                </w:r>
                              </w:p>
                              <w:p w14:paraId="6134A131" w14:textId="77777777" w:rsidR="00653670" w:rsidRPr="009744C4" w:rsidRDefault="00653670" w:rsidP="008E5510">
                                <w:pPr>
                                  <w:pStyle w:val="NormalWeb"/>
                                  <w:spacing w:before="0" w:after="67" w:line="216" w:lineRule="auto"/>
                                  <w:jc w:val="center"/>
                                  <w:rPr>
                                    <w:rFonts w:ascii="Calibri" w:hAnsi="Calibri"/>
                                    <w:color w:val="D0D2D3"/>
                                    <w:sz w:val="16"/>
                                    <w:szCs w:val="20"/>
                                  </w:rPr>
                                </w:pPr>
                                <w:r w:rsidRPr="009744C4">
                                  <w:rPr>
                                    <w:rFonts w:ascii="Calibri" w:hAnsi="Calibri"/>
                                    <w:color w:val="D0D2D3"/>
                                    <w:kern w:val="24"/>
                                    <w:sz w:val="16"/>
                                    <w:szCs w:val="20"/>
                                  </w:rPr>
                                  <w:t>(≈3,500 businesses)</w:t>
                                </w:r>
                              </w:p>
                            </w:txbxContent>
                          </wps:txbx>
                          <wps:bodyPr spcFirstLastPara="0" vert="horz" wrap="square" lIns="5080" tIns="5080" rIns="5080" bIns="5080" numCol="1" spcCol="1270" anchor="ctr" anchorCtr="0">
                            <a:noAutofit/>
                          </wps:bodyPr>
                        </wps:wsp>
                      </wpg:grpSp>
                      <wpg:grpSp>
                        <wpg:cNvPr id="41" name="Group 41"/>
                        <wpg:cNvGrpSpPr/>
                        <wpg:grpSpPr>
                          <a:xfrm>
                            <a:off x="1496291" y="659080"/>
                            <a:ext cx="961700" cy="1152355"/>
                            <a:chOff x="1316625" y="994687"/>
                            <a:chExt cx="940446" cy="307779"/>
                          </a:xfrm>
                        </wpg:grpSpPr>
                        <wps:wsp>
                          <wps:cNvPr id="42" name="Rounded Rectangle 42"/>
                          <wps:cNvSpPr/>
                          <wps:spPr>
                            <a:xfrm>
                              <a:off x="1316625" y="994687"/>
                              <a:ext cx="940446" cy="307779"/>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43" name="Rounded Rectangle 12"/>
                          <wps:cNvSpPr/>
                          <wps:spPr>
                            <a:xfrm>
                              <a:off x="1330397" y="1008457"/>
                              <a:ext cx="912902" cy="282478"/>
                            </a:xfrm>
                            <a:prstGeom prst="rect">
                              <a:avLst/>
                            </a:prstGeom>
                            <a:noFill/>
                            <a:ln>
                              <a:noFill/>
                            </a:ln>
                            <a:effectLst/>
                          </wps:spPr>
                          <wps:txbx>
                            <w:txbxContent>
                              <w:p w14:paraId="3B18AC51"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Evaluation sample</w:t>
                                </w:r>
                              </w:p>
                              <w:p w14:paraId="3C977F42" w14:textId="77777777" w:rsidR="00653670" w:rsidRPr="009744C4" w:rsidRDefault="00653670" w:rsidP="008E5510">
                                <w:pPr>
                                  <w:pStyle w:val="NormalWeb"/>
                                  <w:spacing w:before="0" w:after="67" w:line="216" w:lineRule="auto"/>
                                  <w:jc w:val="center"/>
                                  <w:rPr>
                                    <w:rFonts w:ascii="Calibri" w:hAnsi="Calibri"/>
                                    <w:color w:val="D0D2D3"/>
                                    <w:sz w:val="16"/>
                                    <w:szCs w:val="20"/>
                                  </w:rPr>
                                </w:pPr>
                                <w:r w:rsidRPr="009744C4">
                                  <w:rPr>
                                    <w:rFonts w:ascii="Calibri" w:hAnsi="Calibri"/>
                                    <w:color w:val="D0D2D3"/>
                                    <w:kern w:val="24"/>
                                    <w:sz w:val="16"/>
                                    <w:szCs w:val="20"/>
                                  </w:rPr>
                                  <w:t>(≈1,300 businesses)</w:t>
                                </w:r>
                              </w:p>
                              <w:p w14:paraId="1AF9ED08" w14:textId="77777777" w:rsidR="00653670" w:rsidRPr="009744C4" w:rsidRDefault="00653670" w:rsidP="008E5510">
                                <w:pPr>
                                  <w:pStyle w:val="NormalWeb"/>
                                  <w:spacing w:before="0" w:after="67" w:line="216" w:lineRule="auto"/>
                                  <w:jc w:val="center"/>
                                  <w:rPr>
                                    <w:rFonts w:ascii="Calibri" w:hAnsi="Calibri"/>
                                    <w:b/>
                                    <w:color w:val="D0D2D3"/>
                                    <w:sz w:val="20"/>
                                    <w:szCs w:val="20"/>
                                  </w:rPr>
                                </w:pPr>
                              </w:p>
                            </w:txbxContent>
                          </wps:txbx>
                          <wps:bodyPr spcFirstLastPara="0" vert="horz" wrap="square" lIns="5080" tIns="5080" rIns="5080" bIns="5080" numCol="1" spcCol="1270" anchor="ctr" anchorCtr="0">
                            <a:noAutofit/>
                          </wps:bodyPr>
                        </wps:wsp>
                      </wpg:grpSp>
                      <wpg:grpSp>
                        <wpg:cNvPr id="44" name="Group 44"/>
                        <wpg:cNvGrpSpPr/>
                        <wpg:grpSpPr>
                          <a:xfrm>
                            <a:off x="2814452" y="688769"/>
                            <a:ext cx="1006475" cy="1059815"/>
                            <a:chOff x="2387359" y="778454"/>
                            <a:chExt cx="1006738" cy="580787"/>
                          </a:xfrm>
                        </wpg:grpSpPr>
                        <wps:wsp>
                          <wps:cNvPr id="45" name="Rounded Rectangle 45"/>
                          <wps:cNvSpPr/>
                          <wps:spPr>
                            <a:xfrm>
                              <a:off x="2387359" y="778454"/>
                              <a:ext cx="1006738" cy="580787"/>
                            </a:xfrm>
                            <a:prstGeom prst="roundRect">
                              <a:avLst>
                                <a:gd name="adj" fmla="val 10000"/>
                              </a:avLst>
                            </a:prstGeom>
                            <a:solidFill>
                              <a:srgbClr val="1B2A39">
                                <a:lumMod val="90000"/>
                                <a:lumOff val="10000"/>
                              </a:srgbClr>
                            </a:solidFill>
                            <a:ln w="25400" cap="flat" cmpd="sng" algn="ctr">
                              <a:solidFill>
                                <a:sysClr val="window" lastClr="FFFFFF">
                                  <a:hueOff val="0"/>
                                  <a:satOff val="0"/>
                                  <a:lumOff val="0"/>
                                  <a:alphaOff val="0"/>
                                </a:sysClr>
                              </a:solidFill>
                              <a:prstDash val="solid"/>
                            </a:ln>
                            <a:effectLst/>
                          </wps:spPr>
                          <wps:bodyPr/>
                        </wps:wsp>
                        <wps:wsp>
                          <wps:cNvPr id="46" name="Rounded Rectangle 16"/>
                          <wps:cNvSpPr/>
                          <wps:spPr>
                            <a:xfrm>
                              <a:off x="2404383" y="795464"/>
                              <a:ext cx="972716" cy="546764"/>
                            </a:xfrm>
                            <a:prstGeom prst="rect">
                              <a:avLst/>
                            </a:prstGeom>
                            <a:noFill/>
                            <a:ln>
                              <a:noFill/>
                            </a:ln>
                            <a:effectLst/>
                          </wps:spPr>
                          <wps:txbx>
                            <w:txbxContent>
                              <w:p w14:paraId="01070E86" w14:textId="77777777" w:rsidR="00653670" w:rsidRPr="009744C4" w:rsidRDefault="00653670" w:rsidP="008E5510">
                                <w:pPr>
                                  <w:pStyle w:val="NormalWeb"/>
                                  <w:spacing w:before="0" w:after="67" w:line="216" w:lineRule="auto"/>
                                  <w:jc w:val="center"/>
                                  <w:rPr>
                                    <w:rFonts w:ascii="Calibri" w:hAnsi="Calibri"/>
                                    <w:b/>
                                    <w:color w:val="D0D2D3"/>
                                    <w:sz w:val="20"/>
                                    <w:szCs w:val="20"/>
                                  </w:rPr>
                                </w:pPr>
                                <w:r w:rsidRPr="009744C4">
                                  <w:rPr>
                                    <w:rFonts w:ascii="Calibri" w:hAnsi="Calibri"/>
                                    <w:b/>
                                    <w:color w:val="D0D2D3"/>
                                    <w:kern w:val="24"/>
                                    <w:sz w:val="20"/>
                                    <w:szCs w:val="20"/>
                                  </w:rPr>
                                  <w:t xml:space="preserve">Random Assignment </w:t>
                                </w:r>
                              </w:p>
                            </w:txbxContent>
                          </wps:txbx>
                          <wps:bodyPr spcFirstLastPara="0" vert="horz" wrap="square" lIns="5080" tIns="5080" rIns="5080" bIns="5080" numCol="1" spcCol="1270" anchor="ctr" anchorCtr="0">
                            <a:noAutofit/>
                          </wps:bodyPr>
                        </wps:wsp>
                      </wpg:grpSp>
                      <wpg:grpSp>
                        <wpg:cNvPr id="47" name="Group 47"/>
                        <wpg:cNvGrpSpPr/>
                        <wpg:grpSpPr>
                          <a:xfrm>
                            <a:off x="4304805" y="285008"/>
                            <a:ext cx="1152000" cy="576000"/>
                            <a:chOff x="3873258" y="362266"/>
                            <a:chExt cx="1134799" cy="710295"/>
                          </a:xfrm>
                        </wpg:grpSpPr>
                        <wps:wsp>
                          <wps:cNvPr id="48" name="Rounded Rectangle 48"/>
                          <wps:cNvSpPr/>
                          <wps:spPr>
                            <a:xfrm>
                              <a:off x="3873258" y="362266"/>
                              <a:ext cx="1134799" cy="710295"/>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49" name="Rounded Rectangle 24"/>
                          <wps:cNvSpPr/>
                          <wps:spPr>
                            <a:xfrm>
                              <a:off x="3894062" y="383070"/>
                              <a:ext cx="1093191" cy="668687"/>
                            </a:xfrm>
                            <a:prstGeom prst="rect">
                              <a:avLst/>
                            </a:prstGeom>
                            <a:noFill/>
                            <a:ln>
                              <a:noFill/>
                            </a:ln>
                            <a:effectLst/>
                          </wps:spPr>
                          <wps:txbx>
                            <w:txbxContent>
                              <w:p w14:paraId="06C4CA27" w14:textId="304CFA66" w:rsidR="00653670" w:rsidRPr="008E0B9B" w:rsidRDefault="00653670" w:rsidP="008E5510">
                                <w:pPr>
                                  <w:pStyle w:val="NormalWeb"/>
                                  <w:spacing w:before="0" w:after="67" w:line="216" w:lineRule="auto"/>
                                  <w:jc w:val="center"/>
                                  <w:rPr>
                                    <w:rFonts w:ascii="Calibri" w:hAnsi="Calibri"/>
                                    <w:b/>
                                    <w:color w:val="D0D2D3"/>
                                    <w:sz w:val="20"/>
                                    <w:szCs w:val="20"/>
                                    <w:lang w:val="en-US"/>
                                  </w:rPr>
                                </w:pPr>
                                <w:r>
                                  <w:rPr>
                                    <w:rFonts w:ascii="Calibri" w:hAnsi="Calibri"/>
                                    <w:b/>
                                    <w:color w:val="D0D2D3"/>
                                    <w:kern w:val="24"/>
                                    <w:sz w:val="20"/>
                                    <w:szCs w:val="20"/>
                                    <w:lang w:val="en-US"/>
                                  </w:rPr>
                                  <w:t>Direct email group (427 businesses)</w:t>
                                </w:r>
                              </w:p>
                            </w:txbxContent>
                          </wps:txbx>
                          <wps:bodyPr spcFirstLastPara="0" vert="horz" wrap="square" lIns="5080" tIns="5080" rIns="5080" bIns="5080" numCol="1" spcCol="1270" anchor="ctr" anchorCtr="0">
                            <a:noAutofit/>
                          </wps:bodyPr>
                        </wps:wsp>
                      </wpg:grpSp>
                      <wpg:grpSp>
                        <wpg:cNvPr id="50" name="Group 50"/>
                        <wpg:cNvGrpSpPr/>
                        <wpg:grpSpPr>
                          <a:xfrm>
                            <a:off x="4316680" y="920335"/>
                            <a:ext cx="1151890" cy="599001"/>
                            <a:chOff x="4016169" y="1284644"/>
                            <a:chExt cx="940446" cy="489042"/>
                          </a:xfrm>
                        </wpg:grpSpPr>
                        <wps:wsp>
                          <wps:cNvPr id="51" name="Rounded Rectangle 51"/>
                          <wps:cNvSpPr/>
                          <wps:spPr>
                            <a:xfrm>
                              <a:off x="4016169" y="1284644"/>
                              <a:ext cx="940446" cy="470223"/>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52" name="Rounded Rectangle 28"/>
                          <wps:cNvSpPr/>
                          <wps:spPr>
                            <a:xfrm>
                              <a:off x="4029812" y="1308103"/>
                              <a:ext cx="912902" cy="465583"/>
                            </a:xfrm>
                            <a:prstGeom prst="rect">
                              <a:avLst/>
                            </a:prstGeom>
                            <a:noFill/>
                            <a:ln>
                              <a:noFill/>
                            </a:ln>
                            <a:effectLst/>
                          </wps:spPr>
                          <wps:txbx>
                            <w:txbxContent>
                              <w:p w14:paraId="468BF8BC" w14:textId="4E6106B8" w:rsidR="00653670" w:rsidRPr="009744C4" w:rsidRDefault="00653670" w:rsidP="008E5510">
                                <w:pPr>
                                  <w:pStyle w:val="NormalWeb"/>
                                  <w:spacing w:before="0" w:after="67" w:line="216" w:lineRule="auto"/>
                                  <w:jc w:val="center"/>
                                  <w:rPr>
                                    <w:rFonts w:ascii="Calibri" w:hAnsi="Calibri"/>
                                    <w:b/>
                                    <w:color w:val="D0D2D3"/>
                                    <w:sz w:val="20"/>
                                    <w:szCs w:val="20"/>
                                  </w:rPr>
                                </w:pPr>
                                <w:r>
                                  <w:rPr>
                                    <w:rFonts w:ascii="Calibri" w:hAnsi="Calibri"/>
                                    <w:b/>
                                    <w:color w:val="D0D2D3"/>
                                    <w:kern w:val="24"/>
                                    <w:sz w:val="20"/>
                                    <w:szCs w:val="20"/>
                                  </w:rPr>
                                  <w:t>Cooperative</w:t>
                                </w:r>
                                <w:r w:rsidRPr="009744C4">
                                  <w:rPr>
                                    <w:rFonts w:ascii="Calibri" w:hAnsi="Calibri"/>
                                    <w:b/>
                                    <w:color w:val="D0D2D3"/>
                                    <w:kern w:val="24"/>
                                    <w:sz w:val="20"/>
                                    <w:szCs w:val="20"/>
                                  </w:rPr>
                                  <w:t xml:space="preserve"> email </w:t>
                                </w:r>
                                <w:r>
                                  <w:rPr>
                                    <w:rFonts w:ascii="Calibri" w:hAnsi="Calibri"/>
                                    <w:b/>
                                    <w:color w:val="D0D2D3"/>
                                    <w:kern w:val="24"/>
                                    <w:sz w:val="20"/>
                                    <w:szCs w:val="20"/>
                                  </w:rPr>
                                  <w:t>group (427 businesses)</w:t>
                                </w:r>
                              </w:p>
                              <w:p w14:paraId="02D21CFB" w14:textId="77777777" w:rsidR="00653670" w:rsidRPr="00BC2AE4" w:rsidRDefault="00653670" w:rsidP="008E5510">
                                <w:pPr>
                                  <w:pStyle w:val="NormalWeb"/>
                                  <w:spacing w:before="0" w:after="67" w:line="216" w:lineRule="auto"/>
                                  <w:jc w:val="center"/>
                                  <w:rPr>
                                    <w:rFonts w:ascii="Calibri" w:hAnsi="Calibri"/>
                                    <w:b/>
                                    <w:sz w:val="20"/>
                                    <w:szCs w:val="20"/>
                                  </w:rPr>
                                </w:pPr>
                              </w:p>
                            </w:txbxContent>
                          </wps:txbx>
                          <wps:bodyPr spcFirstLastPara="0" vert="horz" wrap="square" lIns="5080" tIns="5080" rIns="5080" bIns="5080" numCol="1" spcCol="1270" anchor="ctr" anchorCtr="0">
                            <a:noAutofit/>
                          </wps:bodyPr>
                        </wps:wsp>
                      </wpg:grpSp>
                      <wpg:grpSp>
                        <wpg:cNvPr id="53" name="Group 53"/>
                        <wpg:cNvGrpSpPr/>
                        <wpg:grpSpPr>
                          <a:xfrm>
                            <a:off x="4328555" y="1549730"/>
                            <a:ext cx="1151890" cy="584964"/>
                            <a:chOff x="4016169" y="1835097"/>
                            <a:chExt cx="940446" cy="477581"/>
                          </a:xfrm>
                        </wpg:grpSpPr>
                        <wps:wsp>
                          <wps:cNvPr id="54" name="Rounded Rectangle 54"/>
                          <wps:cNvSpPr/>
                          <wps:spPr>
                            <a:xfrm>
                              <a:off x="4016169" y="1835097"/>
                              <a:ext cx="940446" cy="470223"/>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55" name="Rounded Rectangle 32"/>
                          <wps:cNvSpPr/>
                          <wps:spPr>
                            <a:xfrm>
                              <a:off x="4029941" y="1869999"/>
                              <a:ext cx="912902" cy="442679"/>
                            </a:xfrm>
                            <a:prstGeom prst="rect">
                              <a:avLst/>
                            </a:prstGeom>
                            <a:noFill/>
                            <a:ln>
                              <a:noFill/>
                            </a:ln>
                            <a:effectLst/>
                          </wps:spPr>
                          <wps:txbx>
                            <w:txbxContent>
                              <w:p w14:paraId="51AE685A" w14:textId="2E0DEDDE" w:rsidR="00653670" w:rsidRPr="008E0B9B" w:rsidRDefault="00653670" w:rsidP="008E5510">
                                <w:pPr>
                                  <w:pStyle w:val="NormalWeb"/>
                                  <w:spacing w:before="0" w:after="67" w:line="216" w:lineRule="auto"/>
                                  <w:jc w:val="center"/>
                                  <w:rPr>
                                    <w:rFonts w:ascii="Calibri" w:hAnsi="Calibri"/>
                                    <w:b/>
                                    <w:color w:val="D0D2D3"/>
                                    <w:sz w:val="20"/>
                                    <w:szCs w:val="20"/>
                                    <w:lang w:val="en-US"/>
                                  </w:rPr>
                                </w:pPr>
                                <w:r>
                                  <w:rPr>
                                    <w:rFonts w:ascii="Calibri" w:hAnsi="Calibri"/>
                                    <w:b/>
                                    <w:color w:val="D0D2D3"/>
                                    <w:kern w:val="24"/>
                                    <w:sz w:val="20"/>
                                    <w:szCs w:val="20"/>
                                    <w:lang w:val="en-US"/>
                                  </w:rPr>
                                  <w:t>Control group (no email) (425 businesses)</w:t>
                                </w:r>
                              </w:p>
                            </w:txbxContent>
                          </wps:txbx>
                          <wps:bodyPr spcFirstLastPara="0" vert="horz" wrap="square" lIns="5080" tIns="5080" rIns="5080" bIns="5080" numCol="1" spcCol="1270" anchor="ctr" anchorCtr="0">
                            <a:noAutofit/>
                          </wps:bodyPr>
                        </wps:wsp>
                      </wpg:grpSp>
                      <wps:wsp>
                        <wps:cNvPr id="56" name="Straight Arrow Connector 56"/>
                        <wps:cNvCnPr/>
                        <wps:spPr>
                          <a:xfrm>
                            <a:off x="2446317" y="1205345"/>
                            <a:ext cx="38417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57" name="Straight Arrow Connector 57"/>
                        <wps:cNvCnPr/>
                        <wps:spPr>
                          <a:xfrm>
                            <a:off x="3811979" y="1181595"/>
                            <a:ext cx="216535" cy="0"/>
                          </a:xfrm>
                          <a:prstGeom prst="straightConnector1">
                            <a:avLst/>
                          </a:prstGeom>
                          <a:noFill/>
                          <a:ln w="28575" cap="flat" cmpd="sng" algn="ctr">
                            <a:solidFill>
                              <a:sysClr val="windowText" lastClr="000000">
                                <a:lumMod val="65000"/>
                                <a:lumOff val="35000"/>
                              </a:sysClr>
                            </a:solidFill>
                            <a:prstDash val="solid"/>
                            <a:headEnd type="none" w="med" len="med"/>
                            <a:tailEnd type="none" w="med" len="med"/>
                          </a:ln>
                          <a:effectLst/>
                        </wps:spPr>
                        <wps:bodyPr/>
                      </wps:wsp>
                      <wps:wsp>
                        <wps:cNvPr id="58" name="Straight Arrow Connector 58"/>
                        <wps:cNvCnPr/>
                        <wps:spPr>
                          <a:xfrm flipV="1">
                            <a:off x="4013859" y="558140"/>
                            <a:ext cx="0" cy="1285335"/>
                          </a:xfrm>
                          <a:prstGeom prst="straightConnector1">
                            <a:avLst/>
                          </a:prstGeom>
                          <a:noFill/>
                          <a:ln w="28575" cap="flat" cmpd="sng" algn="ctr">
                            <a:solidFill>
                              <a:sysClr val="windowText" lastClr="000000">
                                <a:lumMod val="65000"/>
                                <a:lumOff val="35000"/>
                              </a:sysClr>
                            </a:solidFill>
                            <a:prstDash val="solid"/>
                            <a:headEnd type="none" w="med" len="med"/>
                            <a:tailEnd type="none" w="med" len="med"/>
                          </a:ln>
                          <a:effectLst/>
                        </wps:spPr>
                        <wps:bodyPr/>
                      </wps:wsp>
                      <wps:wsp>
                        <wps:cNvPr id="59" name="Straight Arrow Connector 59"/>
                        <wps:cNvCnPr/>
                        <wps:spPr>
                          <a:xfrm>
                            <a:off x="4007922" y="558140"/>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60" name="Straight Arrow Connector 60"/>
                        <wps:cNvCnPr/>
                        <wps:spPr>
                          <a:xfrm>
                            <a:off x="4001984" y="1181595"/>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61" name="Straight Arrow Connector 61"/>
                        <wps:cNvCnPr/>
                        <wps:spPr>
                          <a:xfrm>
                            <a:off x="4025735" y="1858488"/>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62" name="Straight Arrow Connector 62"/>
                        <wps:cNvCnPr/>
                        <wps:spPr>
                          <a:xfrm>
                            <a:off x="1033153" y="1193470"/>
                            <a:ext cx="154940" cy="0"/>
                          </a:xfrm>
                          <a:prstGeom prst="straightConnector1">
                            <a:avLst/>
                          </a:prstGeom>
                          <a:noFill/>
                          <a:ln w="28575" cap="flat" cmpd="sng" algn="ctr">
                            <a:solidFill>
                              <a:sysClr val="windowText" lastClr="000000">
                                <a:lumMod val="65000"/>
                                <a:lumOff val="35000"/>
                              </a:sysClr>
                            </a:solidFill>
                            <a:prstDash val="solid"/>
                            <a:headEnd type="none" w="med" len="med"/>
                            <a:tailEnd type="none" w="med" len="med"/>
                          </a:ln>
                          <a:effectLst/>
                        </wps:spPr>
                        <wps:bodyPr/>
                      </wps:wsp>
                      <wps:wsp>
                        <wps:cNvPr id="63" name="Straight Arrow Connector 63"/>
                        <wps:cNvCnPr/>
                        <wps:spPr>
                          <a:xfrm>
                            <a:off x="1187532" y="1193470"/>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g:wgp>
                  </a:graphicData>
                </a:graphic>
              </wp:inline>
            </w:drawing>
          </mc:Choice>
          <mc:Fallback>
            <w:pict>
              <v:group w14:anchorId="7FBD131A" id="Group 37" o:spid="_x0000_s1026" alt="Title: Figure 1: Trial 1 Design for existing businesses - Description: This shows that there were 427 businesses in the direct email group, 427 in the cooperative email group and 425 in the control group" style="width:366.1pt;height:180.35pt;mso-position-horizontal-relative:char;mso-position-vertical-relative:line" coordsize="54804,2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">
                <v:group id="Group 38" o:spid="_x0000_s1027" style="position:absolute;width:10580;height:24292" coordorigin=",7243" coordsize="9404,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ounded Rectangle 39" o:spid="_x0000_s1028" style="position:absolute;top:7243;width:9404;height:47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" fillcolor="#087379" strokecolor="white" strokeweight="2pt"/>
                  <v:rect id="Rounded Rectangle 4" o:spid="_x0000_s1029" style="position:absolute;left:137;top:7381;width:9129;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" filled="f" stroked="f">
                    <v:textbox inset=".4pt,.4pt,.4pt,.4pt">
                      <w:txbxContent>
                        <w:p w14:paraId="160BE3F3"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 xml:space="preserve">Non-compliant businesses </w:t>
                          </w:r>
                        </w:p>
                        <w:p w14:paraId="6134A131" w14:textId="77777777" w:rsidR="00653670" w:rsidRPr="009744C4" w:rsidRDefault="00653670" w:rsidP="008E5510">
                          <w:pPr>
                            <w:pStyle w:val="NormalWeb"/>
                            <w:spacing w:before="0" w:after="67" w:line="216" w:lineRule="auto"/>
                            <w:jc w:val="center"/>
                            <w:rPr>
                              <w:rFonts w:ascii="Calibri" w:hAnsi="Calibri"/>
                              <w:color w:val="D0D2D3"/>
                              <w:sz w:val="16"/>
                              <w:szCs w:val="20"/>
                            </w:rPr>
                          </w:pPr>
                          <w:r w:rsidRPr="009744C4">
                            <w:rPr>
                              <w:rFonts w:ascii="Calibri" w:hAnsi="Calibri"/>
                              <w:color w:val="D0D2D3"/>
                              <w:kern w:val="24"/>
                              <w:sz w:val="16"/>
                              <w:szCs w:val="20"/>
                            </w:rPr>
                            <w:t>(≈3,500 businesses)</w:t>
                          </w:r>
                        </w:p>
                      </w:txbxContent>
                    </v:textbox>
                  </v:rect>
                </v:group>
                <v:group id="Group 41" o:spid="_x0000_s1030" style="position:absolute;left:14962;top:6590;width:9617;height:11524" coordorigin="13166,9946" coordsize="9404,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Rounded Rectangle 42" o:spid="_x0000_s1031" style="position:absolute;left:13166;top:9946;width:9404;height:307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" fillcolor="#087379" strokecolor="white" strokeweight="2pt"/>
                  <v:rect id="Rounded Rectangle 12" o:spid="_x0000_s1032" style="position:absolute;left:13303;top:10084;width:9129;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" filled="f" stroked="f">
                    <v:textbox inset=".4pt,.4pt,.4pt,.4pt">
                      <w:txbxContent>
                        <w:p w14:paraId="3B18AC51"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Evaluation sample</w:t>
                          </w:r>
                        </w:p>
                        <w:p w14:paraId="3C977F42" w14:textId="77777777" w:rsidR="00653670" w:rsidRPr="009744C4" w:rsidRDefault="00653670" w:rsidP="008E5510">
                          <w:pPr>
                            <w:pStyle w:val="NormalWeb"/>
                            <w:spacing w:before="0" w:after="67" w:line="216" w:lineRule="auto"/>
                            <w:jc w:val="center"/>
                            <w:rPr>
                              <w:rFonts w:ascii="Calibri" w:hAnsi="Calibri"/>
                              <w:color w:val="D0D2D3"/>
                              <w:sz w:val="16"/>
                              <w:szCs w:val="20"/>
                            </w:rPr>
                          </w:pPr>
                          <w:r w:rsidRPr="009744C4">
                            <w:rPr>
                              <w:rFonts w:ascii="Calibri" w:hAnsi="Calibri"/>
                              <w:color w:val="D0D2D3"/>
                              <w:kern w:val="24"/>
                              <w:sz w:val="16"/>
                              <w:szCs w:val="20"/>
                            </w:rPr>
                            <w:t>(≈1,300 businesses)</w:t>
                          </w:r>
                        </w:p>
                        <w:p w14:paraId="1AF9ED08" w14:textId="77777777" w:rsidR="00653670" w:rsidRPr="009744C4" w:rsidRDefault="00653670" w:rsidP="008E5510">
                          <w:pPr>
                            <w:pStyle w:val="NormalWeb"/>
                            <w:spacing w:before="0" w:after="67" w:line="216" w:lineRule="auto"/>
                            <w:jc w:val="center"/>
                            <w:rPr>
                              <w:rFonts w:ascii="Calibri" w:hAnsi="Calibri"/>
                              <w:b/>
                              <w:color w:val="D0D2D3"/>
                              <w:sz w:val="20"/>
                              <w:szCs w:val="20"/>
                            </w:rPr>
                          </w:pPr>
                        </w:p>
                      </w:txbxContent>
                    </v:textbox>
                  </v:rect>
                </v:group>
                <v:group id="Group 44" o:spid="_x0000_s1033" style="position:absolute;left:28144;top:6887;width:10065;height:10598" coordorigin="23873,7784" coordsize="10067,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34" style="position:absolute;left:23873;top:7784;width:10067;height:580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" fillcolor="#293f56" strokecolor="white" strokeweight="2pt"/>
                  <v:rect id="Rounded Rectangle 16" o:spid="_x0000_s1035" style="position:absolute;left:24043;top:7954;width:9727;height:5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" filled="f" stroked="f">
                    <v:textbox inset=".4pt,.4pt,.4pt,.4pt">
                      <w:txbxContent>
                        <w:p w14:paraId="01070E86" w14:textId="77777777" w:rsidR="00653670" w:rsidRPr="009744C4" w:rsidRDefault="00653670" w:rsidP="008E5510">
                          <w:pPr>
                            <w:pStyle w:val="NormalWeb"/>
                            <w:spacing w:before="0" w:after="67" w:line="216" w:lineRule="auto"/>
                            <w:jc w:val="center"/>
                            <w:rPr>
                              <w:rFonts w:ascii="Calibri" w:hAnsi="Calibri"/>
                              <w:b/>
                              <w:color w:val="D0D2D3"/>
                              <w:sz w:val="20"/>
                              <w:szCs w:val="20"/>
                            </w:rPr>
                          </w:pPr>
                          <w:r w:rsidRPr="009744C4">
                            <w:rPr>
                              <w:rFonts w:ascii="Calibri" w:hAnsi="Calibri"/>
                              <w:b/>
                              <w:color w:val="D0D2D3"/>
                              <w:kern w:val="24"/>
                              <w:sz w:val="20"/>
                              <w:szCs w:val="20"/>
                            </w:rPr>
                            <w:t xml:space="preserve">Random Assignment </w:t>
                          </w:r>
                        </w:p>
                      </w:txbxContent>
                    </v:textbox>
                  </v:rect>
                </v:group>
                <v:group id="Group 47" o:spid="_x0000_s1036" style="position:absolute;left:43048;top:2850;width:11520;height:5760" coordorigin="38732,3622" coordsize="11347,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ounded Rectangle 48" o:spid="_x0000_s1037" style="position:absolute;left:38732;top:3622;width:11348;height:710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" fillcolor="#087379" strokecolor="white" strokeweight="2pt"/>
                  <v:rect id="Rounded Rectangle 24" o:spid="_x0000_s1038" style="position:absolute;left:38940;top:3830;width:10932;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" filled="f" stroked="f">
                    <v:textbox inset=".4pt,.4pt,.4pt,.4pt">
                      <w:txbxContent>
                        <w:p w14:paraId="06C4CA27" w14:textId="304CFA66" w:rsidR="00653670" w:rsidRPr="008E0B9B" w:rsidRDefault="00653670" w:rsidP="008E5510">
                          <w:pPr>
                            <w:pStyle w:val="NormalWeb"/>
                            <w:spacing w:before="0" w:after="67" w:line="216" w:lineRule="auto"/>
                            <w:jc w:val="center"/>
                            <w:rPr>
                              <w:rFonts w:ascii="Calibri" w:hAnsi="Calibri"/>
                              <w:b/>
                              <w:color w:val="D0D2D3"/>
                              <w:sz w:val="20"/>
                              <w:szCs w:val="20"/>
                              <w:lang w:val="en-US"/>
                            </w:rPr>
                          </w:pPr>
                          <w:r>
                            <w:rPr>
                              <w:rFonts w:ascii="Calibri" w:hAnsi="Calibri"/>
                              <w:b/>
                              <w:color w:val="D0D2D3"/>
                              <w:kern w:val="24"/>
                              <w:sz w:val="20"/>
                              <w:szCs w:val="20"/>
                              <w:lang w:val="en-US"/>
                            </w:rPr>
                            <w:t>Direct email group (427 businesses)</w:t>
                          </w:r>
                        </w:p>
                      </w:txbxContent>
                    </v:textbox>
                  </v:rect>
                </v:group>
                <v:group id="Group 50" o:spid="_x0000_s1039" style="position:absolute;left:43166;top:9203;width:11519;height:5990" coordorigin="40161,12846" coordsize="9404,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ounded Rectangle 51" o:spid="_x0000_s1040" style="position:absolute;left:40161;top:12846;width:9405;height:47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" fillcolor="#087379" strokecolor="white" strokeweight="2pt"/>
                  <v:rect id="Rounded Rectangle 28" o:spid="_x0000_s1041" style="position:absolute;left:40298;top:13081;width:9129;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" filled="f" stroked="f">
                    <v:textbox inset=".4pt,.4pt,.4pt,.4pt">
                      <w:txbxContent>
                        <w:p w14:paraId="468BF8BC" w14:textId="4E6106B8" w:rsidR="00653670" w:rsidRPr="009744C4" w:rsidRDefault="00653670" w:rsidP="008E5510">
                          <w:pPr>
                            <w:pStyle w:val="NormalWeb"/>
                            <w:spacing w:before="0" w:after="67" w:line="216" w:lineRule="auto"/>
                            <w:jc w:val="center"/>
                            <w:rPr>
                              <w:rFonts w:ascii="Calibri" w:hAnsi="Calibri"/>
                              <w:b/>
                              <w:color w:val="D0D2D3"/>
                              <w:sz w:val="20"/>
                              <w:szCs w:val="20"/>
                            </w:rPr>
                          </w:pPr>
                          <w:r>
                            <w:rPr>
                              <w:rFonts w:ascii="Calibri" w:hAnsi="Calibri"/>
                              <w:b/>
                              <w:color w:val="D0D2D3"/>
                              <w:kern w:val="24"/>
                              <w:sz w:val="20"/>
                              <w:szCs w:val="20"/>
                            </w:rPr>
                            <w:t>Cooperative</w:t>
                          </w:r>
                          <w:r w:rsidRPr="009744C4">
                            <w:rPr>
                              <w:rFonts w:ascii="Calibri" w:hAnsi="Calibri"/>
                              <w:b/>
                              <w:color w:val="D0D2D3"/>
                              <w:kern w:val="24"/>
                              <w:sz w:val="20"/>
                              <w:szCs w:val="20"/>
                            </w:rPr>
                            <w:t xml:space="preserve"> email </w:t>
                          </w:r>
                          <w:r>
                            <w:rPr>
                              <w:rFonts w:ascii="Calibri" w:hAnsi="Calibri"/>
                              <w:b/>
                              <w:color w:val="D0D2D3"/>
                              <w:kern w:val="24"/>
                              <w:sz w:val="20"/>
                              <w:szCs w:val="20"/>
                            </w:rPr>
                            <w:t>group (427 businesses)</w:t>
                          </w:r>
                        </w:p>
                        <w:p w14:paraId="02D21CFB" w14:textId="77777777" w:rsidR="00653670" w:rsidRPr="00BC2AE4" w:rsidRDefault="00653670" w:rsidP="008E5510">
                          <w:pPr>
                            <w:pStyle w:val="NormalWeb"/>
                            <w:spacing w:before="0" w:after="67" w:line="216" w:lineRule="auto"/>
                            <w:jc w:val="center"/>
                            <w:rPr>
                              <w:rFonts w:ascii="Calibri" w:hAnsi="Calibri"/>
                              <w:b/>
                              <w:sz w:val="20"/>
                              <w:szCs w:val="20"/>
                            </w:rPr>
                          </w:pPr>
                        </w:p>
                      </w:txbxContent>
                    </v:textbox>
                  </v:rect>
                </v:group>
                <v:group id="Group 53" o:spid="_x0000_s1042" style="position:absolute;left:43285;top:15497;width:11519;height:5849" coordorigin="40161,18350" coordsize="9404,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54" o:spid="_x0000_s1043" style="position:absolute;left:40161;top:18350;width:9405;height:470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" fillcolor="#087379" strokecolor="white" strokeweight="2pt"/>
                  <v:rect id="Rounded Rectangle 32" o:spid="_x0000_s1044" style="position:absolute;left:40299;top:18699;width:9129;height:4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" filled="f" stroked="f">
                    <v:textbox inset=".4pt,.4pt,.4pt,.4pt">
                      <w:txbxContent>
                        <w:p w14:paraId="51AE685A" w14:textId="2E0DEDDE" w:rsidR="00653670" w:rsidRPr="008E0B9B" w:rsidRDefault="00653670" w:rsidP="008E5510">
                          <w:pPr>
                            <w:pStyle w:val="NormalWeb"/>
                            <w:spacing w:before="0" w:after="67" w:line="216" w:lineRule="auto"/>
                            <w:jc w:val="center"/>
                            <w:rPr>
                              <w:rFonts w:ascii="Calibri" w:hAnsi="Calibri"/>
                              <w:b/>
                              <w:color w:val="D0D2D3"/>
                              <w:sz w:val="20"/>
                              <w:szCs w:val="20"/>
                              <w:lang w:val="en-US"/>
                            </w:rPr>
                          </w:pPr>
                          <w:r>
                            <w:rPr>
                              <w:rFonts w:ascii="Calibri" w:hAnsi="Calibri"/>
                              <w:b/>
                              <w:color w:val="D0D2D3"/>
                              <w:kern w:val="24"/>
                              <w:sz w:val="20"/>
                              <w:szCs w:val="20"/>
                              <w:lang w:val="en-US"/>
                            </w:rPr>
                            <w:t>Control group (no email) (425 businesses)</w:t>
                          </w:r>
                        </w:p>
                      </w:txbxContent>
                    </v:textbox>
                  </v:rect>
                </v:group>
                <v:shapetype id="_x0000_t32" coordsize="21600,21600" o:spt="32" o:oned="t" path="m,l21600,21600e" filled="f">
                  <v:path arrowok="t" fillok="f" o:connecttype="none"/>
                  <o:lock v:ext="edit" shapetype="t"/>
                </v:shapetype>
                <v:shape id="Straight Arrow Connector 56" o:spid="_x0000_s1045" type="#_x0000_t32" style="position:absolute;left:24463;top:12053;width:3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" strokecolor="#595959" strokeweight="2.25pt">
                  <v:stroke endarrow="block"/>
                </v:shape>
                <v:shape id="Straight Arrow Connector 57" o:spid="_x0000_s1046" type="#_x0000_t32" style="position:absolute;left:38119;top:11815;width:21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" strokecolor="#595959" strokeweight="2.25pt"/>
                <v:shape id="Straight Arrow Connector 58" o:spid="_x0000_s1047" type="#_x0000_t32" style="position:absolute;left:40138;top:5581;width:0;height:128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" strokecolor="#595959" strokeweight="2.25pt"/>
                <v:shape id="Straight Arrow Connector 59" o:spid="_x0000_s1048" type="#_x0000_t32" style="position:absolute;left:40079;top:5581;width:3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" strokecolor="#595959" strokeweight="2.25pt">
                  <v:stroke endarrow="block"/>
                </v:shape>
                <v:shape id="Straight Arrow Connector 60" o:spid="_x0000_s1049" type="#_x0000_t32" style="position:absolute;left:40019;top:11815;width:3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" strokecolor="#595959" strokeweight="2.25pt">
                  <v:stroke endarrow="block"/>
                </v:shape>
                <v:shape id="Straight Arrow Connector 61" o:spid="_x0000_s1050" type="#_x0000_t32" style="position:absolute;left:40257;top:18584;width:3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" strokecolor="#595959" strokeweight="2.25pt">
                  <v:stroke endarrow="block"/>
                </v:shape>
                <v:shape id="Straight Arrow Connector 62" o:spid="_x0000_s1051" type="#_x0000_t32" style="position:absolute;left:10331;top:11934;width:1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" strokecolor="#595959" strokeweight="2.25pt"/>
                <v:shape id="Straight Arrow Connector 63" o:spid="_x0000_s1052" type="#_x0000_t32" style="position:absolute;left:11875;top:11934;width:3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" strokecolor="#595959" strokeweight="2.25pt">
                  <v:stroke endarrow="block"/>
                </v:shape>
                <w10:anchorlock/>
              </v:group>
            </w:pict>
          </mc:Fallback>
        </mc:AlternateContent>
      </w:r>
      <w:r w:rsidR="00ED7E2C">
        <w:rPr>
          <w:rFonts w:ascii="Calibri" w:eastAsia="Calibri" w:hAnsi="Calibri"/>
          <w:b/>
          <w:color w:val="auto"/>
          <w:szCs w:val="22"/>
          <w:lang w:eastAsia="en-US"/>
        </w:rPr>
        <w:br w:type="page"/>
      </w:r>
    </w:p>
    <w:p w14:paraId="4D4F0177" w14:textId="24DC0B46" w:rsidR="008E5510" w:rsidRPr="00CE6E27" w:rsidRDefault="00BB3A62" w:rsidP="0006174E">
      <w:pPr>
        <w:pStyle w:val="Heading3"/>
      </w:pPr>
      <w:r w:rsidRPr="00CE6E27">
        <w:lastRenderedPageBreak/>
        <w:t>Trial 2</w:t>
      </w:r>
      <w:r w:rsidR="008C6F31">
        <w:t>: New businesses trial</w:t>
      </w:r>
    </w:p>
    <w:p w14:paraId="021AF66F" w14:textId="178A2498" w:rsidR="008E5510" w:rsidRPr="00D40A67" w:rsidRDefault="00CE2FF4" w:rsidP="008E5510">
      <w:r>
        <w:t xml:space="preserve">We designed an </w:t>
      </w:r>
      <w:r w:rsidR="008E5510" w:rsidRPr="00D40A67">
        <w:t xml:space="preserve">email to help businesses overcome cognitive load and present bias. </w:t>
      </w:r>
      <w:r w:rsidR="008E5510" w:rsidRPr="008E5510">
        <w:t xml:space="preserve">It made key information salient, including simplified eligibility requirements and a planning prompt suggesting business </w:t>
      </w:r>
      <w:proofErr w:type="gramStart"/>
      <w:r w:rsidR="008E5510" w:rsidRPr="008E5510">
        <w:t>managers</w:t>
      </w:r>
      <w:proofErr w:type="gramEnd"/>
      <w:r w:rsidR="008E5510" w:rsidRPr="008E5510">
        <w:t xml:space="preserve"> place a monthly reminder in their calendar to fulfil any outstanding tax obligations.</w:t>
      </w:r>
    </w:p>
    <w:p w14:paraId="5F6CB2D3" w14:textId="29AA9211" w:rsidR="008E5510" w:rsidRPr="008E5510" w:rsidRDefault="008E5510" w:rsidP="008E5510">
      <w:r w:rsidRPr="00D40A67">
        <w:t xml:space="preserve">The new businesses trial consisted of 332 businesses either new to the Scheme or applying to re-join the Scheme. </w:t>
      </w:r>
      <w:r w:rsidRPr="008E5510">
        <w:t xml:space="preserve">About 70 per cent were in the Scheme for the first time and 29 per cent had been in the Scheme previously. </w:t>
      </w:r>
      <w:r w:rsidR="00A5427D">
        <w:t>On</w:t>
      </w:r>
      <w:r w:rsidR="00A5427D" w:rsidRPr="008E5510">
        <w:t xml:space="preserve"> </w:t>
      </w:r>
      <w:r w:rsidRPr="008E5510">
        <w:t xml:space="preserve">day one of the trial, 20 per cent of businesses in the treatment group were </w:t>
      </w:r>
      <w:r w:rsidR="00762F21">
        <w:t>technically</w:t>
      </w:r>
      <w:r w:rsidR="00762F21" w:rsidRPr="008E5510">
        <w:t xml:space="preserve"> </w:t>
      </w:r>
      <w:r w:rsidRPr="008E5510">
        <w:t>non</w:t>
      </w:r>
      <w:r w:rsidRPr="008E5510">
        <w:noBreakHyphen/>
        <w:t>compliant, while 17 per cent of businesses in the control group were non-compliant. Businesses may be non</w:t>
      </w:r>
      <w:r w:rsidRPr="008E5510">
        <w:noBreakHyphen/>
        <w:t xml:space="preserve">compliant when first joining the Scheme for a number of reasons including: </w:t>
      </w:r>
    </w:p>
    <w:p w14:paraId="681532D3" w14:textId="35FBC243" w:rsidR="008E5510" w:rsidRPr="008E5510" w:rsidRDefault="008E5510" w:rsidP="00063FF2">
      <w:pPr>
        <w:pStyle w:val="ListParagraph"/>
        <w:numPr>
          <w:ilvl w:val="0"/>
          <w:numId w:val="40"/>
        </w:numPr>
      </w:pPr>
      <w:r w:rsidRPr="008E5510">
        <w:t xml:space="preserve">outstanding </w:t>
      </w:r>
      <w:proofErr w:type="spellStart"/>
      <w:r w:rsidRPr="008E5510">
        <w:t>lodgment</w:t>
      </w:r>
      <w:proofErr w:type="spellEnd"/>
      <w:r w:rsidRPr="008E5510">
        <w:t xml:space="preserve"> (e.g. </w:t>
      </w:r>
      <w:proofErr w:type="spellStart"/>
      <w:r w:rsidRPr="008E5510">
        <w:t>lodgment</w:t>
      </w:r>
      <w:proofErr w:type="spellEnd"/>
      <w:r w:rsidRPr="008E5510">
        <w:t xml:space="preserve"> </w:t>
      </w:r>
      <w:r w:rsidR="00A5427D">
        <w:t xml:space="preserve">is </w:t>
      </w:r>
      <w:r w:rsidRPr="008E5510">
        <w:t xml:space="preserve">under review due to </w:t>
      </w:r>
      <w:r w:rsidR="00A5427D">
        <w:t xml:space="preserve">an </w:t>
      </w:r>
      <w:r w:rsidRPr="008E5510">
        <w:t xml:space="preserve">error on </w:t>
      </w:r>
      <w:r w:rsidR="00A5427D">
        <w:t xml:space="preserve">the </w:t>
      </w:r>
      <w:r w:rsidRPr="008E5510">
        <w:t>form)</w:t>
      </w:r>
      <w:r w:rsidR="00653670">
        <w:t>;</w:t>
      </w:r>
    </w:p>
    <w:p w14:paraId="3A16422A" w14:textId="316524E8" w:rsidR="00E41E4B" w:rsidRDefault="008E5510" w:rsidP="00063FF2">
      <w:pPr>
        <w:pStyle w:val="ListParagraph"/>
        <w:numPr>
          <w:ilvl w:val="0"/>
          <w:numId w:val="40"/>
        </w:numPr>
      </w:pPr>
      <w:r w:rsidRPr="008E5510">
        <w:t xml:space="preserve">payment or </w:t>
      </w:r>
      <w:proofErr w:type="spellStart"/>
      <w:r w:rsidRPr="008E5510">
        <w:t>lodgment</w:t>
      </w:r>
      <w:proofErr w:type="spellEnd"/>
      <w:r w:rsidRPr="008E5510">
        <w:t xml:space="preserve"> </w:t>
      </w:r>
      <w:r w:rsidR="00A5427D">
        <w:t xml:space="preserve">is </w:t>
      </w:r>
      <w:r w:rsidRPr="008E5510">
        <w:t>made</w:t>
      </w:r>
      <w:r w:rsidR="001608BC">
        <w:t>,</w:t>
      </w:r>
      <w:r w:rsidRPr="008E5510">
        <w:t xml:space="preserve"> </w:t>
      </w:r>
      <w:r w:rsidR="00B00579">
        <w:t>however the system ma</w:t>
      </w:r>
      <w:r w:rsidR="001608BC">
        <w:t>y</w:t>
      </w:r>
      <w:r w:rsidR="00B00579">
        <w:t xml:space="preserve"> take a few days to update</w:t>
      </w:r>
      <w:r w:rsidR="00D76082">
        <w:t>; or</w:t>
      </w:r>
    </w:p>
    <w:p w14:paraId="104BC842" w14:textId="727FE291" w:rsidR="008E5510" w:rsidRPr="001608BC" w:rsidRDefault="00E41E4B" w:rsidP="00063FF2">
      <w:pPr>
        <w:pStyle w:val="ListParagraph"/>
        <w:numPr>
          <w:ilvl w:val="0"/>
          <w:numId w:val="40"/>
        </w:numPr>
      </w:pPr>
      <w:proofErr w:type="gramStart"/>
      <w:r w:rsidRPr="001608BC">
        <w:t>payment</w:t>
      </w:r>
      <w:proofErr w:type="gramEnd"/>
      <w:r w:rsidRPr="001608BC">
        <w:t xml:space="preserve"> arrangement is confirmed for </w:t>
      </w:r>
      <w:r w:rsidR="001608BC">
        <w:t xml:space="preserve">an </w:t>
      </w:r>
      <w:r w:rsidRPr="001608BC">
        <w:t>outstanding debt</w:t>
      </w:r>
      <w:r w:rsidR="001608BC">
        <w:t>,</w:t>
      </w:r>
      <w:r w:rsidRPr="001608BC">
        <w:t xml:space="preserve"> </w:t>
      </w:r>
      <w:r w:rsidR="00B00579" w:rsidRPr="00C53FB0">
        <w:t>however</w:t>
      </w:r>
      <w:r w:rsidRPr="001608BC">
        <w:t xml:space="preserve"> the system </w:t>
      </w:r>
      <w:r w:rsidR="00B00579" w:rsidRPr="00C53FB0">
        <w:t>may take a couple of days to update</w:t>
      </w:r>
      <w:r w:rsidR="00653670">
        <w:t>.</w:t>
      </w:r>
      <w:r w:rsidRPr="001608BC">
        <w:t xml:space="preserve"> </w:t>
      </w:r>
    </w:p>
    <w:p w14:paraId="44D0A0B3" w14:textId="1045ACA7" w:rsidR="008E5510" w:rsidRPr="00D40A67" w:rsidRDefault="008E5510" w:rsidP="00176167">
      <w:r w:rsidRPr="008E5510">
        <w:t xml:space="preserve">There were 328 businesses in the analysis sample as four businesses left the DGST </w:t>
      </w:r>
      <w:r w:rsidR="00E41E4B">
        <w:t>S</w:t>
      </w:r>
      <w:r w:rsidRPr="008E5510">
        <w:t xml:space="preserve">cheme before the end of the trial. </w:t>
      </w:r>
      <w:r w:rsidRPr="00D40A67">
        <w:t>Businesses were randomly allocated</w:t>
      </w:r>
      <w:r w:rsidRPr="00D40A67" w:rsidDel="00204673">
        <w:t xml:space="preserve"> </w:t>
      </w:r>
      <w:r w:rsidRPr="00D40A67">
        <w:t>into a treatment and control group with:</w:t>
      </w:r>
    </w:p>
    <w:p w14:paraId="12B1BE42" w14:textId="4461263B" w:rsidR="008E5510" w:rsidRPr="0006174E" w:rsidRDefault="008E5510" w:rsidP="0006174E">
      <w:pPr>
        <w:pStyle w:val="ListBullet"/>
      </w:pPr>
      <w:r w:rsidRPr="008E5510">
        <w:t xml:space="preserve">162 in the </w:t>
      </w:r>
      <w:r w:rsidRPr="0006174E">
        <w:t>treatment group – received both the standard registration lette</w:t>
      </w:r>
      <w:r w:rsidR="00653670">
        <w:t>r and the planning prompt email; and</w:t>
      </w:r>
    </w:p>
    <w:p w14:paraId="47DCAB8A" w14:textId="77777777" w:rsidR="008E5510" w:rsidRPr="0006174E" w:rsidRDefault="008E5510" w:rsidP="0006174E">
      <w:pPr>
        <w:pStyle w:val="ListBullet"/>
      </w:pPr>
      <w:r w:rsidRPr="0006174E">
        <w:t xml:space="preserve">166 in the control group – received the standard registration letter (existing process). </w:t>
      </w:r>
    </w:p>
    <w:p w14:paraId="77ADA47F" w14:textId="6D7C0F67" w:rsidR="008E5510" w:rsidRPr="008E5510" w:rsidRDefault="00380F19" w:rsidP="008E5510">
      <w:r>
        <w:t>We tested for</w:t>
      </w:r>
      <w:r w:rsidR="008E5510" w:rsidRPr="008E5510">
        <w:t xml:space="preserve"> the proportion of </w:t>
      </w:r>
      <w:r>
        <w:t>businesses</w:t>
      </w:r>
      <w:r w:rsidR="008E5510" w:rsidRPr="008E5510">
        <w:t xml:space="preserve"> that remained compliant over 30 days and 60 days, and payment received over 60 days. </w:t>
      </w:r>
    </w:p>
    <w:p w14:paraId="20E917AD" w14:textId="4B4D72DA" w:rsidR="008E5510" w:rsidRPr="00ED7DEF" w:rsidRDefault="008E5510" w:rsidP="00ED7DEF">
      <w:pPr>
        <w:pStyle w:val="FigureHeading"/>
        <w:rPr>
          <w:rFonts w:eastAsia="Calibri"/>
        </w:rPr>
      </w:pPr>
      <w:r w:rsidRPr="009744C4">
        <w:rPr>
          <w:noProof/>
          <w:lang w:val="en-AU" w:eastAsia="en-AU"/>
        </w:rPr>
        <mc:AlternateContent>
          <mc:Choice Requires="wpg">
            <w:drawing>
              <wp:anchor distT="0" distB="0" distL="114300" distR="114300" simplePos="0" relativeHeight="251659264" behindDoc="0" locked="0" layoutInCell="1" allowOverlap="1" wp14:anchorId="68932CAB" wp14:editId="27D7A994">
                <wp:simplePos x="0" y="0"/>
                <wp:positionH relativeFrom="margin">
                  <wp:posOffset>131982</wp:posOffset>
                </wp:positionH>
                <wp:positionV relativeFrom="paragraph">
                  <wp:posOffset>279289</wp:posOffset>
                </wp:positionV>
                <wp:extent cx="4912457" cy="2366128"/>
                <wp:effectExtent l="12700" t="0" r="2540" b="0"/>
                <wp:wrapNone/>
                <wp:docPr id="305" name="Group 305" descr="This shows that there were 162 businesses randomly assigned to the treatment group and 166 to the control group." title="Figure 2: Trial 2 Design for New businesses"/>
                <wp:cNvGraphicFramePr/>
                <a:graphic xmlns:a="http://schemas.openxmlformats.org/drawingml/2006/main">
                  <a:graphicData uri="http://schemas.microsoft.com/office/word/2010/wordprocessingGroup">
                    <wpg:wgp>
                      <wpg:cNvGrpSpPr/>
                      <wpg:grpSpPr>
                        <a:xfrm>
                          <a:off x="0" y="0"/>
                          <a:ext cx="4912457" cy="2366128"/>
                          <a:chOff x="0" y="0"/>
                          <a:chExt cx="5474608" cy="2337627"/>
                        </a:xfrm>
                      </wpg:grpSpPr>
                      <wpg:grpSp>
                        <wpg:cNvPr id="306" name="Group 306"/>
                        <wpg:cNvGrpSpPr/>
                        <wpg:grpSpPr>
                          <a:xfrm>
                            <a:off x="0" y="0"/>
                            <a:ext cx="5474608" cy="2337627"/>
                            <a:chOff x="0" y="128298"/>
                            <a:chExt cx="5474608" cy="2337943"/>
                          </a:xfrm>
                        </wpg:grpSpPr>
                        <wpg:grpSp>
                          <wpg:cNvPr id="307" name="Group 307"/>
                          <wpg:cNvGrpSpPr/>
                          <wpg:grpSpPr>
                            <a:xfrm>
                              <a:off x="0" y="128298"/>
                              <a:ext cx="1058012" cy="2286944"/>
                              <a:chOff x="0" y="738108"/>
                              <a:chExt cx="940446" cy="442679"/>
                            </a:xfrm>
                          </wpg:grpSpPr>
                          <wps:wsp>
                            <wps:cNvPr id="308" name="Rounded Rectangle 308"/>
                            <wps:cNvSpPr/>
                            <wps:spPr>
                              <a:xfrm>
                                <a:off x="0" y="851473"/>
                                <a:ext cx="940446" cy="209150"/>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309" name="Rounded Rectangle 4"/>
                            <wps:cNvSpPr/>
                            <wps:spPr>
                              <a:xfrm>
                                <a:off x="13772" y="738108"/>
                                <a:ext cx="912902" cy="442679"/>
                              </a:xfrm>
                              <a:prstGeom prst="rect">
                                <a:avLst/>
                              </a:prstGeom>
                              <a:noFill/>
                              <a:ln>
                                <a:noFill/>
                              </a:ln>
                              <a:effectLst/>
                            </wps:spPr>
                            <wps:txbx>
                              <w:txbxContent>
                                <w:p w14:paraId="2142D650"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 xml:space="preserve">New businesses </w:t>
                                  </w:r>
                                </w:p>
                                <w:p w14:paraId="1C2475E2" w14:textId="77777777" w:rsidR="00653670" w:rsidRPr="00B811E1" w:rsidRDefault="00653670" w:rsidP="008E5510">
                                  <w:pPr>
                                    <w:pStyle w:val="NormalWeb"/>
                                    <w:spacing w:before="0" w:after="67" w:line="216" w:lineRule="auto"/>
                                    <w:jc w:val="center"/>
                                    <w:rPr>
                                      <w:rFonts w:ascii="Calibri" w:hAnsi="Calibri"/>
                                      <w:color w:val="D0D2D3"/>
                                      <w:kern w:val="24"/>
                                      <w:sz w:val="16"/>
                                      <w:szCs w:val="20"/>
                                    </w:rPr>
                                  </w:pPr>
                                  <w:r w:rsidRPr="009744C4">
                                    <w:rPr>
                                      <w:rFonts w:ascii="Calibri" w:hAnsi="Calibri"/>
                                      <w:color w:val="D0D2D3"/>
                                      <w:kern w:val="24"/>
                                      <w:sz w:val="16"/>
                                      <w:szCs w:val="20"/>
                                    </w:rPr>
                                    <w:t>(≈300 businesses</w:t>
                                  </w:r>
                                  <w:r w:rsidRPr="00B811E1">
                                    <w:rPr>
                                      <w:rFonts w:ascii="Calibri" w:hAnsi="Calibri"/>
                                      <w:color w:val="D0D2D3"/>
                                      <w:kern w:val="24"/>
                                      <w:sz w:val="16"/>
                                      <w:szCs w:val="20"/>
                                    </w:rPr>
                                    <w:t>)</w:t>
                                  </w:r>
                                </w:p>
                              </w:txbxContent>
                            </wps:txbx>
                            <wps:bodyPr spcFirstLastPara="0" vert="horz" wrap="square" lIns="5080" tIns="5080" rIns="5080" bIns="5080" numCol="1" spcCol="1270" anchor="ctr" anchorCtr="0">
                              <a:noAutofit/>
                            </wps:bodyPr>
                          </wps:wsp>
                        </wpg:grpSp>
                        <wpg:grpSp>
                          <wpg:cNvPr id="310" name="Group 310"/>
                          <wpg:cNvGrpSpPr/>
                          <wpg:grpSpPr>
                            <a:xfrm>
                              <a:off x="1495425" y="714054"/>
                              <a:ext cx="961700" cy="1187026"/>
                              <a:chOff x="1316625" y="994631"/>
                              <a:chExt cx="940446" cy="317040"/>
                            </a:xfrm>
                          </wpg:grpSpPr>
                          <wps:wsp>
                            <wps:cNvPr id="311" name="Rounded Rectangle 311"/>
                            <wps:cNvSpPr/>
                            <wps:spPr>
                              <a:xfrm>
                                <a:off x="1316625" y="994631"/>
                                <a:ext cx="940446" cy="283520"/>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312" name="Rounded Rectangle 12"/>
                            <wps:cNvSpPr/>
                            <wps:spPr>
                              <a:xfrm>
                                <a:off x="1330397" y="1029193"/>
                                <a:ext cx="912902" cy="282478"/>
                              </a:xfrm>
                              <a:prstGeom prst="rect">
                                <a:avLst/>
                              </a:prstGeom>
                              <a:noFill/>
                              <a:ln>
                                <a:noFill/>
                              </a:ln>
                              <a:effectLst/>
                            </wps:spPr>
                            <wps:txbx>
                              <w:txbxContent>
                                <w:p w14:paraId="3DCB2922"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Evaluation Sample</w:t>
                                  </w:r>
                                </w:p>
                                <w:p w14:paraId="35F5C283" w14:textId="77777777" w:rsidR="00653670" w:rsidRPr="00C44D42" w:rsidRDefault="00653670" w:rsidP="008E5510">
                                  <w:pPr>
                                    <w:pStyle w:val="NormalWeb"/>
                                    <w:spacing w:before="0" w:after="67" w:line="216" w:lineRule="auto"/>
                                    <w:jc w:val="center"/>
                                    <w:rPr>
                                      <w:rFonts w:ascii="Calibri" w:hAnsi="Calibri"/>
                                      <w:sz w:val="16"/>
                                      <w:szCs w:val="20"/>
                                    </w:rPr>
                                  </w:pPr>
                                  <w:r w:rsidRPr="009744C4">
                                    <w:rPr>
                                      <w:rFonts w:ascii="Calibri" w:hAnsi="Calibri"/>
                                      <w:color w:val="D0D2D3"/>
                                      <w:kern w:val="24"/>
                                      <w:sz w:val="16"/>
                                      <w:szCs w:val="20"/>
                                    </w:rPr>
                                    <w:t>(≈300 businesses)</w:t>
                                  </w:r>
                                </w:p>
                                <w:p w14:paraId="3033E82B" w14:textId="77777777" w:rsidR="00653670" w:rsidRPr="00C44D42" w:rsidRDefault="00653670" w:rsidP="008E5510">
                                  <w:pPr>
                                    <w:pStyle w:val="NormalWeb"/>
                                    <w:spacing w:before="0" w:after="67" w:line="216" w:lineRule="auto"/>
                                    <w:jc w:val="center"/>
                                    <w:rPr>
                                      <w:rFonts w:ascii="Calibri" w:hAnsi="Calibri"/>
                                      <w:b/>
                                      <w:sz w:val="20"/>
                                      <w:szCs w:val="20"/>
                                    </w:rPr>
                                  </w:pPr>
                                </w:p>
                              </w:txbxContent>
                            </wps:txbx>
                            <wps:bodyPr spcFirstLastPara="0" vert="horz" wrap="square" lIns="5080" tIns="5080" rIns="5080" bIns="5080" numCol="1" spcCol="1270" anchor="ctr" anchorCtr="0">
                              <a:noAutofit/>
                            </wps:bodyPr>
                          </wps:wsp>
                        </wpg:grpSp>
                        <wpg:grpSp>
                          <wpg:cNvPr id="313" name="Group 313"/>
                          <wpg:cNvGrpSpPr/>
                          <wpg:grpSpPr>
                            <a:xfrm>
                              <a:off x="2810715" y="747080"/>
                              <a:ext cx="1006475" cy="1059815"/>
                              <a:chOff x="2387359" y="778454"/>
                              <a:chExt cx="1006738" cy="580787"/>
                            </a:xfrm>
                          </wpg:grpSpPr>
                          <wps:wsp>
                            <wps:cNvPr id="314" name="Rounded Rectangle 314"/>
                            <wps:cNvSpPr/>
                            <wps:spPr>
                              <a:xfrm>
                                <a:off x="2387359" y="778454"/>
                                <a:ext cx="1006738" cy="580787"/>
                              </a:xfrm>
                              <a:prstGeom prst="roundRect">
                                <a:avLst>
                                  <a:gd name="adj" fmla="val 10000"/>
                                </a:avLst>
                              </a:prstGeom>
                              <a:solidFill>
                                <a:srgbClr val="1B2A39">
                                  <a:lumMod val="90000"/>
                                  <a:lumOff val="10000"/>
                                </a:srgbClr>
                              </a:solidFill>
                              <a:ln w="25400" cap="flat" cmpd="sng" algn="ctr">
                                <a:solidFill>
                                  <a:sysClr val="window" lastClr="FFFFFF">
                                    <a:hueOff val="0"/>
                                    <a:satOff val="0"/>
                                    <a:lumOff val="0"/>
                                    <a:alphaOff val="0"/>
                                  </a:sysClr>
                                </a:solidFill>
                                <a:prstDash val="solid"/>
                              </a:ln>
                              <a:effectLst/>
                            </wps:spPr>
                            <wps:bodyPr/>
                          </wps:wsp>
                          <wps:wsp>
                            <wps:cNvPr id="315" name="Rounded Rectangle 16"/>
                            <wps:cNvSpPr/>
                            <wps:spPr>
                              <a:xfrm>
                                <a:off x="2404383" y="795464"/>
                                <a:ext cx="972716" cy="546764"/>
                              </a:xfrm>
                              <a:prstGeom prst="rect">
                                <a:avLst/>
                              </a:prstGeom>
                              <a:noFill/>
                              <a:ln>
                                <a:noFill/>
                              </a:ln>
                              <a:effectLst/>
                            </wps:spPr>
                            <wps:txbx>
                              <w:txbxContent>
                                <w:p w14:paraId="525E8586" w14:textId="77777777" w:rsidR="00653670" w:rsidRPr="009744C4" w:rsidRDefault="00653670" w:rsidP="008E5510">
                                  <w:pPr>
                                    <w:pStyle w:val="NormalWeb"/>
                                    <w:spacing w:before="0" w:after="67" w:line="216" w:lineRule="auto"/>
                                    <w:jc w:val="center"/>
                                    <w:rPr>
                                      <w:rFonts w:ascii="Calibri" w:hAnsi="Calibri"/>
                                      <w:b/>
                                      <w:color w:val="D0D2D3"/>
                                      <w:sz w:val="20"/>
                                      <w:szCs w:val="20"/>
                                    </w:rPr>
                                  </w:pPr>
                                  <w:r w:rsidRPr="009744C4">
                                    <w:rPr>
                                      <w:rFonts w:ascii="Calibri" w:hAnsi="Calibri"/>
                                      <w:b/>
                                      <w:color w:val="D0D2D3"/>
                                      <w:kern w:val="24"/>
                                      <w:sz w:val="20"/>
                                      <w:szCs w:val="20"/>
                                    </w:rPr>
                                    <w:t xml:space="preserve">Random Assignment </w:t>
                                  </w:r>
                                </w:p>
                              </w:txbxContent>
                            </wps:txbx>
                            <wps:bodyPr spcFirstLastPara="0" vert="horz" wrap="square" lIns="5080" tIns="5080" rIns="5080" bIns="5080" numCol="1" spcCol="1270" anchor="ctr" anchorCtr="0">
                              <a:noAutofit/>
                            </wps:bodyPr>
                          </wps:wsp>
                        </wpg:grpSp>
                        <wpg:grpSp>
                          <wpg:cNvPr id="316" name="Group 316"/>
                          <wpg:cNvGrpSpPr/>
                          <wpg:grpSpPr>
                            <a:xfrm>
                              <a:off x="4305302" y="417743"/>
                              <a:ext cx="1169306" cy="777059"/>
                              <a:chOff x="3873258" y="454316"/>
                              <a:chExt cx="1151846" cy="958230"/>
                            </a:xfrm>
                          </wpg:grpSpPr>
                          <wps:wsp>
                            <wps:cNvPr id="317" name="Rounded Rectangle 317"/>
                            <wps:cNvSpPr/>
                            <wps:spPr>
                              <a:xfrm>
                                <a:off x="3873258" y="454316"/>
                                <a:ext cx="1134799" cy="958230"/>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318" name="Rounded Rectangle 24"/>
                            <wps:cNvSpPr/>
                            <wps:spPr>
                              <a:xfrm>
                                <a:off x="3931912" y="504400"/>
                                <a:ext cx="1093192" cy="871030"/>
                              </a:xfrm>
                              <a:prstGeom prst="rect">
                                <a:avLst/>
                              </a:prstGeom>
                              <a:noFill/>
                              <a:ln>
                                <a:noFill/>
                              </a:ln>
                              <a:effectLst/>
                            </wps:spPr>
                            <wps:txbx>
                              <w:txbxContent>
                                <w:p w14:paraId="0F353F99" w14:textId="67998B88" w:rsidR="00653670" w:rsidRPr="009744C4" w:rsidRDefault="00653670" w:rsidP="008E5510">
                                  <w:pPr>
                                    <w:pStyle w:val="NormalWeb"/>
                                    <w:spacing w:before="0" w:after="67" w:line="216" w:lineRule="auto"/>
                                    <w:rPr>
                                      <w:rFonts w:ascii="Calibri" w:hAnsi="Calibri"/>
                                      <w:b/>
                                      <w:color w:val="D0D2D3"/>
                                      <w:sz w:val="20"/>
                                      <w:szCs w:val="20"/>
                                    </w:rPr>
                                  </w:pPr>
                                  <w:r>
                                    <w:rPr>
                                      <w:rFonts w:ascii="Calibri" w:hAnsi="Calibri"/>
                                      <w:b/>
                                      <w:color w:val="D0D2D3"/>
                                      <w:kern w:val="24"/>
                                      <w:sz w:val="20"/>
                                      <w:szCs w:val="20"/>
                                    </w:rPr>
                                    <w:t>Treatment group (162 businesses)</w:t>
                                  </w:r>
                                </w:p>
                                <w:p w14:paraId="08D582DD" w14:textId="77777777" w:rsidR="00653670" w:rsidRPr="009744C4" w:rsidRDefault="00653670" w:rsidP="008E5510">
                                  <w:pPr>
                                    <w:pStyle w:val="NormalWeb"/>
                                    <w:spacing w:before="0" w:after="67" w:line="216" w:lineRule="auto"/>
                                    <w:jc w:val="center"/>
                                    <w:rPr>
                                      <w:rFonts w:ascii="Calibri" w:hAnsi="Calibri"/>
                                      <w:color w:val="D0D2D3"/>
                                      <w:sz w:val="16"/>
                                      <w:szCs w:val="20"/>
                                    </w:rPr>
                                  </w:pPr>
                                </w:p>
                              </w:txbxContent>
                            </wps:txbx>
                            <wps:bodyPr spcFirstLastPara="0" vert="horz" wrap="square" lIns="5080" tIns="5080" rIns="5080" bIns="5080" numCol="1" spcCol="1270" anchor="ctr" anchorCtr="0">
                              <a:noAutofit/>
                            </wps:bodyPr>
                          </wps:wsp>
                        </wpg:grpSp>
                        <wpg:grpSp>
                          <wpg:cNvPr id="319" name="Group 319"/>
                          <wpg:cNvGrpSpPr/>
                          <wpg:grpSpPr>
                            <a:xfrm>
                              <a:off x="4314825" y="1240741"/>
                              <a:ext cx="1151890" cy="1225500"/>
                              <a:chOff x="4016169" y="1499423"/>
                              <a:chExt cx="940446" cy="1000544"/>
                            </a:xfrm>
                          </wpg:grpSpPr>
                          <wps:wsp>
                            <wps:cNvPr id="320" name="Rounded Rectangle 320"/>
                            <wps:cNvSpPr/>
                            <wps:spPr>
                              <a:xfrm>
                                <a:off x="4016169" y="1510014"/>
                                <a:ext cx="940446" cy="470223"/>
                              </a:xfrm>
                              <a:prstGeom prst="roundRect">
                                <a:avLst>
                                  <a:gd name="adj" fmla="val 10000"/>
                                </a:avLst>
                              </a:prstGeom>
                              <a:solidFill>
                                <a:srgbClr val="087379">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321" name="Rounded Rectangle 28"/>
                            <wps:cNvSpPr/>
                            <wps:spPr>
                              <a:xfrm>
                                <a:off x="4057007" y="1499423"/>
                                <a:ext cx="837436" cy="1000544"/>
                              </a:xfrm>
                              <a:prstGeom prst="rect">
                                <a:avLst/>
                              </a:prstGeom>
                              <a:noFill/>
                              <a:ln>
                                <a:noFill/>
                              </a:ln>
                              <a:effectLst/>
                            </wps:spPr>
                            <wps:txbx>
                              <w:txbxContent>
                                <w:p w14:paraId="020A0732" w14:textId="088AD200" w:rsidR="00653670" w:rsidRPr="009744C4" w:rsidRDefault="00653670" w:rsidP="008E5510">
                                  <w:pPr>
                                    <w:pStyle w:val="NormalWeb"/>
                                    <w:spacing w:before="0" w:after="67" w:line="216" w:lineRule="auto"/>
                                    <w:jc w:val="center"/>
                                    <w:rPr>
                                      <w:rFonts w:ascii="Calibri" w:hAnsi="Calibri"/>
                                      <w:b/>
                                      <w:color w:val="D0D2D3"/>
                                      <w:kern w:val="24"/>
                                      <w:sz w:val="20"/>
                                      <w:szCs w:val="20"/>
                                    </w:rPr>
                                  </w:pPr>
                                  <w:r>
                                    <w:rPr>
                                      <w:rFonts w:ascii="Calibri" w:hAnsi="Calibri"/>
                                      <w:b/>
                                      <w:color w:val="D0D2D3"/>
                                      <w:kern w:val="24"/>
                                      <w:sz w:val="20"/>
                                      <w:szCs w:val="20"/>
                                    </w:rPr>
                                    <w:t>Control group (166 businesses)</w:t>
                                  </w:r>
                                </w:p>
                                <w:p w14:paraId="55C2B166" w14:textId="77777777" w:rsidR="00653670" w:rsidRPr="00C44D42" w:rsidRDefault="00653670" w:rsidP="008E5510">
                                  <w:pPr>
                                    <w:pStyle w:val="NormalWeb"/>
                                    <w:spacing w:before="0" w:after="67" w:line="216" w:lineRule="auto"/>
                                    <w:jc w:val="center"/>
                                    <w:rPr>
                                      <w:rFonts w:ascii="Calibri" w:hAnsi="Calibri"/>
                                      <w:sz w:val="16"/>
                                      <w:szCs w:val="20"/>
                                    </w:rPr>
                                  </w:pPr>
                                </w:p>
                                <w:p w14:paraId="291C84A7" w14:textId="77777777" w:rsidR="00653670" w:rsidRPr="00C44D42" w:rsidRDefault="00653670" w:rsidP="008E5510">
                                  <w:pPr>
                                    <w:pStyle w:val="NormalWeb"/>
                                    <w:spacing w:before="0" w:after="67" w:line="216" w:lineRule="auto"/>
                                    <w:jc w:val="center"/>
                                    <w:rPr>
                                      <w:rFonts w:ascii="Calibri" w:hAnsi="Calibri"/>
                                      <w:b/>
                                      <w:sz w:val="20"/>
                                      <w:szCs w:val="20"/>
                                    </w:rPr>
                                  </w:pPr>
                                </w:p>
                                <w:p w14:paraId="4619C90B" w14:textId="77777777" w:rsidR="00653670" w:rsidRPr="00C44D42" w:rsidRDefault="00653670" w:rsidP="008E5510">
                                  <w:pPr>
                                    <w:pStyle w:val="NormalWeb"/>
                                    <w:spacing w:before="0" w:after="67" w:line="216" w:lineRule="auto"/>
                                    <w:jc w:val="center"/>
                                    <w:rPr>
                                      <w:rFonts w:ascii="Calibri" w:hAnsi="Calibri"/>
                                      <w:b/>
                                      <w:sz w:val="20"/>
                                      <w:szCs w:val="20"/>
                                    </w:rPr>
                                  </w:pPr>
                                </w:p>
                              </w:txbxContent>
                            </wps:txbx>
                            <wps:bodyPr spcFirstLastPara="0" vert="horz" wrap="square" lIns="5080" tIns="5080" rIns="5080" bIns="5080" numCol="1" spcCol="1270" anchor="ctr" anchorCtr="0">
                              <a:noAutofit/>
                            </wps:bodyPr>
                          </wps:wsp>
                        </wpg:grpSp>
                      </wpg:grpSp>
                      <wps:wsp>
                        <wps:cNvPr id="322" name="Straight Arrow Connector 322"/>
                        <wps:cNvCnPr/>
                        <wps:spPr>
                          <a:xfrm>
                            <a:off x="2442949" y="1132764"/>
                            <a:ext cx="38417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323" name="Straight Arrow Connector 323"/>
                        <wps:cNvCnPr/>
                        <wps:spPr>
                          <a:xfrm>
                            <a:off x="3807725" y="1112292"/>
                            <a:ext cx="216535" cy="0"/>
                          </a:xfrm>
                          <a:prstGeom prst="straightConnector1">
                            <a:avLst/>
                          </a:prstGeom>
                          <a:noFill/>
                          <a:ln w="28575" cap="flat" cmpd="sng" algn="ctr">
                            <a:solidFill>
                              <a:sysClr val="windowText" lastClr="000000">
                                <a:lumMod val="65000"/>
                                <a:lumOff val="35000"/>
                              </a:sysClr>
                            </a:solidFill>
                            <a:prstDash val="solid"/>
                            <a:headEnd type="none" w="med" len="med"/>
                            <a:tailEnd type="none" w="med" len="med"/>
                          </a:ln>
                          <a:effectLst/>
                        </wps:spPr>
                        <wps:bodyPr/>
                      </wps:wsp>
                      <wps:wsp>
                        <wps:cNvPr id="324" name="Straight Arrow Connector 324"/>
                        <wps:cNvCnPr/>
                        <wps:spPr>
                          <a:xfrm flipV="1">
                            <a:off x="4026089" y="764274"/>
                            <a:ext cx="0" cy="637540"/>
                          </a:xfrm>
                          <a:prstGeom prst="straightConnector1">
                            <a:avLst/>
                          </a:prstGeom>
                          <a:noFill/>
                          <a:ln w="28575" cap="flat" cmpd="sng" algn="ctr">
                            <a:solidFill>
                              <a:sysClr val="windowText" lastClr="000000">
                                <a:lumMod val="65000"/>
                                <a:lumOff val="35000"/>
                              </a:sysClr>
                            </a:solidFill>
                            <a:prstDash val="solid"/>
                            <a:headEnd type="none" w="med" len="med"/>
                            <a:tailEnd type="none" w="med" len="med"/>
                          </a:ln>
                          <a:effectLst/>
                        </wps:spPr>
                        <wps:bodyPr/>
                      </wps:wsp>
                      <wps:wsp>
                        <wps:cNvPr id="325" name="Straight Arrow Connector 325"/>
                        <wps:cNvCnPr/>
                        <wps:spPr>
                          <a:xfrm>
                            <a:off x="4019265" y="764274"/>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326" name="Straight Arrow Connector 326"/>
                        <wps:cNvCnPr/>
                        <wps:spPr>
                          <a:xfrm>
                            <a:off x="4012441" y="1405719"/>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s:wsp>
                        <wps:cNvPr id="327" name="Straight Arrow Connector 327"/>
                        <wps:cNvCnPr/>
                        <wps:spPr>
                          <a:xfrm>
                            <a:off x="1030405" y="1125940"/>
                            <a:ext cx="154940" cy="0"/>
                          </a:xfrm>
                          <a:prstGeom prst="straightConnector1">
                            <a:avLst/>
                          </a:prstGeom>
                          <a:noFill/>
                          <a:ln w="28575" cap="flat" cmpd="sng" algn="ctr">
                            <a:solidFill>
                              <a:sysClr val="windowText" lastClr="000000">
                                <a:lumMod val="65000"/>
                                <a:lumOff val="35000"/>
                              </a:sysClr>
                            </a:solidFill>
                            <a:prstDash val="solid"/>
                            <a:headEnd type="none" w="med" len="med"/>
                            <a:tailEnd type="none" w="med" len="med"/>
                          </a:ln>
                          <a:effectLst/>
                        </wps:spPr>
                        <wps:bodyPr/>
                      </wps:wsp>
                      <wps:wsp>
                        <wps:cNvPr id="328" name="Straight Arrow Connector 328"/>
                        <wps:cNvCnPr/>
                        <wps:spPr>
                          <a:xfrm>
                            <a:off x="1180531" y="1132764"/>
                            <a:ext cx="305435" cy="0"/>
                          </a:xfrm>
                          <a:prstGeom prst="straightConnector1">
                            <a:avLst/>
                          </a:prstGeom>
                          <a:noFill/>
                          <a:ln w="28575" cap="flat" cmpd="sng" algn="ctr">
                            <a:solidFill>
                              <a:sysClr val="windowText" lastClr="000000">
                                <a:lumMod val="65000"/>
                                <a:lumOff val="35000"/>
                              </a:sysClr>
                            </a:solidFill>
                            <a:prstDash val="solid"/>
                            <a:headEnd type="non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68932CAB" id="Group 305" o:spid="_x0000_s1053" alt="Title: Figure 2: Trial 2 Design for New businesses - Description: This shows that there were 162 businesses randomly assigned to the treatment group and 166 to the control group." style="position:absolute;margin-left:10.4pt;margin-top:22pt;width:386.8pt;height:186.3pt;z-index:251659264;mso-position-horizontal-relative:margin;mso-position-vertical-relative:text;mso-width-relative:margin;mso-height-relative:margin" coordsize="54746,2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">
                <v:group id="Group 306" o:spid="_x0000_s1054" style="position:absolute;width:54746;height:23376" coordorigin=",1282" coordsize="54746,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307" o:spid="_x0000_s1055" style="position:absolute;top:1282;width:10580;height:22870" coordorigin=",7381" coordsize="9404,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oundrect id="Rounded Rectangle 308" o:spid="_x0000_s1056" style="position:absolute;top:8514;width:9404;height:209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" fillcolor="#087379" strokecolor="white" strokeweight="2pt"/>
                    <v:rect id="Rounded Rectangle 4" o:spid="_x0000_s1057" style="position:absolute;left:137;top:7381;width:9129;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" filled="f" stroked="f">
                      <v:textbox inset=".4pt,.4pt,.4pt,.4pt">
                        <w:txbxContent>
                          <w:p w14:paraId="2142D650"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 xml:space="preserve">New businesses </w:t>
                            </w:r>
                          </w:p>
                          <w:p w14:paraId="1C2475E2" w14:textId="77777777" w:rsidR="00653670" w:rsidRPr="00B811E1" w:rsidRDefault="00653670" w:rsidP="008E5510">
                            <w:pPr>
                              <w:pStyle w:val="NormalWeb"/>
                              <w:spacing w:before="0" w:after="67" w:line="216" w:lineRule="auto"/>
                              <w:jc w:val="center"/>
                              <w:rPr>
                                <w:rFonts w:ascii="Calibri" w:hAnsi="Calibri"/>
                                <w:color w:val="D0D2D3"/>
                                <w:kern w:val="24"/>
                                <w:sz w:val="16"/>
                                <w:szCs w:val="20"/>
                              </w:rPr>
                            </w:pPr>
                            <w:r w:rsidRPr="009744C4">
                              <w:rPr>
                                <w:rFonts w:ascii="Calibri" w:hAnsi="Calibri"/>
                                <w:color w:val="D0D2D3"/>
                                <w:kern w:val="24"/>
                                <w:sz w:val="16"/>
                                <w:szCs w:val="20"/>
                              </w:rPr>
                              <w:t>(≈300 businesses</w:t>
                            </w:r>
                            <w:r w:rsidRPr="00B811E1">
                              <w:rPr>
                                <w:rFonts w:ascii="Calibri" w:hAnsi="Calibri"/>
                                <w:color w:val="D0D2D3"/>
                                <w:kern w:val="24"/>
                                <w:sz w:val="16"/>
                                <w:szCs w:val="20"/>
                              </w:rPr>
                              <w:t>)</w:t>
                            </w:r>
                          </w:p>
                        </w:txbxContent>
                      </v:textbox>
                    </v:rect>
                  </v:group>
                  <v:group id="Group 310" o:spid="_x0000_s1058" style="position:absolute;left:14954;top:7140;width:9617;height:11870" coordorigin="13166,9946" coordsize="9404,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oundrect id="Rounded Rectangle 311" o:spid="_x0000_s1059" style="position:absolute;left:13166;top:9946;width:9404;height:2835;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" fillcolor="#087379" strokecolor="white" strokeweight="2pt"/>
                    <v:rect id="Rounded Rectangle 12" o:spid="_x0000_s1060" style="position:absolute;left:13303;top:10291;width:9129;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" filled="f" stroked="f">
                      <v:textbox inset=".4pt,.4pt,.4pt,.4pt">
                        <w:txbxContent>
                          <w:p w14:paraId="3DCB2922" w14:textId="77777777" w:rsidR="00653670" w:rsidRPr="009744C4" w:rsidRDefault="00653670" w:rsidP="008E5510">
                            <w:pPr>
                              <w:pStyle w:val="NormalWeb"/>
                              <w:spacing w:before="0" w:after="67" w:line="216" w:lineRule="auto"/>
                              <w:jc w:val="center"/>
                              <w:rPr>
                                <w:rFonts w:ascii="Calibri" w:hAnsi="Calibri"/>
                                <w:b/>
                                <w:color w:val="D0D2D3"/>
                                <w:kern w:val="24"/>
                                <w:sz w:val="20"/>
                                <w:szCs w:val="20"/>
                              </w:rPr>
                            </w:pPr>
                            <w:r w:rsidRPr="009744C4">
                              <w:rPr>
                                <w:rFonts w:ascii="Calibri" w:hAnsi="Calibri"/>
                                <w:b/>
                                <w:color w:val="D0D2D3"/>
                                <w:kern w:val="24"/>
                                <w:sz w:val="20"/>
                                <w:szCs w:val="20"/>
                              </w:rPr>
                              <w:t>Evaluation Sample</w:t>
                            </w:r>
                          </w:p>
                          <w:p w14:paraId="35F5C283" w14:textId="77777777" w:rsidR="00653670" w:rsidRPr="00C44D42" w:rsidRDefault="00653670" w:rsidP="008E5510">
                            <w:pPr>
                              <w:pStyle w:val="NormalWeb"/>
                              <w:spacing w:before="0" w:after="67" w:line="216" w:lineRule="auto"/>
                              <w:jc w:val="center"/>
                              <w:rPr>
                                <w:rFonts w:ascii="Calibri" w:hAnsi="Calibri"/>
                                <w:sz w:val="16"/>
                                <w:szCs w:val="20"/>
                              </w:rPr>
                            </w:pPr>
                            <w:r w:rsidRPr="009744C4">
                              <w:rPr>
                                <w:rFonts w:ascii="Calibri" w:hAnsi="Calibri"/>
                                <w:color w:val="D0D2D3"/>
                                <w:kern w:val="24"/>
                                <w:sz w:val="16"/>
                                <w:szCs w:val="20"/>
                              </w:rPr>
                              <w:t>(≈300 businesses)</w:t>
                            </w:r>
                          </w:p>
                          <w:p w14:paraId="3033E82B" w14:textId="77777777" w:rsidR="00653670" w:rsidRPr="00C44D42" w:rsidRDefault="00653670" w:rsidP="008E5510">
                            <w:pPr>
                              <w:pStyle w:val="NormalWeb"/>
                              <w:spacing w:before="0" w:after="67" w:line="216" w:lineRule="auto"/>
                              <w:jc w:val="center"/>
                              <w:rPr>
                                <w:rFonts w:ascii="Calibri" w:hAnsi="Calibri"/>
                                <w:b/>
                                <w:sz w:val="20"/>
                                <w:szCs w:val="20"/>
                              </w:rPr>
                            </w:pPr>
                          </w:p>
                        </w:txbxContent>
                      </v:textbox>
                    </v:rect>
                  </v:group>
                  <v:group id="Group 313" o:spid="_x0000_s1061" style="position:absolute;left:28107;top:7470;width:10064;height:10598" coordorigin="23873,7784" coordsize="10067,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oundrect id="Rounded Rectangle 314" o:spid="_x0000_s1062" style="position:absolute;left:23873;top:7784;width:10067;height:580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" fillcolor="#293f56" strokecolor="white" strokeweight="2pt"/>
                    <v:rect id="Rounded Rectangle 16" o:spid="_x0000_s1063" style="position:absolute;left:24043;top:7954;width:9727;height:5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" filled="f" stroked="f">
                      <v:textbox inset=".4pt,.4pt,.4pt,.4pt">
                        <w:txbxContent>
                          <w:p w14:paraId="525E8586" w14:textId="77777777" w:rsidR="00653670" w:rsidRPr="009744C4" w:rsidRDefault="00653670" w:rsidP="008E5510">
                            <w:pPr>
                              <w:pStyle w:val="NormalWeb"/>
                              <w:spacing w:before="0" w:after="67" w:line="216" w:lineRule="auto"/>
                              <w:jc w:val="center"/>
                              <w:rPr>
                                <w:rFonts w:ascii="Calibri" w:hAnsi="Calibri"/>
                                <w:b/>
                                <w:color w:val="D0D2D3"/>
                                <w:sz w:val="20"/>
                                <w:szCs w:val="20"/>
                              </w:rPr>
                            </w:pPr>
                            <w:r w:rsidRPr="009744C4">
                              <w:rPr>
                                <w:rFonts w:ascii="Calibri" w:hAnsi="Calibri"/>
                                <w:b/>
                                <w:color w:val="D0D2D3"/>
                                <w:kern w:val="24"/>
                                <w:sz w:val="20"/>
                                <w:szCs w:val="20"/>
                              </w:rPr>
                              <w:t xml:space="preserve">Random Assignment </w:t>
                            </w:r>
                          </w:p>
                        </w:txbxContent>
                      </v:textbox>
                    </v:rect>
                  </v:group>
                  <v:group id="Group 316" o:spid="_x0000_s1064" style="position:absolute;left:43053;top:4177;width:11693;height:7771" coordorigin="38732,4543" coordsize="11518,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oundrect id="Rounded Rectangle 317" o:spid="_x0000_s1065" style="position:absolute;left:38732;top:4543;width:11348;height:958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" fillcolor="#087379" strokecolor="white" strokeweight="2pt"/>
                    <v:rect id="Rounded Rectangle 24" o:spid="_x0000_s1066" style="position:absolute;left:39319;top:5044;width:10932;height:8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" filled="f" stroked="f">
                      <v:textbox inset=".4pt,.4pt,.4pt,.4pt">
                        <w:txbxContent>
                          <w:p w14:paraId="0F353F99" w14:textId="67998B88" w:rsidR="00653670" w:rsidRPr="009744C4" w:rsidRDefault="00653670" w:rsidP="008E5510">
                            <w:pPr>
                              <w:pStyle w:val="NormalWeb"/>
                              <w:spacing w:before="0" w:after="67" w:line="216" w:lineRule="auto"/>
                              <w:rPr>
                                <w:rFonts w:ascii="Calibri" w:hAnsi="Calibri"/>
                                <w:b/>
                                <w:color w:val="D0D2D3"/>
                                <w:sz w:val="20"/>
                                <w:szCs w:val="20"/>
                              </w:rPr>
                            </w:pPr>
                            <w:r>
                              <w:rPr>
                                <w:rFonts w:ascii="Calibri" w:hAnsi="Calibri"/>
                                <w:b/>
                                <w:color w:val="D0D2D3"/>
                                <w:kern w:val="24"/>
                                <w:sz w:val="20"/>
                                <w:szCs w:val="20"/>
                              </w:rPr>
                              <w:t>Treatment group (162 businesses)</w:t>
                            </w:r>
                          </w:p>
                          <w:p w14:paraId="08D582DD" w14:textId="77777777" w:rsidR="00653670" w:rsidRPr="009744C4" w:rsidRDefault="00653670" w:rsidP="008E5510">
                            <w:pPr>
                              <w:pStyle w:val="NormalWeb"/>
                              <w:spacing w:before="0" w:after="67" w:line="216" w:lineRule="auto"/>
                              <w:jc w:val="center"/>
                              <w:rPr>
                                <w:rFonts w:ascii="Calibri" w:hAnsi="Calibri"/>
                                <w:color w:val="D0D2D3"/>
                                <w:sz w:val="16"/>
                                <w:szCs w:val="20"/>
                              </w:rPr>
                            </w:pPr>
                          </w:p>
                        </w:txbxContent>
                      </v:textbox>
                    </v:rect>
                  </v:group>
                  <v:group id="Group 319" o:spid="_x0000_s1067" style="position:absolute;left:43148;top:12407;width:11519;height:12255" coordorigin="40161,14994" coordsize="9404,1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oundrect id="Rounded Rectangle 320" o:spid="_x0000_s1068" style="position:absolute;left:40161;top:15100;width:9405;height:47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" fillcolor="#087379" strokecolor="white" strokeweight="2pt"/>
                    <v:rect id="Rounded Rectangle 28" o:spid="_x0000_s1069" style="position:absolute;left:40570;top:14994;width:8374;height:10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" filled="f" stroked="f">
                      <v:textbox inset=".4pt,.4pt,.4pt,.4pt">
                        <w:txbxContent>
                          <w:p w14:paraId="020A0732" w14:textId="088AD200" w:rsidR="00653670" w:rsidRPr="009744C4" w:rsidRDefault="00653670" w:rsidP="008E5510">
                            <w:pPr>
                              <w:pStyle w:val="NormalWeb"/>
                              <w:spacing w:before="0" w:after="67" w:line="216" w:lineRule="auto"/>
                              <w:jc w:val="center"/>
                              <w:rPr>
                                <w:rFonts w:ascii="Calibri" w:hAnsi="Calibri"/>
                                <w:b/>
                                <w:color w:val="D0D2D3"/>
                                <w:kern w:val="24"/>
                                <w:sz w:val="20"/>
                                <w:szCs w:val="20"/>
                              </w:rPr>
                            </w:pPr>
                            <w:r>
                              <w:rPr>
                                <w:rFonts w:ascii="Calibri" w:hAnsi="Calibri"/>
                                <w:b/>
                                <w:color w:val="D0D2D3"/>
                                <w:kern w:val="24"/>
                                <w:sz w:val="20"/>
                                <w:szCs w:val="20"/>
                              </w:rPr>
                              <w:t>Control group (166 businesses)</w:t>
                            </w:r>
                          </w:p>
                          <w:p w14:paraId="55C2B166" w14:textId="77777777" w:rsidR="00653670" w:rsidRPr="00C44D42" w:rsidRDefault="00653670" w:rsidP="008E5510">
                            <w:pPr>
                              <w:pStyle w:val="NormalWeb"/>
                              <w:spacing w:before="0" w:after="67" w:line="216" w:lineRule="auto"/>
                              <w:jc w:val="center"/>
                              <w:rPr>
                                <w:rFonts w:ascii="Calibri" w:hAnsi="Calibri"/>
                                <w:sz w:val="16"/>
                                <w:szCs w:val="20"/>
                              </w:rPr>
                            </w:pPr>
                          </w:p>
                          <w:p w14:paraId="291C84A7" w14:textId="77777777" w:rsidR="00653670" w:rsidRPr="00C44D42" w:rsidRDefault="00653670" w:rsidP="008E5510">
                            <w:pPr>
                              <w:pStyle w:val="NormalWeb"/>
                              <w:spacing w:before="0" w:after="67" w:line="216" w:lineRule="auto"/>
                              <w:jc w:val="center"/>
                              <w:rPr>
                                <w:rFonts w:ascii="Calibri" w:hAnsi="Calibri"/>
                                <w:b/>
                                <w:sz w:val="20"/>
                                <w:szCs w:val="20"/>
                              </w:rPr>
                            </w:pPr>
                          </w:p>
                          <w:p w14:paraId="4619C90B" w14:textId="77777777" w:rsidR="00653670" w:rsidRPr="00C44D42" w:rsidRDefault="00653670" w:rsidP="008E5510">
                            <w:pPr>
                              <w:pStyle w:val="NormalWeb"/>
                              <w:spacing w:before="0" w:after="67" w:line="216" w:lineRule="auto"/>
                              <w:jc w:val="center"/>
                              <w:rPr>
                                <w:rFonts w:ascii="Calibri" w:hAnsi="Calibri"/>
                                <w:b/>
                                <w:sz w:val="20"/>
                                <w:szCs w:val="20"/>
                              </w:rPr>
                            </w:pPr>
                          </w:p>
                        </w:txbxContent>
                      </v:textbox>
                    </v:rect>
                  </v:group>
                </v:group>
                <v:shape id="Straight Arrow Connector 322" o:spid="_x0000_s1070" type="#_x0000_t32" style="position:absolute;left:24429;top:11327;width:3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" strokecolor="#595959" strokeweight="2.25pt">
                  <v:stroke endarrow="block"/>
                </v:shape>
                <v:shape id="Straight Arrow Connector 323" o:spid="_x0000_s1071" type="#_x0000_t32" style="position:absolute;left:38077;top:11122;width:2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" strokecolor="#595959" strokeweight="2.25pt"/>
                <v:shape id="Straight Arrow Connector 324" o:spid="_x0000_s1072" type="#_x0000_t32" style="position:absolute;left:40260;top:7642;width:0;height:6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" strokecolor="#595959" strokeweight="2.25pt"/>
                <v:shape id="Straight Arrow Connector 325" o:spid="_x0000_s1073" type="#_x0000_t32" style="position:absolute;left:40192;top:7642;width:3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" strokecolor="#595959" strokeweight="2.25pt">
                  <v:stroke endarrow="block"/>
                </v:shape>
                <v:shape id="Straight Arrow Connector 326" o:spid="_x0000_s1074" type="#_x0000_t32" style="position:absolute;left:40124;top:14057;width:3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" strokecolor="#595959" strokeweight="2.25pt">
                  <v:stroke endarrow="block"/>
                </v:shape>
                <v:shape id="Straight Arrow Connector 327" o:spid="_x0000_s1075" type="#_x0000_t32" style="position:absolute;left:10304;top:11259;width:1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" strokecolor="#595959" strokeweight="2.25pt"/>
                <v:shape id="Straight Arrow Connector 328" o:spid="_x0000_s1076" type="#_x0000_t32" style="position:absolute;left:11805;top:11327;width:3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" strokecolor="#595959" strokeweight="2.25pt">
                  <v:stroke endarrow="block"/>
                </v:shape>
                <w10:wrap anchorx="margin"/>
              </v:group>
            </w:pict>
          </mc:Fallback>
        </mc:AlternateContent>
      </w:r>
      <w:r w:rsidRPr="009744C4">
        <w:t xml:space="preserve">Figure 2: </w:t>
      </w:r>
      <w:r w:rsidR="0006174E">
        <w:t>Trial</w:t>
      </w:r>
      <w:r w:rsidR="00493669">
        <w:t xml:space="preserve"> 2</w:t>
      </w:r>
      <w:r>
        <w:t xml:space="preserve"> Design for </w:t>
      </w:r>
      <w:r w:rsidR="00653670">
        <w:t>n</w:t>
      </w:r>
      <w:r w:rsidRPr="009744C4">
        <w:t xml:space="preserve">ew </w:t>
      </w:r>
      <w:r>
        <w:t>busines</w:t>
      </w:r>
      <w:r w:rsidR="0006174E">
        <w:t>s</w:t>
      </w:r>
      <w:r>
        <w:t>es</w:t>
      </w:r>
      <w:r w:rsidRPr="009744C4">
        <w:t xml:space="preserve"> </w:t>
      </w:r>
    </w:p>
    <w:p w14:paraId="293E031E" w14:textId="77777777" w:rsidR="008E5510" w:rsidRPr="003075F1" w:rsidRDefault="008E5510" w:rsidP="003075F1">
      <w:pPr>
        <w:rPr>
          <w:rFonts w:eastAsia="Calibri"/>
        </w:rPr>
      </w:pPr>
    </w:p>
    <w:p w14:paraId="4B0A6360" w14:textId="77777777" w:rsidR="008E5510" w:rsidRPr="00ED7DEF" w:rsidRDefault="008E5510" w:rsidP="00ED7DEF">
      <w:pPr>
        <w:rPr>
          <w:rFonts w:eastAsia="Montserrat Hairline"/>
        </w:rPr>
      </w:pPr>
      <w:r w:rsidRPr="003075F1">
        <w:br w:type="page"/>
      </w:r>
    </w:p>
    <w:p w14:paraId="25FD9EB6" w14:textId="04600B5A" w:rsidR="00D40A67" w:rsidRPr="00D40A67" w:rsidRDefault="00B61F5A" w:rsidP="008C6F31">
      <w:pPr>
        <w:pStyle w:val="Heading1"/>
      </w:pPr>
      <w:bookmarkStart w:id="4" w:name="_Toc503884500"/>
      <w:bookmarkStart w:id="5" w:name="_Toc503952803"/>
      <w:bookmarkStart w:id="6" w:name="_Toc517256240"/>
      <w:r>
        <w:lastRenderedPageBreak/>
        <w:t>Results</w:t>
      </w:r>
      <w:bookmarkEnd w:id="4"/>
      <w:bookmarkEnd w:id="5"/>
      <w:r w:rsidR="008C6F31">
        <w:t xml:space="preserve">: </w:t>
      </w:r>
      <w:r w:rsidR="00D40A67">
        <w:t>Existing businesses trial</w:t>
      </w:r>
      <w:bookmarkEnd w:id="6"/>
    </w:p>
    <w:p w14:paraId="1592BFF2" w14:textId="50A70B90" w:rsidR="0009142F" w:rsidRDefault="00AF064A" w:rsidP="003075F1">
      <w:pPr>
        <w:pStyle w:val="Intro"/>
      </w:pPr>
      <w:r w:rsidRPr="00B00579">
        <w:t xml:space="preserve">Both emails improved rates of compliance, </w:t>
      </w:r>
      <w:r w:rsidR="00380F19" w:rsidRPr="00B00579">
        <w:t>but</w:t>
      </w:r>
      <w:r w:rsidRPr="00B00579">
        <w:t xml:space="preserve"> did not have a statistically significant effect</w:t>
      </w:r>
      <w:r w:rsidRPr="00035A9B">
        <w:t xml:space="preserve"> on payments.</w:t>
      </w:r>
    </w:p>
    <w:p w14:paraId="631A79AA" w14:textId="77777777" w:rsidR="0026444B" w:rsidRPr="004121BC" w:rsidRDefault="0026444B" w:rsidP="00095119">
      <w:pPr>
        <w:pStyle w:val="Heading2"/>
      </w:pPr>
      <w:r w:rsidRPr="004121BC">
        <w:t xml:space="preserve">Did </w:t>
      </w:r>
      <w:r>
        <w:t>emails improve compliance</w:t>
      </w:r>
      <w:r w:rsidRPr="004121BC">
        <w:t xml:space="preserve">? </w:t>
      </w:r>
    </w:p>
    <w:p w14:paraId="642CD934" w14:textId="77777777" w:rsidR="001608BC" w:rsidRDefault="0026444B" w:rsidP="0026444B">
      <w:r w:rsidRPr="0026444B">
        <w:t>To comply with the DGST Scheme, businesses need to meet all of their tax obligations. The emails referred to the DGST Scheme, but the outcome we observed was much broader</w:t>
      </w:r>
      <w:r w:rsidR="001608BC">
        <w:t>.</w:t>
      </w:r>
    </w:p>
    <w:p w14:paraId="4D00EA6A" w14:textId="619EA611" w:rsidR="0026444B" w:rsidRPr="0026444B" w:rsidRDefault="0026444B" w:rsidP="0026444B">
      <w:r w:rsidRPr="0026444B">
        <w:t xml:space="preserve">Both emails led to improved compliance when compared to </w:t>
      </w:r>
      <w:r w:rsidR="00812E00">
        <w:t>the</w:t>
      </w:r>
      <w:r w:rsidR="0059750A">
        <w:t xml:space="preserve"> no email group (control)</w:t>
      </w:r>
      <w:r w:rsidRPr="0026444B">
        <w:t>. These differences were statistically significant at the standard level (p &lt; 0.05)</w:t>
      </w:r>
      <w:r w:rsidR="005E1FED">
        <w:rPr>
          <w:rStyle w:val="FootnoteReference"/>
        </w:rPr>
        <w:footnoteReference w:id="3"/>
      </w:r>
      <w:r w:rsidRPr="0026444B">
        <w:t>. After 14</w:t>
      </w:r>
      <w:r w:rsidR="00283638">
        <w:t> </w:t>
      </w:r>
      <w:r w:rsidRPr="0026444B">
        <w:t>days, compliance increased by 14 percentage points for the direct email group (40</w:t>
      </w:r>
      <w:r w:rsidR="0069344B">
        <w:t> </w:t>
      </w:r>
      <w:r w:rsidRPr="0026444B">
        <w:t xml:space="preserve">per cent compliant) and by 13 percentage points for the cooperative email group (39 per cent compliant), compared to the no email group (26 per cent compliant) (Figure 3 and Table 3.2, Appendix 3). </w:t>
      </w:r>
    </w:p>
    <w:p w14:paraId="372DBF9F" w14:textId="77777777" w:rsidR="0026444B" w:rsidRPr="0026444B" w:rsidRDefault="0026444B" w:rsidP="0026444B">
      <w:r w:rsidRPr="0026444B">
        <w:t xml:space="preserve">The findings after 21 days were similar. Compliance increased by 13 percentage points for the direct email group (46 per cent compliant) and 10 percentage points for the cooperative email group (43 per cent compliant), compared to the no email group (33 per cent compliant) (Figure 3 and Table 3.2, Appendix 3). </w:t>
      </w:r>
    </w:p>
    <w:p w14:paraId="711D0BCD" w14:textId="0438BFB9" w:rsidR="00515232" w:rsidRDefault="0026444B" w:rsidP="0026444B">
      <w:r w:rsidRPr="0026444B">
        <w:t xml:space="preserve">While both emails led to improved compliance, the differences in compliance between the direct email </w:t>
      </w:r>
      <w:r w:rsidR="00AB265C">
        <w:t xml:space="preserve">group </w:t>
      </w:r>
      <w:r w:rsidRPr="0026444B">
        <w:t xml:space="preserve">and the cooperative email </w:t>
      </w:r>
      <w:r w:rsidR="00AB265C">
        <w:t xml:space="preserve">group </w:t>
      </w:r>
      <w:r w:rsidRPr="0026444B">
        <w:t>were not statistically significant at the standard level (p &lt; 0.05) at either time point (i.e. after 14 days and after 21 days).</w:t>
      </w:r>
    </w:p>
    <w:p w14:paraId="101FD7EE" w14:textId="77777777" w:rsidR="00515232" w:rsidRDefault="00515232">
      <w:pPr>
        <w:keepLines w:val="0"/>
        <w:spacing w:before="0" w:after="0" w:line="240" w:lineRule="auto"/>
      </w:pPr>
      <w:r>
        <w:br w:type="page"/>
      </w:r>
    </w:p>
    <w:p w14:paraId="025ABDE6" w14:textId="7F2515C1" w:rsidR="0026444B" w:rsidRPr="009744C4" w:rsidRDefault="0006174E" w:rsidP="0006174E">
      <w:pPr>
        <w:pStyle w:val="FigureHeading"/>
      </w:pPr>
      <w:r w:rsidRPr="009744C4">
        <w:lastRenderedPageBreak/>
        <w:t xml:space="preserve">Figure 3: </w:t>
      </w:r>
      <w:r>
        <w:t>T</w:t>
      </w:r>
      <w:r w:rsidRPr="009744C4">
        <w:t xml:space="preserve">he </w:t>
      </w:r>
      <w:r w:rsidR="00653670">
        <w:t>p</w:t>
      </w:r>
      <w:r w:rsidRPr="009744C4">
        <w:t xml:space="preserve">roportion of existing businesses compliant </w:t>
      </w:r>
      <w:r w:rsidR="0026444B" w:rsidRPr="009744C4">
        <w:t>after day 14 and day 21</w:t>
      </w:r>
    </w:p>
    <w:p w14:paraId="6E33CEEF" w14:textId="54B04B8C" w:rsidR="0026444B" w:rsidRPr="009744C4" w:rsidRDefault="0026444B" w:rsidP="0026444B">
      <w:pPr>
        <w:spacing w:before="0" w:after="0"/>
        <w:rPr>
          <w:rFonts w:ascii="Montserrat Light" w:hAnsi="Montserrat Light"/>
          <w:b/>
          <w:bCs/>
          <w:caps/>
          <w:color w:val="1C2B39"/>
          <w:spacing w:val="20"/>
          <w:sz w:val="20"/>
          <w:szCs w:val="19"/>
          <w:lang w:eastAsia="ja-JP"/>
        </w:rPr>
      </w:pPr>
    </w:p>
    <w:p w14:paraId="54969160" w14:textId="29437047" w:rsidR="0026444B" w:rsidRDefault="00862F0D" w:rsidP="0026444B">
      <w:r>
        <w:rPr>
          <w:noProof/>
        </w:rPr>
        <w:drawing>
          <wp:inline distT="0" distB="0" distL="0" distR="0" wp14:anchorId="5F15EE5C" wp14:editId="0876B07E">
            <wp:extent cx="4877435" cy="2950845"/>
            <wp:effectExtent l="0" t="0" r="0" b="1905"/>
            <wp:docPr id="7" name="Picture 7" descr="Chart showing the proportion of businesses compliant after day 14 and day 21. " titl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7435" cy="2950845"/>
                    </a:xfrm>
                    <a:prstGeom prst="rect">
                      <a:avLst/>
                    </a:prstGeom>
                    <a:noFill/>
                  </pic:spPr>
                </pic:pic>
              </a:graphicData>
            </a:graphic>
          </wp:inline>
        </w:drawing>
      </w:r>
    </w:p>
    <w:p w14:paraId="409EAA23" w14:textId="5F2F05FD" w:rsidR="0026444B" w:rsidRPr="004121BC" w:rsidRDefault="0026444B" w:rsidP="00095119">
      <w:pPr>
        <w:pStyle w:val="Heading2"/>
      </w:pPr>
      <w:r w:rsidRPr="004121BC">
        <w:t xml:space="preserve">Did </w:t>
      </w:r>
      <w:r>
        <w:t>emails prompt faster compliance?</w:t>
      </w:r>
      <w:r w:rsidRPr="004121BC">
        <w:t xml:space="preserve"> </w:t>
      </w:r>
    </w:p>
    <w:p w14:paraId="21F1D277" w14:textId="61B1EBA4" w:rsidR="0026444B" w:rsidRPr="0026444B" w:rsidRDefault="0026444B" w:rsidP="004530A4">
      <w:r w:rsidRPr="0026444B">
        <w:t>To assess whether emails led to faster compliance, we compared the time it took for one quarter of businesses (or 25 per cent) to become compliant across the three treatment arms. We could not analyse the median time</w:t>
      </w:r>
      <w:r w:rsidR="000E1811">
        <w:t xml:space="preserve"> to comply</w:t>
      </w:r>
      <w:r w:rsidRPr="0026444B">
        <w:t xml:space="preserve"> because less than 50 per cent of businesses had complied at the end of the trial. We chose a 25 per cent threshold simply because it is a convenient way to illustrate the speed of compliance. Both emails increased the speed of compliance compared to the </w:t>
      </w:r>
      <w:r w:rsidR="0059750A">
        <w:t>no email group (control)</w:t>
      </w:r>
      <w:r w:rsidRPr="0026444B">
        <w:t>. As seen in Figure 4, the time taken for one quarter of businesses to comply was 14 days in the</w:t>
      </w:r>
      <w:r w:rsidR="0059750A">
        <w:t xml:space="preserve"> no email group (control)</w:t>
      </w:r>
      <w:r w:rsidRPr="0026444B">
        <w:t>, compared to eight days in the direct email group and 10 days in the cooperative email group.</w:t>
      </w:r>
      <w:r w:rsidR="00444AB5">
        <w:rPr>
          <w:rStyle w:val="FootnoteReference"/>
        </w:rPr>
        <w:footnoteReference w:id="4"/>
      </w:r>
      <w:r w:rsidRPr="0026444B">
        <w:t xml:space="preserve"> </w:t>
      </w:r>
    </w:p>
    <w:p w14:paraId="5523D939" w14:textId="64497E86" w:rsidR="0026444B" w:rsidRDefault="0006174E" w:rsidP="0006174E">
      <w:pPr>
        <w:pStyle w:val="FigureHeading"/>
      </w:pPr>
      <w:r>
        <w:lastRenderedPageBreak/>
        <w:t>Figure</w:t>
      </w:r>
      <w:r w:rsidR="0026444B" w:rsidRPr="009744C4">
        <w:t xml:space="preserve"> 4: </w:t>
      </w:r>
      <w:r>
        <w:t>N</w:t>
      </w:r>
      <w:r w:rsidR="0026444B" w:rsidRPr="009744C4">
        <w:t>umber of days for 25 per cent of businesses to be compliant</w:t>
      </w:r>
    </w:p>
    <w:p w14:paraId="5B51502C" w14:textId="77777777" w:rsidR="0026444B" w:rsidRPr="00B9207F" w:rsidRDefault="0026444B" w:rsidP="00B9207F">
      <w:pPr>
        <w:rPr>
          <w:rFonts w:eastAsia="Cambria"/>
        </w:rPr>
      </w:pPr>
      <w:r>
        <w:rPr>
          <w:noProof/>
        </w:rPr>
        <w:drawing>
          <wp:inline distT="0" distB="0" distL="0" distR="0" wp14:anchorId="715C6110" wp14:editId="4E46E6C5">
            <wp:extent cx="4592472" cy="2026692"/>
            <wp:effectExtent l="0" t="0" r="0" b="0"/>
            <wp:docPr id="290" name="Chart 290" descr="Chart showing the number of days for 25 per cent of businesses to be compliant."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7D9A79" w14:textId="53AD2A50" w:rsidR="0026444B" w:rsidRPr="0026444B" w:rsidRDefault="0026444B" w:rsidP="0026444B">
      <w:pPr>
        <w:spacing w:before="0" w:after="200" w:line="276" w:lineRule="auto"/>
      </w:pPr>
      <w:r w:rsidRPr="0026444B">
        <w:t>Another way to assess the speed of compliance is to look at the proportion of compliant businesses over time. Figure 5 shows both emails increased the proportion of compliant businesses over time. For more details, see Table 3.4 in Appendix 3.</w:t>
      </w:r>
    </w:p>
    <w:p w14:paraId="429C02C7" w14:textId="15DA533B" w:rsidR="0026444B" w:rsidRPr="009744C4" w:rsidRDefault="0006174E" w:rsidP="0006174E">
      <w:pPr>
        <w:pStyle w:val="FigureHeading"/>
      </w:pPr>
      <w:r>
        <w:t>Figure</w:t>
      </w:r>
      <w:r w:rsidR="0026444B" w:rsidRPr="009744C4">
        <w:t xml:space="preserve"> 5: Impact of the emails on time to comply</w:t>
      </w:r>
    </w:p>
    <w:p w14:paraId="76235891" w14:textId="77777777" w:rsidR="0026444B" w:rsidRPr="00B9207F" w:rsidRDefault="0026444B" w:rsidP="00B9207F">
      <w:pPr>
        <w:rPr>
          <w:rFonts w:eastAsia="Cambria"/>
        </w:rPr>
      </w:pPr>
      <w:r>
        <w:rPr>
          <w:noProof/>
        </w:rPr>
        <w:drawing>
          <wp:inline distT="0" distB="0" distL="0" distR="0" wp14:anchorId="4868363E" wp14:editId="018E9591">
            <wp:extent cx="5991367" cy="2503805"/>
            <wp:effectExtent l="0" t="0" r="0" b="0"/>
            <wp:docPr id="291" name="Chart 291" descr="Chart showing the impact of the emails on the time it took businesses to comply."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09AF6E" w14:textId="77777777" w:rsidR="0026444B" w:rsidRDefault="0026444B" w:rsidP="00095119">
      <w:pPr>
        <w:pStyle w:val="Heading2"/>
      </w:pPr>
      <w:r w:rsidRPr="004121BC">
        <w:t xml:space="preserve">Did </w:t>
      </w:r>
      <w:r>
        <w:t>emails increase payments?</w:t>
      </w:r>
    </w:p>
    <w:p w14:paraId="1F9BF970" w14:textId="6F22295B" w:rsidR="0026444B" w:rsidRPr="0026444B" w:rsidRDefault="00AB265C" w:rsidP="0026444B">
      <w:pPr>
        <w:spacing w:before="0" w:after="200" w:line="276" w:lineRule="auto"/>
      </w:pPr>
      <w:r>
        <w:t>We analysed c</w:t>
      </w:r>
      <w:r w:rsidR="00444AB5">
        <w:t xml:space="preserve">hanges in payment behaviour of businesses. </w:t>
      </w:r>
      <w:r w:rsidR="0026444B" w:rsidRPr="0026444B">
        <w:t xml:space="preserve">The level of payments is not directly related to compliance. Businesses can have large debts and make large payments, but remain non-compliant. Conversely, businesses can make small payments and become compliant. It depends on the amount owed. Payments capture all tax liabilities, not just GST. </w:t>
      </w:r>
    </w:p>
    <w:p w14:paraId="15208290" w14:textId="4DCAF796" w:rsidR="0026444B" w:rsidRPr="0026444B" w:rsidRDefault="0026444B" w:rsidP="0026444B">
      <w:pPr>
        <w:spacing w:before="0" w:after="200" w:line="276" w:lineRule="auto"/>
      </w:pPr>
      <w:r w:rsidRPr="0026444B">
        <w:lastRenderedPageBreak/>
        <w:t>Although in the pre-analysis plan,</w:t>
      </w:r>
      <w:r w:rsidR="0080644A">
        <w:rPr>
          <w:rStyle w:val="FootnoteReference"/>
        </w:rPr>
        <w:footnoteReference w:id="5"/>
      </w:r>
      <w:r w:rsidRPr="0026444B">
        <w:t xml:space="preserve"> we specified we would look at the average payment, we instead focussed on the median payment.</w:t>
      </w:r>
      <w:r w:rsidR="0080644A">
        <w:rPr>
          <w:rStyle w:val="FootnoteReference"/>
        </w:rPr>
        <w:footnoteReference w:id="6"/>
      </w:r>
      <w:r w:rsidRPr="0026444B">
        <w:t xml:space="preserve"> </w:t>
      </w:r>
      <w:r w:rsidR="00444AB5">
        <w:t>M</w:t>
      </w:r>
      <w:r w:rsidRPr="0026444B">
        <w:t>edian payments were higher for both email groups. The median payment was $4,561 in the direct email group and $3,158 in the cooperative email group, while the median payment in the</w:t>
      </w:r>
      <w:r w:rsidR="00152415">
        <w:t xml:space="preserve"> no email group (control)</w:t>
      </w:r>
      <w:r w:rsidRPr="0026444B">
        <w:t xml:space="preserve"> was $2,000. </w:t>
      </w:r>
      <w:r w:rsidR="00444AB5">
        <w:t>T</w:t>
      </w:r>
      <w:r w:rsidRPr="0026444B">
        <w:t xml:space="preserve">hese differences are not statistically significant at the conventional threshold (Table 3.5, Appendix 3). </w:t>
      </w:r>
    </w:p>
    <w:p w14:paraId="20E29CFB" w14:textId="1E560E42" w:rsidR="0026444B" w:rsidRDefault="0026444B" w:rsidP="00095119">
      <w:pPr>
        <w:pStyle w:val="Heading2"/>
      </w:pPr>
      <w:r w:rsidRPr="004121BC">
        <w:t xml:space="preserve">Did </w:t>
      </w:r>
      <w:r>
        <w:t>emails have an effect on incom</w:t>
      </w:r>
      <w:r w:rsidR="00D57EAA">
        <w:t>ing</w:t>
      </w:r>
      <w:r>
        <w:t xml:space="preserve"> calls from clients?</w:t>
      </w:r>
    </w:p>
    <w:p w14:paraId="30AD0C05" w14:textId="135697FE" w:rsidR="0026444B" w:rsidRPr="0026444B" w:rsidRDefault="0026444B" w:rsidP="0026444B">
      <w:pPr>
        <w:spacing w:before="0" w:after="200" w:line="276" w:lineRule="auto"/>
      </w:pPr>
      <w:r w:rsidRPr="0026444B">
        <w:t>Over the 21</w:t>
      </w:r>
      <w:r w:rsidRPr="0026444B">
        <w:noBreakHyphen/>
        <w:t>day period, about 76 per cent of businesses made no contact with the ATO, 14 per cent only made a single call, and a small number made up to 10 calls. Businesses in both email groups increased interaction with the ATO compared to the</w:t>
      </w:r>
      <w:r w:rsidR="00152415">
        <w:t xml:space="preserve"> no email group (control)</w:t>
      </w:r>
      <w:r w:rsidRPr="0026444B">
        <w:t xml:space="preserve">. The call rate (whether or not the businesses called) increased by 17 percentage points in the direct email group and 10 percentage points in the cooperative email group (Table 3.8, Appendix 3). </w:t>
      </w:r>
      <w:r w:rsidR="000A761A" w:rsidRPr="0026444B">
        <w:t>Th</w:t>
      </w:r>
      <w:r w:rsidR="000A761A">
        <w:t>is</w:t>
      </w:r>
      <w:r w:rsidR="000A761A" w:rsidRPr="0026444B">
        <w:t xml:space="preserve"> </w:t>
      </w:r>
      <w:r w:rsidRPr="0026444B">
        <w:t>data represent all calls businesses made to the ATO, not just calls related to the DGST Scheme. We also analysed compliance rates by whether the businesses contact</w:t>
      </w:r>
      <w:r w:rsidR="005E51F6">
        <w:t>ed</w:t>
      </w:r>
      <w:r w:rsidRPr="0026444B">
        <w:t xml:space="preserve"> the ATO (Table</w:t>
      </w:r>
      <w:r w:rsidR="00052D50">
        <w:t> </w:t>
      </w:r>
      <w:r w:rsidRPr="0026444B">
        <w:t>3.9, Appendix 3).</w:t>
      </w:r>
    </w:p>
    <w:p w14:paraId="79B2F68D" w14:textId="12DB1FB6" w:rsidR="0026444B" w:rsidRPr="0026444B" w:rsidRDefault="0026444B" w:rsidP="0026444B">
      <w:pPr>
        <w:spacing w:before="0" w:after="200" w:line="276" w:lineRule="auto"/>
      </w:pPr>
      <w:r w:rsidRPr="0026444B">
        <w:t xml:space="preserve">There are two views </w:t>
      </w:r>
      <w:r w:rsidR="00444AB5">
        <w:t>on</w:t>
      </w:r>
      <w:r w:rsidRPr="0026444B">
        <w:t xml:space="preserve"> whether an increase in incoming ca</w:t>
      </w:r>
      <w:r w:rsidR="00B42E2A">
        <w:t>lls is positive. Increased</w:t>
      </w:r>
      <w:r w:rsidRPr="0026444B">
        <w:t xml:space="preserve"> calls can indic</w:t>
      </w:r>
      <w:r w:rsidR="00B42E2A">
        <w:t>ate higher levels of engagement but they can also</w:t>
      </w:r>
      <w:r w:rsidRPr="0026444B">
        <w:t xml:space="preserve"> indicate a need for further explanation due to the information sent being unclear. We cannot determine which </w:t>
      </w:r>
      <w:proofErr w:type="gramStart"/>
      <w:r w:rsidRPr="0026444B">
        <w:t>is the case in this trial</w:t>
      </w:r>
      <w:proofErr w:type="gramEnd"/>
      <w:r w:rsidRPr="0026444B">
        <w:t xml:space="preserve">. </w:t>
      </w:r>
    </w:p>
    <w:p w14:paraId="4D7867B7" w14:textId="5FF69A3F" w:rsidR="00AF064A" w:rsidRDefault="00D976A1" w:rsidP="00AF064A">
      <w:pPr>
        <w:pStyle w:val="Heading1"/>
      </w:pPr>
      <w:r>
        <w:br w:type="page"/>
      </w:r>
      <w:bookmarkStart w:id="7" w:name="_Toc503884502"/>
      <w:bookmarkStart w:id="8" w:name="_Toc503952805"/>
      <w:bookmarkStart w:id="9" w:name="_Toc517256241"/>
      <w:r w:rsidR="00D40A67">
        <w:lastRenderedPageBreak/>
        <w:t>Results</w:t>
      </w:r>
      <w:bookmarkEnd w:id="7"/>
      <w:bookmarkEnd w:id="8"/>
      <w:r w:rsidR="00242884">
        <w:t xml:space="preserve">: </w:t>
      </w:r>
      <w:r w:rsidR="00D40A67">
        <w:t>New businesses trial</w:t>
      </w:r>
      <w:bookmarkEnd w:id="9"/>
    </w:p>
    <w:p w14:paraId="283089D5" w14:textId="73DA698C" w:rsidR="00AF064A" w:rsidRDefault="00AF064A" w:rsidP="00D206B8">
      <w:pPr>
        <w:pStyle w:val="Intro"/>
      </w:pPr>
      <w:r>
        <w:t xml:space="preserve">The emails to new businesses </w:t>
      </w:r>
      <w:r w:rsidR="00052D50">
        <w:t>did not improve compliance or increase payments.</w:t>
      </w:r>
    </w:p>
    <w:p w14:paraId="1F1732ED" w14:textId="2E204CD6" w:rsidR="00D40A67" w:rsidRDefault="00D40A67" w:rsidP="00D206B8">
      <w:pPr>
        <w:pStyle w:val="Heading2"/>
      </w:pPr>
      <w:r w:rsidRPr="004121BC">
        <w:t xml:space="preserve">Did </w:t>
      </w:r>
      <w:r>
        <w:t>emails improve compliance</w:t>
      </w:r>
      <w:r w:rsidRPr="004121BC">
        <w:t xml:space="preserve">? </w:t>
      </w:r>
    </w:p>
    <w:p w14:paraId="20D0BBB7" w14:textId="111E3698" w:rsidR="0026444B" w:rsidRPr="0026444B" w:rsidRDefault="0026444B" w:rsidP="0026444B">
      <w:r w:rsidRPr="0026444B">
        <w:t xml:space="preserve">The emails to new business did not improve compliance. The proportion of businesses who remained compliant was </w:t>
      </w:r>
      <w:r w:rsidRPr="00C6609A">
        <w:t xml:space="preserve">similar </w:t>
      </w:r>
      <w:r w:rsidR="008F2DA3" w:rsidRPr="00C6609A">
        <w:t>in</w:t>
      </w:r>
      <w:r w:rsidRPr="00C6609A">
        <w:t xml:space="preserve"> the two groups. In the treatment group, 18 per cent of businesses were compliant for all 60 days compared with 19 per cent </w:t>
      </w:r>
      <w:r w:rsidR="00217E3C" w:rsidRPr="00C6609A">
        <w:t>in the control group (Table 4.2, Appendix 4</w:t>
      </w:r>
      <w:r w:rsidRPr="00C6609A">
        <w:t>). On average, over the 60</w:t>
      </w:r>
      <w:r w:rsidRPr="00C6609A">
        <w:noBreakHyphen/>
        <w:t>day period, businesses in the treatment group were compliant for 67 per cent of days compared to</w:t>
      </w:r>
      <w:r w:rsidRPr="0026444B">
        <w:t xml:space="preserve"> 68 per cent of days for the control group. </w:t>
      </w:r>
    </w:p>
    <w:p w14:paraId="4F4DCA6E" w14:textId="3631BB36" w:rsidR="0026444B" w:rsidRDefault="0026444B" w:rsidP="00D206B8">
      <w:pPr>
        <w:pStyle w:val="Heading2"/>
      </w:pPr>
      <w:r w:rsidRPr="004121BC">
        <w:t xml:space="preserve">Did </w:t>
      </w:r>
      <w:r>
        <w:t>emails increase payments?</w:t>
      </w:r>
    </w:p>
    <w:p w14:paraId="74FD2D10" w14:textId="47EC0578" w:rsidR="0026444B" w:rsidRPr="0026444B" w:rsidRDefault="0026444B" w:rsidP="0026444B">
      <w:r w:rsidRPr="00C6609A">
        <w:t xml:space="preserve">The median payment made was similar </w:t>
      </w:r>
      <w:r w:rsidR="008F2DA3" w:rsidRPr="00C6609A">
        <w:t>in the</w:t>
      </w:r>
      <w:r w:rsidRPr="00C6609A">
        <w:t xml:space="preserve"> treatmen</w:t>
      </w:r>
      <w:r w:rsidR="00217E3C" w:rsidRPr="00C6609A">
        <w:t>t and control groups (Table 4.3, Appendix 4</w:t>
      </w:r>
      <w:r w:rsidRPr="00C6609A">
        <w:t>).</w:t>
      </w:r>
      <w:r w:rsidRPr="0026444B">
        <w:t xml:space="preserve"> </w:t>
      </w:r>
    </w:p>
    <w:p w14:paraId="0998FED9" w14:textId="666DB0AC" w:rsidR="0026444B" w:rsidRPr="0026444B" w:rsidRDefault="0026444B" w:rsidP="00D206B8">
      <w:pPr>
        <w:pStyle w:val="Heading2"/>
      </w:pPr>
      <w:r w:rsidRPr="004121BC">
        <w:t xml:space="preserve">Did </w:t>
      </w:r>
      <w:r>
        <w:t>emails have an effect on incom</w:t>
      </w:r>
      <w:r w:rsidR="00D57EAA">
        <w:t>ing</w:t>
      </w:r>
      <w:r>
        <w:t xml:space="preserve"> calls from clients?</w:t>
      </w:r>
    </w:p>
    <w:p w14:paraId="3183A278" w14:textId="6AC2AAB7" w:rsidR="00515232" w:rsidRDefault="0026444B" w:rsidP="0026444B">
      <w:r w:rsidRPr="00C6609A">
        <w:t xml:space="preserve">The rate of calls (number of calls over the 60-day period) was </w:t>
      </w:r>
      <w:r w:rsidR="008F2DA3" w:rsidRPr="00C6609A">
        <w:t>similar in</w:t>
      </w:r>
      <w:r w:rsidRPr="00C6609A">
        <w:t xml:space="preserve"> the treatment and the contro</w:t>
      </w:r>
      <w:r w:rsidR="00217E3C" w:rsidRPr="00C6609A">
        <w:t>l groups (Table 4.4, Appendix 4</w:t>
      </w:r>
      <w:r w:rsidRPr="00C6609A">
        <w:t>). Over the 60</w:t>
      </w:r>
      <w:r w:rsidRPr="00C6609A">
        <w:noBreakHyphen/>
        <w:t>day period, the number of calls made to the ATO ranged from 0 to 10 (mean= 0.8, median=0). 63 per cent did not make any calls and 19 per cent made a single call.</w:t>
      </w:r>
    </w:p>
    <w:p w14:paraId="491C1D60" w14:textId="77777777" w:rsidR="00515232" w:rsidRDefault="00515232">
      <w:pPr>
        <w:keepLines w:val="0"/>
        <w:spacing w:before="0" w:after="0" w:line="240" w:lineRule="auto"/>
      </w:pPr>
      <w:r>
        <w:br w:type="page"/>
      </w:r>
    </w:p>
    <w:p w14:paraId="58097C06" w14:textId="3EFA930C" w:rsidR="00D976A1" w:rsidRPr="00D976A1" w:rsidRDefault="00D976A1" w:rsidP="00242884">
      <w:pPr>
        <w:pStyle w:val="Heading1"/>
      </w:pPr>
      <w:bookmarkStart w:id="10" w:name="_Toc517256242"/>
      <w:r w:rsidRPr="00D976A1">
        <w:lastRenderedPageBreak/>
        <w:t>Limitations</w:t>
      </w:r>
      <w:bookmarkEnd w:id="10"/>
    </w:p>
    <w:p w14:paraId="01BEC36B" w14:textId="6212FA68" w:rsidR="0026444B" w:rsidRPr="0006174E" w:rsidRDefault="0026444B" w:rsidP="0006174E">
      <w:r w:rsidRPr="0006174E">
        <w:t>The existing businesses trial examined the effect of cooperative and direct emails on compliance after 14 and 21 days but it did not examine the effect on l</w:t>
      </w:r>
      <w:r w:rsidR="0069344B" w:rsidRPr="0006174E">
        <w:t>ong</w:t>
      </w:r>
      <w:r w:rsidR="0069344B" w:rsidRPr="0006174E">
        <w:noBreakHyphen/>
      </w:r>
      <w:r w:rsidRPr="0006174E">
        <w:t>term compliance (e.g. after several months). However, as the ATO wi</w:t>
      </w:r>
      <w:r w:rsidR="0079273E" w:rsidRPr="0006174E">
        <w:t>ll send emails regularly to non-</w:t>
      </w:r>
      <w:r w:rsidRPr="0006174E">
        <w:t>compliant businesses, the short</w:t>
      </w:r>
      <w:r w:rsidR="00052D50" w:rsidRPr="0006174E">
        <w:noBreakHyphen/>
      </w:r>
      <w:r w:rsidRPr="0006174E">
        <w:t>term impact is more relevant. A separate potential question for future research is whether the emails continue to be effective after they have been sent multiple times to persistently non</w:t>
      </w:r>
      <w:r w:rsidR="005E51F6" w:rsidRPr="0006174E">
        <w:noBreakHyphen/>
      </w:r>
      <w:r w:rsidRPr="0006174E">
        <w:t xml:space="preserve">compliant businesses. </w:t>
      </w:r>
    </w:p>
    <w:p w14:paraId="46A31549" w14:textId="638B3634" w:rsidR="00F86BAB" w:rsidRPr="0006174E" w:rsidRDefault="0026444B" w:rsidP="0006174E">
      <w:r w:rsidRPr="0006174E">
        <w:t xml:space="preserve">For new businesses, we tested one approach to help them remain compliant by suggesting they add a calendar reminder. As mentioned earlier, businesses have multiple obligations and payments to be made and the approach we tested may not have helped them to effectively address their cognitive overload. </w:t>
      </w:r>
      <w:r w:rsidR="004E6113" w:rsidRPr="0006174E">
        <w:t>Future research could examine other approaches to encourage compliance among new businesses to the DGST Scheme such as setting up a system where businesses could sign up for a monthly alert from the ATO on the day or a few days before the payment is due.</w:t>
      </w:r>
      <w:r w:rsidR="00F86BAB" w:rsidRPr="0006174E">
        <w:br w:type="page"/>
      </w:r>
    </w:p>
    <w:p w14:paraId="35F6F078" w14:textId="66E115D2" w:rsidR="00F86BAB" w:rsidRPr="00487439" w:rsidRDefault="00F86BAB" w:rsidP="00242884">
      <w:pPr>
        <w:pStyle w:val="Heading1"/>
      </w:pPr>
      <w:bookmarkStart w:id="11" w:name="_Toc517256243"/>
      <w:r w:rsidRPr="00F86BAB">
        <w:lastRenderedPageBreak/>
        <w:t>Discussion and Conclusion</w:t>
      </w:r>
      <w:bookmarkEnd w:id="11"/>
    </w:p>
    <w:p w14:paraId="65BCA17E" w14:textId="3790753E" w:rsidR="0026444B" w:rsidRDefault="0026444B" w:rsidP="0026444B">
      <w:r>
        <w:t xml:space="preserve">Our existing businesses trial demonstrates the ATO can improve compliance with the DGST Scheme by sending clear and simple reminder emails to non-compliant businesses. After receiving an email, more businesses became compliant and became compliant faster. </w:t>
      </w:r>
    </w:p>
    <w:p w14:paraId="108C4D85" w14:textId="2319C0CD" w:rsidR="0026444B" w:rsidRDefault="0026444B" w:rsidP="0026444B">
      <w:r>
        <w:t>This improves the integrity of the DGST Scheme by ensuring businesses meet</w:t>
      </w:r>
      <w:r w:rsidR="00444AB5">
        <w:t xml:space="preserve"> tax</w:t>
      </w:r>
      <w:r>
        <w:t xml:space="preserve"> obligations. Compliance also benefits businesses </w:t>
      </w:r>
      <w:r w:rsidR="005E51F6">
        <w:t>who</w:t>
      </w:r>
      <w:r>
        <w:t xml:space="preserve"> remain eligible to defer GST payments, </w:t>
      </w:r>
      <w:r w:rsidRPr="00442A4D">
        <w:t xml:space="preserve">helping </w:t>
      </w:r>
      <w:r w:rsidR="00A1001A">
        <w:t>businesses to manage their cash</w:t>
      </w:r>
      <w:r>
        <w:t xml:space="preserve"> flow.</w:t>
      </w:r>
    </w:p>
    <w:p w14:paraId="7186AC9F" w14:textId="2E063FCE" w:rsidR="0026444B" w:rsidRDefault="0026444B" w:rsidP="0026444B">
      <w:r>
        <w:t xml:space="preserve">It did not matter if business managers received a cooperative email designed to overcome cognitive overload and present bias, or a direct email emphasising the ramifications of being removed from the Scheme. </w:t>
      </w:r>
      <w:r w:rsidR="00AD6069">
        <w:t>T</w:t>
      </w:r>
      <w:r>
        <w:t xml:space="preserve">he reminder function is </w:t>
      </w:r>
      <w:r w:rsidR="00AD6069">
        <w:t xml:space="preserve">likely </w:t>
      </w:r>
      <w:r>
        <w:t>what worked in improving compliance.</w:t>
      </w:r>
    </w:p>
    <w:p w14:paraId="3BAE6B4B" w14:textId="77777777" w:rsidR="00653670" w:rsidRDefault="0026444B" w:rsidP="0026444B">
      <w:r>
        <w:t>We cannot conclude</w:t>
      </w:r>
      <w:r w:rsidR="00C44869">
        <w:t xml:space="preserve"> as</w:t>
      </w:r>
      <w:r>
        <w:t xml:space="preserve"> confidently</w:t>
      </w:r>
      <w:r w:rsidR="00C44869">
        <w:t xml:space="preserve"> that </w:t>
      </w:r>
      <w:r>
        <w:t xml:space="preserve">the emails to existing businesses increased payments. The effect on median payments was material and in the right direction, but was not statistically significant, meaning it could just be a chance finding. </w:t>
      </w:r>
      <w:r w:rsidR="00AD6069">
        <w:t>E</w:t>
      </w:r>
      <w:r>
        <w:t xml:space="preserve">mails were designed to increase compliance rather than payment size, and payment size is not directly related to compliance. </w:t>
      </w:r>
    </w:p>
    <w:p w14:paraId="569950A3" w14:textId="3D33944C" w:rsidR="0026444B" w:rsidRDefault="0026444B" w:rsidP="0026444B">
      <w:r>
        <w:t>It is possible emails prompted businesses to pay only GST, even though the DGST Scheme also requires the payment of other debts.</w:t>
      </w:r>
    </w:p>
    <w:p w14:paraId="0141B4E1" w14:textId="3E250F3D" w:rsidR="00487439" w:rsidRDefault="00262828" w:rsidP="002F0187">
      <w:r>
        <w:t>In t</w:t>
      </w:r>
      <w:r w:rsidR="0026444B">
        <w:t>he new businesses trial</w:t>
      </w:r>
      <w:r>
        <w:t xml:space="preserve">, </w:t>
      </w:r>
      <w:r w:rsidR="0026444B">
        <w:t>an email recommending businesses set monthly calendar reminders was ineffective in increasing the number of businesses who remain</w:t>
      </w:r>
      <w:r>
        <w:t>ed</w:t>
      </w:r>
      <w:r w:rsidR="0026444B">
        <w:t xml:space="preserve"> compliant. It is easier to demonstrate an effect when interventions aim to move businesses from non-compliant to compliant, rather than increasing t</w:t>
      </w:r>
      <w:r w:rsidR="0006174E">
        <w:t>he number who remain compliant.</w:t>
      </w:r>
      <w:r w:rsidR="00487439">
        <w:br w:type="page"/>
      </w:r>
    </w:p>
    <w:p w14:paraId="0C5E4432" w14:textId="7AFF8A2F" w:rsidR="00183351" w:rsidRPr="00487439" w:rsidRDefault="00183351" w:rsidP="00242884">
      <w:pPr>
        <w:pStyle w:val="Heading1"/>
      </w:pPr>
      <w:bookmarkStart w:id="12" w:name="_Toc517256244"/>
      <w:r>
        <w:lastRenderedPageBreak/>
        <w:t>Appendices</w:t>
      </w:r>
      <w:bookmarkEnd w:id="12"/>
    </w:p>
    <w:p w14:paraId="3AE2C0D4" w14:textId="77777777" w:rsidR="00D27600" w:rsidRDefault="0026444B" w:rsidP="00095119">
      <w:pPr>
        <w:pStyle w:val="Heading2"/>
      </w:pPr>
      <w:r>
        <w:t>Appendix 1 – Interventions</w:t>
      </w:r>
    </w:p>
    <w:p w14:paraId="3776AE21" w14:textId="7045A548" w:rsidR="00D27600" w:rsidRDefault="00D27600" w:rsidP="0006174E">
      <w:pPr>
        <w:pStyle w:val="Heading3"/>
      </w:pPr>
      <w:r>
        <w:t>Existing businesses trial – direct email</w:t>
      </w:r>
      <w:r>
        <w:rPr>
          <w:noProof/>
          <w:lang w:val="en-AU"/>
        </w:rPr>
        <w:drawing>
          <wp:inline distT="0" distB="0" distL="0" distR="0" wp14:anchorId="3ED97019" wp14:editId="0450525A">
            <wp:extent cx="4743450" cy="5489246"/>
            <wp:effectExtent l="0" t="0" r="0" b="0"/>
            <wp:docPr id="292" name="Picture 292" descr="The direct email to existing businesses" title="Existing businesses trial - direct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6843" cy="5504745"/>
                    </a:xfrm>
                    <a:prstGeom prst="rect">
                      <a:avLst/>
                    </a:prstGeom>
                    <a:noFill/>
                    <a:ln>
                      <a:noFill/>
                    </a:ln>
                  </pic:spPr>
                </pic:pic>
              </a:graphicData>
            </a:graphic>
          </wp:inline>
        </w:drawing>
      </w:r>
    </w:p>
    <w:p w14:paraId="5F02EECB" w14:textId="77D6CC94" w:rsidR="00D27600" w:rsidRDefault="00D27600" w:rsidP="007A6CB5">
      <w:r>
        <w:br w:type="page"/>
      </w:r>
    </w:p>
    <w:p w14:paraId="24044315" w14:textId="1100D8BF" w:rsidR="0026444B" w:rsidRPr="00183351" w:rsidRDefault="00D27600" w:rsidP="0006174E">
      <w:pPr>
        <w:pStyle w:val="Heading3"/>
      </w:pPr>
      <w:r>
        <w:lastRenderedPageBreak/>
        <w:t>Existing businesses trial – cooperative email</w:t>
      </w:r>
    </w:p>
    <w:p w14:paraId="7E8BE253" w14:textId="7ED95C34" w:rsidR="00D27600" w:rsidRPr="007A6CB5" w:rsidRDefault="00D27600" w:rsidP="007A6CB5">
      <w:r w:rsidRPr="007A6CB5">
        <w:rPr>
          <w:noProof/>
        </w:rPr>
        <w:drawing>
          <wp:inline distT="0" distB="0" distL="0" distR="0" wp14:anchorId="73B3446D" wp14:editId="1CD3C057">
            <wp:extent cx="4735769" cy="5666400"/>
            <wp:effectExtent l="0" t="0" r="8255" b="0"/>
            <wp:docPr id="272" name="Picture 272" descr="The cooperative email to existing businesses" title="Existing businesses trial - cooperativ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4778" cy="5677179"/>
                    </a:xfrm>
                    <a:prstGeom prst="rect">
                      <a:avLst/>
                    </a:prstGeom>
                    <a:noFill/>
                    <a:ln>
                      <a:noFill/>
                    </a:ln>
                  </pic:spPr>
                </pic:pic>
              </a:graphicData>
            </a:graphic>
          </wp:inline>
        </w:drawing>
      </w:r>
    </w:p>
    <w:p w14:paraId="42DF8624" w14:textId="4EF976CD" w:rsidR="00D27600" w:rsidRPr="007A6CB5" w:rsidRDefault="00D27600" w:rsidP="007A6CB5">
      <w:r w:rsidRPr="007A6CB5">
        <w:br w:type="page"/>
      </w:r>
    </w:p>
    <w:p w14:paraId="712D90A0" w14:textId="6C462FF7" w:rsidR="00D27600" w:rsidRPr="0064365A" w:rsidRDefault="00D27600" w:rsidP="0006174E">
      <w:pPr>
        <w:pStyle w:val="Heading3"/>
      </w:pPr>
      <w:r>
        <w:lastRenderedPageBreak/>
        <w:t>New businesses trial – planning prompt email</w:t>
      </w:r>
    </w:p>
    <w:p w14:paraId="234635CA" w14:textId="107B681F" w:rsidR="00D27600" w:rsidRDefault="00D27600" w:rsidP="007A6CB5">
      <w:r w:rsidRPr="007A6CB5">
        <w:rPr>
          <w:noProof/>
        </w:rPr>
        <w:drawing>
          <wp:inline distT="0" distB="0" distL="0" distR="0" wp14:anchorId="69562A07" wp14:editId="11A48101">
            <wp:extent cx="5181600" cy="5869104"/>
            <wp:effectExtent l="0" t="0" r="0" b="0"/>
            <wp:docPr id="5" name="Picture 5" descr="The email to new businesses." title="New businesses trial - planning prompt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6250" cy="5874371"/>
                    </a:xfrm>
                    <a:prstGeom prst="rect">
                      <a:avLst/>
                    </a:prstGeom>
                    <a:noFill/>
                    <a:ln>
                      <a:noFill/>
                    </a:ln>
                  </pic:spPr>
                </pic:pic>
              </a:graphicData>
            </a:graphic>
          </wp:inline>
        </w:drawing>
      </w:r>
    </w:p>
    <w:p w14:paraId="0004DD76" w14:textId="77777777" w:rsidR="00515232" w:rsidRDefault="00515232">
      <w:pPr>
        <w:keepLines w:val="0"/>
        <w:spacing w:before="0" w:after="0" w:line="240" w:lineRule="auto"/>
        <w:rPr>
          <w:b/>
          <w:sz w:val="24"/>
        </w:rPr>
      </w:pPr>
      <w:r>
        <w:rPr>
          <w:b/>
          <w:sz w:val="24"/>
        </w:rPr>
        <w:br w:type="page"/>
      </w:r>
    </w:p>
    <w:p w14:paraId="57E837B4" w14:textId="17C87388" w:rsidR="0064365A" w:rsidRPr="0064365A" w:rsidRDefault="0064365A" w:rsidP="00095119">
      <w:pPr>
        <w:pStyle w:val="Heading2"/>
      </w:pPr>
      <w:r w:rsidRPr="0064365A">
        <w:lastRenderedPageBreak/>
        <w:t xml:space="preserve">Appendix </w:t>
      </w:r>
      <w:r w:rsidR="00D27600">
        <w:t>2</w:t>
      </w:r>
      <w:r w:rsidRPr="0064365A">
        <w:t xml:space="preserve"> – </w:t>
      </w:r>
      <w:r w:rsidR="00D27600">
        <w:t>The technical details</w:t>
      </w:r>
    </w:p>
    <w:p w14:paraId="02ADD594" w14:textId="760C1E89" w:rsidR="0064365A" w:rsidRPr="0064365A" w:rsidRDefault="00D27600" w:rsidP="00515232">
      <w:pPr>
        <w:pStyle w:val="Heading3"/>
      </w:pPr>
      <w:r>
        <w:t>Existing businesses trial</w:t>
      </w:r>
    </w:p>
    <w:p w14:paraId="493CA2E4" w14:textId="77777777" w:rsidR="00D27600" w:rsidRPr="00FE6C21" w:rsidRDefault="00D27600" w:rsidP="00515232">
      <w:pPr>
        <w:rPr>
          <w:rFonts w:eastAsia="Cambria"/>
          <w:spacing w:val="-4"/>
          <w:lang w:val="en-GB" w:eastAsia="ja-JP"/>
        </w:rPr>
      </w:pPr>
      <w:r w:rsidRPr="00FE6C21">
        <w:rPr>
          <w:rFonts w:eastAsia="Cambria"/>
          <w:spacing w:val="-4"/>
          <w:lang w:eastAsia="ja-JP"/>
        </w:rPr>
        <w:t>We identified non-</w:t>
      </w:r>
      <w:r w:rsidRPr="00FE6C21">
        <w:rPr>
          <w:rFonts w:eastAsia="Cambria"/>
          <w:spacing w:val="-4"/>
        </w:rPr>
        <w:t>compliant</w:t>
      </w:r>
      <w:r w:rsidRPr="00FE6C21">
        <w:rPr>
          <w:rFonts w:eastAsia="Cambria"/>
          <w:spacing w:val="-4"/>
          <w:lang w:eastAsia="ja-JP"/>
        </w:rPr>
        <w:t xml:space="preserve"> businesses but excluded them from our study if they were:</w:t>
      </w:r>
    </w:p>
    <w:p w14:paraId="3641D0E2" w14:textId="77777777" w:rsidR="00D27600" w:rsidRPr="00515232" w:rsidRDefault="00D27600" w:rsidP="00FE6C21">
      <w:pPr>
        <w:pStyle w:val="ListBullet"/>
        <w:spacing w:before="100" w:after="100"/>
        <w:rPr>
          <w:rFonts w:eastAsia="Cambria"/>
        </w:rPr>
      </w:pPr>
      <w:r w:rsidRPr="00D27600">
        <w:rPr>
          <w:rFonts w:eastAsia="Cambria"/>
          <w:lang w:val="en-GB" w:eastAsia="ja-JP"/>
        </w:rPr>
        <w:t xml:space="preserve">part of a GST group (two or </w:t>
      </w:r>
      <w:r w:rsidRPr="00515232">
        <w:rPr>
          <w:rFonts w:eastAsia="Cambria"/>
        </w:rPr>
        <w:t>more entities operating as a single business for GST purposes);</w:t>
      </w:r>
    </w:p>
    <w:p w14:paraId="15F72F97" w14:textId="77777777" w:rsidR="00D27600" w:rsidRPr="00515232" w:rsidRDefault="00D27600" w:rsidP="00FE6C21">
      <w:pPr>
        <w:pStyle w:val="ListBullet"/>
        <w:spacing w:before="100" w:after="100"/>
        <w:rPr>
          <w:rFonts w:eastAsia="Cambria"/>
        </w:rPr>
      </w:pPr>
      <w:r w:rsidRPr="00515232">
        <w:rPr>
          <w:rFonts w:eastAsia="Cambria"/>
        </w:rPr>
        <w:t>case managed during evaluation;</w:t>
      </w:r>
    </w:p>
    <w:p w14:paraId="46E98441" w14:textId="77777777" w:rsidR="00D27600" w:rsidRPr="00515232" w:rsidRDefault="00D27600" w:rsidP="00FE6C21">
      <w:pPr>
        <w:pStyle w:val="ListBullet"/>
        <w:spacing w:before="100" w:after="100"/>
        <w:rPr>
          <w:rFonts w:eastAsia="Cambria"/>
        </w:rPr>
      </w:pPr>
      <w:r w:rsidRPr="00515232">
        <w:rPr>
          <w:rFonts w:eastAsia="Cambria"/>
        </w:rPr>
        <w:t>being monitored by other areas of the ATO;</w:t>
      </w:r>
    </w:p>
    <w:p w14:paraId="078387A2" w14:textId="77777777" w:rsidR="00D27600" w:rsidRPr="00515232" w:rsidRDefault="00D27600" w:rsidP="00FE6C21">
      <w:pPr>
        <w:pStyle w:val="ListBullet"/>
        <w:spacing w:before="100" w:after="100"/>
        <w:rPr>
          <w:rFonts w:eastAsia="Cambria"/>
        </w:rPr>
      </w:pPr>
      <w:r w:rsidRPr="00515232">
        <w:rPr>
          <w:rFonts w:eastAsia="Cambria"/>
        </w:rPr>
        <w:t>non-compliant for less than 14 days (businesses are given 14 days to respond but the ATO generally only acts after 21 days); or</w:t>
      </w:r>
    </w:p>
    <w:p w14:paraId="5BF71968" w14:textId="77777777" w:rsidR="00D27600" w:rsidRPr="00D27600" w:rsidRDefault="00D27600" w:rsidP="00FE6C21">
      <w:pPr>
        <w:pStyle w:val="ListBullet"/>
        <w:spacing w:before="100" w:after="100"/>
        <w:rPr>
          <w:rFonts w:eastAsia="Cambria"/>
          <w:lang w:val="en-GB" w:eastAsia="ja-JP"/>
        </w:rPr>
      </w:pPr>
      <w:proofErr w:type="gramStart"/>
      <w:r w:rsidRPr="00515232">
        <w:rPr>
          <w:rFonts w:eastAsia="Cambria"/>
        </w:rPr>
        <w:t>non-compliant</w:t>
      </w:r>
      <w:proofErr w:type="gramEnd"/>
      <w:r w:rsidRPr="00515232">
        <w:rPr>
          <w:rFonts w:eastAsia="Cambria"/>
        </w:rPr>
        <w:t xml:space="preserve"> as a result of an</w:t>
      </w:r>
      <w:r w:rsidRPr="00D27600">
        <w:rPr>
          <w:rFonts w:eastAsia="Cambria"/>
          <w:lang w:val="en-GB" w:eastAsia="ja-JP"/>
        </w:rPr>
        <w:t xml:space="preserve"> incorrect </w:t>
      </w:r>
      <w:proofErr w:type="spellStart"/>
      <w:r w:rsidRPr="00D27600">
        <w:rPr>
          <w:rFonts w:eastAsia="Cambria"/>
          <w:lang w:val="en-GB" w:eastAsia="ja-JP"/>
        </w:rPr>
        <w:t>lodgment</w:t>
      </w:r>
      <w:proofErr w:type="spellEnd"/>
      <w:r w:rsidRPr="00D27600">
        <w:rPr>
          <w:rFonts w:eastAsia="Cambria"/>
          <w:lang w:val="en-GB" w:eastAsia="ja-JP"/>
        </w:rPr>
        <w:t xml:space="preserve"> channel or cycle.</w:t>
      </w:r>
    </w:p>
    <w:p w14:paraId="31969688" w14:textId="77777777" w:rsidR="00D27600" w:rsidRPr="00FE6C21" w:rsidRDefault="00D27600" w:rsidP="00515232">
      <w:pPr>
        <w:rPr>
          <w:rFonts w:eastAsia="Cambria"/>
          <w:lang w:eastAsia="ja-JP"/>
        </w:rPr>
      </w:pPr>
      <w:r w:rsidRPr="00FE6C21">
        <w:rPr>
          <w:rFonts w:eastAsia="Cambria"/>
          <w:lang w:eastAsia="ja-JP"/>
        </w:rPr>
        <w:t xml:space="preserve">Eligible businesses were enrolled in four ‘batches’ over approximately two months and randomisation was repeated </w:t>
      </w:r>
      <w:r w:rsidRPr="00FE6C21">
        <w:rPr>
          <w:rFonts w:eastAsia="Cambria"/>
        </w:rPr>
        <w:t>for</w:t>
      </w:r>
      <w:r w:rsidRPr="00FE6C21">
        <w:rPr>
          <w:rFonts w:eastAsia="Cambria"/>
          <w:lang w:eastAsia="ja-JP"/>
        </w:rPr>
        <w:t xml:space="preserve"> each batch. Eligible businesses were matched into triplets exhibiting similar characteristics based on the number of days they were non-compliant in the month before the trial. A computer algorithm then performed the randomisation so one business from each triplet was assigned to each group. We did not match by business segment as size of the business was not related to whether or not a business was compliant in analyses undertaken with baseline data when the trial was being designed.</w:t>
      </w:r>
      <w:r w:rsidRPr="00FE6C21">
        <w:rPr>
          <w:rFonts w:eastAsia="Cambria"/>
          <w:lang w:val="en-GB" w:eastAsia="ja-JP"/>
        </w:rPr>
        <w:t xml:space="preserve"> </w:t>
      </w:r>
    </w:p>
    <w:p w14:paraId="01591B89" w14:textId="010C567E" w:rsidR="0069344B" w:rsidRDefault="00D27600" w:rsidP="00515232">
      <w:pPr>
        <w:rPr>
          <w:rFonts w:eastAsia="Cambria"/>
          <w:lang w:eastAsia="ja-JP"/>
        </w:rPr>
      </w:pPr>
      <w:r w:rsidRPr="00D27600">
        <w:rPr>
          <w:rFonts w:eastAsia="Cambria"/>
          <w:lang w:eastAsia="ja-JP"/>
        </w:rPr>
        <w:t>The final analysis sample size was 1,279 businesses. We undertook intention</w:t>
      </w:r>
      <w:r w:rsidR="00283638">
        <w:rPr>
          <w:rFonts w:eastAsia="Cambria"/>
          <w:lang w:eastAsia="ja-JP"/>
        </w:rPr>
        <w:noBreakHyphen/>
      </w:r>
      <w:r w:rsidRPr="00D27600">
        <w:rPr>
          <w:rFonts w:eastAsia="Cambria"/>
          <w:lang w:eastAsia="ja-JP"/>
        </w:rPr>
        <w:t>to</w:t>
      </w:r>
      <w:r w:rsidR="00283638">
        <w:rPr>
          <w:rFonts w:eastAsia="Cambria"/>
          <w:lang w:eastAsia="ja-JP"/>
        </w:rPr>
        <w:noBreakHyphen/>
      </w:r>
      <w:r w:rsidRPr="00D27600">
        <w:rPr>
          <w:rFonts w:eastAsia="Cambria"/>
          <w:lang w:eastAsia="ja-JP"/>
        </w:rPr>
        <w:t xml:space="preserve">treat analysis, that is, analysis was undertaken by random assignment to the three groups even if, for example, emails bounced back. </w:t>
      </w:r>
      <w:r w:rsidR="00F72DE4">
        <w:rPr>
          <w:rFonts w:eastAsia="Cambria"/>
          <w:lang w:eastAsia="ja-JP"/>
        </w:rPr>
        <w:t xml:space="preserve">We excluded seven businesses for whom we did not have outcome data because they exited the Scheme before the end of the trial. </w:t>
      </w:r>
    </w:p>
    <w:p w14:paraId="6649EC95" w14:textId="671436C5" w:rsidR="00D27600" w:rsidRPr="00D27600" w:rsidRDefault="00D27600" w:rsidP="00515232">
      <w:pPr>
        <w:rPr>
          <w:rFonts w:eastAsia="Cambria"/>
          <w:lang w:eastAsia="ja-JP"/>
        </w:rPr>
      </w:pPr>
      <w:r w:rsidRPr="00D27600">
        <w:rPr>
          <w:rFonts w:eastAsia="Cambria"/>
          <w:lang w:val="en-GB" w:eastAsia="ja-JP"/>
        </w:rPr>
        <w:t xml:space="preserve">For the outcome measuring the </w:t>
      </w:r>
      <w:r w:rsidRPr="00515232">
        <w:rPr>
          <w:rFonts w:eastAsia="Cambria"/>
        </w:rPr>
        <w:t>proportion</w:t>
      </w:r>
      <w:r w:rsidRPr="00D27600">
        <w:rPr>
          <w:rFonts w:eastAsia="Cambria"/>
          <w:lang w:val="en-GB" w:eastAsia="ja-JP"/>
        </w:rPr>
        <w:t xml:space="preserve"> of businesses who became compliant, assuming alpha = 0.05 and power = 0.8, the study was powered to detect a 10</w:t>
      </w:r>
      <w:r w:rsidR="00283638">
        <w:rPr>
          <w:rFonts w:eastAsia="Cambria"/>
          <w:lang w:val="en-GB" w:eastAsia="ja-JP"/>
        </w:rPr>
        <w:t> </w:t>
      </w:r>
      <w:r w:rsidRPr="00D27600">
        <w:rPr>
          <w:rFonts w:eastAsia="Cambria"/>
          <w:lang w:val="en-GB" w:eastAsia="ja-JP"/>
        </w:rPr>
        <w:t>per</w:t>
      </w:r>
      <w:r w:rsidR="00283638">
        <w:rPr>
          <w:rFonts w:eastAsia="Cambria"/>
          <w:lang w:val="en-GB" w:eastAsia="ja-JP"/>
        </w:rPr>
        <w:t> </w:t>
      </w:r>
      <w:r w:rsidRPr="00D27600">
        <w:rPr>
          <w:rFonts w:eastAsia="Cambria"/>
          <w:lang w:val="en-GB" w:eastAsia="ja-JP"/>
        </w:rPr>
        <w:t>cent increase in compliance.</w:t>
      </w:r>
      <w:r w:rsidR="0006174E">
        <w:rPr>
          <w:rFonts w:eastAsia="Cambria"/>
          <w:lang w:val="en-GB" w:eastAsia="ja-JP"/>
        </w:rPr>
        <w:t xml:space="preserve"> </w:t>
      </w:r>
    </w:p>
    <w:p w14:paraId="3D05EB2B" w14:textId="77777777" w:rsidR="00D27600" w:rsidRPr="00D27600" w:rsidRDefault="00D27600" w:rsidP="00515232">
      <w:pPr>
        <w:rPr>
          <w:rFonts w:eastAsia="Cambria"/>
          <w:lang w:eastAsia="ja-JP"/>
        </w:rPr>
      </w:pPr>
      <w:r w:rsidRPr="00D27600">
        <w:rPr>
          <w:rFonts w:eastAsia="Cambria"/>
          <w:lang w:eastAsia="ja-JP"/>
        </w:rPr>
        <w:t xml:space="preserve">Businesses were non-compliant on a particular day if they met </w:t>
      </w:r>
      <w:r w:rsidRPr="00515232">
        <w:rPr>
          <w:rFonts w:eastAsia="Cambria"/>
        </w:rPr>
        <w:t>one</w:t>
      </w:r>
      <w:r w:rsidRPr="00D27600">
        <w:rPr>
          <w:rFonts w:eastAsia="Cambria"/>
          <w:lang w:eastAsia="ja-JP"/>
        </w:rPr>
        <w:t xml:space="preserve"> or more of these conditions:</w:t>
      </w:r>
    </w:p>
    <w:p w14:paraId="271B9EB3" w14:textId="4AD6AEB5" w:rsidR="00D27600" w:rsidRPr="00D27600" w:rsidRDefault="00D27600" w:rsidP="00FE6C21">
      <w:pPr>
        <w:pStyle w:val="ListBullet"/>
        <w:spacing w:before="100" w:after="100"/>
        <w:rPr>
          <w:rFonts w:eastAsia="Cambria"/>
          <w:lang w:eastAsia="ja-JP"/>
        </w:rPr>
      </w:pPr>
      <w:r w:rsidRPr="00D27600">
        <w:rPr>
          <w:rFonts w:eastAsia="Cambria"/>
          <w:lang w:eastAsia="ja-JP"/>
        </w:rPr>
        <w:t>debt exceeding payment arrangements</w:t>
      </w:r>
      <w:r w:rsidR="00653670">
        <w:rPr>
          <w:rFonts w:eastAsia="Cambria"/>
          <w:lang w:eastAsia="ja-JP"/>
        </w:rPr>
        <w:t>;</w:t>
      </w:r>
    </w:p>
    <w:p w14:paraId="69A3F6D7" w14:textId="71412195" w:rsidR="00D27600" w:rsidRPr="00D27600" w:rsidRDefault="00D27600" w:rsidP="00FE6C21">
      <w:pPr>
        <w:pStyle w:val="ListBullet"/>
        <w:spacing w:before="100" w:after="100"/>
        <w:rPr>
          <w:rFonts w:eastAsia="Cambria"/>
          <w:lang w:eastAsia="ja-JP"/>
        </w:rPr>
      </w:pPr>
      <w:r w:rsidRPr="00D27600">
        <w:rPr>
          <w:rFonts w:eastAsia="Cambria"/>
          <w:lang w:eastAsia="ja-JP"/>
        </w:rPr>
        <w:t>active insolvency</w:t>
      </w:r>
      <w:r w:rsidR="00653670">
        <w:rPr>
          <w:rFonts w:eastAsia="Cambria"/>
          <w:lang w:eastAsia="ja-JP"/>
        </w:rPr>
        <w:t>;</w:t>
      </w:r>
    </w:p>
    <w:p w14:paraId="524190B0" w14:textId="20247F58" w:rsidR="00D27600" w:rsidRPr="00D27600" w:rsidRDefault="00D27600" w:rsidP="00FE6C21">
      <w:pPr>
        <w:pStyle w:val="ListBullet"/>
        <w:spacing w:before="100" w:after="100"/>
        <w:rPr>
          <w:rFonts w:eastAsia="Cambria"/>
          <w:lang w:eastAsia="ja-JP"/>
        </w:rPr>
      </w:pPr>
      <w:r w:rsidRPr="00D27600">
        <w:rPr>
          <w:rFonts w:eastAsia="Cambria"/>
          <w:lang w:eastAsia="ja-JP"/>
        </w:rPr>
        <w:t>not lodging monthly</w:t>
      </w:r>
      <w:r w:rsidR="00653670">
        <w:rPr>
          <w:rFonts w:eastAsia="Cambria"/>
          <w:lang w:eastAsia="ja-JP"/>
        </w:rPr>
        <w:t>;</w:t>
      </w:r>
    </w:p>
    <w:p w14:paraId="38589012" w14:textId="200AFBE5" w:rsidR="00D27600" w:rsidRPr="00D27600" w:rsidRDefault="00D27600" w:rsidP="00FE6C21">
      <w:pPr>
        <w:pStyle w:val="ListBullet"/>
        <w:spacing w:before="100" w:after="100"/>
        <w:rPr>
          <w:rFonts w:eastAsia="Cambria"/>
          <w:lang w:eastAsia="ja-JP"/>
        </w:rPr>
      </w:pPr>
      <w:r w:rsidRPr="00D27600">
        <w:rPr>
          <w:rFonts w:eastAsia="Cambria"/>
          <w:lang w:eastAsia="ja-JP"/>
        </w:rPr>
        <w:t>not lodging via online portal</w:t>
      </w:r>
      <w:r w:rsidR="00653670">
        <w:rPr>
          <w:rFonts w:eastAsia="Cambria"/>
          <w:lang w:eastAsia="ja-JP"/>
        </w:rPr>
        <w:t>;</w:t>
      </w:r>
    </w:p>
    <w:p w14:paraId="389BDE1A" w14:textId="58FA2181" w:rsidR="00D27600" w:rsidRPr="00D27600" w:rsidRDefault="00D27600" w:rsidP="00FE6C21">
      <w:pPr>
        <w:pStyle w:val="ListBullet"/>
        <w:spacing w:before="100" w:after="100"/>
        <w:rPr>
          <w:rFonts w:eastAsia="Cambria"/>
          <w:lang w:eastAsia="ja-JP"/>
        </w:rPr>
      </w:pPr>
      <w:r w:rsidRPr="00D27600">
        <w:rPr>
          <w:rFonts w:eastAsia="Cambria"/>
          <w:lang w:eastAsia="ja-JP"/>
        </w:rPr>
        <w:t>overdue Business Activity Statement (BAS)</w:t>
      </w:r>
      <w:r w:rsidR="00653670">
        <w:rPr>
          <w:rFonts w:eastAsia="Cambria"/>
          <w:lang w:eastAsia="ja-JP"/>
        </w:rPr>
        <w:t>;</w:t>
      </w:r>
      <w:r w:rsidRPr="00D27600">
        <w:rPr>
          <w:rFonts w:eastAsia="Cambria"/>
          <w:lang w:eastAsia="ja-JP"/>
        </w:rPr>
        <w:t xml:space="preserve"> </w:t>
      </w:r>
    </w:p>
    <w:p w14:paraId="4EA463EF" w14:textId="5D0F9491" w:rsidR="00D27600" w:rsidRPr="00D27600" w:rsidRDefault="00D27600" w:rsidP="00FE6C21">
      <w:pPr>
        <w:pStyle w:val="ListBullet"/>
        <w:spacing w:before="100" w:after="100"/>
        <w:rPr>
          <w:rFonts w:eastAsia="Cambria"/>
          <w:lang w:eastAsia="ja-JP"/>
        </w:rPr>
      </w:pPr>
      <w:r w:rsidRPr="00D27600">
        <w:rPr>
          <w:rFonts w:eastAsia="Cambria"/>
          <w:lang w:eastAsia="ja-JP"/>
        </w:rPr>
        <w:t>overdue Fringe Benefits Tax (FBT) returns</w:t>
      </w:r>
      <w:r w:rsidR="00653670">
        <w:rPr>
          <w:rFonts w:eastAsia="Cambria"/>
          <w:lang w:eastAsia="ja-JP"/>
        </w:rPr>
        <w:t>;</w:t>
      </w:r>
    </w:p>
    <w:p w14:paraId="7A0F50F6" w14:textId="4624D2D7" w:rsidR="00E255C0" w:rsidRPr="00FE6C21" w:rsidRDefault="00D27600" w:rsidP="00FF7E2C">
      <w:pPr>
        <w:pStyle w:val="ListBullet"/>
        <w:keepLines w:val="0"/>
        <w:spacing w:before="0" w:after="0" w:line="240" w:lineRule="auto"/>
        <w:rPr>
          <w:rFonts w:eastAsia="Cambria"/>
          <w:lang w:eastAsia="ja-JP"/>
        </w:rPr>
      </w:pPr>
      <w:proofErr w:type="gramStart"/>
      <w:r w:rsidRPr="00FE6C21">
        <w:rPr>
          <w:rFonts w:eastAsia="Cambria"/>
          <w:lang w:eastAsia="ja-JP"/>
        </w:rPr>
        <w:t>overdue</w:t>
      </w:r>
      <w:proofErr w:type="gramEnd"/>
      <w:r w:rsidRPr="00FE6C21">
        <w:rPr>
          <w:rFonts w:eastAsia="Cambria"/>
          <w:lang w:eastAsia="ja-JP"/>
        </w:rPr>
        <w:t xml:space="preserve"> Income Tax Returns (ITR)</w:t>
      </w:r>
      <w:r w:rsidR="00653670">
        <w:rPr>
          <w:rFonts w:eastAsia="Cambria"/>
          <w:lang w:eastAsia="ja-JP"/>
        </w:rPr>
        <w:t>.</w:t>
      </w:r>
      <w:r w:rsidR="00E255C0" w:rsidRPr="00FE6C21">
        <w:rPr>
          <w:rFonts w:eastAsia="Cambria"/>
          <w:lang w:eastAsia="ja-JP"/>
        </w:rPr>
        <w:br w:type="page"/>
      </w:r>
    </w:p>
    <w:p w14:paraId="7A519A5F" w14:textId="77777777" w:rsidR="00D27600" w:rsidRPr="00D27600" w:rsidRDefault="00D27600" w:rsidP="00515232">
      <w:pPr>
        <w:rPr>
          <w:rFonts w:eastAsia="Cambria"/>
          <w:lang w:eastAsia="ja-JP"/>
        </w:rPr>
      </w:pPr>
      <w:r w:rsidRPr="00D27600">
        <w:rPr>
          <w:rFonts w:eastAsia="Cambria"/>
          <w:lang w:eastAsia="ja-JP"/>
        </w:rPr>
        <w:lastRenderedPageBreak/>
        <w:t xml:space="preserve">The outcome variables for this trial were point in time compliance after day 14 (i.e. compliance on a particular day, day 15), point in time compliance after day 21 (at day 22), total payment made over the 21-day period, number of calls to the ATO and the difference in client account balance at the start and end of the trial. </w:t>
      </w:r>
    </w:p>
    <w:p w14:paraId="306AC652" w14:textId="326BF363" w:rsidR="0064365A" w:rsidRPr="0064365A" w:rsidRDefault="00D27600" w:rsidP="00515232">
      <w:pPr>
        <w:pStyle w:val="Heading3"/>
      </w:pPr>
      <w:r>
        <w:t>New businesses trial</w:t>
      </w:r>
    </w:p>
    <w:p w14:paraId="759BA69C" w14:textId="77777777" w:rsidR="00D27600" w:rsidRPr="00D27600" w:rsidRDefault="00D27600" w:rsidP="00515232">
      <w:pPr>
        <w:rPr>
          <w:rFonts w:eastAsia="Cambria"/>
          <w:lang w:eastAsia="ja-JP"/>
        </w:rPr>
      </w:pPr>
      <w:r w:rsidRPr="00D27600">
        <w:rPr>
          <w:rFonts w:eastAsia="Cambria"/>
          <w:lang w:eastAsia="ja-JP"/>
        </w:rPr>
        <w:t xml:space="preserve">Businesses were allocated to either the treatment or control group using a simple randomisation process based on the final digit of </w:t>
      </w:r>
      <w:r w:rsidRPr="00515232">
        <w:rPr>
          <w:rFonts w:eastAsia="Cambria"/>
        </w:rPr>
        <w:t>their</w:t>
      </w:r>
      <w:r w:rsidRPr="00D27600">
        <w:rPr>
          <w:rFonts w:eastAsia="Cambria"/>
          <w:lang w:eastAsia="ja-JP"/>
        </w:rPr>
        <w:t xml:space="preserve"> Australian Business Number. The randomisation process was repeated for each new business that signed onto the Scheme over a three month period. The final sample was 332 businesses but four exited the Scheme before the end of the trial. As with the existing businesses trial, we undertook intention</w:t>
      </w:r>
      <w:r w:rsidRPr="00D27600">
        <w:rPr>
          <w:rFonts w:eastAsia="Cambria"/>
          <w:lang w:eastAsia="ja-JP"/>
        </w:rPr>
        <w:noBreakHyphen/>
        <w:t>to</w:t>
      </w:r>
      <w:r w:rsidRPr="00D27600">
        <w:rPr>
          <w:rFonts w:eastAsia="Cambria"/>
          <w:lang w:eastAsia="ja-JP"/>
        </w:rPr>
        <w:noBreakHyphen/>
        <w:t>treat analysis.</w:t>
      </w:r>
    </w:p>
    <w:p w14:paraId="76940E20" w14:textId="77777777" w:rsidR="00D27600" w:rsidRPr="00D27600" w:rsidRDefault="00D27600" w:rsidP="00515232">
      <w:pPr>
        <w:rPr>
          <w:rFonts w:eastAsia="Cambria"/>
          <w:lang w:eastAsia="ja-JP"/>
        </w:rPr>
      </w:pPr>
      <w:r w:rsidRPr="00D27600">
        <w:rPr>
          <w:rFonts w:eastAsia="Cambria"/>
          <w:lang w:eastAsia="ja-JP"/>
        </w:rPr>
        <w:t>For the outcome measuring the proportion of businesses that remained compliant, assuming an initial compliance rate of 75 per cent, alpha = 0.05 and power = 0.8, the study was powered to detect a 12.5 percentage point increase in compliance.</w:t>
      </w:r>
    </w:p>
    <w:p w14:paraId="6C7A74DE" w14:textId="77777777" w:rsidR="00D27600" w:rsidRPr="00515232" w:rsidRDefault="00D27600" w:rsidP="00515232">
      <w:pPr>
        <w:rPr>
          <w:rFonts w:eastAsia="Cambria"/>
        </w:rPr>
      </w:pPr>
      <w:r w:rsidRPr="00D27600">
        <w:rPr>
          <w:rFonts w:eastAsia="Cambria"/>
          <w:lang w:eastAsia="ja-JP"/>
        </w:rPr>
        <w:t xml:space="preserve">The emails were sent out in </w:t>
      </w:r>
      <w:r w:rsidRPr="00515232">
        <w:rPr>
          <w:rFonts w:eastAsia="Cambria"/>
        </w:rPr>
        <w:t>12 batches (over 12 weeks) as new businesses joined the Scheme. To ensure consistency in measurement, businesses were monitored for exactly two months from receipt of either just the standard registration letter or the letter and the planning prompt email.</w:t>
      </w:r>
    </w:p>
    <w:p w14:paraId="76F77ADF" w14:textId="77777777" w:rsidR="00D27600" w:rsidRPr="00515232" w:rsidRDefault="00D27600" w:rsidP="00515232">
      <w:pPr>
        <w:rPr>
          <w:rFonts w:eastAsia="Cambria"/>
        </w:rPr>
      </w:pPr>
      <w:r w:rsidRPr="00515232">
        <w:rPr>
          <w:rFonts w:eastAsia="Cambria"/>
        </w:rPr>
        <w:t xml:space="preserve">The outcome variables for this trial were compliance for 30 days (mid-point of the follow-up period) and compliance for all 60 days of the trial. We also examined proportion of days compliant over the 30-day and 60-day period. </w:t>
      </w:r>
    </w:p>
    <w:p w14:paraId="0F31AA43" w14:textId="70724E9A" w:rsidR="00D27600" w:rsidRPr="00D27600" w:rsidRDefault="00D27600" w:rsidP="00515232">
      <w:pPr>
        <w:rPr>
          <w:rFonts w:eastAsia="Cambria"/>
          <w:lang w:eastAsia="ja-JP"/>
        </w:rPr>
      </w:pPr>
      <w:r w:rsidRPr="00515232">
        <w:rPr>
          <w:rFonts w:eastAsia="Cambria"/>
        </w:rPr>
        <w:t xml:space="preserve">For some analyses (e.g. the number of days it took existing businesses to become compliant and whether businesses were compliant for all 60 days for new businesses), we needed compliance data for each calendar day. Compliance data </w:t>
      </w:r>
      <w:r w:rsidR="001B62FC" w:rsidRPr="00515232">
        <w:rPr>
          <w:rFonts w:eastAsia="Cambria"/>
        </w:rPr>
        <w:t>was</w:t>
      </w:r>
      <w:r w:rsidRPr="00515232">
        <w:rPr>
          <w:rFonts w:eastAsia="Cambria"/>
        </w:rPr>
        <w:t xml:space="preserve"> not available on weekends or public holidays and there were also a few days when it was unavailable due to system outages. For missing days, we used data from the last day for which</w:t>
      </w:r>
      <w:r w:rsidRPr="00D27600">
        <w:rPr>
          <w:rFonts w:eastAsia="Cambria"/>
          <w:lang w:eastAsia="ja-JP"/>
        </w:rPr>
        <w:t xml:space="preserve"> compliance data was available (e.g. for weekends, we assigned compliance data from Fridays). We could have taken other approaches for missing data (e.g. assign</w:t>
      </w:r>
      <w:r w:rsidR="001B62FC">
        <w:rPr>
          <w:rFonts w:eastAsia="Cambria"/>
          <w:lang w:eastAsia="ja-JP"/>
        </w:rPr>
        <w:t>ed</w:t>
      </w:r>
      <w:r w:rsidRPr="00D27600">
        <w:rPr>
          <w:rFonts w:eastAsia="Cambria"/>
          <w:lang w:eastAsia="ja-JP"/>
        </w:rPr>
        <w:t xml:space="preserve"> missing data with data from the next available day) but we expect</w:t>
      </w:r>
      <w:r w:rsidR="001B62FC">
        <w:rPr>
          <w:rFonts w:eastAsia="Cambria"/>
          <w:lang w:eastAsia="ja-JP"/>
        </w:rPr>
        <w:t xml:space="preserve"> there would have been</w:t>
      </w:r>
      <w:r w:rsidRPr="00D27600">
        <w:rPr>
          <w:rFonts w:eastAsia="Cambria"/>
          <w:lang w:eastAsia="ja-JP"/>
        </w:rPr>
        <w:t xml:space="preserve"> little difference in findings irrespective of the approach used for missing data.</w:t>
      </w:r>
    </w:p>
    <w:p w14:paraId="6B9A24E4" w14:textId="77777777" w:rsidR="00D27600" w:rsidRPr="00ED7E2C" w:rsidRDefault="00D27600" w:rsidP="00ED7E2C">
      <w:r>
        <w:br w:type="page"/>
      </w:r>
    </w:p>
    <w:p w14:paraId="6B016DC6" w14:textId="77777777" w:rsidR="009F4842" w:rsidRPr="00852002" w:rsidRDefault="009F4842" w:rsidP="00095119">
      <w:pPr>
        <w:pStyle w:val="Heading2"/>
      </w:pPr>
      <w:r>
        <w:lastRenderedPageBreak/>
        <w:t>Appendix 3 – Key statistical tables from the existing businesses trial</w:t>
      </w:r>
    </w:p>
    <w:p w14:paraId="30DD29A2" w14:textId="1E959FC9" w:rsidR="009F4842" w:rsidRPr="009744C4" w:rsidRDefault="00515232" w:rsidP="00515232">
      <w:pPr>
        <w:pStyle w:val="FigureHeading"/>
        <w:rPr>
          <w:rFonts w:eastAsia="Cambria"/>
        </w:rPr>
      </w:pPr>
      <w:r w:rsidRPr="009744C4">
        <w:rPr>
          <w:rFonts w:eastAsia="Cambria"/>
        </w:rPr>
        <w:t xml:space="preserve">Table 3.1 – </w:t>
      </w:r>
      <w:r>
        <w:rPr>
          <w:rFonts w:eastAsia="Cambria"/>
        </w:rPr>
        <w:t>B</w:t>
      </w:r>
      <w:r w:rsidRPr="009744C4">
        <w:rPr>
          <w:rFonts w:eastAsia="Cambria"/>
        </w:rPr>
        <w:t xml:space="preserve">aseline characteristics of non-compliant businesses </w:t>
      </w:r>
    </w:p>
    <w:tbl>
      <w:tblPr>
        <w:tblStyle w:val="DefaultTable"/>
        <w:tblW w:w="9923" w:type="dxa"/>
        <w:tblLook w:val="04A0" w:firstRow="1" w:lastRow="0" w:firstColumn="1" w:lastColumn="0" w:noHBand="0" w:noVBand="1"/>
        <w:tblCaption w:val="Baseline characteristics of non-compliant businesses"/>
        <w:tblDescription w:val="A chart showing total sample size, the number of days non-compliant one month before the trial, Small to Medium Segment, Micro Segment, Large and other."/>
      </w:tblPr>
      <w:tblGrid>
        <w:gridCol w:w="2127"/>
        <w:gridCol w:w="1180"/>
        <w:gridCol w:w="1371"/>
        <w:gridCol w:w="1559"/>
        <w:gridCol w:w="1843"/>
        <w:gridCol w:w="1843"/>
      </w:tblGrid>
      <w:tr w:rsidR="008B1D16" w:rsidRPr="00515232" w14:paraId="0DB0FC73" w14:textId="77777777" w:rsidTr="003F08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142E3A" w:themeFill="text2"/>
          </w:tcPr>
          <w:p w14:paraId="2F930A7D" w14:textId="77777777" w:rsidR="009F4842" w:rsidRPr="00515232" w:rsidRDefault="009F4842" w:rsidP="00515232">
            <w:pPr>
              <w:pStyle w:val="TableHeading"/>
              <w:rPr>
                <w:rFonts w:eastAsia="Cambria"/>
              </w:rPr>
            </w:pPr>
            <w:r w:rsidRPr="00515232">
              <w:rPr>
                <w:rFonts w:eastAsia="Cambria"/>
              </w:rPr>
              <w:t>Characteristics</w:t>
            </w:r>
          </w:p>
        </w:tc>
        <w:tc>
          <w:tcPr>
            <w:tcW w:w="1180" w:type="dxa"/>
            <w:shd w:val="clear" w:color="auto" w:fill="142E3A" w:themeFill="text2"/>
          </w:tcPr>
          <w:p w14:paraId="370620B2" w14:textId="77777777" w:rsidR="009F4842" w:rsidRPr="00515232" w:rsidRDefault="009F4842" w:rsidP="00515232">
            <w:pPr>
              <w:pStyle w:val="TableHeading"/>
              <w:cnfStyle w:val="100000000000" w:firstRow="1" w:lastRow="0" w:firstColumn="0" w:lastColumn="0" w:oddVBand="0" w:evenVBand="0" w:oddHBand="0" w:evenHBand="0" w:firstRowFirstColumn="0" w:firstRowLastColumn="0" w:lastRowFirstColumn="0" w:lastRowLastColumn="0"/>
              <w:rPr>
                <w:rFonts w:eastAsia="Cambria"/>
              </w:rPr>
            </w:pPr>
          </w:p>
        </w:tc>
        <w:tc>
          <w:tcPr>
            <w:tcW w:w="1371" w:type="dxa"/>
            <w:shd w:val="clear" w:color="auto" w:fill="142E3A" w:themeFill="text2"/>
          </w:tcPr>
          <w:p w14:paraId="01212ADA" w14:textId="038AD2F6" w:rsidR="009F4842" w:rsidRPr="00515232"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r w:rsidRPr="00515232">
              <w:rPr>
                <w:rFonts w:eastAsia="Cambria"/>
              </w:rPr>
              <w:t>Direct email</w:t>
            </w:r>
          </w:p>
        </w:tc>
        <w:tc>
          <w:tcPr>
            <w:tcW w:w="1559" w:type="dxa"/>
            <w:shd w:val="clear" w:color="auto" w:fill="142E3A" w:themeFill="text2"/>
          </w:tcPr>
          <w:p w14:paraId="7075AD08" w14:textId="7087533E" w:rsidR="009F4842" w:rsidRPr="00515232"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r w:rsidRPr="00515232">
              <w:rPr>
                <w:rFonts w:eastAsia="Cambria"/>
              </w:rPr>
              <w:t>Cooperative email</w:t>
            </w:r>
          </w:p>
        </w:tc>
        <w:tc>
          <w:tcPr>
            <w:tcW w:w="1843" w:type="dxa"/>
            <w:shd w:val="clear" w:color="auto" w:fill="142E3A" w:themeFill="text2"/>
          </w:tcPr>
          <w:p w14:paraId="6D7C02D1" w14:textId="77777777" w:rsidR="009F4842" w:rsidRPr="00515232"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r w:rsidRPr="00515232">
              <w:rPr>
                <w:rFonts w:eastAsia="Cambria"/>
              </w:rPr>
              <w:t>Combined email (direct + cooperative)</w:t>
            </w:r>
          </w:p>
        </w:tc>
        <w:tc>
          <w:tcPr>
            <w:tcW w:w="1843" w:type="dxa"/>
            <w:shd w:val="clear" w:color="auto" w:fill="142E3A" w:themeFill="text2"/>
          </w:tcPr>
          <w:p w14:paraId="4984FB7E" w14:textId="7B570720" w:rsidR="009F4842" w:rsidRPr="00515232"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r w:rsidRPr="00515232">
              <w:rPr>
                <w:rFonts w:eastAsia="Cambria"/>
              </w:rPr>
              <w:t>Control</w:t>
            </w:r>
          </w:p>
        </w:tc>
      </w:tr>
      <w:tr w:rsidR="009F4842" w:rsidRPr="00C56211" w14:paraId="4DECA2FC" w14:textId="77777777" w:rsidTr="005158ED">
        <w:tc>
          <w:tcPr>
            <w:cnfStyle w:val="001000000000" w:firstRow="0" w:lastRow="0" w:firstColumn="1" w:lastColumn="0" w:oddVBand="0" w:evenVBand="0" w:oddHBand="0" w:evenHBand="0" w:firstRowFirstColumn="0" w:firstRowLastColumn="0" w:lastRowFirstColumn="0" w:lastRowLastColumn="0"/>
            <w:tcW w:w="2127" w:type="dxa"/>
            <w:vAlign w:val="center"/>
          </w:tcPr>
          <w:p w14:paraId="59D17BED" w14:textId="77777777" w:rsidR="009F4842" w:rsidRPr="00515232" w:rsidRDefault="009F4842" w:rsidP="00515232">
            <w:pPr>
              <w:pStyle w:val="TableText"/>
              <w:rPr>
                <w:rFonts w:eastAsia="Cambria"/>
              </w:rPr>
            </w:pPr>
            <w:r w:rsidRPr="00515232">
              <w:rPr>
                <w:rFonts w:eastAsia="Cambria"/>
              </w:rPr>
              <w:t>Total sample size</w:t>
            </w:r>
          </w:p>
        </w:tc>
        <w:tc>
          <w:tcPr>
            <w:tcW w:w="1180" w:type="dxa"/>
            <w:vAlign w:val="center"/>
          </w:tcPr>
          <w:p w14:paraId="548C1D1F" w14:textId="77777777" w:rsidR="009F4842" w:rsidRPr="00515232" w:rsidRDefault="009F4842" w:rsidP="00515232">
            <w:pPr>
              <w:pStyle w:val="TableText"/>
              <w:cnfStyle w:val="000000000000" w:firstRow="0" w:lastRow="0" w:firstColumn="0" w:lastColumn="0" w:oddVBand="0" w:evenVBand="0" w:oddHBand="0" w:evenHBand="0" w:firstRowFirstColumn="0" w:firstRowLastColumn="0" w:lastRowFirstColumn="0" w:lastRowLastColumn="0"/>
              <w:rPr>
                <w:rFonts w:eastAsia="Cambria"/>
              </w:rPr>
            </w:pPr>
          </w:p>
        </w:tc>
        <w:tc>
          <w:tcPr>
            <w:tcW w:w="1371" w:type="dxa"/>
            <w:vAlign w:val="center"/>
          </w:tcPr>
          <w:p w14:paraId="1E4608ED"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427</w:t>
            </w:r>
          </w:p>
        </w:tc>
        <w:tc>
          <w:tcPr>
            <w:tcW w:w="1559" w:type="dxa"/>
            <w:vAlign w:val="center"/>
          </w:tcPr>
          <w:p w14:paraId="7FD13DB1"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427</w:t>
            </w:r>
          </w:p>
        </w:tc>
        <w:tc>
          <w:tcPr>
            <w:tcW w:w="1843" w:type="dxa"/>
            <w:vAlign w:val="center"/>
          </w:tcPr>
          <w:p w14:paraId="1938A816"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854</w:t>
            </w:r>
          </w:p>
        </w:tc>
        <w:tc>
          <w:tcPr>
            <w:tcW w:w="1843" w:type="dxa"/>
            <w:vAlign w:val="center"/>
          </w:tcPr>
          <w:p w14:paraId="2D952657"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425</w:t>
            </w:r>
          </w:p>
        </w:tc>
      </w:tr>
      <w:tr w:rsidR="009F4842" w:rsidRPr="00C56211" w14:paraId="2D4B8B9A" w14:textId="77777777" w:rsidTr="005158ED">
        <w:tc>
          <w:tcPr>
            <w:cnfStyle w:val="001000000000" w:firstRow="0" w:lastRow="0" w:firstColumn="1" w:lastColumn="0" w:oddVBand="0" w:evenVBand="0" w:oddHBand="0" w:evenHBand="0" w:firstRowFirstColumn="0" w:firstRowLastColumn="0" w:lastRowFirstColumn="0" w:lastRowLastColumn="0"/>
            <w:tcW w:w="2127" w:type="dxa"/>
            <w:vAlign w:val="center"/>
          </w:tcPr>
          <w:p w14:paraId="0A356D0D" w14:textId="77777777" w:rsidR="009F4842" w:rsidRPr="00515232" w:rsidRDefault="009F4842" w:rsidP="00515232">
            <w:pPr>
              <w:pStyle w:val="TableText"/>
              <w:rPr>
                <w:rFonts w:eastAsia="Cambria"/>
              </w:rPr>
            </w:pPr>
            <w:r w:rsidRPr="00515232">
              <w:rPr>
                <w:rFonts w:eastAsia="Cambria"/>
              </w:rPr>
              <w:t>Number of d</w:t>
            </w:r>
            <w:bookmarkStart w:id="13" w:name="_GoBack"/>
            <w:bookmarkEnd w:id="13"/>
            <w:r w:rsidRPr="00515232">
              <w:rPr>
                <w:rFonts w:eastAsia="Cambria"/>
              </w:rPr>
              <w:t>ays non-compliant one month before the trial</w:t>
            </w:r>
          </w:p>
        </w:tc>
        <w:tc>
          <w:tcPr>
            <w:tcW w:w="1180" w:type="dxa"/>
            <w:vAlign w:val="center"/>
          </w:tcPr>
          <w:p w14:paraId="3EA5347C" w14:textId="77777777" w:rsidR="009F4842" w:rsidRPr="00515232" w:rsidRDefault="009F4842" w:rsidP="00515232">
            <w:pPr>
              <w:pStyle w:val="TableText"/>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mean (standard deviation)</w:t>
            </w:r>
          </w:p>
        </w:tc>
        <w:tc>
          <w:tcPr>
            <w:tcW w:w="1371" w:type="dxa"/>
            <w:vAlign w:val="center"/>
          </w:tcPr>
          <w:p w14:paraId="62DB4BB1"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15.9 (3.4)</w:t>
            </w:r>
          </w:p>
        </w:tc>
        <w:tc>
          <w:tcPr>
            <w:tcW w:w="1559" w:type="dxa"/>
            <w:vAlign w:val="center"/>
          </w:tcPr>
          <w:p w14:paraId="11F3AC8E"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15.9 (3.4)</w:t>
            </w:r>
          </w:p>
        </w:tc>
        <w:tc>
          <w:tcPr>
            <w:tcW w:w="1843" w:type="dxa"/>
            <w:vAlign w:val="center"/>
          </w:tcPr>
          <w:p w14:paraId="4C2F829A"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15.9 (3.4)</w:t>
            </w:r>
          </w:p>
        </w:tc>
        <w:tc>
          <w:tcPr>
            <w:tcW w:w="1843" w:type="dxa"/>
            <w:vAlign w:val="center"/>
          </w:tcPr>
          <w:p w14:paraId="55B21E91"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15.9 (3.4)</w:t>
            </w:r>
          </w:p>
        </w:tc>
      </w:tr>
      <w:tr w:rsidR="009F4842" w:rsidRPr="00C56211" w14:paraId="1BE5F8C7" w14:textId="77777777" w:rsidTr="005158ED">
        <w:tc>
          <w:tcPr>
            <w:cnfStyle w:val="001000000000" w:firstRow="0" w:lastRow="0" w:firstColumn="1" w:lastColumn="0" w:oddVBand="0" w:evenVBand="0" w:oddHBand="0" w:evenHBand="0" w:firstRowFirstColumn="0" w:firstRowLastColumn="0" w:lastRowFirstColumn="0" w:lastRowLastColumn="0"/>
            <w:tcW w:w="2127" w:type="dxa"/>
            <w:vAlign w:val="center"/>
          </w:tcPr>
          <w:p w14:paraId="46374E23" w14:textId="77777777" w:rsidR="009F4842" w:rsidRPr="00515232" w:rsidRDefault="009F4842" w:rsidP="00515232">
            <w:pPr>
              <w:pStyle w:val="TableText"/>
              <w:rPr>
                <w:rFonts w:eastAsia="Cambria"/>
              </w:rPr>
            </w:pPr>
            <w:r w:rsidRPr="00515232">
              <w:rPr>
                <w:rFonts w:eastAsia="Cambria"/>
              </w:rPr>
              <w:t>Small to Medium Segment</w:t>
            </w:r>
          </w:p>
        </w:tc>
        <w:tc>
          <w:tcPr>
            <w:tcW w:w="1180" w:type="dxa"/>
            <w:vAlign w:val="center"/>
          </w:tcPr>
          <w:p w14:paraId="52BD8196" w14:textId="77777777" w:rsidR="009F4842" w:rsidRPr="00515232" w:rsidRDefault="009F4842" w:rsidP="00515232">
            <w:pPr>
              <w:pStyle w:val="TableText"/>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N (%)</w:t>
            </w:r>
          </w:p>
        </w:tc>
        <w:tc>
          <w:tcPr>
            <w:tcW w:w="1371" w:type="dxa"/>
            <w:vAlign w:val="center"/>
          </w:tcPr>
          <w:p w14:paraId="4B212E69"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258 (60.4)</w:t>
            </w:r>
          </w:p>
        </w:tc>
        <w:tc>
          <w:tcPr>
            <w:tcW w:w="1559" w:type="dxa"/>
            <w:vAlign w:val="center"/>
          </w:tcPr>
          <w:p w14:paraId="52FE4098"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255 (59.7)</w:t>
            </w:r>
          </w:p>
        </w:tc>
        <w:tc>
          <w:tcPr>
            <w:tcW w:w="1843" w:type="dxa"/>
            <w:vAlign w:val="center"/>
          </w:tcPr>
          <w:p w14:paraId="7F00E7DF"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513(60.1)</w:t>
            </w:r>
          </w:p>
        </w:tc>
        <w:tc>
          <w:tcPr>
            <w:tcW w:w="1843" w:type="dxa"/>
            <w:vAlign w:val="center"/>
          </w:tcPr>
          <w:p w14:paraId="60CC625A"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259 (60.9)</w:t>
            </w:r>
          </w:p>
        </w:tc>
      </w:tr>
      <w:tr w:rsidR="009F4842" w:rsidRPr="00C56211" w14:paraId="0F437D44" w14:textId="77777777" w:rsidTr="005158ED">
        <w:tc>
          <w:tcPr>
            <w:cnfStyle w:val="001000000000" w:firstRow="0" w:lastRow="0" w:firstColumn="1" w:lastColumn="0" w:oddVBand="0" w:evenVBand="0" w:oddHBand="0" w:evenHBand="0" w:firstRowFirstColumn="0" w:firstRowLastColumn="0" w:lastRowFirstColumn="0" w:lastRowLastColumn="0"/>
            <w:tcW w:w="2127" w:type="dxa"/>
            <w:vAlign w:val="center"/>
          </w:tcPr>
          <w:p w14:paraId="6085BB37" w14:textId="77777777" w:rsidR="009F4842" w:rsidRPr="00515232" w:rsidRDefault="009F4842" w:rsidP="00515232">
            <w:pPr>
              <w:pStyle w:val="TableText"/>
              <w:rPr>
                <w:rFonts w:eastAsia="Cambria"/>
              </w:rPr>
            </w:pPr>
            <w:r w:rsidRPr="00515232">
              <w:rPr>
                <w:rFonts w:eastAsia="Cambria"/>
              </w:rPr>
              <w:t>Micro Segment</w:t>
            </w:r>
          </w:p>
        </w:tc>
        <w:tc>
          <w:tcPr>
            <w:tcW w:w="1180" w:type="dxa"/>
            <w:vAlign w:val="center"/>
          </w:tcPr>
          <w:p w14:paraId="056C0D6B" w14:textId="77777777" w:rsidR="009F4842" w:rsidRPr="00515232" w:rsidRDefault="009F4842" w:rsidP="00515232">
            <w:pPr>
              <w:pStyle w:val="TableText"/>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N (%)</w:t>
            </w:r>
          </w:p>
        </w:tc>
        <w:tc>
          <w:tcPr>
            <w:tcW w:w="1371" w:type="dxa"/>
            <w:vAlign w:val="center"/>
          </w:tcPr>
          <w:p w14:paraId="1D4B6C95"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145 (34.0)</w:t>
            </w:r>
          </w:p>
        </w:tc>
        <w:tc>
          <w:tcPr>
            <w:tcW w:w="1559" w:type="dxa"/>
            <w:vAlign w:val="center"/>
          </w:tcPr>
          <w:p w14:paraId="71915822"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153 (35.8)</w:t>
            </w:r>
          </w:p>
        </w:tc>
        <w:tc>
          <w:tcPr>
            <w:tcW w:w="1843" w:type="dxa"/>
            <w:vAlign w:val="center"/>
          </w:tcPr>
          <w:p w14:paraId="6FEEFF8B"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298 (34.9)</w:t>
            </w:r>
          </w:p>
        </w:tc>
        <w:tc>
          <w:tcPr>
            <w:tcW w:w="1843" w:type="dxa"/>
            <w:vAlign w:val="center"/>
          </w:tcPr>
          <w:p w14:paraId="3ECE669D"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141 (33.2)</w:t>
            </w:r>
          </w:p>
        </w:tc>
      </w:tr>
      <w:tr w:rsidR="009F4842" w:rsidRPr="00C56211" w14:paraId="0576D6C3" w14:textId="77777777" w:rsidTr="005158ED">
        <w:tc>
          <w:tcPr>
            <w:cnfStyle w:val="001000000000" w:firstRow="0" w:lastRow="0" w:firstColumn="1" w:lastColumn="0" w:oddVBand="0" w:evenVBand="0" w:oddHBand="0" w:evenHBand="0" w:firstRowFirstColumn="0" w:firstRowLastColumn="0" w:lastRowFirstColumn="0" w:lastRowLastColumn="0"/>
            <w:tcW w:w="2127" w:type="dxa"/>
            <w:vAlign w:val="center"/>
          </w:tcPr>
          <w:p w14:paraId="2B294038" w14:textId="3A6AD7E1" w:rsidR="009F4842" w:rsidRPr="00515232" w:rsidRDefault="009F4842" w:rsidP="00515232">
            <w:pPr>
              <w:pStyle w:val="TableText"/>
              <w:rPr>
                <w:rFonts w:eastAsia="Cambria"/>
              </w:rPr>
            </w:pPr>
            <w:r w:rsidRPr="00515232">
              <w:rPr>
                <w:rFonts w:eastAsia="Cambria"/>
              </w:rPr>
              <w:t>Large and other</w:t>
            </w:r>
            <w:r w:rsidR="00653670">
              <w:rPr>
                <w:rFonts w:eastAsia="Cambria"/>
              </w:rPr>
              <w:t xml:space="preserve"> Segment</w:t>
            </w:r>
          </w:p>
        </w:tc>
        <w:tc>
          <w:tcPr>
            <w:tcW w:w="1180" w:type="dxa"/>
            <w:vAlign w:val="center"/>
          </w:tcPr>
          <w:p w14:paraId="689165C1" w14:textId="77777777" w:rsidR="009F4842" w:rsidRPr="00515232" w:rsidRDefault="009F4842" w:rsidP="00515232">
            <w:pPr>
              <w:pStyle w:val="TableText"/>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N (%)</w:t>
            </w:r>
          </w:p>
        </w:tc>
        <w:tc>
          <w:tcPr>
            <w:tcW w:w="1371" w:type="dxa"/>
            <w:vAlign w:val="center"/>
          </w:tcPr>
          <w:p w14:paraId="2CF98CE8"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24 (5.6)</w:t>
            </w:r>
          </w:p>
        </w:tc>
        <w:tc>
          <w:tcPr>
            <w:tcW w:w="1559" w:type="dxa"/>
            <w:vAlign w:val="center"/>
          </w:tcPr>
          <w:p w14:paraId="7C9F7A6B"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19 (4.5)</w:t>
            </w:r>
          </w:p>
        </w:tc>
        <w:tc>
          <w:tcPr>
            <w:tcW w:w="1843" w:type="dxa"/>
            <w:vAlign w:val="center"/>
          </w:tcPr>
          <w:p w14:paraId="0D28486B"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43 (5.0)</w:t>
            </w:r>
          </w:p>
        </w:tc>
        <w:tc>
          <w:tcPr>
            <w:tcW w:w="1843" w:type="dxa"/>
            <w:vAlign w:val="center"/>
          </w:tcPr>
          <w:p w14:paraId="5D6EF9ED" w14:textId="77777777" w:rsidR="009F4842" w:rsidRPr="00515232"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rPr>
            </w:pPr>
            <w:r w:rsidRPr="00515232">
              <w:rPr>
                <w:rFonts w:eastAsia="Cambria"/>
              </w:rPr>
              <w:t>25 (5.9)</w:t>
            </w:r>
          </w:p>
        </w:tc>
      </w:tr>
    </w:tbl>
    <w:p w14:paraId="3B19AC44" w14:textId="77777777" w:rsidR="009F4842" w:rsidRDefault="009F4842" w:rsidP="009F4842">
      <w:pPr>
        <w:spacing w:before="40" w:after="240" w:line="288" w:lineRule="auto"/>
        <w:rPr>
          <w:rFonts w:ascii="Montserrat Light" w:eastAsia="Cambria" w:hAnsi="Montserrat Light"/>
          <w:color w:val="323536"/>
          <w:spacing w:val="20"/>
          <w:szCs w:val="19"/>
          <w:lang w:eastAsia="ja-JP"/>
        </w:rPr>
      </w:pPr>
      <w:r>
        <w:rPr>
          <w:rFonts w:ascii="Montserrat Light" w:eastAsia="Cambria" w:hAnsi="Montserrat Light"/>
          <w:color w:val="323536"/>
          <w:spacing w:val="20"/>
          <w:szCs w:val="19"/>
          <w:lang w:eastAsia="ja-JP"/>
        </w:rPr>
        <w:br w:type="page"/>
      </w:r>
    </w:p>
    <w:p w14:paraId="62F273BC" w14:textId="3C65558C" w:rsidR="009F4842" w:rsidRPr="009744C4" w:rsidRDefault="00515232" w:rsidP="00515232">
      <w:pPr>
        <w:pStyle w:val="FigureHeading"/>
        <w:rPr>
          <w:rFonts w:eastAsia="Cambria"/>
        </w:rPr>
      </w:pPr>
      <w:r w:rsidRPr="009744C4">
        <w:rPr>
          <w:rFonts w:eastAsia="Cambria"/>
        </w:rPr>
        <w:lastRenderedPageBreak/>
        <w:t>Table 3.2 –</w:t>
      </w:r>
      <w:r w:rsidR="001B62FC">
        <w:rPr>
          <w:rFonts w:eastAsia="Cambria"/>
        </w:rPr>
        <w:t xml:space="preserve"> </w:t>
      </w:r>
      <w:r>
        <w:rPr>
          <w:rFonts w:eastAsia="Cambria"/>
        </w:rPr>
        <w:t>C</w:t>
      </w:r>
      <w:r w:rsidRPr="009744C4">
        <w:rPr>
          <w:rFonts w:eastAsia="Cambria"/>
        </w:rPr>
        <w:t>ompliance</w:t>
      </w:r>
      <w:r w:rsidR="009F4842">
        <w:rPr>
          <w:rFonts w:eastAsia="Cambria"/>
        </w:rPr>
        <w:t xml:space="preserve"> </w:t>
      </w:r>
      <w:r w:rsidRPr="009744C4">
        <w:rPr>
          <w:rFonts w:eastAsia="Cambria"/>
        </w:rPr>
        <w:t>after day 14 and day 21</w:t>
      </w:r>
      <w:r>
        <w:rPr>
          <w:rFonts w:eastAsia="Cambria"/>
        </w:rPr>
        <w:t>: linear regression</w:t>
      </w:r>
    </w:p>
    <w:tbl>
      <w:tblPr>
        <w:tblStyle w:val="DefaultTable"/>
        <w:tblW w:w="10031" w:type="dxa"/>
        <w:tblLayout w:type="fixed"/>
        <w:tblLook w:val="04A0" w:firstRow="1" w:lastRow="0" w:firstColumn="1" w:lastColumn="0" w:noHBand="0" w:noVBand="1"/>
        <w:tblCaption w:val="Compliance after day 14 and day 21: linear regression"/>
        <w:tblDescription w:val="Showing the percentage of businesses compliant after day 14 and day 21"/>
      </w:tblPr>
      <w:tblGrid>
        <w:gridCol w:w="1701"/>
        <w:gridCol w:w="1560"/>
        <w:gridCol w:w="2126"/>
        <w:gridCol w:w="1276"/>
        <w:gridCol w:w="2126"/>
        <w:gridCol w:w="1242"/>
      </w:tblGrid>
      <w:tr w:rsidR="009F4842" w:rsidRPr="00C56211" w14:paraId="3F7B901C" w14:textId="77777777" w:rsidTr="00B9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142E3A" w:themeFill="text2"/>
          </w:tcPr>
          <w:p w14:paraId="0A4ED4A2" w14:textId="77777777" w:rsidR="009F4842" w:rsidRPr="004622AC" w:rsidRDefault="009F4842" w:rsidP="004622AC">
            <w:pPr>
              <w:pStyle w:val="TableHeading"/>
            </w:pPr>
          </w:p>
        </w:tc>
        <w:tc>
          <w:tcPr>
            <w:tcW w:w="1560" w:type="dxa"/>
            <w:shd w:val="clear" w:color="auto" w:fill="142E3A" w:themeFill="text2"/>
          </w:tcPr>
          <w:p w14:paraId="0D3FFC75" w14:textId="77777777" w:rsidR="009F4842" w:rsidRPr="004622AC"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4622AC">
              <w:t>% compliant</w:t>
            </w:r>
            <w:r w:rsidRPr="004622AC">
              <w:br/>
            </w:r>
          </w:p>
        </w:tc>
        <w:tc>
          <w:tcPr>
            <w:tcW w:w="2126" w:type="dxa"/>
            <w:shd w:val="clear" w:color="auto" w:fill="142E3A" w:themeFill="text2"/>
          </w:tcPr>
          <w:p w14:paraId="6AC4D16B" w14:textId="1D4B6DA4" w:rsidR="009F4842" w:rsidRPr="004622AC"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4622AC">
              <w:t>Difference from Control</w:t>
            </w:r>
            <w:r w:rsidRPr="004622AC">
              <w:br/>
              <w:t>(95% confidence interval)</w:t>
            </w:r>
          </w:p>
        </w:tc>
        <w:tc>
          <w:tcPr>
            <w:tcW w:w="1276" w:type="dxa"/>
            <w:shd w:val="clear" w:color="auto" w:fill="142E3A" w:themeFill="text2"/>
          </w:tcPr>
          <w:p w14:paraId="1BA2E990" w14:textId="77777777" w:rsidR="009F4842" w:rsidRPr="004622AC"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4622AC">
              <w:t>p-value</w:t>
            </w:r>
          </w:p>
        </w:tc>
        <w:tc>
          <w:tcPr>
            <w:tcW w:w="2126" w:type="dxa"/>
            <w:shd w:val="clear" w:color="auto" w:fill="142E3A" w:themeFill="text2"/>
          </w:tcPr>
          <w:p w14:paraId="53E6FE2C" w14:textId="699607DC" w:rsidR="009F4842" w:rsidRPr="004622AC"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4622AC">
              <w:t xml:space="preserve">Difference from direct email </w:t>
            </w:r>
            <w:r w:rsidRPr="004622AC">
              <w:br/>
              <w:t>(95% confidence interval)</w:t>
            </w:r>
          </w:p>
        </w:tc>
        <w:tc>
          <w:tcPr>
            <w:tcW w:w="1242" w:type="dxa"/>
            <w:shd w:val="clear" w:color="auto" w:fill="142E3A" w:themeFill="text2"/>
          </w:tcPr>
          <w:p w14:paraId="5FB1B50D" w14:textId="2F92C740" w:rsidR="009F4842" w:rsidRPr="004622AC" w:rsidRDefault="009F4842" w:rsidP="00653670">
            <w:pPr>
              <w:pStyle w:val="TableHeading"/>
              <w:jc w:val="center"/>
              <w:cnfStyle w:val="100000000000" w:firstRow="1" w:lastRow="0" w:firstColumn="0" w:lastColumn="0" w:oddVBand="0" w:evenVBand="0" w:oddHBand="0" w:evenHBand="0" w:firstRowFirstColumn="0" w:firstRowLastColumn="0" w:lastRowFirstColumn="0" w:lastRowLastColumn="0"/>
            </w:pPr>
            <w:r w:rsidRPr="004622AC">
              <w:t>p-value</w:t>
            </w:r>
            <w:r w:rsidR="00653670">
              <w:rPr>
                <w:rStyle w:val="FootnoteReference"/>
              </w:rPr>
              <w:footnoteReference w:id="7"/>
            </w:r>
          </w:p>
        </w:tc>
      </w:tr>
      <w:tr w:rsidR="005158ED" w:rsidRPr="00C56211" w14:paraId="65EE19F2"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0031" w:type="dxa"/>
            <w:gridSpan w:val="6"/>
            <w:shd w:val="clear" w:color="auto" w:fill="D9D9D9" w:themeFill="background1" w:themeFillShade="D9"/>
          </w:tcPr>
          <w:p w14:paraId="1334A6C2" w14:textId="4754EC13" w:rsidR="005158ED" w:rsidRPr="005158ED" w:rsidRDefault="005158ED" w:rsidP="005158ED">
            <w:pPr>
              <w:pStyle w:val="TableText"/>
              <w:jc w:val="center"/>
              <w:rPr>
                <w:b/>
                <w:szCs w:val="22"/>
                <w:lang w:val="en-GB"/>
              </w:rPr>
            </w:pPr>
            <w:r w:rsidRPr="005158ED">
              <w:rPr>
                <w:b/>
                <w:lang w:val="en-GB"/>
              </w:rPr>
              <w:t>After day 14</w:t>
            </w:r>
          </w:p>
        </w:tc>
      </w:tr>
      <w:tr w:rsidR="009F4842" w:rsidRPr="00C56211" w14:paraId="3826FDA4"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A663EF7" w14:textId="13FF144F" w:rsidR="009F4842" w:rsidRPr="004D3DE3" w:rsidRDefault="009F4842" w:rsidP="004622AC">
            <w:pPr>
              <w:pStyle w:val="TableText"/>
              <w:rPr>
                <w:lang w:val="en-GB"/>
              </w:rPr>
            </w:pPr>
            <w:r w:rsidRPr="004D3DE3">
              <w:rPr>
                <w:lang w:val="en-GB"/>
              </w:rPr>
              <w:t>Control</w:t>
            </w:r>
          </w:p>
        </w:tc>
        <w:tc>
          <w:tcPr>
            <w:tcW w:w="1560" w:type="dxa"/>
            <w:vAlign w:val="center"/>
          </w:tcPr>
          <w:p w14:paraId="3F8A72B5"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25.6</w:t>
            </w:r>
          </w:p>
        </w:tc>
        <w:tc>
          <w:tcPr>
            <w:tcW w:w="2126" w:type="dxa"/>
            <w:vAlign w:val="center"/>
          </w:tcPr>
          <w:p w14:paraId="3D5F4FAA"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76" w:type="dxa"/>
            <w:vAlign w:val="center"/>
          </w:tcPr>
          <w:p w14:paraId="0C7FF24B"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2126" w:type="dxa"/>
            <w:vAlign w:val="center"/>
          </w:tcPr>
          <w:p w14:paraId="237EF04E"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42" w:type="dxa"/>
            <w:vAlign w:val="center"/>
          </w:tcPr>
          <w:p w14:paraId="57D597A2" w14:textId="77777777" w:rsidR="009F4842" w:rsidRPr="00C56211"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szCs w:val="22"/>
                <w:lang w:val="en-GB"/>
              </w:rPr>
            </w:pPr>
          </w:p>
        </w:tc>
      </w:tr>
      <w:tr w:rsidR="009F4842" w:rsidRPr="00C56211" w14:paraId="0F310DB1"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ADD439C" w14:textId="6C7C7D12" w:rsidR="009F4842" w:rsidRPr="004D3DE3" w:rsidRDefault="009F4842" w:rsidP="004622AC">
            <w:pPr>
              <w:pStyle w:val="TableText"/>
              <w:rPr>
                <w:lang w:val="en-GB"/>
              </w:rPr>
            </w:pPr>
            <w:r w:rsidRPr="004D3DE3">
              <w:rPr>
                <w:lang w:val="en-GB"/>
              </w:rPr>
              <w:t>Direct email</w:t>
            </w:r>
          </w:p>
        </w:tc>
        <w:tc>
          <w:tcPr>
            <w:tcW w:w="1560" w:type="dxa"/>
            <w:vAlign w:val="center"/>
          </w:tcPr>
          <w:p w14:paraId="25779901"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40.4</w:t>
            </w:r>
          </w:p>
        </w:tc>
        <w:tc>
          <w:tcPr>
            <w:tcW w:w="2126" w:type="dxa"/>
            <w:vAlign w:val="center"/>
          </w:tcPr>
          <w:p w14:paraId="3A61E0CC" w14:textId="74EC207E"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14.9</w:t>
            </w:r>
            <w:r w:rsidR="005158ED">
              <w:rPr>
                <w:lang w:val="en-GB"/>
              </w:rPr>
              <w:br/>
            </w:r>
            <w:r w:rsidRPr="004D3DE3">
              <w:rPr>
                <w:lang w:val="en-GB"/>
              </w:rPr>
              <w:t>(8.7 to 21.0)</w:t>
            </w:r>
          </w:p>
        </w:tc>
        <w:tc>
          <w:tcPr>
            <w:tcW w:w="1276" w:type="dxa"/>
            <w:vAlign w:val="center"/>
          </w:tcPr>
          <w:p w14:paraId="57F9BF82"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2126" w:type="dxa"/>
            <w:vAlign w:val="center"/>
          </w:tcPr>
          <w:p w14:paraId="2334D06B"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42" w:type="dxa"/>
            <w:vAlign w:val="center"/>
          </w:tcPr>
          <w:p w14:paraId="3C2C6BD1" w14:textId="77777777" w:rsidR="009F4842" w:rsidRPr="00C56211"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szCs w:val="22"/>
                <w:lang w:val="en-GB"/>
              </w:rPr>
            </w:pPr>
          </w:p>
        </w:tc>
      </w:tr>
      <w:tr w:rsidR="009F4842" w:rsidRPr="00C56211" w14:paraId="4FE14B3E" w14:textId="77777777" w:rsidTr="005158ED">
        <w:trPr>
          <w:trHeight w:val="604"/>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7E6EDD4" w14:textId="286D9D53" w:rsidR="009F4842" w:rsidRPr="004D3DE3" w:rsidRDefault="009F4842" w:rsidP="004622AC">
            <w:pPr>
              <w:pStyle w:val="TableText"/>
              <w:rPr>
                <w:lang w:val="en-GB"/>
              </w:rPr>
            </w:pPr>
            <w:r w:rsidRPr="004D3DE3">
              <w:rPr>
                <w:lang w:val="en-GB"/>
              </w:rPr>
              <w:t>Cooperative email</w:t>
            </w:r>
          </w:p>
        </w:tc>
        <w:tc>
          <w:tcPr>
            <w:tcW w:w="1560" w:type="dxa"/>
            <w:vAlign w:val="center"/>
          </w:tcPr>
          <w:p w14:paraId="213ED681"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38.6</w:t>
            </w:r>
          </w:p>
        </w:tc>
        <w:tc>
          <w:tcPr>
            <w:tcW w:w="2126" w:type="dxa"/>
            <w:vAlign w:val="center"/>
          </w:tcPr>
          <w:p w14:paraId="5FB3C41A" w14:textId="31A82BC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13.0</w:t>
            </w:r>
            <w:r w:rsidR="005158ED">
              <w:rPr>
                <w:lang w:val="en-GB"/>
              </w:rPr>
              <w:br/>
            </w:r>
            <w:r w:rsidRPr="004D3DE3">
              <w:rPr>
                <w:lang w:val="en-GB"/>
              </w:rPr>
              <w:t>(6.9 to19.2)</w:t>
            </w:r>
          </w:p>
        </w:tc>
        <w:tc>
          <w:tcPr>
            <w:tcW w:w="1276" w:type="dxa"/>
            <w:vAlign w:val="center"/>
          </w:tcPr>
          <w:p w14:paraId="0E770DD1"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2126" w:type="dxa"/>
            <w:vAlign w:val="center"/>
          </w:tcPr>
          <w:p w14:paraId="0859B26B" w14:textId="6B4C0F30"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-1.8</w:t>
            </w:r>
          </w:p>
          <w:p w14:paraId="741E5BC7"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(-8.0 to 4.3)</w:t>
            </w:r>
          </w:p>
        </w:tc>
        <w:tc>
          <w:tcPr>
            <w:tcW w:w="1242" w:type="dxa"/>
            <w:vAlign w:val="center"/>
          </w:tcPr>
          <w:p w14:paraId="4BB3E83D" w14:textId="77777777" w:rsidR="009F4842" w:rsidRPr="00983898"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983898">
              <w:rPr>
                <w:lang w:val="en-GB"/>
              </w:rPr>
              <w:t>0</w:t>
            </w:r>
            <w:r w:rsidRPr="007A5684">
              <w:rPr>
                <w:lang w:val="en-GB"/>
              </w:rPr>
              <w:t>.56</w:t>
            </w:r>
          </w:p>
        </w:tc>
      </w:tr>
      <w:tr w:rsidR="009F4842" w:rsidRPr="00C56211" w14:paraId="407AF07A" w14:textId="77777777" w:rsidTr="005158ED">
        <w:trPr>
          <w:trHeight w:val="604"/>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110769F" w14:textId="77777777" w:rsidR="009F4842" w:rsidRPr="004D3DE3" w:rsidRDefault="009F4842" w:rsidP="004622AC">
            <w:pPr>
              <w:pStyle w:val="TableText"/>
              <w:rPr>
                <w:lang w:val="en-GB"/>
              </w:rPr>
            </w:pPr>
            <w:r w:rsidRPr="004D3DE3">
              <w:rPr>
                <w:lang w:val="en-GB"/>
              </w:rPr>
              <w:t>Any email (direct + cooperative)</w:t>
            </w:r>
          </w:p>
        </w:tc>
        <w:tc>
          <w:tcPr>
            <w:tcW w:w="1560" w:type="dxa"/>
            <w:vAlign w:val="center"/>
          </w:tcPr>
          <w:p w14:paraId="3FA37738"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39.5</w:t>
            </w:r>
          </w:p>
        </w:tc>
        <w:tc>
          <w:tcPr>
            <w:tcW w:w="2126" w:type="dxa"/>
            <w:vAlign w:val="center"/>
          </w:tcPr>
          <w:p w14:paraId="0A635888" w14:textId="050375A5"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13.9</w:t>
            </w:r>
            <w:r w:rsidR="005158ED">
              <w:rPr>
                <w:lang w:val="en-GB"/>
              </w:rPr>
              <w:br/>
            </w:r>
            <w:r w:rsidRPr="004D3DE3">
              <w:rPr>
                <w:lang w:val="en-GB"/>
              </w:rPr>
              <w:t>(8.6 to 19.3)</w:t>
            </w:r>
          </w:p>
        </w:tc>
        <w:tc>
          <w:tcPr>
            <w:tcW w:w="1276" w:type="dxa"/>
            <w:vAlign w:val="center"/>
          </w:tcPr>
          <w:p w14:paraId="20480E88"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2126" w:type="dxa"/>
            <w:vAlign w:val="center"/>
          </w:tcPr>
          <w:p w14:paraId="076248EF"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42" w:type="dxa"/>
            <w:vAlign w:val="center"/>
          </w:tcPr>
          <w:p w14:paraId="60949DE9" w14:textId="77777777" w:rsidR="009F4842" w:rsidRPr="00C56211"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r>
      <w:tr w:rsidR="005158ED" w:rsidRPr="00C56211" w14:paraId="1104BFAC"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0031" w:type="dxa"/>
            <w:gridSpan w:val="6"/>
            <w:shd w:val="clear" w:color="auto" w:fill="D9D9D9" w:themeFill="background1" w:themeFillShade="D9"/>
            <w:vAlign w:val="center"/>
          </w:tcPr>
          <w:p w14:paraId="570C617C" w14:textId="06365FA7" w:rsidR="005158ED" w:rsidRPr="005158ED" w:rsidRDefault="005158ED" w:rsidP="005158ED">
            <w:pPr>
              <w:pStyle w:val="TableText"/>
              <w:jc w:val="center"/>
              <w:rPr>
                <w:b/>
                <w:szCs w:val="22"/>
                <w:lang w:val="en-GB"/>
              </w:rPr>
            </w:pPr>
            <w:r w:rsidRPr="005158ED">
              <w:rPr>
                <w:b/>
                <w:lang w:val="en-GB"/>
              </w:rPr>
              <w:t>After day 21</w:t>
            </w:r>
          </w:p>
        </w:tc>
      </w:tr>
      <w:tr w:rsidR="009F4842" w:rsidRPr="00C56211" w14:paraId="6BAB5EF7"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E39D2FE" w14:textId="6E40962C" w:rsidR="009F4842" w:rsidRPr="004D3DE3" w:rsidRDefault="009F4842" w:rsidP="004622AC">
            <w:pPr>
              <w:pStyle w:val="TableText"/>
              <w:rPr>
                <w:lang w:val="en-GB"/>
              </w:rPr>
            </w:pPr>
            <w:r w:rsidRPr="004D3DE3">
              <w:rPr>
                <w:lang w:val="en-GB"/>
              </w:rPr>
              <w:t>Control</w:t>
            </w:r>
          </w:p>
        </w:tc>
        <w:tc>
          <w:tcPr>
            <w:tcW w:w="1560" w:type="dxa"/>
            <w:vAlign w:val="center"/>
          </w:tcPr>
          <w:p w14:paraId="0B604C3E"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32.5</w:t>
            </w:r>
          </w:p>
        </w:tc>
        <w:tc>
          <w:tcPr>
            <w:tcW w:w="2126" w:type="dxa"/>
            <w:vAlign w:val="center"/>
          </w:tcPr>
          <w:p w14:paraId="0859A4A5"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76" w:type="dxa"/>
            <w:vAlign w:val="center"/>
          </w:tcPr>
          <w:p w14:paraId="720DF14E"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2126" w:type="dxa"/>
            <w:vAlign w:val="center"/>
          </w:tcPr>
          <w:p w14:paraId="1BEF335A"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42" w:type="dxa"/>
            <w:vAlign w:val="center"/>
          </w:tcPr>
          <w:p w14:paraId="4291BA78" w14:textId="77777777" w:rsidR="009F4842" w:rsidRPr="00C56211"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szCs w:val="22"/>
                <w:lang w:val="en-GB"/>
              </w:rPr>
            </w:pPr>
          </w:p>
        </w:tc>
      </w:tr>
      <w:tr w:rsidR="009F4842" w:rsidRPr="00C56211" w14:paraId="64C9AA1A"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8670D9D" w14:textId="77777777" w:rsidR="009F4842" w:rsidRPr="004D3DE3" w:rsidRDefault="009F4842" w:rsidP="004622AC">
            <w:pPr>
              <w:pStyle w:val="TableText"/>
              <w:rPr>
                <w:lang w:val="en-GB"/>
              </w:rPr>
            </w:pPr>
            <w:r w:rsidRPr="004D3DE3">
              <w:rPr>
                <w:lang w:val="en-GB"/>
              </w:rPr>
              <w:t>Direct email</w:t>
            </w:r>
          </w:p>
        </w:tc>
        <w:tc>
          <w:tcPr>
            <w:tcW w:w="1560" w:type="dxa"/>
            <w:vAlign w:val="center"/>
          </w:tcPr>
          <w:p w14:paraId="1481F876"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46.1</w:t>
            </w:r>
          </w:p>
        </w:tc>
        <w:tc>
          <w:tcPr>
            <w:tcW w:w="2126" w:type="dxa"/>
            <w:vAlign w:val="center"/>
          </w:tcPr>
          <w:p w14:paraId="0C88C284" w14:textId="4E432D4F"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13.5</w:t>
            </w:r>
            <w:r w:rsidR="005158ED">
              <w:rPr>
                <w:lang w:val="en-GB"/>
              </w:rPr>
              <w:br/>
            </w:r>
            <w:r w:rsidRPr="004D3DE3">
              <w:rPr>
                <w:lang w:val="en-GB"/>
              </w:rPr>
              <w:t>(7.2 to 19.9)</w:t>
            </w:r>
          </w:p>
        </w:tc>
        <w:tc>
          <w:tcPr>
            <w:tcW w:w="1276" w:type="dxa"/>
            <w:vAlign w:val="center"/>
          </w:tcPr>
          <w:p w14:paraId="759B028A"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2126" w:type="dxa"/>
            <w:vAlign w:val="center"/>
          </w:tcPr>
          <w:p w14:paraId="56BD5800"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42" w:type="dxa"/>
            <w:vAlign w:val="center"/>
          </w:tcPr>
          <w:p w14:paraId="38E5D92F" w14:textId="77777777" w:rsidR="009F4842" w:rsidRPr="00C56211"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szCs w:val="22"/>
                <w:lang w:val="en-GB"/>
              </w:rPr>
            </w:pPr>
          </w:p>
        </w:tc>
      </w:tr>
      <w:tr w:rsidR="009F4842" w:rsidRPr="00983898" w14:paraId="7FF2578D"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78F92F8" w14:textId="77777777" w:rsidR="009F4842" w:rsidRPr="004D3DE3" w:rsidRDefault="009F4842" w:rsidP="004622AC">
            <w:pPr>
              <w:pStyle w:val="TableText"/>
              <w:rPr>
                <w:lang w:val="en-GB"/>
              </w:rPr>
            </w:pPr>
            <w:r w:rsidRPr="004D3DE3">
              <w:rPr>
                <w:lang w:val="en-GB"/>
              </w:rPr>
              <w:t>Cooperative email</w:t>
            </w:r>
          </w:p>
        </w:tc>
        <w:tc>
          <w:tcPr>
            <w:tcW w:w="1560" w:type="dxa"/>
            <w:vAlign w:val="center"/>
          </w:tcPr>
          <w:p w14:paraId="4A0600AC"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42.6</w:t>
            </w:r>
          </w:p>
        </w:tc>
        <w:tc>
          <w:tcPr>
            <w:tcW w:w="2126" w:type="dxa"/>
            <w:vAlign w:val="center"/>
          </w:tcPr>
          <w:p w14:paraId="3E80B9E1" w14:textId="3CF130A1"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10.1</w:t>
            </w:r>
            <w:r w:rsidR="005158ED">
              <w:rPr>
                <w:lang w:val="en-GB"/>
              </w:rPr>
              <w:br/>
            </w:r>
            <w:r w:rsidRPr="004D3DE3">
              <w:rPr>
                <w:lang w:val="en-GB"/>
              </w:rPr>
              <w:t>(3.7 to 16.4)</w:t>
            </w:r>
          </w:p>
        </w:tc>
        <w:tc>
          <w:tcPr>
            <w:tcW w:w="1276" w:type="dxa"/>
            <w:vAlign w:val="center"/>
          </w:tcPr>
          <w:p w14:paraId="6B67C560"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0.002</w:t>
            </w:r>
          </w:p>
        </w:tc>
        <w:tc>
          <w:tcPr>
            <w:tcW w:w="2126" w:type="dxa"/>
            <w:vAlign w:val="center"/>
          </w:tcPr>
          <w:p w14:paraId="070BEF83"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-3.5</w:t>
            </w:r>
          </w:p>
          <w:p w14:paraId="6FF01CF9"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(-9.8 to 2.9)</w:t>
            </w:r>
          </w:p>
        </w:tc>
        <w:tc>
          <w:tcPr>
            <w:tcW w:w="1242" w:type="dxa"/>
            <w:vAlign w:val="center"/>
          </w:tcPr>
          <w:p w14:paraId="699478FC" w14:textId="77777777" w:rsidR="009F4842" w:rsidRPr="007A5684"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7A5684">
              <w:rPr>
                <w:lang w:val="en-GB"/>
              </w:rPr>
              <w:t>0.28</w:t>
            </w:r>
          </w:p>
        </w:tc>
      </w:tr>
      <w:tr w:rsidR="009F4842" w:rsidRPr="00C56211" w14:paraId="2A77B3CE"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F15ADAB" w14:textId="77777777" w:rsidR="009F4842" w:rsidRPr="004D3DE3" w:rsidRDefault="009F4842" w:rsidP="004622AC">
            <w:pPr>
              <w:pStyle w:val="TableText"/>
              <w:rPr>
                <w:lang w:val="en-GB"/>
              </w:rPr>
            </w:pPr>
            <w:r w:rsidRPr="004D3DE3">
              <w:rPr>
                <w:lang w:val="en-GB"/>
              </w:rPr>
              <w:t>Any email (direct + cooperative)</w:t>
            </w:r>
          </w:p>
        </w:tc>
        <w:tc>
          <w:tcPr>
            <w:tcW w:w="1560" w:type="dxa"/>
            <w:vAlign w:val="center"/>
          </w:tcPr>
          <w:p w14:paraId="4DB42CE5"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44.3</w:t>
            </w:r>
          </w:p>
        </w:tc>
        <w:tc>
          <w:tcPr>
            <w:tcW w:w="2126" w:type="dxa"/>
            <w:vAlign w:val="center"/>
          </w:tcPr>
          <w:p w14:paraId="59792D90" w14:textId="2FC631EE"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11.8</w:t>
            </w:r>
            <w:r w:rsidR="005158ED">
              <w:rPr>
                <w:lang w:val="en-GB"/>
              </w:rPr>
              <w:br/>
            </w:r>
            <w:r w:rsidRPr="004D3DE3">
              <w:rPr>
                <w:lang w:val="en-GB"/>
              </w:rPr>
              <w:t>(6.3 to 17.3)</w:t>
            </w:r>
          </w:p>
        </w:tc>
        <w:tc>
          <w:tcPr>
            <w:tcW w:w="1276" w:type="dxa"/>
            <w:vAlign w:val="center"/>
          </w:tcPr>
          <w:p w14:paraId="18D5E367"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2126" w:type="dxa"/>
            <w:vAlign w:val="center"/>
          </w:tcPr>
          <w:p w14:paraId="6081A415" w14:textId="77777777" w:rsidR="009F4842" w:rsidRPr="004D3DE3"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242" w:type="dxa"/>
            <w:vAlign w:val="center"/>
          </w:tcPr>
          <w:p w14:paraId="6880A646" w14:textId="77777777" w:rsidR="009F4842" w:rsidRPr="00C56211"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r>
    </w:tbl>
    <w:p w14:paraId="4D39C0A6" w14:textId="140B43A5" w:rsidR="009F4842" w:rsidRPr="00F839D8" w:rsidRDefault="009F4842" w:rsidP="0043201B">
      <w:pPr>
        <w:pStyle w:val="SourceNotesText"/>
        <w:rPr>
          <w:rFonts w:eastAsia="Cambria"/>
          <w:lang w:eastAsia="ja-JP"/>
        </w:rPr>
      </w:pPr>
      <w:r w:rsidRPr="00F839D8">
        <w:rPr>
          <w:rFonts w:eastAsia="Cambria"/>
          <w:lang w:eastAsia="ja-JP"/>
        </w:rPr>
        <w:t xml:space="preserve">Note: Results presented are from linear regression models and dummy variables for each triplet were included in the models. The cooperative and direct email groups were compared to </w:t>
      </w:r>
      <w:r w:rsidR="001B62FC">
        <w:rPr>
          <w:rFonts w:eastAsia="Cambria"/>
          <w:lang w:eastAsia="ja-JP"/>
        </w:rPr>
        <w:t xml:space="preserve">the </w:t>
      </w:r>
      <w:r w:rsidRPr="00F839D8">
        <w:rPr>
          <w:rFonts w:eastAsia="Cambria"/>
          <w:lang w:eastAsia="ja-JP"/>
        </w:rPr>
        <w:t xml:space="preserve">control </w:t>
      </w:r>
      <w:r w:rsidR="001B62FC">
        <w:rPr>
          <w:rFonts w:eastAsia="Cambria"/>
          <w:lang w:eastAsia="ja-JP"/>
        </w:rPr>
        <w:t xml:space="preserve">group </w:t>
      </w:r>
      <w:r w:rsidRPr="00F839D8">
        <w:rPr>
          <w:rFonts w:eastAsia="Cambria"/>
          <w:lang w:eastAsia="ja-JP"/>
        </w:rPr>
        <w:t xml:space="preserve">separately and then jointly (any email). The cooperative email </w:t>
      </w:r>
      <w:r w:rsidR="001B62FC">
        <w:rPr>
          <w:rFonts w:eastAsia="Cambria"/>
          <w:lang w:eastAsia="ja-JP"/>
        </w:rPr>
        <w:t xml:space="preserve">group </w:t>
      </w:r>
      <w:r w:rsidRPr="00F839D8">
        <w:rPr>
          <w:rFonts w:eastAsia="Cambria"/>
          <w:lang w:eastAsia="ja-JP"/>
        </w:rPr>
        <w:t>was also compared to the direct email</w:t>
      </w:r>
      <w:r w:rsidR="001B62FC">
        <w:rPr>
          <w:rFonts w:eastAsia="Cambria"/>
          <w:lang w:eastAsia="ja-JP"/>
        </w:rPr>
        <w:t xml:space="preserve"> group</w:t>
      </w:r>
      <w:r w:rsidRPr="00F839D8">
        <w:rPr>
          <w:rFonts w:eastAsia="Cambria"/>
          <w:lang w:eastAsia="ja-JP"/>
        </w:rPr>
        <w:t xml:space="preserve">. This analysis was also run as a logistic regression with the same results for marginal effects (see Table 3.3). </w:t>
      </w:r>
      <w:r w:rsidRPr="00F839D8">
        <w:rPr>
          <w:rFonts w:eastAsia="Cambria"/>
          <w:lang w:eastAsia="ja-JP"/>
        </w:rPr>
        <w:br w:type="page"/>
      </w:r>
    </w:p>
    <w:p w14:paraId="3BA07FD7" w14:textId="3C498E9C" w:rsidR="009F4842" w:rsidRPr="009744C4" w:rsidRDefault="00095119" w:rsidP="00095119">
      <w:pPr>
        <w:pStyle w:val="FigureHeading"/>
        <w:rPr>
          <w:rFonts w:eastAsia="Cambria"/>
        </w:rPr>
      </w:pPr>
      <w:r w:rsidRPr="00095119">
        <w:rPr>
          <w:rFonts w:eastAsia="Cambria"/>
        </w:rPr>
        <w:lastRenderedPageBreak/>
        <w:t>Table</w:t>
      </w:r>
      <w:r w:rsidR="009F4842" w:rsidRPr="009744C4">
        <w:rPr>
          <w:rFonts w:eastAsia="Cambria"/>
        </w:rPr>
        <w:t xml:space="preserve"> 3.3 –</w:t>
      </w:r>
      <w:r w:rsidR="001B62FC">
        <w:rPr>
          <w:rFonts w:eastAsia="Cambria"/>
        </w:rPr>
        <w:t xml:space="preserve"> </w:t>
      </w:r>
      <w:r>
        <w:rPr>
          <w:rFonts w:eastAsia="Cambria"/>
        </w:rPr>
        <w:t>C</w:t>
      </w:r>
      <w:r w:rsidRPr="009744C4">
        <w:rPr>
          <w:rFonts w:eastAsia="Cambria"/>
        </w:rPr>
        <w:t>ompliance after day 14 and day 21</w:t>
      </w:r>
      <w:r w:rsidR="009F4842">
        <w:rPr>
          <w:rFonts w:eastAsia="Cambria"/>
        </w:rPr>
        <w:t xml:space="preserve">: </w:t>
      </w:r>
      <w:r w:rsidRPr="009744C4">
        <w:rPr>
          <w:rFonts w:eastAsia="Cambria"/>
        </w:rPr>
        <w:t>logistic regr</w:t>
      </w:r>
      <w:r>
        <w:rPr>
          <w:rFonts w:eastAsia="Cambria"/>
        </w:rPr>
        <w:t>ession</w:t>
      </w:r>
    </w:p>
    <w:tbl>
      <w:tblPr>
        <w:tblStyle w:val="DefaultTable"/>
        <w:tblW w:w="9214" w:type="dxa"/>
        <w:tblLayout w:type="fixed"/>
        <w:tblLook w:val="04A0" w:firstRow="1" w:lastRow="0" w:firstColumn="1" w:lastColumn="0" w:noHBand="0" w:noVBand="1"/>
        <w:tblCaption w:val="Compliance after day 14 and day 21: logistic regression"/>
        <w:tblDescription w:val="Showing the odds ratio of businesses compliant after day 14 and day 21."/>
      </w:tblPr>
      <w:tblGrid>
        <w:gridCol w:w="3828"/>
        <w:gridCol w:w="1701"/>
        <w:gridCol w:w="2268"/>
        <w:gridCol w:w="1417"/>
      </w:tblGrid>
      <w:tr w:rsidR="009F4842" w:rsidRPr="00095119" w14:paraId="53221226" w14:textId="77777777" w:rsidTr="003F08B5">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828" w:type="dxa"/>
            <w:shd w:val="clear" w:color="auto" w:fill="142E3A" w:themeFill="text2"/>
          </w:tcPr>
          <w:p w14:paraId="1755254A" w14:textId="77777777" w:rsidR="009F4842" w:rsidRPr="00095119" w:rsidRDefault="009F4842" w:rsidP="00095119">
            <w:pPr>
              <w:pStyle w:val="TableHeading"/>
            </w:pPr>
          </w:p>
        </w:tc>
        <w:tc>
          <w:tcPr>
            <w:tcW w:w="1701" w:type="dxa"/>
            <w:shd w:val="clear" w:color="auto" w:fill="142E3A" w:themeFill="text2"/>
            <w:vAlign w:val="center"/>
          </w:tcPr>
          <w:p w14:paraId="3884349E" w14:textId="77777777" w:rsidR="009F4842" w:rsidRPr="00095119"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095119">
              <w:t>Odds ratio</w:t>
            </w:r>
          </w:p>
        </w:tc>
        <w:tc>
          <w:tcPr>
            <w:tcW w:w="2268" w:type="dxa"/>
            <w:shd w:val="clear" w:color="auto" w:fill="142E3A" w:themeFill="text2"/>
          </w:tcPr>
          <w:p w14:paraId="42E355BC" w14:textId="77777777" w:rsidR="009F4842" w:rsidRPr="00095119"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095119">
              <w:t>Standard error</w:t>
            </w:r>
          </w:p>
        </w:tc>
        <w:tc>
          <w:tcPr>
            <w:tcW w:w="1417" w:type="dxa"/>
            <w:shd w:val="clear" w:color="auto" w:fill="142E3A" w:themeFill="text2"/>
          </w:tcPr>
          <w:p w14:paraId="265CD9F3" w14:textId="77777777" w:rsidR="009F4842" w:rsidRPr="00095119"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095119">
              <w:t>p-value</w:t>
            </w:r>
          </w:p>
        </w:tc>
      </w:tr>
      <w:tr w:rsidR="009F4842" w:rsidRPr="00095119" w14:paraId="419CEF7B"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5D1F1199" w14:textId="77777777" w:rsidR="009F4842" w:rsidRPr="00095119" w:rsidRDefault="009F4842" w:rsidP="00095119">
            <w:pPr>
              <w:pStyle w:val="TableText"/>
            </w:pPr>
            <w:r w:rsidRPr="00095119">
              <w:t>After day 14</w:t>
            </w:r>
          </w:p>
        </w:tc>
        <w:tc>
          <w:tcPr>
            <w:tcW w:w="1701" w:type="dxa"/>
            <w:vAlign w:val="center"/>
          </w:tcPr>
          <w:p w14:paraId="0BF2F39A"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02780655"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5197A4DF"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095119" w14:paraId="648202DA"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C9C24D0" w14:textId="77777777" w:rsidR="009F4842" w:rsidRPr="00095119" w:rsidRDefault="009F4842" w:rsidP="00095119">
            <w:pPr>
              <w:pStyle w:val="TableText"/>
            </w:pPr>
            <w:r w:rsidRPr="00095119">
              <w:t>Direct email compared to control</w:t>
            </w:r>
          </w:p>
        </w:tc>
        <w:tc>
          <w:tcPr>
            <w:tcW w:w="1701" w:type="dxa"/>
            <w:vAlign w:val="center"/>
          </w:tcPr>
          <w:p w14:paraId="4D3D2551"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2.00</w:t>
            </w:r>
          </w:p>
        </w:tc>
        <w:tc>
          <w:tcPr>
            <w:tcW w:w="2268" w:type="dxa"/>
            <w:vAlign w:val="center"/>
          </w:tcPr>
          <w:p w14:paraId="3DCD6187"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0.297</w:t>
            </w:r>
          </w:p>
        </w:tc>
        <w:tc>
          <w:tcPr>
            <w:tcW w:w="1417" w:type="dxa"/>
            <w:vAlign w:val="center"/>
          </w:tcPr>
          <w:p w14:paraId="0B234E5D"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&lt; 0.001</w:t>
            </w:r>
          </w:p>
        </w:tc>
      </w:tr>
      <w:tr w:rsidR="009F4842" w:rsidRPr="00095119" w14:paraId="7E68600E"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AB44075" w14:textId="77777777" w:rsidR="009F4842" w:rsidRPr="00095119" w:rsidRDefault="009F4842" w:rsidP="00095119">
            <w:pPr>
              <w:pStyle w:val="TableText"/>
            </w:pPr>
            <w:r w:rsidRPr="00095119">
              <w:t>Cooperative email compared to control</w:t>
            </w:r>
          </w:p>
        </w:tc>
        <w:tc>
          <w:tcPr>
            <w:tcW w:w="1701" w:type="dxa"/>
            <w:vAlign w:val="center"/>
          </w:tcPr>
          <w:p w14:paraId="2019AB7D"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1.85</w:t>
            </w:r>
          </w:p>
        </w:tc>
        <w:tc>
          <w:tcPr>
            <w:tcW w:w="2268" w:type="dxa"/>
            <w:vAlign w:val="center"/>
          </w:tcPr>
          <w:p w14:paraId="13D48BDE"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0.276</w:t>
            </w:r>
          </w:p>
        </w:tc>
        <w:tc>
          <w:tcPr>
            <w:tcW w:w="1417" w:type="dxa"/>
            <w:vAlign w:val="center"/>
          </w:tcPr>
          <w:p w14:paraId="5C0672A1"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&lt; 0.001</w:t>
            </w:r>
          </w:p>
        </w:tc>
      </w:tr>
      <w:tr w:rsidR="009F4842" w:rsidRPr="00095119" w14:paraId="774DF14E"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539E390" w14:textId="77777777" w:rsidR="009F4842" w:rsidRPr="00095119" w:rsidRDefault="009F4842" w:rsidP="00095119">
            <w:pPr>
              <w:pStyle w:val="TableText"/>
            </w:pPr>
            <w:r w:rsidRPr="00095119">
              <w:t>Any email (direct + cooperative) compared to control</w:t>
            </w:r>
          </w:p>
        </w:tc>
        <w:tc>
          <w:tcPr>
            <w:tcW w:w="1701" w:type="dxa"/>
            <w:vAlign w:val="center"/>
          </w:tcPr>
          <w:p w14:paraId="18DBC323"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1.92</w:t>
            </w:r>
          </w:p>
        </w:tc>
        <w:tc>
          <w:tcPr>
            <w:tcW w:w="2268" w:type="dxa"/>
            <w:vAlign w:val="center"/>
          </w:tcPr>
          <w:p w14:paraId="41D9D58E"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0.253</w:t>
            </w:r>
          </w:p>
        </w:tc>
        <w:tc>
          <w:tcPr>
            <w:tcW w:w="1417" w:type="dxa"/>
            <w:vAlign w:val="center"/>
          </w:tcPr>
          <w:p w14:paraId="5CE27922"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&lt; 0.001</w:t>
            </w:r>
          </w:p>
        </w:tc>
      </w:tr>
      <w:tr w:rsidR="009F4842" w:rsidRPr="00095119" w14:paraId="4BCA91F1"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42F2305" w14:textId="77777777" w:rsidR="009F4842" w:rsidRPr="00095119" w:rsidRDefault="009F4842" w:rsidP="00095119">
            <w:pPr>
              <w:pStyle w:val="TableText"/>
            </w:pPr>
            <w:r w:rsidRPr="00095119">
              <w:t>After day 21</w:t>
            </w:r>
          </w:p>
        </w:tc>
        <w:tc>
          <w:tcPr>
            <w:tcW w:w="1701" w:type="dxa"/>
            <w:vAlign w:val="center"/>
          </w:tcPr>
          <w:p w14:paraId="1F5F16AA"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1DF532CE"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62AAC168"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095119" w14:paraId="4E96566E"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54D9841" w14:textId="77777777" w:rsidR="009F4842" w:rsidRPr="00095119" w:rsidRDefault="009F4842" w:rsidP="00095119">
            <w:pPr>
              <w:pStyle w:val="TableText"/>
            </w:pPr>
            <w:r w:rsidRPr="00095119">
              <w:t>Direct email compared to control</w:t>
            </w:r>
          </w:p>
        </w:tc>
        <w:tc>
          <w:tcPr>
            <w:tcW w:w="1701" w:type="dxa"/>
            <w:vAlign w:val="center"/>
          </w:tcPr>
          <w:p w14:paraId="7CD6B6F3"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1.78</w:t>
            </w:r>
          </w:p>
        </w:tc>
        <w:tc>
          <w:tcPr>
            <w:tcW w:w="2268" w:type="dxa"/>
            <w:vAlign w:val="center"/>
          </w:tcPr>
          <w:p w14:paraId="5435711A"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0.253</w:t>
            </w:r>
          </w:p>
        </w:tc>
        <w:tc>
          <w:tcPr>
            <w:tcW w:w="1417" w:type="dxa"/>
            <w:vAlign w:val="center"/>
          </w:tcPr>
          <w:p w14:paraId="2140D0C8"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&lt; 0.001</w:t>
            </w:r>
          </w:p>
        </w:tc>
      </w:tr>
      <w:tr w:rsidR="009F4842" w:rsidRPr="00095119" w14:paraId="37EC54CB"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87EA8A0" w14:textId="77777777" w:rsidR="009F4842" w:rsidRPr="00095119" w:rsidRDefault="009F4842" w:rsidP="00095119">
            <w:pPr>
              <w:pStyle w:val="TableText"/>
            </w:pPr>
            <w:r w:rsidRPr="00095119">
              <w:t>Cooperative email compared to control</w:t>
            </w:r>
          </w:p>
        </w:tc>
        <w:tc>
          <w:tcPr>
            <w:tcW w:w="1701" w:type="dxa"/>
            <w:vAlign w:val="center"/>
          </w:tcPr>
          <w:p w14:paraId="2E180D31"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1.54</w:t>
            </w:r>
          </w:p>
        </w:tc>
        <w:tc>
          <w:tcPr>
            <w:tcW w:w="2268" w:type="dxa"/>
            <w:vAlign w:val="center"/>
          </w:tcPr>
          <w:p w14:paraId="6BBEEF6F"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0.220</w:t>
            </w:r>
          </w:p>
        </w:tc>
        <w:tc>
          <w:tcPr>
            <w:tcW w:w="1417" w:type="dxa"/>
            <w:vAlign w:val="center"/>
          </w:tcPr>
          <w:p w14:paraId="16F45EFA"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0.002</w:t>
            </w:r>
          </w:p>
        </w:tc>
      </w:tr>
      <w:tr w:rsidR="009F4842" w:rsidRPr="00095119" w14:paraId="077475D7" w14:textId="77777777" w:rsidTr="00A2470E">
        <w:trPr>
          <w:trHeight w:val="1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07DBD87" w14:textId="77777777" w:rsidR="009F4842" w:rsidRPr="00095119" w:rsidRDefault="009F4842" w:rsidP="00095119">
            <w:pPr>
              <w:pStyle w:val="TableText"/>
            </w:pPr>
            <w:r w:rsidRPr="00095119">
              <w:t>Any email (direct + cooperative) compared to control</w:t>
            </w:r>
          </w:p>
        </w:tc>
        <w:tc>
          <w:tcPr>
            <w:tcW w:w="1701" w:type="dxa"/>
            <w:vAlign w:val="center"/>
          </w:tcPr>
          <w:p w14:paraId="72DC85FC"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1.66</w:t>
            </w:r>
          </w:p>
        </w:tc>
        <w:tc>
          <w:tcPr>
            <w:tcW w:w="2268" w:type="dxa"/>
            <w:vAlign w:val="center"/>
          </w:tcPr>
          <w:p w14:paraId="110CF941"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0.206</w:t>
            </w:r>
          </w:p>
        </w:tc>
        <w:tc>
          <w:tcPr>
            <w:tcW w:w="1417" w:type="dxa"/>
            <w:vAlign w:val="center"/>
          </w:tcPr>
          <w:p w14:paraId="39C2F66D" w14:textId="77777777" w:rsidR="009F4842" w:rsidRPr="00095119"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095119">
              <w:t>&lt; 0.001</w:t>
            </w:r>
          </w:p>
        </w:tc>
      </w:tr>
    </w:tbl>
    <w:p w14:paraId="39265887" w14:textId="646C1C8E" w:rsidR="004935E2" w:rsidRPr="004935E2" w:rsidRDefault="004935E2" w:rsidP="004935E2">
      <w:pPr>
        <w:pStyle w:val="SourceNotesText"/>
      </w:pPr>
      <w:r w:rsidRPr="00095119">
        <w:t xml:space="preserve">Note: Dummy variables for each triplet were not included in these models. This is because for some triplets, all businesses could be either compliant or non-compliant. In such a scenario, the coefficient would be infinite and the model could not be fitted. The average marginal effects from this model was exactly the same as that from the linear regression model reported in Table 3.2. To make a direct comparison, odds ratios must first be converted to average marginal effects. </w:t>
      </w:r>
    </w:p>
    <w:p w14:paraId="3A04216A" w14:textId="77777777" w:rsidR="004935E2" w:rsidRDefault="004935E2" w:rsidP="004935E2">
      <w:pPr>
        <w:rPr>
          <w:rFonts w:eastAsia="Cambria"/>
          <w:lang w:eastAsia="ja-JP"/>
        </w:rPr>
      </w:pPr>
    </w:p>
    <w:p w14:paraId="6A5BE872" w14:textId="77777777" w:rsidR="00A67AA8" w:rsidRDefault="009F4842" w:rsidP="00A67AA8">
      <w:pPr>
        <w:rPr>
          <w:rFonts w:eastAsia="Cambria"/>
        </w:rPr>
      </w:pPr>
      <w:r>
        <w:rPr>
          <w:rFonts w:eastAsia="Cambria"/>
          <w:lang w:eastAsia="ja-JP"/>
        </w:rPr>
        <w:t xml:space="preserve">Table 3.4 presents </w:t>
      </w:r>
      <w:r w:rsidRPr="00F839D8">
        <w:rPr>
          <w:rFonts w:eastAsia="Cambria"/>
          <w:lang w:eastAsia="ja-JP"/>
        </w:rPr>
        <w:t xml:space="preserve">estimates from Kaplan–Meier failure curves, obtained from survival analysis. Survival analysis is a statistical technique to investigate the time for an event of interest to occur. In this case, the event of interest is a business becoming compliant. </w:t>
      </w:r>
      <w:r>
        <w:rPr>
          <w:rFonts w:eastAsia="Cambria"/>
          <w:lang w:eastAsia="ja-JP"/>
        </w:rPr>
        <w:t xml:space="preserve">These </w:t>
      </w:r>
      <w:r w:rsidR="00A36A15">
        <w:rPr>
          <w:rFonts w:eastAsia="Cambria"/>
          <w:lang w:eastAsia="ja-JP"/>
        </w:rPr>
        <w:t>a</w:t>
      </w:r>
      <w:r w:rsidRPr="00F839D8">
        <w:rPr>
          <w:rFonts w:eastAsia="Cambria"/>
          <w:lang w:eastAsia="ja-JP"/>
        </w:rPr>
        <w:t>nalys</w:t>
      </w:r>
      <w:r>
        <w:rPr>
          <w:rFonts w:eastAsia="Cambria"/>
          <w:lang w:eastAsia="ja-JP"/>
        </w:rPr>
        <w:t>es</w:t>
      </w:r>
      <w:r w:rsidRPr="00F839D8">
        <w:rPr>
          <w:rFonts w:eastAsia="Cambria"/>
          <w:lang w:eastAsia="ja-JP"/>
        </w:rPr>
        <w:t xml:space="preserve"> excluded those with multiple changes to compliance status such as becoming compliant and then non</w:t>
      </w:r>
      <w:r w:rsidR="004B7940">
        <w:rPr>
          <w:rFonts w:eastAsia="Cambria"/>
          <w:lang w:eastAsia="ja-JP"/>
        </w:rPr>
        <w:noBreakHyphen/>
        <w:t>compliant</w:t>
      </w:r>
      <w:r w:rsidRPr="00F839D8">
        <w:rPr>
          <w:rFonts w:eastAsia="Cambria"/>
          <w:lang w:eastAsia="ja-JP"/>
        </w:rPr>
        <w:t xml:space="preserve"> again during the trial </w:t>
      </w:r>
      <w:r w:rsidRPr="00A67AA8">
        <w:rPr>
          <w:rFonts w:eastAsia="Cambria"/>
        </w:rPr>
        <w:t>period. This led to the analysis sample size of 1,194 businesses. The probability of compliance is the probability the business becomes compliant after the specified time (e.g. between day 2 and day 3).</w:t>
      </w:r>
    </w:p>
    <w:p w14:paraId="39DB90D1" w14:textId="62F144F7" w:rsidR="009F4842" w:rsidRPr="00095119" w:rsidRDefault="009F4842" w:rsidP="00A67AA8">
      <w:pPr>
        <w:rPr>
          <w:rFonts w:eastAsia="Cambria"/>
          <w:lang w:eastAsia="ja-JP"/>
        </w:rPr>
      </w:pPr>
      <w:r>
        <w:rPr>
          <w:rFonts w:eastAsia="Cambria"/>
          <w:lang w:eastAsia="ja-JP"/>
        </w:rPr>
        <w:br w:type="page"/>
      </w:r>
    </w:p>
    <w:p w14:paraId="374F758C" w14:textId="3ECED9A3" w:rsidR="009F4842" w:rsidRPr="00A67AA8" w:rsidRDefault="009F4842" w:rsidP="00A67AA8">
      <w:pPr>
        <w:pStyle w:val="FigureHeading"/>
        <w:rPr>
          <w:rFonts w:eastAsia="Cambria"/>
        </w:rPr>
      </w:pPr>
      <w:r w:rsidRPr="00A67AA8">
        <w:rPr>
          <w:rFonts w:eastAsia="Cambria"/>
        </w:rPr>
        <w:lastRenderedPageBreak/>
        <w:t>T</w:t>
      </w:r>
      <w:r w:rsidR="00BF3845" w:rsidRPr="00A67AA8">
        <w:rPr>
          <w:rFonts w:eastAsia="Cambria"/>
        </w:rPr>
        <w:t>able 3.4 – Time</w:t>
      </w:r>
      <w:r w:rsidRPr="00A67AA8">
        <w:rPr>
          <w:rFonts w:eastAsia="Cambria"/>
        </w:rPr>
        <w:t>-</w:t>
      </w:r>
      <w:r w:rsidR="00BF3845" w:rsidRPr="00A67AA8">
        <w:rPr>
          <w:rFonts w:eastAsia="Cambria"/>
        </w:rPr>
        <w:t>to</w:t>
      </w:r>
      <w:r w:rsidRPr="00A67AA8">
        <w:rPr>
          <w:rFonts w:eastAsia="Cambria"/>
        </w:rPr>
        <w:t>-</w:t>
      </w:r>
      <w:r w:rsidR="00BF3845" w:rsidRPr="00A67AA8">
        <w:rPr>
          <w:rFonts w:eastAsia="Cambria"/>
        </w:rPr>
        <w:t>comply: survival analysis</w:t>
      </w:r>
    </w:p>
    <w:tbl>
      <w:tblPr>
        <w:tblStyle w:val="DefaultTable"/>
        <w:tblW w:w="10065" w:type="dxa"/>
        <w:tblCellMar>
          <w:top w:w="57" w:type="dxa"/>
          <w:right w:w="57" w:type="dxa"/>
        </w:tblCellMar>
        <w:tblLook w:val="04A0" w:firstRow="1" w:lastRow="0" w:firstColumn="1" w:lastColumn="0" w:noHBand="0" w:noVBand="1"/>
        <w:tblCaption w:val="Time-to-comply: survival analysis"/>
        <w:tblDescription w:val="The number of businesses compliant after each day"/>
      </w:tblPr>
      <w:tblGrid>
        <w:gridCol w:w="1439"/>
        <w:gridCol w:w="576"/>
        <w:gridCol w:w="1150"/>
        <w:gridCol w:w="1150"/>
        <w:gridCol w:w="1150"/>
        <w:gridCol w:w="1150"/>
        <w:gridCol w:w="1150"/>
        <w:gridCol w:w="1150"/>
        <w:gridCol w:w="1150"/>
      </w:tblGrid>
      <w:tr w:rsidR="00CD6D86" w:rsidRPr="004D3DE3" w14:paraId="7791988F" w14:textId="77777777" w:rsidTr="00A67A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shd w:val="clear" w:color="auto" w:fill="142E3A" w:themeFill="text2"/>
            <w:noWrap/>
            <w:vAlign w:val="center"/>
            <w:hideMark/>
          </w:tcPr>
          <w:p w14:paraId="7E5D4A9B" w14:textId="77777777" w:rsidR="009F4842" w:rsidRPr="00BF3845" w:rsidRDefault="009F4842" w:rsidP="00BF3845">
            <w:pPr>
              <w:pStyle w:val="TableHeading"/>
              <w:rPr>
                <w:rFonts w:eastAsia="Cambria"/>
                <w:sz w:val="20"/>
                <w:szCs w:val="20"/>
                <w:lang w:val="en-GB"/>
              </w:rPr>
            </w:pPr>
            <w:r w:rsidRPr="00BF3845">
              <w:rPr>
                <w:rFonts w:eastAsia="Cambria"/>
                <w:sz w:val="20"/>
                <w:szCs w:val="20"/>
                <w:lang w:val="en-GB"/>
              </w:rPr>
              <w:t>DAYS</w:t>
            </w:r>
          </w:p>
        </w:tc>
        <w:tc>
          <w:tcPr>
            <w:tcW w:w="567" w:type="dxa"/>
            <w:shd w:val="clear" w:color="auto" w:fill="142E3A" w:themeFill="text2"/>
            <w:noWrap/>
            <w:vAlign w:val="center"/>
            <w:hideMark/>
          </w:tcPr>
          <w:p w14:paraId="5C0418D7"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0</w:t>
            </w:r>
          </w:p>
        </w:tc>
        <w:tc>
          <w:tcPr>
            <w:tcW w:w="1134" w:type="dxa"/>
            <w:shd w:val="clear" w:color="auto" w:fill="142E3A" w:themeFill="text2"/>
            <w:noWrap/>
            <w:vAlign w:val="center"/>
            <w:hideMark/>
          </w:tcPr>
          <w:p w14:paraId="2439C5C0"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2</w:t>
            </w:r>
          </w:p>
        </w:tc>
        <w:tc>
          <w:tcPr>
            <w:tcW w:w="1134" w:type="dxa"/>
            <w:shd w:val="clear" w:color="auto" w:fill="142E3A" w:themeFill="text2"/>
            <w:noWrap/>
            <w:vAlign w:val="center"/>
            <w:hideMark/>
          </w:tcPr>
          <w:p w14:paraId="576421D4"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5</w:t>
            </w:r>
          </w:p>
        </w:tc>
        <w:tc>
          <w:tcPr>
            <w:tcW w:w="1134" w:type="dxa"/>
            <w:shd w:val="clear" w:color="auto" w:fill="142E3A" w:themeFill="text2"/>
            <w:noWrap/>
            <w:vAlign w:val="center"/>
            <w:hideMark/>
          </w:tcPr>
          <w:p w14:paraId="37729C01"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8</w:t>
            </w:r>
          </w:p>
        </w:tc>
        <w:tc>
          <w:tcPr>
            <w:tcW w:w="1134" w:type="dxa"/>
            <w:shd w:val="clear" w:color="auto" w:fill="142E3A" w:themeFill="text2"/>
            <w:noWrap/>
            <w:vAlign w:val="center"/>
            <w:hideMark/>
          </w:tcPr>
          <w:p w14:paraId="42D7B1F9"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11</w:t>
            </w:r>
          </w:p>
        </w:tc>
        <w:tc>
          <w:tcPr>
            <w:tcW w:w="1134" w:type="dxa"/>
            <w:shd w:val="clear" w:color="auto" w:fill="142E3A" w:themeFill="text2"/>
            <w:noWrap/>
            <w:vAlign w:val="center"/>
            <w:hideMark/>
          </w:tcPr>
          <w:p w14:paraId="67D36E9A"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14</w:t>
            </w:r>
          </w:p>
        </w:tc>
        <w:tc>
          <w:tcPr>
            <w:tcW w:w="1134" w:type="dxa"/>
            <w:shd w:val="clear" w:color="auto" w:fill="142E3A" w:themeFill="text2"/>
            <w:noWrap/>
            <w:vAlign w:val="center"/>
            <w:hideMark/>
          </w:tcPr>
          <w:p w14:paraId="3546FF49"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17</w:t>
            </w:r>
          </w:p>
        </w:tc>
        <w:tc>
          <w:tcPr>
            <w:tcW w:w="1134" w:type="dxa"/>
            <w:shd w:val="clear" w:color="auto" w:fill="142E3A" w:themeFill="text2"/>
            <w:noWrap/>
            <w:vAlign w:val="center"/>
            <w:hideMark/>
          </w:tcPr>
          <w:p w14:paraId="7FBC583A" w14:textId="77777777" w:rsidR="009F4842" w:rsidRPr="00BF3845" w:rsidRDefault="009F4842" w:rsidP="00CD6D86">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sz w:val="20"/>
                <w:szCs w:val="20"/>
                <w:lang w:val="en-GB"/>
              </w:rPr>
            </w:pPr>
            <w:r w:rsidRPr="00BF3845">
              <w:rPr>
                <w:rFonts w:eastAsia="Cambria"/>
                <w:sz w:val="20"/>
                <w:szCs w:val="20"/>
                <w:lang w:val="en-GB"/>
              </w:rPr>
              <w:t>20</w:t>
            </w:r>
          </w:p>
        </w:tc>
      </w:tr>
      <w:tr w:rsidR="009F4842" w:rsidRPr="004D3DE3" w14:paraId="5B0EE54A" w14:textId="77777777" w:rsidTr="008B1D16">
        <w:trPr>
          <w:trHeight w:val="300"/>
        </w:trPr>
        <w:tc>
          <w:tcPr>
            <w:cnfStyle w:val="001000000000" w:firstRow="0" w:lastRow="0" w:firstColumn="1" w:lastColumn="0" w:oddVBand="0" w:evenVBand="0" w:oddHBand="0" w:evenHBand="0" w:firstRowFirstColumn="0" w:firstRowLastColumn="0" w:lastRowFirstColumn="0" w:lastRowLastColumn="0"/>
            <w:tcW w:w="1191" w:type="dxa"/>
            <w:gridSpan w:val="9"/>
            <w:shd w:val="clear" w:color="auto" w:fill="D9D9D9" w:themeFill="background1" w:themeFillShade="D9"/>
            <w:noWrap/>
            <w:vAlign w:val="center"/>
            <w:hideMark/>
          </w:tcPr>
          <w:p w14:paraId="2796B0F1" w14:textId="58EB9A0E" w:rsidR="009F4842" w:rsidRPr="00BF3845" w:rsidRDefault="009F4842" w:rsidP="00CD6D86">
            <w:pPr>
              <w:pStyle w:val="TableText"/>
              <w:tabs>
                <w:tab w:val="left" w:pos="3622"/>
                <w:tab w:val="center" w:pos="5103"/>
              </w:tabs>
              <w:jc w:val="center"/>
              <w:rPr>
                <w:rFonts w:eastAsia="Cambria"/>
                <w:b/>
                <w:sz w:val="18"/>
                <w:szCs w:val="18"/>
              </w:rPr>
            </w:pPr>
            <w:r w:rsidRPr="00BF3845">
              <w:rPr>
                <w:rFonts w:eastAsia="Cambria"/>
                <w:b/>
                <w:sz w:val="18"/>
                <w:szCs w:val="18"/>
              </w:rPr>
              <w:t>CONTROL</w:t>
            </w:r>
            <w:r w:rsidR="00D17AE5" w:rsidRPr="00BF3845">
              <w:rPr>
                <w:rFonts w:eastAsia="Cambria"/>
                <w:b/>
                <w:sz w:val="18"/>
                <w:szCs w:val="18"/>
              </w:rPr>
              <w:t xml:space="preserve"> (NO EMAIL)</w:t>
            </w:r>
          </w:p>
        </w:tc>
      </w:tr>
      <w:tr w:rsidR="00CD6D86" w:rsidRPr="004D3DE3" w14:paraId="7129428C"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hideMark/>
          </w:tcPr>
          <w:p w14:paraId="657F3C9E" w14:textId="77777777" w:rsidR="009F4842" w:rsidRPr="00BF3845" w:rsidRDefault="009F4842" w:rsidP="00BF3845">
            <w:pPr>
              <w:pStyle w:val="TableText"/>
              <w:rPr>
                <w:rFonts w:eastAsia="Cambria"/>
                <w:sz w:val="18"/>
                <w:szCs w:val="18"/>
              </w:rPr>
            </w:pPr>
            <w:r w:rsidRPr="00BF3845">
              <w:rPr>
                <w:rFonts w:eastAsia="Cambria"/>
                <w:sz w:val="18"/>
                <w:szCs w:val="18"/>
              </w:rPr>
              <w:t>Number of businesses still non-compliant</w:t>
            </w:r>
          </w:p>
        </w:tc>
        <w:tc>
          <w:tcPr>
            <w:tcW w:w="567" w:type="dxa"/>
            <w:noWrap/>
            <w:vAlign w:val="center"/>
          </w:tcPr>
          <w:p w14:paraId="5D457973" w14:textId="77777777" w:rsidR="009F4842" w:rsidRPr="00BF3845" w:rsidRDefault="009F4842" w:rsidP="00CD6D86">
            <w:pPr>
              <w:pStyle w:val="TableText"/>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403</w:t>
            </w:r>
          </w:p>
        </w:tc>
        <w:tc>
          <w:tcPr>
            <w:tcW w:w="1134" w:type="dxa"/>
            <w:noWrap/>
            <w:vAlign w:val="center"/>
          </w:tcPr>
          <w:p w14:paraId="4D511AE0"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393</w:t>
            </w:r>
          </w:p>
        </w:tc>
        <w:tc>
          <w:tcPr>
            <w:tcW w:w="1134" w:type="dxa"/>
            <w:noWrap/>
            <w:vAlign w:val="center"/>
          </w:tcPr>
          <w:p w14:paraId="3B80E502"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375</w:t>
            </w:r>
          </w:p>
        </w:tc>
        <w:tc>
          <w:tcPr>
            <w:tcW w:w="1134" w:type="dxa"/>
            <w:noWrap/>
            <w:vAlign w:val="center"/>
          </w:tcPr>
          <w:p w14:paraId="5ADE4B33"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344</w:t>
            </w:r>
          </w:p>
        </w:tc>
        <w:tc>
          <w:tcPr>
            <w:tcW w:w="1134" w:type="dxa"/>
            <w:noWrap/>
            <w:vAlign w:val="center"/>
          </w:tcPr>
          <w:p w14:paraId="1CF7DCB0"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323</w:t>
            </w:r>
          </w:p>
        </w:tc>
        <w:tc>
          <w:tcPr>
            <w:tcW w:w="1134" w:type="dxa"/>
            <w:noWrap/>
            <w:vAlign w:val="center"/>
          </w:tcPr>
          <w:p w14:paraId="6BDA1AC2"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309</w:t>
            </w:r>
          </w:p>
        </w:tc>
        <w:tc>
          <w:tcPr>
            <w:tcW w:w="1134" w:type="dxa"/>
            <w:noWrap/>
            <w:vAlign w:val="center"/>
          </w:tcPr>
          <w:p w14:paraId="294187FA"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288</w:t>
            </w:r>
          </w:p>
        </w:tc>
        <w:tc>
          <w:tcPr>
            <w:tcW w:w="1134" w:type="dxa"/>
            <w:noWrap/>
            <w:vAlign w:val="center"/>
          </w:tcPr>
          <w:p w14:paraId="520A5344"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285</w:t>
            </w:r>
          </w:p>
        </w:tc>
      </w:tr>
      <w:tr w:rsidR="00CD6D86" w:rsidRPr="004D3DE3" w14:paraId="634310CA"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hideMark/>
          </w:tcPr>
          <w:p w14:paraId="56EAF5CF" w14:textId="77777777" w:rsidR="009F4842" w:rsidRPr="00BF3845" w:rsidRDefault="009F4842" w:rsidP="00BF3845">
            <w:pPr>
              <w:pStyle w:val="TableText"/>
              <w:rPr>
                <w:rFonts w:eastAsia="Cambria"/>
                <w:sz w:val="18"/>
                <w:szCs w:val="18"/>
              </w:rPr>
            </w:pPr>
            <w:r w:rsidRPr="00BF3845">
              <w:rPr>
                <w:rFonts w:eastAsia="Cambria"/>
                <w:sz w:val="18"/>
                <w:szCs w:val="18"/>
              </w:rPr>
              <w:t>Probability of compliance (%)</w:t>
            </w:r>
          </w:p>
        </w:tc>
        <w:tc>
          <w:tcPr>
            <w:tcW w:w="567" w:type="dxa"/>
            <w:noWrap/>
            <w:vAlign w:val="center"/>
          </w:tcPr>
          <w:p w14:paraId="0EE4F745"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0</w:t>
            </w:r>
          </w:p>
        </w:tc>
        <w:tc>
          <w:tcPr>
            <w:tcW w:w="1134" w:type="dxa"/>
            <w:noWrap/>
            <w:vAlign w:val="center"/>
          </w:tcPr>
          <w:p w14:paraId="63AA10D4" w14:textId="2A0054BE"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4.2</w:t>
            </w:r>
            <w:r w:rsidR="005158ED">
              <w:rPr>
                <w:rFonts w:eastAsia="Cambria"/>
                <w:sz w:val="18"/>
                <w:szCs w:val="18"/>
              </w:rPr>
              <w:br/>
            </w:r>
            <w:r w:rsidRPr="00BF3845">
              <w:rPr>
                <w:rFonts w:eastAsia="Cambria"/>
                <w:sz w:val="18"/>
                <w:szCs w:val="18"/>
              </w:rPr>
              <w:t>(2.6-6.7)</w:t>
            </w:r>
          </w:p>
        </w:tc>
        <w:tc>
          <w:tcPr>
            <w:tcW w:w="1134" w:type="dxa"/>
            <w:noWrap/>
            <w:vAlign w:val="center"/>
          </w:tcPr>
          <w:p w14:paraId="5C5814B7" w14:textId="7D60E7F3"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9.9</w:t>
            </w:r>
            <w:r w:rsidR="005158ED">
              <w:rPr>
                <w:rFonts w:eastAsia="Cambria"/>
                <w:sz w:val="18"/>
                <w:szCs w:val="18"/>
              </w:rPr>
              <w:br/>
            </w:r>
            <w:r w:rsidRPr="00BF3845">
              <w:rPr>
                <w:rFonts w:eastAsia="Cambria"/>
                <w:sz w:val="18"/>
                <w:szCs w:val="18"/>
              </w:rPr>
              <w:t>(7.4-13.3)</w:t>
            </w:r>
          </w:p>
        </w:tc>
        <w:tc>
          <w:tcPr>
            <w:tcW w:w="1134" w:type="dxa"/>
            <w:noWrap/>
            <w:vAlign w:val="center"/>
          </w:tcPr>
          <w:p w14:paraId="669D0260" w14:textId="24051D2A"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17.9</w:t>
            </w:r>
            <w:r w:rsidR="005158ED">
              <w:rPr>
                <w:rFonts w:eastAsia="Cambria"/>
                <w:sz w:val="18"/>
                <w:szCs w:val="18"/>
              </w:rPr>
              <w:br/>
            </w:r>
            <w:r w:rsidRPr="00BF3845">
              <w:rPr>
                <w:rFonts w:eastAsia="Cambria"/>
                <w:sz w:val="18"/>
                <w:szCs w:val="18"/>
              </w:rPr>
              <w:t>(14.5-22.0)</w:t>
            </w:r>
          </w:p>
        </w:tc>
        <w:tc>
          <w:tcPr>
            <w:tcW w:w="1134" w:type="dxa"/>
            <w:noWrap/>
            <w:vAlign w:val="center"/>
          </w:tcPr>
          <w:p w14:paraId="791D177E" w14:textId="74ABA368"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20.6</w:t>
            </w:r>
            <w:r w:rsidR="005158ED">
              <w:rPr>
                <w:rFonts w:eastAsia="Cambria"/>
                <w:sz w:val="18"/>
                <w:szCs w:val="18"/>
              </w:rPr>
              <w:br/>
            </w:r>
            <w:r w:rsidRPr="00BF3845">
              <w:rPr>
                <w:rFonts w:eastAsia="Cambria"/>
                <w:sz w:val="18"/>
                <w:szCs w:val="18"/>
              </w:rPr>
              <w:t>(17.0-24.9)</w:t>
            </w:r>
          </w:p>
        </w:tc>
        <w:tc>
          <w:tcPr>
            <w:tcW w:w="1134" w:type="dxa"/>
            <w:noWrap/>
            <w:vAlign w:val="center"/>
          </w:tcPr>
          <w:p w14:paraId="6CB14C8C" w14:textId="1E2F1AF0"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25.6</w:t>
            </w:r>
            <w:r w:rsidR="005158ED">
              <w:rPr>
                <w:rFonts w:eastAsia="Cambria"/>
                <w:sz w:val="18"/>
                <w:szCs w:val="18"/>
              </w:rPr>
              <w:br/>
            </w:r>
            <w:r w:rsidRPr="00BF3845">
              <w:rPr>
                <w:rFonts w:eastAsia="Cambria"/>
                <w:sz w:val="18"/>
                <w:szCs w:val="18"/>
              </w:rPr>
              <w:t>(21.6-30.1)</w:t>
            </w:r>
          </w:p>
        </w:tc>
        <w:tc>
          <w:tcPr>
            <w:tcW w:w="1134" w:type="dxa"/>
            <w:noWrap/>
            <w:vAlign w:val="center"/>
          </w:tcPr>
          <w:p w14:paraId="6F2B72E3" w14:textId="189E84FF"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28.8</w:t>
            </w:r>
            <w:r w:rsidR="005158ED">
              <w:rPr>
                <w:rFonts w:eastAsia="Cambria"/>
                <w:sz w:val="18"/>
                <w:szCs w:val="18"/>
              </w:rPr>
              <w:br/>
            </w:r>
            <w:r w:rsidRPr="00BF3845">
              <w:rPr>
                <w:rFonts w:eastAsia="Cambria"/>
                <w:sz w:val="18"/>
                <w:szCs w:val="18"/>
              </w:rPr>
              <w:t>(24.6-33.5)</w:t>
            </w:r>
          </w:p>
        </w:tc>
        <w:tc>
          <w:tcPr>
            <w:tcW w:w="1134" w:type="dxa"/>
            <w:noWrap/>
            <w:vAlign w:val="center"/>
          </w:tcPr>
          <w:p w14:paraId="603EC61C" w14:textId="63BFC9FF"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32.8</w:t>
            </w:r>
            <w:r w:rsidR="005158ED">
              <w:rPr>
                <w:rFonts w:eastAsia="Cambria"/>
                <w:sz w:val="18"/>
                <w:szCs w:val="18"/>
              </w:rPr>
              <w:br/>
            </w:r>
            <w:r w:rsidRPr="00BF3845">
              <w:rPr>
                <w:rFonts w:eastAsia="Cambria"/>
                <w:sz w:val="18"/>
                <w:szCs w:val="18"/>
              </w:rPr>
              <w:t>(28.4-37.6)</w:t>
            </w:r>
          </w:p>
        </w:tc>
      </w:tr>
      <w:tr w:rsidR="009F4842" w:rsidRPr="004D3DE3" w14:paraId="42D9CEFE" w14:textId="77777777" w:rsidTr="008B1D16">
        <w:trPr>
          <w:trHeight w:val="300"/>
        </w:trPr>
        <w:tc>
          <w:tcPr>
            <w:cnfStyle w:val="001000000000" w:firstRow="0" w:lastRow="0" w:firstColumn="1" w:lastColumn="0" w:oddVBand="0" w:evenVBand="0" w:oddHBand="0" w:evenHBand="0" w:firstRowFirstColumn="0" w:firstRowLastColumn="0" w:lastRowFirstColumn="0" w:lastRowLastColumn="0"/>
            <w:tcW w:w="1191" w:type="dxa"/>
            <w:gridSpan w:val="9"/>
            <w:shd w:val="clear" w:color="auto" w:fill="D9D9D9" w:themeFill="background1" w:themeFillShade="D9"/>
            <w:noWrap/>
            <w:vAlign w:val="center"/>
            <w:hideMark/>
          </w:tcPr>
          <w:p w14:paraId="1EE7EF73" w14:textId="77777777" w:rsidR="009F4842" w:rsidRPr="00BF3845" w:rsidRDefault="009F4842" w:rsidP="00BF3845">
            <w:pPr>
              <w:pStyle w:val="TableText"/>
              <w:jc w:val="center"/>
              <w:rPr>
                <w:rFonts w:eastAsia="Cambria"/>
                <w:b/>
                <w:sz w:val="18"/>
                <w:szCs w:val="18"/>
              </w:rPr>
            </w:pPr>
            <w:r w:rsidRPr="00BF3845">
              <w:rPr>
                <w:rFonts w:eastAsia="Cambria"/>
                <w:b/>
                <w:sz w:val="18"/>
                <w:szCs w:val="18"/>
              </w:rPr>
              <w:t>DIRECT EMAIL</w:t>
            </w:r>
          </w:p>
        </w:tc>
      </w:tr>
      <w:tr w:rsidR="00CD6D86" w:rsidRPr="004D3DE3" w14:paraId="5108C58A"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hideMark/>
          </w:tcPr>
          <w:p w14:paraId="38E6B34D" w14:textId="77777777" w:rsidR="009F4842" w:rsidRPr="00BF3845" w:rsidRDefault="009F4842" w:rsidP="00BF3845">
            <w:pPr>
              <w:pStyle w:val="TableText"/>
              <w:rPr>
                <w:rFonts w:eastAsia="Cambria"/>
                <w:sz w:val="18"/>
                <w:szCs w:val="18"/>
              </w:rPr>
            </w:pPr>
            <w:r w:rsidRPr="00BF3845">
              <w:rPr>
                <w:rFonts w:eastAsia="Cambria"/>
                <w:sz w:val="18"/>
                <w:szCs w:val="18"/>
              </w:rPr>
              <w:t>Number of businesses still non-compliant</w:t>
            </w:r>
          </w:p>
        </w:tc>
        <w:tc>
          <w:tcPr>
            <w:tcW w:w="567" w:type="dxa"/>
            <w:noWrap/>
            <w:vAlign w:val="center"/>
          </w:tcPr>
          <w:p w14:paraId="05796053"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395</w:t>
            </w:r>
          </w:p>
        </w:tc>
        <w:tc>
          <w:tcPr>
            <w:tcW w:w="1134" w:type="dxa"/>
            <w:noWrap/>
            <w:vAlign w:val="center"/>
          </w:tcPr>
          <w:p w14:paraId="1C711158"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375</w:t>
            </w:r>
          </w:p>
        </w:tc>
        <w:tc>
          <w:tcPr>
            <w:tcW w:w="1134" w:type="dxa"/>
            <w:noWrap/>
            <w:vAlign w:val="center"/>
          </w:tcPr>
          <w:p w14:paraId="38B3117F"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344</w:t>
            </w:r>
          </w:p>
        </w:tc>
        <w:tc>
          <w:tcPr>
            <w:tcW w:w="1134" w:type="dxa"/>
            <w:noWrap/>
            <w:vAlign w:val="center"/>
          </w:tcPr>
          <w:p w14:paraId="48B2F546"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299</w:t>
            </w:r>
          </w:p>
        </w:tc>
        <w:tc>
          <w:tcPr>
            <w:tcW w:w="1134" w:type="dxa"/>
            <w:noWrap/>
            <w:vAlign w:val="center"/>
          </w:tcPr>
          <w:p w14:paraId="14786ADB"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276</w:t>
            </w:r>
          </w:p>
        </w:tc>
        <w:tc>
          <w:tcPr>
            <w:tcW w:w="1134" w:type="dxa"/>
            <w:noWrap/>
            <w:vAlign w:val="center"/>
          </w:tcPr>
          <w:p w14:paraId="6AA800AA"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242</w:t>
            </w:r>
          </w:p>
        </w:tc>
        <w:tc>
          <w:tcPr>
            <w:tcW w:w="1134" w:type="dxa"/>
            <w:noWrap/>
            <w:vAlign w:val="center"/>
          </w:tcPr>
          <w:p w14:paraId="4A2E60EF"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220</w:t>
            </w:r>
          </w:p>
        </w:tc>
        <w:tc>
          <w:tcPr>
            <w:tcW w:w="1134" w:type="dxa"/>
            <w:noWrap/>
            <w:vAlign w:val="center"/>
          </w:tcPr>
          <w:p w14:paraId="70498F3B"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218</w:t>
            </w:r>
          </w:p>
        </w:tc>
      </w:tr>
      <w:tr w:rsidR="00CD6D86" w:rsidRPr="004D3DE3" w14:paraId="23578ADB"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hideMark/>
          </w:tcPr>
          <w:p w14:paraId="588F29C1" w14:textId="77777777" w:rsidR="009F4842" w:rsidRPr="00BF3845" w:rsidRDefault="009F4842" w:rsidP="00BF3845">
            <w:pPr>
              <w:pStyle w:val="TableText"/>
              <w:rPr>
                <w:rFonts w:eastAsia="Cambria"/>
                <w:sz w:val="18"/>
                <w:szCs w:val="18"/>
              </w:rPr>
            </w:pPr>
            <w:r w:rsidRPr="00BF3845">
              <w:rPr>
                <w:rFonts w:eastAsia="Cambria"/>
                <w:sz w:val="18"/>
                <w:szCs w:val="18"/>
              </w:rPr>
              <w:t>Probability of compliance (%)</w:t>
            </w:r>
          </w:p>
        </w:tc>
        <w:tc>
          <w:tcPr>
            <w:tcW w:w="567" w:type="dxa"/>
            <w:noWrap/>
            <w:vAlign w:val="center"/>
          </w:tcPr>
          <w:p w14:paraId="0741BD2A"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0</w:t>
            </w:r>
          </w:p>
        </w:tc>
        <w:tc>
          <w:tcPr>
            <w:tcW w:w="1134" w:type="dxa"/>
            <w:noWrap/>
            <w:vAlign w:val="center"/>
          </w:tcPr>
          <w:p w14:paraId="007C6DE3" w14:textId="27CAC2B4"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8.1</w:t>
            </w:r>
            <w:r w:rsidR="005158ED">
              <w:rPr>
                <w:rFonts w:eastAsia="Cambria"/>
                <w:sz w:val="18"/>
                <w:szCs w:val="18"/>
              </w:rPr>
              <w:br/>
            </w:r>
            <w:r w:rsidRPr="00BF3845">
              <w:rPr>
                <w:rFonts w:eastAsia="Cambria"/>
                <w:sz w:val="18"/>
                <w:szCs w:val="18"/>
              </w:rPr>
              <w:t>(5.8-11.3)</w:t>
            </w:r>
          </w:p>
        </w:tc>
        <w:tc>
          <w:tcPr>
            <w:tcW w:w="1134" w:type="dxa"/>
            <w:noWrap/>
            <w:vAlign w:val="center"/>
          </w:tcPr>
          <w:p w14:paraId="7BE58866" w14:textId="0678BFE3"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18.5</w:t>
            </w:r>
            <w:r w:rsidR="005158ED">
              <w:rPr>
                <w:rFonts w:eastAsia="Cambria"/>
                <w:sz w:val="18"/>
                <w:szCs w:val="18"/>
              </w:rPr>
              <w:br/>
            </w:r>
            <w:r w:rsidRPr="00BF3845">
              <w:rPr>
                <w:rFonts w:eastAsia="Cambria"/>
                <w:sz w:val="18"/>
                <w:szCs w:val="18"/>
              </w:rPr>
              <w:t>(15.0-22.7)</w:t>
            </w:r>
          </w:p>
        </w:tc>
        <w:tc>
          <w:tcPr>
            <w:tcW w:w="1134" w:type="dxa"/>
            <w:noWrap/>
            <w:vAlign w:val="center"/>
          </w:tcPr>
          <w:p w14:paraId="5ADBCDD8" w14:textId="7A2B9433"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28.4</w:t>
            </w:r>
            <w:r w:rsidR="005158ED">
              <w:rPr>
                <w:rFonts w:eastAsia="Cambria"/>
                <w:sz w:val="18"/>
                <w:szCs w:val="18"/>
              </w:rPr>
              <w:br/>
            </w:r>
            <w:r w:rsidRPr="00BF3845">
              <w:rPr>
                <w:rFonts w:eastAsia="Cambria"/>
                <w:sz w:val="18"/>
                <w:szCs w:val="18"/>
              </w:rPr>
              <w:t>(24.2-33.1)</w:t>
            </w:r>
          </w:p>
        </w:tc>
        <w:tc>
          <w:tcPr>
            <w:tcW w:w="1134" w:type="dxa"/>
            <w:noWrap/>
            <w:vAlign w:val="center"/>
          </w:tcPr>
          <w:p w14:paraId="431BBA58" w14:textId="7B250EE4"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32.2</w:t>
            </w:r>
            <w:r w:rsidR="005158ED">
              <w:rPr>
                <w:rFonts w:eastAsia="Cambria"/>
                <w:sz w:val="18"/>
                <w:szCs w:val="18"/>
              </w:rPr>
              <w:br/>
            </w:r>
            <w:r w:rsidRPr="00BF3845">
              <w:rPr>
                <w:rFonts w:eastAsia="Cambria"/>
                <w:sz w:val="18"/>
                <w:szCs w:val="18"/>
              </w:rPr>
              <w:t>(27.8-37.0)</w:t>
            </w:r>
          </w:p>
        </w:tc>
        <w:tc>
          <w:tcPr>
            <w:tcW w:w="1134" w:type="dxa"/>
            <w:noWrap/>
            <w:vAlign w:val="center"/>
          </w:tcPr>
          <w:p w14:paraId="3D64E486" w14:textId="1F242EFD"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40.8</w:t>
            </w:r>
            <w:r w:rsidR="005158ED">
              <w:rPr>
                <w:rFonts w:eastAsia="Cambria"/>
                <w:sz w:val="18"/>
                <w:szCs w:val="18"/>
              </w:rPr>
              <w:br/>
            </w:r>
            <w:r w:rsidRPr="00BF3845">
              <w:rPr>
                <w:rFonts w:eastAsia="Cambria"/>
                <w:sz w:val="18"/>
                <w:szCs w:val="18"/>
              </w:rPr>
              <w:t>(36.1-45.8)</w:t>
            </w:r>
          </w:p>
        </w:tc>
        <w:tc>
          <w:tcPr>
            <w:tcW w:w="1134" w:type="dxa"/>
            <w:noWrap/>
            <w:vAlign w:val="center"/>
          </w:tcPr>
          <w:p w14:paraId="22C8BE97" w14:textId="46096D70"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44.6</w:t>
            </w:r>
            <w:r w:rsidR="005158ED">
              <w:rPr>
                <w:rFonts w:eastAsia="Cambria"/>
                <w:sz w:val="18"/>
                <w:szCs w:val="18"/>
              </w:rPr>
              <w:br/>
            </w:r>
            <w:r w:rsidRPr="00BF3845">
              <w:rPr>
                <w:rFonts w:eastAsia="Cambria"/>
                <w:sz w:val="18"/>
                <w:szCs w:val="18"/>
              </w:rPr>
              <w:t>(39.8-49.6)</w:t>
            </w:r>
          </w:p>
        </w:tc>
        <w:tc>
          <w:tcPr>
            <w:tcW w:w="1134" w:type="dxa"/>
            <w:noWrap/>
            <w:vAlign w:val="center"/>
          </w:tcPr>
          <w:p w14:paraId="7D8646D0" w14:textId="75CE43E5"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47.9</w:t>
            </w:r>
            <w:r w:rsidR="005158ED">
              <w:rPr>
                <w:rFonts w:eastAsia="Cambria"/>
                <w:sz w:val="18"/>
                <w:szCs w:val="18"/>
              </w:rPr>
              <w:br/>
            </w:r>
            <w:r w:rsidRPr="00BF3845">
              <w:rPr>
                <w:rFonts w:eastAsia="Cambria"/>
                <w:sz w:val="18"/>
                <w:szCs w:val="18"/>
              </w:rPr>
              <w:t>(43.1-52.9)</w:t>
            </w:r>
          </w:p>
        </w:tc>
      </w:tr>
      <w:tr w:rsidR="009F4842" w:rsidRPr="004D3DE3" w14:paraId="16A1AB86" w14:textId="77777777" w:rsidTr="008B1D16">
        <w:trPr>
          <w:trHeight w:val="301"/>
        </w:trPr>
        <w:tc>
          <w:tcPr>
            <w:cnfStyle w:val="001000000000" w:firstRow="0" w:lastRow="0" w:firstColumn="1" w:lastColumn="0" w:oddVBand="0" w:evenVBand="0" w:oddHBand="0" w:evenHBand="0" w:firstRowFirstColumn="0" w:firstRowLastColumn="0" w:lastRowFirstColumn="0" w:lastRowLastColumn="0"/>
            <w:tcW w:w="1191" w:type="dxa"/>
            <w:gridSpan w:val="9"/>
            <w:shd w:val="clear" w:color="auto" w:fill="D9D9D9" w:themeFill="background1" w:themeFillShade="D9"/>
            <w:noWrap/>
            <w:vAlign w:val="center"/>
          </w:tcPr>
          <w:p w14:paraId="7076BF9C" w14:textId="77777777" w:rsidR="009F4842" w:rsidRPr="00BF3845" w:rsidRDefault="009F4842" w:rsidP="00BF3845">
            <w:pPr>
              <w:pStyle w:val="TableText"/>
              <w:jc w:val="center"/>
              <w:rPr>
                <w:rFonts w:eastAsia="Cambria"/>
                <w:b/>
                <w:sz w:val="18"/>
                <w:szCs w:val="18"/>
              </w:rPr>
            </w:pPr>
            <w:r w:rsidRPr="00BF3845">
              <w:rPr>
                <w:rFonts w:eastAsia="Cambria"/>
                <w:b/>
                <w:sz w:val="18"/>
                <w:szCs w:val="18"/>
              </w:rPr>
              <w:t>COOPERATIVE EMAIL</w:t>
            </w:r>
          </w:p>
        </w:tc>
      </w:tr>
      <w:tr w:rsidR="00CD6D86" w:rsidRPr="004D3DE3" w14:paraId="2271DBAB"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tcPr>
          <w:p w14:paraId="533E043A" w14:textId="77777777" w:rsidR="009F4842" w:rsidRPr="00BF3845" w:rsidRDefault="009F4842" w:rsidP="00BF3845">
            <w:pPr>
              <w:pStyle w:val="TableText"/>
              <w:rPr>
                <w:rFonts w:eastAsia="Cambria"/>
                <w:sz w:val="18"/>
                <w:szCs w:val="18"/>
              </w:rPr>
            </w:pPr>
            <w:r w:rsidRPr="00BF3845">
              <w:rPr>
                <w:rFonts w:eastAsia="Cambria"/>
                <w:sz w:val="18"/>
                <w:szCs w:val="18"/>
              </w:rPr>
              <w:t>Number of businesses still non-compliant</w:t>
            </w:r>
          </w:p>
        </w:tc>
        <w:tc>
          <w:tcPr>
            <w:tcW w:w="567" w:type="dxa"/>
            <w:noWrap/>
            <w:vAlign w:val="center"/>
          </w:tcPr>
          <w:p w14:paraId="0D350907"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396</w:t>
            </w:r>
          </w:p>
        </w:tc>
        <w:tc>
          <w:tcPr>
            <w:tcW w:w="1134" w:type="dxa"/>
            <w:noWrap/>
            <w:vAlign w:val="center"/>
          </w:tcPr>
          <w:p w14:paraId="46A810DB"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381</w:t>
            </w:r>
          </w:p>
        </w:tc>
        <w:tc>
          <w:tcPr>
            <w:tcW w:w="1134" w:type="dxa"/>
            <w:noWrap/>
            <w:vAlign w:val="center"/>
          </w:tcPr>
          <w:p w14:paraId="389B8E0E"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355</w:t>
            </w:r>
          </w:p>
        </w:tc>
        <w:tc>
          <w:tcPr>
            <w:tcW w:w="1134" w:type="dxa"/>
            <w:noWrap/>
            <w:vAlign w:val="center"/>
          </w:tcPr>
          <w:p w14:paraId="42A58986"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314</w:t>
            </w:r>
          </w:p>
        </w:tc>
        <w:tc>
          <w:tcPr>
            <w:tcW w:w="1134" w:type="dxa"/>
            <w:noWrap/>
            <w:vAlign w:val="center"/>
          </w:tcPr>
          <w:p w14:paraId="6399BCBC"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295</w:t>
            </w:r>
          </w:p>
        </w:tc>
        <w:tc>
          <w:tcPr>
            <w:tcW w:w="1134" w:type="dxa"/>
            <w:noWrap/>
            <w:vAlign w:val="center"/>
          </w:tcPr>
          <w:p w14:paraId="1BEA5715"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257</w:t>
            </w:r>
          </w:p>
        </w:tc>
        <w:tc>
          <w:tcPr>
            <w:tcW w:w="1134" w:type="dxa"/>
            <w:noWrap/>
            <w:vAlign w:val="center"/>
          </w:tcPr>
          <w:p w14:paraId="081B91DB"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236</w:t>
            </w:r>
          </w:p>
        </w:tc>
        <w:tc>
          <w:tcPr>
            <w:tcW w:w="1134" w:type="dxa"/>
            <w:noWrap/>
            <w:vAlign w:val="center"/>
          </w:tcPr>
          <w:p w14:paraId="24B72E24"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234</w:t>
            </w:r>
          </w:p>
        </w:tc>
      </w:tr>
      <w:tr w:rsidR="00CD6D86" w:rsidRPr="004D3DE3" w14:paraId="17EBE5DF"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tcPr>
          <w:p w14:paraId="0504F8A1" w14:textId="77777777" w:rsidR="009F4842" w:rsidRPr="00BF3845" w:rsidRDefault="009F4842" w:rsidP="00BF3845">
            <w:pPr>
              <w:pStyle w:val="TableText"/>
              <w:rPr>
                <w:rFonts w:eastAsia="Cambria"/>
                <w:sz w:val="18"/>
                <w:szCs w:val="18"/>
              </w:rPr>
            </w:pPr>
            <w:r w:rsidRPr="00BF3845">
              <w:rPr>
                <w:rFonts w:eastAsia="Cambria"/>
                <w:sz w:val="18"/>
                <w:szCs w:val="18"/>
              </w:rPr>
              <w:t>Probability of compliance (%)</w:t>
            </w:r>
          </w:p>
        </w:tc>
        <w:tc>
          <w:tcPr>
            <w:tcW w:w="567" w:type="dxa"/>
            <w:noWrap/>
            <w:vAlign w:val="center"/>
          </w:tcPr>
          <w:p w14:paraId="2AC2F33C"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0</w:t>
            </w:r>
          </w:p>
        </w:tc>
        <w:tc>
          <w:tcPr>
            <w:tcW w:w="1134" w:type="dxa"/>
            <w:noWrap/>
            <w:vAlign w:val="center"/>
          </w:tcPr>
          <w:p w14:paraId="7A0C4C33" w14:textId="0D34FA2A"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6.8</w:t>
            </w:r>
            <w:r w:rsidR="005158ED">
              <w:rPr>
                <w:rFonts w:eastAsia="Cambria"/>
                <w:sz w:val="18"/>
                <w:szCs w:val="18"/>
              </w:rPr>
              <w:br/>
            </w:r>
            <w:r w:rsidRPr="00BF3845">
              <w:rPr>
                <w:rFonts w:eastAsia="Cambria"/>
                <w:sz w:val="18"/>
                <w:szCs w:val="18"/>
              </w:rPr>
              <w:t>(4.7-9.8)</w:t>
            </w:r>
          </w:p>
        </w:tc>
        <w:tc>
          <w:tcPr>
            <w:tcW w:w="1134" w:type="dxa"/>
            <w:noWrap/>
            <w:vAlign w:val="center"/>
          </w:tcPr>
          <w:p w14:paraId="1BB8EF38" w14:textId="43BF900A"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13.9</w:t>
            </w:r>
            <w:r w:rsidR="005158ED">
              <w:rPr>
                <w:rFonts w:eastAsia="Cambria"/>
                <w:sz w:val="18"/>
                <w:szCs w:val="18"/>
              </w:rPr>
              <w:br/>
            </w:r>
            <w:r w:rsidRPr="00BF3845">
              <w:rPr>
                <w:rFonts w:eastAsia="Cambria"/>
                <w:sz w:val="18"/>
                <w:szCs w:val="18"/>
              </w:rPr>
              <w:t>(10.8-17.7)</w:t>
            </w:r>
          </w:p>
        </w:tc>
        <w:tc>
          <w:tcPr>
            <w:tcW w:w="1134" w:type="dxa"/>
            <w:noWrap/>
            <w:vAlign w:val="center"/>
          </w:tcPr>
          <w:p w14:paraId="350AFC3E" w14:textId="1D942C08"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23.5</w:t>
            </w:r>
            <w:r w:rsidR="005158ED">
              <w:rPr>
                <w:rFonts w:eastAsia="Cambria"/>
                <w:sz w:val="18"/>
                <w:szCs w:val="18"/>
              </w:rPr>
              <w:br/>
            </w:r>
            <w:r w:rsidRPr="00BF3845">
              <w:rPr>
                <w:rFonts w:eastAsia="Cambria"/>
                <w:sz w:val="18"/>
                <w:szCs w:val="18"/>
              </w:rPr>
              <w:t>(19.6-28.0)</w:t>
            </w:r>
          </w:p>
        </w:tc>
        <w:tc>
          <w:tcPr>
            <w:tcW w:w="1134" w:type="dxa"/>
            <w:noWrap/>
            <w:vAlign w:val="center"/>
          </w:tcPr>
          <w:p w14:paraId="7D6C7C85" w14:textId="71B4148C"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27.8</w:t>
            </w:r>
            <w:r w:rsidR="005158ED">
              <w:rPr>
                <w:rFonts w:eastAsia="Cambria"/>
                <w:sz w:val="18"/>
                <w:szCs w:val="18"/>
              </w:rPr>
              <w:br/>
            </w:r>
            <w:r w:rsidRPr="00BF3845">
              <w:rPr>
                <w:rFonts w:eastAsia="Cambria"/>
                <w:sz w:val="18"/>
                <w:szCs w:val="18"/>
              </w:rPr>
              <w:t>(23.6-32.5)</w:t>
            </w:r>
          </w:p>
        </w:tc>
        <w:tc>
          <w:tcPr>
            <w:tcW w:w="1134" w:type="dxa"/>
            <w:noWrap/>
            <w:vAlign w:val="center"/>
          </w:tcPr>
          <w:p w14:paraId="6DC30D6F" w14:textId="23618223"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37.4</w:t>
            </w:r>
            <w:r w:rsidR="005158ED">
              <w:rPr>
                <w:rFonts w:eastAsia="Cambria"/>
                <w:sz w:val="18"/>
                <w:szCs w:val="18"/>
              </w:rPr>
              <w:br/>
            </w:r>
            <w:r w:rsidRPr="00BF3845">
              <w:rPr>
                <w:rFonts w:eastAsia="Cambria"/>
                <w:sz w:val="18"/>
                <w:szCs w:val="18"/>
              </w:rPr>
              <w:t>(32.8-42.3)</w:t>
            </w:r>
          </w:p>
        </w:tc>
        <w:tc>
          <w:tcPr>
            <w:tcW w:w="1134" w:type="dxa"/>
            <w:noWrap/>
            <w:vAlign w:val="center"/>
          </w:tcPr>
          <w:p w14:paraId="37EF326C" w14:textId="5D4A82C1"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40.9</w:t>
            </w:r>
            <w:r w:rsidR="005158ED">
              <w:rPr>
                <w:rFonts w:eastAsia="Cambria"/>
                <w:sz w:val="18"/>
                <w:szCs w:val="18"/>
              </w:rPr>
              <w:br/>
            </w:r>
            <w:r w:rsidRPr="00BF3845">
              <w:rPr>
                <w:rFonts w:eastAsia="Cambria"/>
                <w:sz w:val="18"/>
                <w:szCs w:val="18"/>
              </w:rPr>
              <w:t>(36.3-45.9)</w:t>
            </w:r>
          </w:p>
        </w:tc>
        <w:tc>
          <w:tcPr>
            <w:tcW w:w="1134" w:type="dxa"/>
            <w:noWrap/>
            <w:vAlign w:val="center"/>
          </w:tcPr>
          <w:p w14:paraId="1162D757" w14:textId="704ED4AF"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44.7</w:t>
            </w:r>
            <w:r w:rsidR="005158ED">
              <w:rPr>
                <w:rFonts w:eastAsia="Cambria"/>
                <w:sz w:val="18"/>
                <w:szCs w:val="18"/>
              </w:rPr>
              <w:br/>
            </w:r>
            <w:r w:rsidRPr="00BF3845">
              <w:rPr>
                <w:rFonts w:eastAsia="Cambria"/>
                <w:sz w:val="18"/>
                <w:szCs w:val="18"/>
              </w:rPr>
              <w:t>(40.0-49.7)</w:t>
            </w:r>
          </w:p>
        </w:tc>
      </w:tr>
      <w:tr w:rsidR="009F4842" w:rsidRPr="004D3DE3" w14:paraId="1FCFD23F" w14:textId="77777777" w:rsidTr="008B1D16">
        <w:trPr>
          <w:trHeight w:val="301"/>
        </w:trPr>
        <w:tc>
          <w:tcPr>
            <w:cnfStyle w:val="001000000000" w:firstRow="0" w:lastRow="0" w:firstColumn="1" w:lastColumn="0" w:oddVBand="0" w:evenVBand="0" w:oddHBand="0" w:evenHBand="0" w:firstRowFirstColumn="0" w:firstRowLastColumn="0" w:lastRowFirstColumn="0" w:lastRowLastColumn="0"/>
            <w:tcW w:w="1191" w:type="dxa"/>
            <w:gridSpan w:val="9"/>
            <w:shd w:val="clear" w:color="auto" w:fill="D9D9D9" w:themeFill="background1" w:themeFillShade="D9"/>
            <w:noWrap/>
            <w:vAlign w:val="center"/>
          </w:tcPr>
          <w:p w14:paraId="4FDE5781" w14:textId="77777777" w:rsidR="009F4842" w:rsidRPr="00BF3845" w:rsidRDefault="009F4842" w:rsidP="00BF3845">
            <w:pPr>
              <w:pStyle w:val="TableText"/>
              <w:jc w:val="center"/>
              <w:rPr>
                <w:rFonts w:eastAsia="Cambria"/>
                <w:b/>
                <w:sz w:val="18"/>
                <w:szCs w:val="18"/>
              </w:rPr>
            </w:pPr>
            <w:r w:rsidRPr="00BF3845">
              <w:rPr>
                <w:rFonts w:eastAsia="Cambria"/>
                <w:b/>
                <w:sz w:val="18"/>
                <w:szCs w:val="18"/>
              </w:rPr>
              <w:t>ANY EMAIL</w:t>
            </w:r>
          </w:p>
        </w:tc>
      </w:tr>
      <w:tr w:rsidR="00CD6D86" w:rsidRPr="004D3DE3" w14:paraId="298B9444"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tcPr>
          <w:p w14:paraId="02C18153" w14:textId="77777777" w:rsidR="009F4842" w:rsidRPr="00BF3845" w:rsidRDefault="009F4842" w:rsidP="00BF3845">
            <w:pPr>
              <w:pStyle w:val="TableText"/>
              <w:rPr>
                <w:rFonts w:eastAsia="Cambria"/>
                <w:sz w:val="18"/>
                <w:szCs w:val="18"/>
              </w:rPr>
            </w:pPr>
            <w:r w:rsidRPr="00BF3845">
              <w:rPr>
                <w:rFonts w:eastAsia="Cambria"/>
                <w:sz w:val="18"/>
                <w:szCs w:val="18"/>
              </w:rPr>
              <w:t>Number of businesses still non-compliant</w:t>
            </w:r>
          </w:p>
        </w:tc>
        <w:tc>
          <w:tcPr>
            <w:tcW w:w="567" w:type="dxa"/>
            <w:noWrap/>
            <w:vAlign w:val="center"/>
          </w:tcPr>
          <w:p w14:paraId="548AF6BD"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791</w:t>
            </w:r>
          </w:p>
        </w:tc>
        <w:tc>
          <w:tcPr>
            <w:tcW w:w="1134" w:type="dxa"/>
            <w:noWrap/>
            <w:vAlign w:val="center"/>
          </w:tcPr>
          <w:p w14:paraId="7228833B"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756</w:t>
            </w:r>
          </w:p>
        </w:tc>
        <w:tc>
          <w:tcPr>
            <w:tcW w:w="1134" w:type="dxa"/>
            <w:noWrap/>
            <w:vAlign w:val="center"/>
          </w:tcPr>
          <w:p w14:paraId="173F65B9"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699</w:t>
            </w:r>
          </w:p>
        </w:tc>
        <w:tc>
          <w:tcPr>
            <w:tcW w:w="1134" w:type="dxa"/>
            <w:noWrap/>
            <w:vAlign w:val="center"/>
          </w:tcPr>
          <w:p w14:paraId="762E2446"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613</w:t>
            </w:r>
          </w:p>
        </w:tc>
        <w:tc>
          <w:tcPr>
            <w:tcW w:w="1134" w:type="dxa"/>
            <w:noWrap/>
            <w:vAlign w:val="center"/>
          </w:tcPr>
          <w:p w14:paraId="633288DD"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571</w:t>
            </w:r>
          </w:p>
        </w:tc>
        <w:tc>
          <w:tcPr>
            <w:tcW w:w="1134" w:type="dxa"/>
            <w:noWrap/>
            <w:vAlign w:val="center"/>
          </w:tcPr>
          <w:p w14:paraId="24B974CE"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499</w:t>
            </w:r>
          </w:p>
        </w:tc>
        <w:tc>
          <w:tcPr>
            <w:tcW w:w="1134" w:type="dxa"/>
            <w:noWrap/>
            <w:vAlign w:val="center"/>
          </w:tcPr>
          <w:p w14:paraId="79C2D99A"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456</w:t>
            </w:r>
          </w:p>
        </w:tc>
        <w:tc>
          <w:tcPr>
            <w:tcW w:w="1134" w:type="dxa"/>
            <w:noWrap/>
            <w:vAlign w:val="center"/>
          </w:tcPr>
          <w:p w14:paraId="4322CFD2"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452</w:t>
            </w:r>
          </w:p>
        </w:tc>
      </w:tr>
      <w:tr w:rsidR="00CD6D86" w:rsidRPr="004D3DE3" w14:paraId="3EF24CD5" w14:textId="77777777" w:rsidTr="00CD6D86">
        <w:trPr>
          <w:trHeight w:val="300"/>
        </w:trPr>
        <w:tc>
          <w:tcPr>
            <w:cnfStyle w:val="001000000000" w:firstRow="0" w:lastRow="0" w:firstColumn="1" w:lastColumn="0" w:oddVBand="0" w:evenVBand="0" w:oddHBand="0" w:evenHBand="0" w:firstRowFirstColumn="0" w:firstRowLastColumn="0" w:lastRowFirstColumn="0" w:lastRowLastColumn="0"/>
            <w:tcW w:w="1191" w:type="dxa"/>
            <w:noWrap/>
            <w:vAlign w:val="center"/>
          </w:tcPr>
          <w:p w14:paraId="6AC3BA89" w14:textId="77777777" w:rsidR="009F4842" w:rsidRPr="00BF3845" w:rsidRDefault="009F4842" w:rsidP="00BF3845">
            <w:pPr>
              <w:pStyle w:val="TableText"/>
              <w:rPr>
                <w:rFonts w:eastAsia="Cambria"/>
                <w:sz w:val="18"/>
                <w:szCs w:val="18"/>
              </w:rPr>
            </w:pPr>
            <w:r w:rsidRPr="00BF3845">
              <w:rPr>
                <w:rFonts w:eastAsia="Cambria"/>
                <w:sz w:val="18"/>
                <w:szCs w:val="18"/>
              </w:rPr>
              <w:t>Probability of compliance (%)</w:t>
            </w:r>
          </w:p>
        </w:tc>
        <w:tc>
          <w:tcPr>
            <w:tcW w:w="567" w:type="dxa"/>
            <w:noWrap/>
            <w:vAlign w:val="center"/>
          </w:tcPr>
          <w:p w14:paraId="71D7FEB2" w14:textId="77777777" w:rsidR="009F4842" w:rsidRPr="00BF3845" w:rsidRDefault="009F4842" w:rsidP="00BF3845">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0</w:t>
            </w:r>
          </w:p>
        </w:tc>
        <w:tc>
          <w:tcPr>
            <w:tcW w:w="1134" w:type="dxa"/>
            <w:noWrap/>
            <w:vAlign w:val="center"/>
          </w:tcPr>
          <w:p w14:paraId="35563654" w14:textId="54F8A7AE"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7.5</w:t>
            </w:r>
            <w:r w:rsidR="005158ED">
              <w:rPr>
                <w:rFonts w:eastAsia="Cambria"/>
                <w:sz w:val="18"/>
                <w:szCs w:val="18"/>
              </w:rPr>
              <w:br/>
            </w:r>
            <w:r w:rsidRPr="00BF3845">
              <w:rPr>
                <w:rFonts w:eastAsia="Cambria"/>
                <w:sz w:val="18"/>
                <w:szCs w:val="18"/>
              </w:rPr>
              <w:t>(5.8- 9.5)</w:t>
            </w:r>
          </w:p>
        </w:tc>
        <w:tc>
          <w:tcPr>
            <w:tcW w:w="1134" w:type="dxa"/>
            <w:noWrap/>
            <w:vAlign w:val="center"/>
          </w:tcPr>
          <w:p w14:paraId="07AF4B74" w14:textId="249EC89C"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16.2</w:t>
            </w:r>
            <w:r w:rsidR="005158ED">
              <w:rPr>
                <w:rFonts w:eastAsia="Cambria"/>
                <w:sz w:val="18"/>
                <w:szCs w:val="18"/>
              </w:rPr>
              <w:br/>
            </w:r>
            <w:r w:rsidRPr="00BF3845">
              <w:rPr>
                <w:rFonts w:eastAsia="Cambria"/>
                <w:sz w:val="18"/>
                <w:szCs w:val="18"/>
              </w:rPr>
              <w:t>(13.8- 18.9)</w:t>
            </w:r>
          </w:p>
        </w:tc>
        <w:tc>
          <w:tcPr>
            <w:tcW w:w="1134" w:type="dxa"/>
            <w:noWrap/>
            <w:vAlign w:val="center"/>
          </w:tcPr>
          <w:p w14:paraId="55255814" w14:textId="07A64AE2"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25.9</w:t>
            </w:r>
            <w:r w:rsidR="005158ED">
              <w:rPr>
                <w:rFonts w:eastAsia="Cambria"/>
                <w:sz w:val="18"/>
                <w:szCs w:val="18"/>
              </w:rPr>
              <w:br/>
            </w:r>
            <w:r w:rsidRPr="00BF3845">
              <w:rPr>
                <w:rFonts w:eastAsia="Cambria"/>
                <w:sz w:val="18"/>
                <w:szCs w:val="18"/>
              </w:rPr>
              <w:t>(23.0- 29.1)</w:t>
            </w:r>
          </w:p>
        </w:tc>
        <w:tc>
          <w:tcPr>
            <w:tcW w:w="1134" w:type="dxa"/>
            <w:noWrap/>
            <w:vAlign w:val="center"/>
          </w:tcPr>
          <w:p w14:paraId="5D83D3CA" w14:textId="5E6A2198"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30.0</w:t>
            </w:r>
            <w:r w:rsidR="005158ED">
              <w:rPr>
                <w:rFonts w:eastAsia="Cambria"/>
                <w:sz w:val="18"/>
                <w:szCs w:val="18"/>
              </w:rPr>
              <w:br/>
            </w:r>
            <w:r w:rsidRPr="00BF3845">
              <w:rPr>
                <w:rFonts w:eastAsia="Cambria"/>
                <w:sz w:val="18"/>
                <w:szCs w:val="18"/>
              </w:rPr>
              <w:t>(26.9- 33.3)</w:t>
            </w:r>
          </w:p>
        </w:tc>
        <w:tc>
          <w:tcPr>
            <w:tcW w:w="1134" w:type="dxa"/>
            <w:noWrap/>
            <w:vAlign w:val="center"/>
          </w:tcPr>
          <w:p w14:paraId="10C8DA88" w14:textId="5EBC52E9"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39.1</w:t>
            </w:r>
            <w:r w:rsidR="005158ED">
              <w:rPr>
                <w:rFonts w:eastAsia="Cambria"/>
                <w:sz w:val="18"/>
                <w:szCs w:val="18"/>
              </w:rPr>
              <w:br/>
            </w:r>
            <w:r w:rsidRPr="00BF3845">
              <w:rPr>
                <w:rFonts w:eastAsia="Cambria"/>
                <w:sz w:val="18"/>
                <w:szCs w:val="18"/>
              </w:rPr>
              <w:t>(35.8-42.6)</w:t>
            </w:r>
          </w:p>
        </w:tc>
        <w:tc>
          <w:tcPr>
            <w:tcW w:w="1134" w:type="dxa"/>
            <w:noWrap/>
            <w:vAlign w:val="center"/>
          </w:tcPr>
          <w:p w14:paraId="7D348DBC" w14:textId="2A73C2AB"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42.7</w:t>
            </w:r>
            <w:r w:rsidR="005158ED">
              <w:rPr>
                <w:rFonts w:eastAsia="Cambria"/>
                <w:sz w:val="18"/>
                <w:szCs w:val="18"/>
              </w:rPr>
              <w:br/>
            </w:r>
            <w:r w:rsidRPr="00BF3845">
              <w:rPr>
                <w:rFonts w:eastAsia="Cambria"/>
                <w:sz w:val="18"/>
                <w:szCs w:val="18"/>
              </w:rPr>
              <w:t>(39.4- 46.3)</w:t>
            </w:r>
          </w:p>
        </w:tc>
        <w:tc>
          <w:tcPr>
            <w:tcW w:w="1134" w:type="dxa"/>
            <w:noWrap/>
            <w:vAlign w:val="center"/>
          </w:tcPr>
          <w:p w14:paraId="6110073B" w14:textId="36D77AB2" w:rsidR="009F4842" w:rsidRPr="00BF3845"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rPr>
                <w:rFonts w:eastAsia="Cambria"/>
                <w:sz w:val="18"/>
                <w:szCs w:val="18"/>
              </w:rPr>
            </w:pPr>
            <w:r w:rsidRPr="00BF3845">
              <w:rPr>
                <w:rFonts w:eastAsia="Cambria"/>
                <w:sz w:val="18"/>
                <w:szCs w:val="18"/>
              </w:rPr>
              <w:t>46.3</w:t>
            </w:r>
            <w:r w:rsidR="005158ED">
              <w:rPr>
                <w:rFonts w:eastAsia="Cambria"/>
                <w:sz w:val="18"/>
                <w:szCs w:val="18"/>
              </w:rPr>
              <w:br/>
            </w:r>
            <w:r w:rsidRPr="00BF3845">
              <w:rPr>
                <w:rFonts w:eastAsia="Cambria"/>
                <w:sz w:val="18"/>
                <w:szCs w:val="18"/>
              </w:rPr>
              <w:t>(42.9- 49.8)</w:t>
            </w:r>
          </w:p>
        </w:tc>
      </w:tr>
    </w:tbl>
    <w:p w14:paraId="707A5E85" w14:textId="026893FB" w:rsidR="009F4842" w:rsidRPr="00347350" w:rsidRDefault="009F4842" w:rsidP="00BF3845">
      <w:pPr>
        <w:pStyle w:val="SourceNotesText"/>
        <w:rPr>
          <w:rFonts w:eastAsia="Cambria"/>
          <w:lang w:eastAsia="ja-JP"/>
        </w:rPr>
      </w:pPr>
      <w:r w:rsidRPr="00347350">
        <w:rPr>
          <w:rFonts w:eastAsia="Cambria"/>
          <w:lang w:eastAsia="ja-JP"/>
        </w:rPr>
        <w:t xml:space="preserve">Note: There were </w:t>
      </w:r>
      <w:r>
        <w:rPr>
          <w:rFonts w:eastAsia="Cambria"/>
          <w:lang w:eastAsia="ja-JP"/>
        </w:rPr>
        <w:t xml:space="preserve">statistically </w:t>
      </w:r>
      <w:r w:rsidRPr="00347350">
        <w:rPr>
          <w:rFonts w:eastAsia="Cambria"/>
          <w:lang w:eastAsia="ja-JP"/>
        </w:rPr>
        <w:t xml:space="preserve">significant differences in Kaplan-Meier curves between the three groups (Chi-square = 20.47 on 2 </w:t>
      </w:r>
      <w:proofErr w:type="spellStart"/>
      <w:proofErr w:type="gramStart"/>
      <w:r w:rsidRPr="00347350">
        <w:rPr>
          <w:rFonts w:eastAsia="Cambria"/>
          <w:lang w:eastAsia="ja-JP"/>
        </w:rPr>
        <w:t>df</w:t>
      </w:r>
      <w:proofErr w:type="spellEnd"/>
      <w:proofErr w:type="gramEnd"/>
      <w:r w:rsidRPr="00347350">
        <w:rPr>
          <w:rFonts w:eastAsia="Cambria"/>
          <w:lang w:eastAsia="ja-JP"/>
        </w:rPr>
        <w:t xml:space="preserve">, p &lt; 0.0001) as well as between the control and any email (direct + cooperative) (Chi-square = 19.76 on 1 </w:t>
      </w:r>
      <w:proofErr w:type="spellStart"/>
      <w:r w:rsidRPr="00347350">
        <w:rPr>
          <w:rFonts w:eastAsia="Cambria"/>
          <w:lang w:eastAsia="ja-JP"/>
        </w:rPr>
        <w:t>df</w:t>
      </w:r>
      <w:proofErr w:type="spellEnd"/>
      <w:r w:rsidRPr="00347350">
        <w:rPr>
          <w:rFonts w:eastAsia="Cambria"/>
          <w:lang w:eastAsia="ja-JP"/>
        </w:rPr>
        <w:t>, p &lt; 0.0001.</w:t>
      </w:r>
      <w:r w:rsidR="00AF2738">
        <w:rPr>
          <w:rFonts w:eastAsia="Cambria"/>
          <w:lang w:eastAsia="ja-JP"/>
        </w:rPr>
        <w:t xml:space="preserve"> B</w:t>
      </w:r>
      <w:r w:rsidRPr="00347350">
        <w:rPr>
          <w:rFonts w:eastAsia="Cambria"/>
          <w:lang w:eastAsia="ja-JP"/>
        </w:rPr>
        <w:t xml:space="preserve">usinesses complied faster in the direct email group compared with the cooperative email group, </w:t>
      </w:r>
      <w:r w:rsidR="00AF2738">
        <w:rPr>
          <w:rFonts w:eastAsia="Cambria"/>
          <w:lang w:eastAsia="ja-JP"/>
        </w:rPr>
        <w:t xml:space="preserve">but </w:t>
      </w:r>
      <w:r w:rsidRPr="00347350">
        <w:rPr>
          <w:rFonts w:eastAsia="Cambria"/>
          <w:lang w:eastAsia="ja-JP"/>
        </w:rPr>
        <w:t xml:space="preserve">this difference was not statistically significant (Chi-square = 0.62 on 1 </w:t>
      </w:r>
      <w:proofErr w:type="spellStart"/>
      <w:proofErr w:type="gramStart"/>
      <w:r w:rsidRPr="00347350">
        <w:rPr>
          <w:rFonts w:eastAsia="Cambria"/>
          <w:lang w:eastAsia="ja-JP"/>
        </w:rPr>
        <w:t>df</w:t>
      </w:r>
      <w:proofErr w:type="spellEnd"/>
      <w:proofErr w:type="gramEnd"/>
      <w:r w:rsidRPr="00347350">
        <w:rPr>
          <w:rFonts w:eastAsia="Cambria"/>
          <w:lang w:eastAsia="ja-JP"/>
        </w:rPr>
        <w:t>, p = 0.43). Data for Day 17 for the control</w:t>
      </w:r>
      <w:r w:rsidR="00AF2738">
        <w:rPr>
          <w:rFonts w:eastAsia="Cambria"/>
          <w:lang w:eastAsia="ja-JP"/>
        </w:rPr>
        <w:t xml:space="preserve"> group</w:t>
      </w:r>
      <w:r w:rsidRPr="00347350">
        <w:rPr>
          <w:rFonts w:eastAsia="Cambria"/>
          <w:lang w:eastAsia="ja-JP"/>
        </w:rPr>
        <w:t xml:space="preserve"> are from Day 18 as no businesses from the control </w:t>
      </w:r>
      <w:r w:rsidR="00922718">
        <w:rPr>
          <w:rFonts w:eastAsia="Cambria"/>
          <w:lang w:eastAsia="ja-JP"/>
        </w:rPr>
        <w:t>group</w:t>
      </w:r>
      <w:r w:rsidRPr="00347350">
        <w:rPr>
          <w:rFonts w:eastAsia="Cambria"/>
          <w:lang w:eastAsia="ja-JP"/>
        </w:rPr>
        <w:t xml:space="preserve"> </w:t>
      </w:r>
      <w:r>
        <w:rPr>
          <w:rFonts w:eastAsia="Cambria"/>
          <w:lang w:eastAsia="ja-JP"/>
        </w:rPr>
        <w:t>became compliant on Day 17 so estimates were not produced for Day 17.</w:t>
      </w:r>
    </w:p>
    <w:p w14:paraId="2E588DEA" w14:textId="77777777" w:rsidR="00BF3845" w:rsidRDefault="00BF3845">
      <w:pPr>
        <w:keepLines w:val="0"/>
        <w:spacing w:before="0" w:after="0" w:line="240" w:lineRule="auto"/>
        <w:rPr>
          <w:rFonts w:ascii="Montserrat Light" w:eastAsia="Cambria" w:hAnsi="Montserrat Light"/>
          <w:color w:val="323536"/>
          <w:spacing w:val="20"/>
          <w:szCs w:val="19"/>
          <w:lang w:eastAsia="ja-JP"/>
        </w:rPr>
      </w:pPr>
      <w:r>
        <w:rPr>
          <w:rFonts w:ascii="Montserrat Light" w:eastAsia="Cambria" w:hAnsi="Montserrat Light"/>
          <w:color w:val="323536"/>
          <w:spacing w:val="20"/>
          <w:szCs w:val="19"/>
          <w:lang w:eastAsia="ja-JP"/>
        </w:rPr>
        <w:br w:type="page"/>
      </w:r>
    </w:p>
    <w:p w14:paraId="1E9255EE" w14:textId="04E43EA9" w:rsidR="009F4842" w:rsidRPr="009744C4" w:rsidRDefault="008B1D16" w:rsidP="008B1D16">
      <w:pPr>
        <w:pStyle w:val="FigureHeading"/>
        <w:rPr>
          <w:rFonts w:eastAsia="Cambria"/>
        </w:rPr>
      </w:pPr>
      <w:r w:rsidRPr="009744C4">
        <w:rPr>
          <w:rFonts w:eastAsia="Cambria"/>
        </w:rPr>
        <w:lastRenderedPageBreak/>
        <w:t>Table 3.5 –</w:t>
      </w:r>
      <w:r w:rsidR="00503753">
        <w:rPr>
          <w:rFonts w:eastAsia="Cambria"/>
        </w:rPr>
        <w:t xml:space="preserve"> </w:t>
      </w:r>
      <w:r>
        <w:rPr>
          <w:rFonts w:eastAsia="Cambria"/>
        </w:rPr>
        <w:t>M</w:t>
      </w:r>
      <w:r w:rsidRPr="009744C4">
        <w:rPr>
          <w:rFonts w:eastAsia="Cambria"/>
        </w:rPr>
        <w:t>edian payment made</w:t>
      </w:r>
      <w:r>
        <w:rPr>
          <w:rFonts w:eastAsia="Cambria"/>
        </w:rPr>
        <w:t xml:space="preserve">: quantile </w:t>
      </w:r>
      <w:r w:rsidRPr="008B1D16">
        <w:rPr>
          <w:rFonts w:eastAsia="Cambria"/>
        </w:rPr>
        <w:t>regression</w:t>
      </w:r>
    </w:p>
    <w:tbl>
      <w:tblPr>
        <w:tblStyle w:val="DefaultTable"/>
        <w:tblW w:w="9781" w:type="dxa"/>
        <w:tblLayout w:type="fixed"/>
        <w:tblLook w:val="04A0" w:firstRow="1" w:lastRow="0" w:firstColumn="1" w:lastColumn="0" w:noHBand="0" w:noVBand="1"/>
        <w:tblCaption w:val="Median payment made: quintile regression"/>
        <w:tblDescription w:val="the median payment businesses made"/>
      </w:tblPr>
      <w:tblGrid>
        <w:gridCol w:w="1701"/>
        <w:gridCol w:w="1276"/>
        <w:gridCol w:w="1985"/>
        <w:gridCol w:w="1559"/>
        <w:gridCol w:w="2126"/>
        <w:gridCol w:w="1134"/>
      </w:tblGrid>
      <w:tr w:rsidR="009F4842" w:rsidRPr="008B1D16" w14:paraId="684AF56A" w14:textId="77777777" w:rsidTr="00405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142E3A" w:themeFill="text2"/>
          </w:tcPr>
          <w:p w14:paraId="6EF75A22" w14:textId="77777777" w:rsidR="009F4842" w:rsidRPr="008B1D16" w:rsidRDefault="009F4842" w:rsidP="008B1D16">
            <w:pPr>
              <w:pStyle w:val="TableHeading"/>
            </w:pPr>
          </w:p>
        </w:tc>
        <w:tc>
          <w:tcPr>
            <w:tcW w:w="1276" w:type="dxa"/>
            <w:shd w:val="clear" w:color="auto" w:fill="142E3A" w:themeFill="text2"/>
          </w:tcPr>
          <w:p w14:paraId="2249BFEB" w14:textId="77777777" w:rsidR="009F4842" w:rsidRPr="008B1D16" w:rsidRDefault="009F4842" w:rsidP="008B1D16">
            <w:pPr>
              <w:pStyle w:val="TableHeading"/>
              <w:jc w:val="center"/>
              <w:cnfStyle w:val="100000000000" w:firstRow="1" w:lastRow="0" w:firstColumn="0" w:lastColumn="0" w:oddVBand="0" w:evenVBand="0" w:oddHBand="0" w:evenHBand="0" w:firstRowFirstColumn="0" w:firstRowLastColumn="0" w:lastRowFirstColumn="0" w:lastRowLastColumn="0"/>
            </w:pPr>
            <w:r w:rsidRPr="008B1D16">
              <w:t>Median amount paid ($)</w:t>
            </w:r>
            <w:r w:rsidRPr="008B1D16">
              <w:br/>
            </w:r>
          </w:p>
        </w:tc>
        <w:tc>
          <w:tcPr>
            <w:tcW w:w="1985" w:type="dxa"/>
            <w:shd w:val="clear" w:color="auto" w:fill="142E3A" w:themeFill="text2"/>
          </w:tcPr>
          <w:p w14:paraId="02544DB3" w14:textId="77777777" w:rsidR="009F4842" w:rsidRPr="008B1D16" w:rsidRDefault="009F4842" w:rsidP="008B1D16">
            <w:pPr>
              <w:pStyle w:val="TableHeading"/>
              <w:jc w:val="center"/>
              <w:cnfStyle w:val="100000000000" w:firstRow="1" w:lastRow="0" w:firstColumn="0" w:lastColumn="0" w:oddVBand="0" w:evenVBand="0" w:oddHBand="0" w:evenHBand="0" w:firstRowFirstColumn="0" w:firstRowLastColumn="0" w:lastRowFirstColumn="0" w:lastRowLastColumn="0"/>
            </w:pPr>
            <w:r w:rsidRPr="008B1D16">
              <w:t>Difference from Control</w:t>
            </w:r>
            <w:r w:rsidRPr="008B1D16">
              <w:br/>
              <w:t>(95% confidence interval)</w:t>
            </w:r>
          </w:p>
        </w:tc>
        <w:tc>
          <w:tcPr>
            <w:tcW w:w="1559" w:type="dxa"/>
            <w:shd w:val="clear" w:color="auto" w:fill="142E3A" w:themeFill="text2"/>
          </w:tcPr>
          <w:p w14:paraId="77358FC2" w14:textId="77777777" w:rsidR="009F4842" w:rsidRPr="008B1D16" w:rsidRDefault="009F4842" w:rsidP="008B1D16">
            <w:pPr>
              <w:pStyle w:val="TableHeading"/>
              <w:jc w:val="center"/>
              <w:cnfStyle w:val="100000000000" w:firstRow="1" w:lastRow="0" w:firstColumn="0" w:lastColumn="0" w:oddVBand="0" w:evenVBand="0" w:oddHBand="0" w:evenHBand="0" w:firstRowFirstColumn="0" w:firstRowLastColumn="0" w:lastRowFirstColumn="0" w:lastRowLastColumn="0"/>
            </w:pPr>
            <w:r w:rsidRPr="008B1D16">
              <w:t>p-value</w:t>
            </w:r>
          </w:p>
        </w:tc>
        <w:tc>
          <w:tcPr>
            <w:tcW w:w="2126" w:type="dxa"/>
            <w:shd w:val="clear" w:color="auto" w:fill="142E3A" w:themeFill="text2"/>
          </w:tcPr>
          <w:p w14:paraId="5CD90D79" w14:textId="498580C6" w:rsidR="009F4842" w:rsidRPr="008B1D16" w:rsidRDefault="009F4842" w:rsidP="008B1D16">
            <w:pPr>
              <w:pStyle w:val="TableHeading"/>
              <w:jc w:val="center"/>
              <w:cnfStyle w:val="100000000000" w:firstRow="1" w:lastRow="0" w:firstColumn="0" w:lastColumn="0" w:oddVBand="0" w:evenVBand="0" w:oddHBand="0" w:evenHBand="0" w:firstRowFirstColumn="0" w:firstRowLastColumn="0" w:lastRowFirstColumn="0" w:lastRowLastColumn="0"/>
            </w:pPr>
            <w:r w:rsidRPr="008B1D16">
              <w:t xml:space="preserve">Difference from </w:t>
            </w:r>
            <w:r w:rsidR="008B1D16">
              <w:br/>
            </w:r>
            <w:r w:rsidRPr="008B1D16">
              <w:t xml:space="preserve">direct email </w:t>
            </w:r>
            <w:r w:rsidRPr="008B1D16">
              <w:br/>
              <w:t>(95% confidence interval)</w:t>
            </w:r>
          </w:p>
        </w:tc>
        <w:tc>
          <w:tcPr>
            <w:tcW w:w="1134" w:type="dxa"/>
            <w:shd w:val="clear" w:color="auto" w:fill="142E3A" w:themeFill="text2"/>
          </w:tcPr>
          <w:p w14:paraId="0DE6BF70" w14:textId="77777777" w:rsidR="009F4842" w:rsidRPr="008B1D16" w:rsidRDefault="009F4842" w:rsidP="008B1D16">
            <w:pPr>
              <w:pStyle w:val="TableHeading"/>
              <w:jc w:val="center"/>
              <w:cnfStyle w:val="100000000000" w:firstRow="1" w:lastRow="0" w:firstColumn="0" w:lastColumn="0" w:oddVBand="0" w:evenVBand="0" w:oddHBand="0" w:evenHBand="0" w:firstRowFirstColumn="0" w:firstRowLastColumn="0" w:lastRowFirstColumn="0" w:lastRowLastColumn="0"/>
            </w:pPr>
            <w:r w:rsidRPr="008B1D16">
              <w:t>p-value</w:t>
            </w:r>
          </w:p>
        </w:tc>
      </w:tr>
      <w:tr w:rsidR="009F4842" w:rsidRPr="008B1D16" w14:paraId="67221DA6" w14:textId="77777777" w:rsidTr="008B1D16">
        <w:trPr>
          <w:trHeight w:val="20"/>
        </w:trPr>
        <w:tc>
          <w:tcPr>
            <w:cnfStyle w:val="001000000000" w:firstRow="0" w:lastRow="0" w:firstColumn="1" w:lastColumn="0" w:oddVBand="0" w:evenVBand="0" w:oddHBand="0" w:evenHBand="0" w:firstRowFirstColumn="0" w:firstRowLastColumn="0" w:lastRowFirstColumn="0" w:lastRowLastColumn="0"/>
            <w:tcW w:w="1701" w:type="dxa"/>
          </w:tcPr>
          <w:p w14:paraId="1EB5D986" w14:textId="77777777" w:rsidR="009F4842" w:rsidRPr="008B1D16" w:rsidRDefault="009F4842" w:rsidP="008B1D16">
            <w:pPr>
              <w:pStyle w:val="TableText"/>
            </w:pPr>
            <w:r w:rsidRPr="008B1D16">
              <w:t>Control</w:t>
            </w:r>
          </w:p>
        </w:tc>
        <w:tc>
          <w:tcPr>
            <w:tcW w:w="1276" w:type="dxa"/>
          </w:tcPr>
          <w:p w14:paraId="4166A061"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2,000</w:t>
            </w:r>
          </w:p>
        </w:tc>
        <w:tc>
          <w:tcPr>
            <w:tcW w:w="1985" w:type="dxa"/>
          </w:tcPr>
          <w:p w14:paraId="192373A5"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00184295"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c>
          <w:tcPr>
            <w:tcW w:w="2126" w:type="dxa"/>
          </w:tcPr>
          <w:p w14:paraId="3DBF061A"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459E138"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8B1D16" w14:paraId="419D4FFC" w14:textId="77777777" w:rsidTr="008B1D16">
        <w:trPr>
          <w:trHeight w:val="20"/>
        </w:trPr>
        <w:tc>
          <w:tcPr>
            <w:cnfStyle w:val="001000000000" w:firstRow="0" w:lastRow="0" w:firstColumn="1" w:lastColumn="0" w:oddVBand="0" w:evenVBand="0" w:oddHBand="0" w:evenHBand="0" w:firstRowFirstColumn="0" w:firstRowLastColumn="0" w:lastRowFirstColumn="0" w:lastRowLastColumn="0"/>
            <w:tcW w:w="1701" w:type="dxa"/>
          </w:tcPr>
          <w:p w14:paraId="22D85042" w14:textId="77777777" w:rsidR="009F4842" w:rsidRPr="008B1D16" w:rsidRDefault="009F4842" w:rsidP="008B1D16">
            <w:pPr>
              <w:pStyle w:val="TableText"/>
            </w:pPr>
            <w:r w:rsidRPr="008B1D16">
              <w:t>Direct email</w:t>
            </w:r>
          </w:p>
        </w:tc>
        <w:tc>
          <w:tcPr>
            <w:tcW w:w="1276" w:type="dxa"/>
          </w:tcPr>
          <w:p w14:paraId="5F8BBD7B"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4,561</w:t>
            </w:r>
          </w:p>
        </w:tc>
        <w:tc>
          <w:tcPr>
            <w:tcW w:w="1985" w:type="dxa"/>
          </w:tcPr>
          <w:p w14:paraId="4D8546CE" w14:textId="58B53319" w:rsidR="009F4842" w:rsidRPr="008B1D16"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8B1D16">
              <w:t>2,561</w:t>
            </w:r>
            <w:r w:rsidR="005158ED">
              <w:br/>
            </w:r>
            <w:r w:rsidRPr="008B1D16">
              <w:t>(-2,083 to 7,205)</w:t>
            </w:r>
          </w:p>
        </w:tc>
        <w:tc>
          <w:tcPr>
            <w:tcW w:w="1559" w:type="dxa"/>
          </w:tcPr>
          <w:p w14:paraId="0CFA3C7C"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0.28</w:t>
            </w:r>
          </w:p>
        </w:tc>
        <w:tc>
          <w:tcPr>
            <w:tcW w:w="2126" w:type="dxa"/>
          </w:tcPr>
          <w:p w14:paraId="76EF06E2"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AE801E3"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8B1D16" w14:paraId="278B6D20" w14:textId="77777777" w:rsidTr="008B1D16">
        <w:trPr>
          <w:trHeight w:val="604"/>
        </w:trPr>
        <w:tc>
          <w:tcPr>
            <w:cnfStyle w:val="001000000000" w:firstRow="0" w:lastRow="0" w:firstColumn="1" w:lastColumn="0" w:oddVBand="0" w:evenVBand="0" w:oddHBand="0" w:evenHBand="0" w:firstRowFirstColumn="0" w:firstRowLastColumn="0" w:lastRowFirstColumn="0" w:lastRowLastColumn="0"/>
            <w:tcW w:w="1701" w:type="dxa"/>
          </w:tcPr>
          <w:p w14:paraId="4B124D50" w14:textId="77777777" w:rsidR="009F4842" w:rsidRPr="008B1D16" w:rsidRDefault="009F4842" w:rsidP="008B1D16">
            <w:pPr>
              <w:pStyle w:val="TableText"/>
            </w:pPr>
            <w:r w:rsidRPr="008B1D16">
              <w:t>Cooperative email</w:t>
            </w:r>
          </w:p>
        </w:tc>
        <w:tc>
          <w:tcPr>
            <w:tcW w:w="1276" w:type="dxa"/>
          </w:tcPr>
          <w:p w14:paraId="182CDCF1"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3,158</w:t>
            </w:r>
          </w:p>
        </w:tc>
        <w:tc>
          <w:tcPr>
            <w:tcW w:w="1985" w:type="dxa"/>
          </w:tcPr>
          <w:p w14:paraId="7AB64D38" w14:textId="640C0BDD" w:rsidR="009F4842" w:rsidRPr="008B1D16"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8B1D16">
              <w:t>1,158</w:t>
            </w:r>
            <w:r w:rsidR="005158ED">
              <w:br/>
            </w:r>
            <w:r w:rsidRPr="008B1D16">
              <w:t>(-3,486 to 5,801)</w:t>
            </w:r>
          </w:p>
        </w:tc>
        <w:tc>
          <w:tcPr>
            <w:tcW w:w="1559" w:type="dxa"/>
          </w:tcPr>
          <w:p w14:paraId="3EBD4665"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0.63</w:t>
            </w:r>
          </w:p>
        </w:tc>
        <w:tc>
          <w:tcPr>
            <w:tcW w:w="2126" w:type="dxa"/>
          </w:tcPr>
          <w:p w14:paraId="530F4B52" w14:textId="219AB4AF" w:rsidR="009F4842" w:rsidRPr="008B1D16"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8B1D16">
              <w:t>-1,403</w:t>
            </w:r>
            <w:r w:rsidR="005158ED">
              <w:br/>
            </w:r>
            <w:r w:rsidRPr="008B1D16">
              <w:t>(-6,042 to 3,235)</w:t>
            </w:r>
          </w:p>
        </w:tc>
        <w:tc>
          <w:tcPr>
            <w:tcW w:w="1134" w:type="dxa"/>
          </w:tcPr>
          <w:p w14:paraId="0CC9749D"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0.55</w:t>
            </w:r>
          </w:p>
        </w:tc>
      </w:tr>
      <w:tr w:rsidR="009F4842" w:rsidRPr="008B1D16" w14:paraId="2BBDC764" w14:textId="77777777" w:rsidTr="008B1D16">
        <w:trPr>
          <w:trHeight w:val="604"/>
        </w:trPr>
        <w:tc>
          <w:tcPr>
            <w:cnfStyle w:val="001000000000" w:firstRow="0" w:lastRow="0" w:firstColumn="1" w:lastColumn="0" w:oddVBand="0" w:evenVBand="0" w:oddHBand="0" w:evenHBand="0" w:firstRowFirstColumn="0" w:firstRowLastColumn="0" w:lastRowFirstColumn="0" w:lastRowLastColumn="0"/>
            <w:tcW w:w="1701" w:type="dxa"/>
          </w:tcPr>
          <w:p w14:paraId="2AE6200B" w14:textId="77777777" w:rsidR="009F4842" w:rsidRPr="008B1D16" w:rsidRDefault="009F4842" w:rsidP="008B1D16">
            <w:pPr>
              <w:pStyle w:val="TableText"/>
            </w:pPr>
            <w:r w:rsidRPr="008B1D16">
              <w:t>Any email (direct + cooperative)</w:t>
            </w:r>
          </w:p>
        </w:tc>
        <w:tc>
          <w:tcPr>
            <w:tcW w:w="1276" w:type="dxa"/>
          </w:tcPr>
          <w:p w14:paraId="59682168"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4,000</w:t>
            </w:r>
          </w:p>
        </w:tc>
        <w:tc>
          <w:tcPr>
            <w:tcW w:w="1985" w:type="dxa"/>
          </w:tcPr>
          <w:p w14:paraId="62873999" w14:textId="79C597A1" w:rsidR="009F4842" w:rsidRPr="008B1D16"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8B1D16">
              <w:t>2,093</w:t>
            </w:r>
            <w:r w:rsidR="005158ED">
              <w:br/>
            </w:r>
            <w:r w:rsidRPr="008B1D16">
              <w:t>(-2,107 to 6,106)</w:t>
            </w:r>
          </w:p>
        </w:tc>
        <w:tc>
          <w:tcPr>
            <w:tcW w:w="1559" w:type="dxa"/>
          </w:tcPr>
          <w:p w14:paraId="78B99F09"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r w:rsidRPr="008B1D16">
              <w:t>0.34</w:t>
            </w:r>
          </w:p>
        </w:tc>
        <w:tc>
          <w:tcPr>
            <w:tcW w:w="2126" w:type="dxa"/>
          </w:tcPr>
          <w:p w14:paraId="04171129"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3FA1329" w14:textId="77777777" w:rsidR="009F4842" w:rsidRPr="008B1D16" w:rsidRDefault="009F4842" w:rsidP="008B1D16">
            <w:pPr>
              <w:pStyle w:val="TableText"/>
              <w:jc w:val="center"/>
              <w:cnfStyle w:val="000000000000" w:firstRow="0" w:lastRow="0" w:firstColumn="0" w:lastColumn="0" w:oddVBand="0" w:evenVBand="0" w:oddHBand="0" w:evenHBand="0" w:firstRowFirstColumn="0" w:firstRowLastColumn="0" w:lastRowFirstColumn="0" w:lastRowLastColumn="0"/>
            </w:pPr>
          </w:p>
        </w:tc>
      </w:tr>
    </w:tbl>
    <w:p w14:paraId="6625BF2B" w14:textId="77777777" w:rsidR="00B51004" w:rsidRDefault="009F4842" w:rsidP="008B1D16">
      <w:pPr>
        <w:pStyle w:val="SourceNotesText"/>
        <w:rPr>
          <w:rFonts w:eastAsia="Cambria"/>
          <w:lang w:eastAsia="ja-JP"/>
        </w:rPr>
      </w:pPr>
      <w:r w:rsidRPr="004D3DE3">
        <w:rPr>
          <w:rFonts w:eastAsia="Cambria"/>
          <w:lang w:eastAsia="ja-JP"/>
        </w:rPr>
        <w:t>Note: Results presented are from median regressions and the dummy variables for triplet</w:t>
      </w:r>
      <w:r w:rsidR="00503753">
        <w:rPr>
          <w:rFonts w:eastAsia="Cambria"/>
          <w:lang w:eastAsia="ja-JP"/>
        </w:rPr>
        <w:t>s</w:t>
      </w:r>
      <w:r w:rsidRPr="004D3DE3">
        <w:rPr>
          <w:rFonts w:eastAsia="Cambria"/>
          <w:lang w:eastAsia="ja-JP"/>
        </w:rPr>
        <w:t xml:space="preserve"> were not included. The cooperative and direct email groups were compared to control</w:t>
      </w:r>
      <w:r w:rsidR="00503753">
        <w:rPr>
          <w:rFonts w:eastAsia="Cambria"/>
          <w:lang w:eastAsia="ja-JP"/>
        </w:rPr>
        <w:t xml:space="preserve"> group</w:t>
      </w:r>
      <w:r w:rsidRPr="004D3DE3">
        <w:rPr>
          <w:rFonts w:eastAsia="Cambria"/>
          <w:lang w:eastAsia="ja-JP"/>
        </w:rPr>
        <w:t xml:space="preserve"> separately and </w:t>
      </w:r>
      <w:r w:rsidRPr="008B1D16">
        <w:rPr>
          <w:rFonts w:eastAsia="Cambria"/>
        </w:rPr>
        <w:t>then</w:t>
      </w:r>
      <w:r w:rsidRPr="004D3DE3">
        <w:rPr>
          <w:rFonts w:eastAsia="Cambria"/>
          <w:lang w:eastAsia="ja-JP"/>
        </w:rPr>
        <w:t xml:space="preserve"> jointly (any email). The cooperative email</w:t>
      </w:r>
      <w:r w:rsidR="00503753">
        <w:rPr>
          <w:rFonts w:eastAsia="Cambria"/>
          <w:lang w:eastAsia="ja-JP"/>
        </w:rPr>
        <w:t xml:space="preserve"> group</w:t>
      </w:r>
      <w:r w:rsidRPr="004D3DE3">
        <w:rPr>
          <w:rFonts w:eastAsia="Cambria"/>
          <w:lang w:eastAsia="ja-JP"/>
        </w:rPr>
        <w:t xml:space="preserve"> was also compared to the direct email</w:t>
      </w:r>
      <w:r w:rsidR="00503753">
        <w:rPr>
          <w:rFonts w:eastAsia="Cambria"/>
          <w:lang w:eastAsia="ja-JP"/>
        </w:rPr>
        <w:t xml:space="preserve"> group</w:t>
      </w:r>
      <w:r w:rsidRPr="004D3DE3">
        <w:rPr>
          <w:rFonts w:eastAsia="Cambria"/>
          <w:lang w:eastAsia="ja-JP"/>
        </w:rPr>
        <w:t xml:space="preserve">. </w:t>
      </w:r>
    </w:p>
    <w:p w14:paraId="7E6833C3" w14:textId="39CC39D9" w:rsidR="009F4842" w:rsidRPr="009744C4" w:rsidRDefault="005158ED" w:rsidP="005158ED">
      <w:pPr>
        <w:pStyle w:val="FigureHeading"/>
        <w:rPr>
          <w:rFonts w:eastAsia="Cambria"/>
        </w:rPr>
      </w:pPr>
      <w:r w:rsidRPr="009744C4">
        <w:rPr>
          <w:rFonts w:eastAsia="Cambria"/>
        </w:rPr>
        <w:t>Table 3.6 –</w:t>
      </w:r>
      <w:r w:rsidR="00503753">
        <w:rPr>
          <w:rFonts w:eastAsia="Cambria"/>
        </w:rPr>
        <w:t xml:space="preserve"> </w:t>
      </w:r>
      <w:r>
        <w:rPr>
          <w:rFonts w:eastAsia="Cambria"/>
        </w:rPr>
        <w:t>A</w:t>
      </w:r>
      <w:r w:rsidRPr="005158ED">
        <w:rPr>
          <w:rFonts w:eastAsia="Cambria"/>
        </w:rPr>
        <w:t>verage</w:t>
      </w:r>
      <w:r w:rsidRPr="009744C4">
        <w:rPr>
          <w:rFonts w:eastAsia="Cambria"/>
        </w:rPr>
        <w:t xml:space="preserve"> payment made</w:t>
      </w:r>
    </w:p>
    <w:tbl>
      <w:tblPr>
        <w:tblStyle w:val="DefaultTable"/>
        <w:tblW w:w="10206" w:type="dxa"/>
        <w:tblLayout w:type="fixed"/>
        <w:tblLook w:val="04A0" w:firstRow="1" w:lastRow="0" w:firstColumn="1" w:lastColumn="0" w:noHBand="0" w:noVBand="1"/>
        <w:tblCaption w:val="Average payment made"/>
        <w:tblDescription w:val="The average payment businesses made"/>
      </w:tblPr>
      <w:tblGrid>
        <w:gridCol w:w="1560"/>
        <w:gridCol w:w="1275"/>
        <w:gridCol w:w="2552"/>
        <w:gridCol w:w="1276"/>
        <w:gridCol w:w="2268"/>
        <w:gridCol w:w="1275"/>
      </w:tblGrid>
      <w:tr w:rsidR="009F4842" w:rsidRPr="004D3DE3" w14:paraId="69EC0F68" w14:textId="77777777" w:rsidTr="003F08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shd w:val="clear" w:color="auto" w:fill="142E3A" w:themeFill="text2"/>
          </w:tcPr>
          <w:p w14:paraId="7E96B626" w14:textId="77777777" w:rsidR="009F4842" w:rsidRPr="005158ED" w:rsidRDefault="009F4842" w:rsidP="005158ED">
            <w:pPr>
              <w:pStyle w:val="TableHeading"/>
            </w:pPr>
          </w:p>
        </w:tc>
        <w:tc>
          <w:tcPr>
            <w:tcW w:w="1275" w:type="dxa"/>
            <w:shd w:val="clear" w:color="auto" w:fill="142E3A" w:themeFill="text2"/>
          </w:tcPr>
          <w:p w14:paraId="76D6C8D0" w14:textId="77777777" w:rsidR="009F4842" w:rsidRPr="005158ED"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5158ED">
              <w:t>Average amount paid ($)</w:t>
            </w:r>
            <w:r w:rsidRPr="005158ED">
              <w:br/>
            </w:r>
          </w:p>
        </w:tc>
        <w:tc>
          <w:tcPr>
            <w:tcW w:w="2552" w:type="dxa"/>
            <w:shd w:val="clear" w:color="auto" w:fill="142E3A" w:themeFill="text2"/>
          </w:tcPr>
          <w:p w14:paraId="28E2BAE4" w14:textId="4D8475F7" w:rsidR="009F4842" w:rsidRPr="005158ED"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5158ED">
              <w:t xml:space="preserve">Difference </w:t>
            </w:r>
            <w:r w:rsidR="005158ED">
              <w:br/>
            </w:r>
            <w:r w:rsidRPr="005158ED">
              <w:t>from Control</w:t>
            </w:r>
            <w:r w:rsidRPr="005158ED">
              <w:br/>
              <w:t>(95% confidence interval)</w:t>
            </w:r>
          </w:p>
        </w:tc>
        <w:tc>
          <w:tcPr>
            <w:tcW w:w="1276" w:type="dxa"/>
            <w:shd w:val="clear" w:color="auto" w:fill="142E3A" w:themeFill="text2"/>
          </w:tcPr>
          <w:p w14:paraId="1D2882E3" w14:textId="77777777" w:rsidR="009F4842" w:rsidRPr="005158ED"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5158ED">
              <w:t>p-value</w:t>
            </w:r>
          </w:p>
        </w:tc>
        <w:tc>
          <w:tcPr>
            <w:tcW w:w="2268" w:type="dxa"/>
            <w:shd w:val="clear" w:color="auto" w:fill="142E3A" w:themeFill="text2"/>
          </w:tcPr>
          <w:p w14:paraId="363211F0" w14:textId="77777777" w:rsidR="009F4842" w:rsidRPr="005158ED"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5158ED">
              <w:t xml:space="preserve">Difference from direct email </w:t>
            </w:r>
            <w:r w:rsidRPr="005158ED">
              <w:br/>
              <w:t>(95% confidence interval)</w:t>
            </w:r>
          </w:p>
        </w:tc>
        <w:tc>
          <w:tcPr>
            <w:tcW w:w="1275" w:type="dxa"/>
            <w:shd w:val="clear" w:color="auto" w:fill="142E3A" w:themeFill="text2"/>
          </w:tcPr>
          <w:p w14:paraId="39E6E500" w14:textId="77777777" w:rsidR="009F4842" w:rsidRPr="005158ED" w:rsidRDefault="009F4842" w:rsidP="005158ED">
            <w:pPr>
              <w:pStyle w:val="TableHeading"/>
              <w:jc w:val="center"/>
              <w:cnfStyle w:val="100000000000" w:firstRow="1" w:lastRow="0" w:firstColumn="0" w:lastColumn="0" w:oddVBand="0" w:evenVBand="0" w:oddHBand="0" w:evenHBand="0" w:firstRowFirstColumn="0" w:firstRowLastColumn="0" w:lastRowFirstColumn="0" w:lastRowLastColumn="0"/>
            </w:pPr>
            <w:r w:rsidRPr="005158ED">
              <w:t>p-value</w:t>
            </w:r>
          </w:p>
        </w:tc>
      </w:tr>
      <w:tr w:rsidR="009F4842" w:rsidRPr="004D3DE3" w14:paraId="1EE19E81"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01803E4" w14:textId="77777777" w:rsidR="009F4842" w:rsidRPr="005158ED" w:rsidRDefault="009F4842" w:rsidP="005158ED">
            <w:pPr>
              <w:pStyle w:val="TableText"/>
            </w:pPr>
            <w:r w:rsidRPr="005158ED">
              <w:t>Control</w:t>
            </w:r>
          </w:p>
        </w:tc>
        <w:tc>
          <w:tcPr>
            <w:tcW w:w="1275" w:type="dxa"/>
            <w:vAlign w:val="center"/>
          </w:tcPr>
          <w:p w14:paraId="545A0603"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135,846</w:t>
            </w:r>
          </w:p>
        </w:tc>
        <w:tc>
          <w:tcPr>
            <w:tcW w:w="2552" w:type="dxa"/>
            <w:vAlign w:val="center"/>
          </w:tcPr>
          <w:p w14:paraId="1CA5862C"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1518FABD"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c>
          <w:tcPr>
            <w:tcW w:w="2268" w:type="dxa"/>
            <w:vAlign w:val="center"/>
          </w:tcPr>
          <w:p w14:paraId="7A57D356"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c>
          <w:tcPr>
            <w:tcW w:w="1275" w:type="dxa"/>
            <w:vAlign w:val="center"/>
          </w:tcPr>
          <w:p w14:paraId="165390AB"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070F690D" w14:textId="77777777" w:rsidTr="005158ED">
        <w:trPr>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08A7F0C" w14:textId="77777777" w:rsidR="009F4842" w:rsidRPr="005158ED" w:rsidRDefault="009F4842" w:rsidP="005158ED">
            <w:pPr>
              <w:pStyle w:val="TableText"/>
            </w:pPr>
            <w:r w:rsidRPr="005158ED">
              <w:t>Direct email</w:t>
            </w:r>
          </w:p>
        </w:tc>
        <w:tc>
          <w:tcPr>
            <w:tcW w:w="1275" w:type="dxa"/>
            <w:vAlign w:val="center"/>
          </w:tcPr>
          <w:p w14:paraId="6C38D46F"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70,936</w:t>
            </w:r>
          </w:p>
        </w:tc>
        <w:tc>
          <w:tcPr>
            <w:tcW w:w="2552" w:type="dxa"/>
            <w:vAlign w:val="center"/>
          </w:tcPr>
          <w:p w14:paraId="74443883" w14:textId="2C49482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-64,910</w:t>
            </w:r>
            <w:r w:rsidR="005158ED">
              <w:br/>
            </w:r>
            <w:r w:rsidRPr="005158ED">
              <w:t>(-129,721 to -100)</w:t>
            </w:r>
          </w:p>
        </w:tc>
        <w:tc>
          <w:tcPr>
            <w:tcW w:w="1276" w:type="dxa"/>
            <w:vAlign w:val="center"/>
          </w:tcPr>
          <w:p w14:paraId="78390002"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0.05</w:t>
            </w:r>
          </w:p>
        </w:tc>
        <w:tc>
          <w:tcPr>
            <w:tcW w:w="2268" w:type="dxa"/>
            <w:vAlign w:val="center"/>
          </w:tcPr>
          <w:p w14:paraId="3DC247D6"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c>
          <w:tcPr>
            <w:tcW w:w="1275" w:type="dxa"/>
            <w:vAlign w:val="center"/>
          </w:tcPr>
          <w:p w14:paraId="614AA100"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0304B74C" w14:textId="77777777" w:rsidTr="005158ED">
        <w:trPr>
          <w:trHeight w:val="604"/>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53DC859" w14:textId="77777777" w:rsidR="009F4842" w:rsidRPr="005158ED" w:rsidRDefault="009F4842" w:rsidP="005158ED">
            <w:pPr>
              <w:pStyle w:val="TableText"/>
            </w:pPr>
            <w:r w:rsidRPr="005158ED">
              <w:t>Cooperative email</w:t>
            </w:r>
          </w:p>
        </w:tc>
        <w:tc>
          <w:tcPr>
            <w:tcW w:w="1275" w:type="dxa"/>
            <w:vAlign w:val="center"/>
          </w:tcPr>
          <w:p w14:paraId="5E3BFA1D"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84,004</w:t>
            </w:r>
          </w:p>
        </w:tc>
        <w:tc>
          <w:tcPr>
            <w:tcW w:w="2552" w:type="dxa"/>
            <w:vAlign w:val="center"/>
          </w:tcPr>
          <w:p w14:paraId="48D723E4" w14:textId="4B6059A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-51,842</w:t>
            </w:r>
            <w:r w:rsidR="005158ED">
              <w:br/>
            </w:r>
            <w:r w:rsidRPr="005158ED">
              <w:t>(-116,641 to 12,958)</w:t>
            </w:r>
          </w:p>
        </w:tc>
        <w:tc>
          <w:tcPr>
            <w:tcW w:w="1276" w:type="dxa"/>
            <w:vAlign w:val="center"/>
          </w:tcPr>
          <w:p w14:paraId="0088C051"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0.12</w:t>
            </w:r>
          </w:p>
        </w:tc>
        <w:tc>
          <w:tcPr>
            <w:tcW w:w="2268" w:type="dxa"/>
            <w:vAlign w:val="center"/>
          </w:tcPr>
          <w:p w14:paraId="445FCA5C" w14:textId="4FF61CF5"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13,069</w:t>
            </w:r>
            <w:r w:rsidR="005158ED">
              <w:br/>
            </w:r>
            <w:r w:rsidRPr="005158ED">
              <w:t>(-51,649 to 77,786)</w:t>
            </w:r>
          </w:p>
        </w:tc>
        <w:tc>
          <w:tcPr>
            <w:tcW w:w="1275" w:type="dxa"/>
            <w:vAlign w:val="center"/>
          </w:tcPr>
          <w:p w14:paraId="29E2F604"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0.69</w:t>
            </w:r>
          </w:p>
        </w:tc>
      </w:tr>
      <w:tr w:rsidR="009F4842" w:rsidRPr="004D3DE3" w14:paraId="09736D07" w14:textId="77777777" w:rsidTr="005158ED">
        <w:trPr>
          <w:trHeight w:val="604"/>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6F888CB" w14:textId="77777777" w:rsidR="009F4842" w:rsidRPr="005158ED" w:rsidRDefault="009F4842" w:rsidP="005158ED">
            <w:pPr>
              <w:pStyle w:val="TableText"/>
            </w:pPr>
            <w:r w:rsidRPr="005158ED">
              <w:t>Any email (direct + cooperative)</w:t>
            </w:r>
          </w:p>
        </w:tc>
        <w:tc>
          <w:tcPr>
            <w:tcW w:w="1275" w:type="dxa"/>
            <w:vAlign w:val="center"/>
          </w:tcPr>
          <w:p w14:paraId="67A4B7B3"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77,471</w:t>
            </w:r>
          </w:p>
        </w:tc>
        <w:tc>
          <w:tcPr>
            <w:tcW w:w="2552" w:type="dxa"/>
            <w:vAlign w:val="center"/>
          </w:tcPr>
          <w:p w14:paraId="65C6E52F" w14:textId="35FAE1B4"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-58,374</w:t>
            </w:r>
            <w:r w:rsidR="005158ED">
              <w:br/>
            </w:r>
            <w:r w:rsidRPr="005158ED">
              <w:t>(-114,499 to -2248)</w:t>
            </w:r>
          </w:p>
        </w:tc>
        <w:tc>
          <w:tcPr>
            <w:tcW w:w="1276" w:type="dxa"/>
            <w:vAlign w:val="center"/>
          </w:tcPr>
          <w:p w14:paraId="1A531757"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r w:rsidRPr="005158ED">
              <w:t>0.04</w:t>
            </w:r>
          </w:p>
        </w:tc>
        <w:tc>
          <w:tcPr>
            <w:tcW w:w="2268" w:type="dxa"/>
            <w:vAlign w:val="center"/>
          </w:tcPr>
          <w:p w14:paraId="00B3213A"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c>
          <w:tcPr>
            <w:tcW w:w="1275" w:type="dxa"/>
            <w:vAlign w:val="center"/>
          </w:tcPr>
          <w:p w14:paraId="730E5F85" w14:textId="77777777" w:rsidR="009F4842" w:rsidRPr="005158ED" w:rsidRDefault="009F4842" w:rsidP="005158ED">
            <w:pPr>
              <w:pStyle w:val="TableText"/>
              <w:jc w:val="center"/>
              <w:cnfStyle w:val="000000000000" w:firstRow="0" w:lastRow="0" w:firstColumn="0" w:lastColumn="0" w:oddVBand="0" w:evenVBand="0" w:oddHBand="0" w:evenHBand="0" w:firstRowFirstColumn="0" w:firstRowLastColumn="0" w:lastRowFirstColumn="0" w:lastRowLastColumn="0"/>
            </w:pPr>
          </w:p>
        </w:tc>
      </w:tr>
    </w:tbl>
    <w:p w14:paraId="2C2A605D" w14:textId="470CA3D5" w:rsidR="009F4842" w:rsidRDefault="009F4842" w:rsidP="005158ED">
      <w:pPr>
        <w:pStyle w:val="SourceNotesText"/>
        <w:rPr>
          <w:rFonts w:eastAsia="Cambria"/>
          <w:lang w:eastAsia="ja-JP"/>
        </w:rPr>
      </w:pPr>
      <w:r w:rsidRPr="004D3DE3">
        <w:rPr>
          <w:rFonts w:eastAsia="Cambria"/>
          <w:lang w:eastAsia="ja-JP"/>
        </w:rPr>
        <w:t xml:space="preserve">Note: Results presented are from linear regression and the dummy variables for triplets were included. The model overall was not </w:t>
      </w:r>
      <w:r>
        <w:rPr>
          <w:rFonts w:eastAsia="Cambria"/>
          <w:lang w:eastAsia="ja-JP"/>
        </w:rPr>
        <w:t xml:space="preserve">statistically </w:t>
      </w:r>
      <w:r w:rsidRPr="004D3DE3">
        <w:rPr>
          <w:rFonts w:eastAsia="Cambria"/>
          <w:lang w:eastAsia="ja-JP"/>
        </w:rPr>
        <w:t xml:space="preserve">significant. </w:t>
      </w:r>
      <w:r w:rsidRPr="004D3DE3">
        <w:rPr>
          <w:rFonts w:eastAsia="Cambria"/>
          <w:szCs w:val="19"/>
          <w:lang w:eastAsia="ja-JP"/>
        </w:rPr>
        <w:t xml:space="preserve">The cooperative and direct email groups were compared to control </w:t>
      </w:r>
      <w:r w:rsidR="00503753">
        <w:rPr>
          <w:rFonts w:eastAsia="Cambria"/>
          <w:szCs w:val="19"/>
          <w:lang w:eastAsia="ja-JP"/>
        </w:rPr>
        <w:t xml:space="preserve">group </w:t>
      </w:r>
      <w:r w:rsidRPr="004D3DE3">
        <w:rPr>
          <w:rFonts w:eastAsia="Cambria"/>
          <w:szCs w:val="19"/>
          <w:lang w:eastAsia="ja-JP"/>
        </w:rPr>
        <w:t>separately and then jointly (any email).</w:t>
      </w:r>
      <w:r w:rsidRPr="004D3DE3">
        <w:rPr>
          <w:rFonts w:eastAsia="Cambria"/>
          <w:lang w:eastAsia="ja-JP"/>
        </w:rPr>
        <w:t xml:space="preserve"> </w:t>
      </w:r>
      <w:r w:rsidR="00503753">
        <w:rPr>
          <w:rFonts w:eastAsia="Cambria"/>
          <w:lang w:eastAsia="ja-JP"/>
        </w:rPr>
        <w:t>The</w:t>
      </w:r>
      <w:r w:rsidRPr="004D3DE3">
        <w:rPr>
          <w:rFonts w:eastAsia="Cambria"/>
          <w:lang w:eastAsia="ja-JP"/>
        </w:rPr>
        <w:t xml:space="preserve"> cooperative email </w:t>
      </w:r>
      <w:r w:rsidR="00503753">
        <w:rPr>
          <w:rFonts w:eastAsia="Cambria"/>
          <w:lang w:eastAsia="ja-JP"/>
        </w:rPr>
        <w:t xml:space="preserve">group </w:t>
      </w:r>
      <w:r w:rsidRPr="004D3DE3">
        <w:rPr>
          <w:rFonts w:eastAsia="Cambria"/>
          <w:lang w:eastAsia="ja-JP"/>
        </w:rPr>
        <w:t xml:space="preserve">was </w:t>
      </w:r>
      <w:r w:rsidR="00503753">
        <w:rPr>
          <w:rFonts w:eastAsia="Cambria"/>
          <w:lang w:eastAsia="ja-JP"/>
        </w:rPr>
        <w:t xml:space="preserve">then </w:t>
      </w:r>
      <w:r w:rsidRPr="004D3DE3">
        <w:rPr>
          <w:rFonts w:eastAsia="Cambria"/>
          <w:lang w:eastAsia="ja-JP"/>
        </w:rPr>
        <w:t>compared to the direct email</w:t>
      </w:r>
      <w:r w:rsidR="00503753">
        <w:rPr>
          <w:rFonts w:eastAsia="Cambria"/>
          <w:lang w:eastAsia="ja-JP"/>
        </w:rPr>
        <w:t xml:space="preserve"> group</w:t>
      </w:r>
      <w:r w:rsidRPr="004D3DE3">
        <w:rPr>
          <w:rFonts w:eastAsia="Cambria"/>
          <w:lang w:eastAsia="ja-JP"/>
        </w:rPr>
        <w:t>.</w:t>
      </w:r>
    </w:p>
    <w:p w14:paraId="048A6BBF" w14:textId="77777777" w:rsidR="00503753" w:rsidRDefault="00503753" w:rsidP="009F4842">
      <w:pPr>
        <w:spacing w:before="0" w:after="0" w:line="240" w:lineRule="auto"/>
        <w:rPr>
          <w:rFonts w:eastAsia="Cambria" w:cs="Calibri Light"/>
          <w:color w:val="323536"/>
          <w:spacing w:val="20"/>
          <w:sz w:val="20"/>
          <w:lang w:eastAsia="ja-JP"/>
        </w:rPr>
      </w:pPr>
    </w:p>
    <w:p w14:paraId="70BF99D0" w14:textId="063CEE88" w:rsidR="009F4842" w:rsidRPr="009744C4" w:rsidRDefault="00A2470E" w:rsidP="00A2470E">
      <w:pPr>
        <w:pStyle w:val="FigureHeading"/>
        <w:rPr>
          <w:rFonts w:eastAsia="Cambria"/>
        </w:rPr>
      </w:pPr>
      <w:r w:rsidRPr="009744C4">
        <w:rPr>
          <w:rFonts w:eastAsia="Cambria"/>
        </w:rPr>
        <w:lastRenderedPageBreak/>
        <w:t>Table 3.7 –</w:t>
      </w:r>
      <w:r w:rsidR="00503753">
        <w:rPr>
          <w:rFonts w:eastAsia="Cambria"/>
        </w:rPr>
        <w:t xml:space="preserve"> </w:t>
      </w:r>
      <w:r>
        <w:rPr>
          <w:rFonts w:eastAsia="Cambria"/>
        </w:rPr>
        <w:t>A</w:t>
      </w:r>
      <w:r w:rsidRPr="009744C4">
        <w:rPr>
          <w:rFonts w:eastAsia="Cambria"/>
        </w:rPr>
        <w:t xml:space="preserve">verage difference in client account balance </w:t>
      </w:r>
      <w:r>
        <w:rPr>
          <w:rFonts w:eastAsia="Cambria"/>
        </w:rPr>
        <w:t>(</w:t>
      </w:r>
      <w:proofErr w:type="spellStart"/>
      <w:r>
        <w:rPr>
          <w:rFonts w:eastAsia="Cambria"/>
        </w:rPr>
        <w:t>cac</w:t>
      </w:r>
      <w:proofErr w:type="spellEnd"/>
      <w:r>
        <w:rPr>
          <w:rFonts w:eastAsia="Cambria"/>
        </w:rPr>
        <w:t xml:space="preserve">) </w:t>
      </w:r>
      <w:r w:rsidR="009F4842" w:rsidRPr="009744C4">
        <w:rPr>
          <w:rFonts w:eastAsia="Cambria"/>
        </w:rPr>
        <w:t>(</w:t>
      </w:r>
      <w:r>
        <w:rPr>
          <w:rFonts w:eastAsia="Cambria"/>
        </w:rPr>
        <w:t>original balance minus final balance)</w:t>
      </w:r>
    </w:p>
    <w:tbl>
      <w:tblPr>
        <w:tblStyle w:val="DefaultTable"/>
        <w:tblW w:w="10206" w:type="dxa"/>
        <w:tblLayout w:type="fixed"/>
        <w:tblLook w:val="04A0" w:firstRow="1" w:lastRow="0" w:firstColumn="1" w:lastColumn="0" w:noHBand="0" w:noVBand="1"/>
        <w:tblCaption w:val="Average difference in client account balance"/>
        <w:tblDescription w:val="The average difference in client account balance of businesses"/>
      </w:tblPr>
      <w:tblGrid>
        <w:gridCol w:w="1843"/>
        <w:gridCol w:w="1701"/>
        <w:gridCol w:w="2268"/>
        <w:gridCol w:w="1134"/>
        <w:gridCol w:w="2126"/>
        <w:gridCol w:w="1134"/>
      </w:tblGrid>
      <w:tr w:rsidR="009F4842" w:rsidRPr="004D3DE3" w14:paraId="0AE17FBC" w14:textId="77777777" w:rsidTr="00405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142E3A" w:themeFill="text2"/>
          </w:tcPr>
          <w:p w14:paraId="017CAC17" w14:textId="77777777" w:rsidR="009F4842" w:rsidRPr="00A2470E" w:rsidRDefault="009F4842" w:rsidP="00A2470E">
            <w:pPr>
              <w:pStyle w:val="TableHeading"/>
            </w:pPr>
          </w:p>
        </w:tc>
        <w:tc>
          <w:tcPr>
            <w:tcW w:w="1701" w:type="dxa"/>
            <w:shd w:val="clear" w:color="auto" w:fill="142E3A" w:themeFill="text2"/>
          </w:tcPr>
          <w:p w14:paraId="26E294A5"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Average CAC difference ($)</w:t>
            </w:r>
            <w:r w:rsidRPr="00A2470E">
              <w:br/>
            </w:r>
          </w:p>
        </w:tc>
        <w:tc>
          <w:tcPr>
            <w:tcW w:w="2268" w:type="dxa"/>
            <w:shd w:val="clear" w:color="auto" w:fill="142E3A" w:themeFill="text2"/>
          </w:tcPr>
          <w:p w14:paraId="5D6D50D0"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Difference from Control</w:t>
            </w:r>
            <w:r w:rsidRPr="00A2470E">
              <w:br/>
              <w:t>(95% confidence interval)</w:t>
            </w:r>
          </w:p>
        </w:tc>
        <w:tc>
          <w:tcPr>
            <w:tcW w:w="1134" w:type="dxa"/>
            <w:shd w:val="clear" w:color="auto" w:fill="142E3A" w:themeFill="text2"/>
          </w:tcPr>
          <w:p w14:paraId="45C21CDB"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p-value</w:t>
            </w:r>
          </w:p>
        </w:tc>
        <w:tc>
          <w:tcPr>
            <w:tcW w:w="2126" w:type="dxa"/>
            <w:shd w:val="clear" w:color="auto" w:fill="142E3A" w:themeFill="text2"/>
          </w:tcPr>
          <w:p w14:paraId="42D9E542"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 xml:space="preserve">Difference from direct email </w:t>
            </w:r>
            <w:r w:rsidRPr="00A2470E">
              <w:br/>
              <w:t>(95% confidence interval)</w:t>
            </w:r>
          </w:p>
        </w:tc>
        <w:tc>
          <w:tcPr>
            <w:tcW w:w="1134" w:type="dxa"/>
            <w:shd w:val="clear" w:color="auto" w:fill="142E3A" w:themeFill="text2"/>
          </w:tcPr>
          <w:p w14:paraId="3C3CFDCD"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p-value</w:t>
            </w:r>
          </w:p>
        </w:tc>
      </w:tr>
      <w:tr w:rsidR="009F4842" w:rsidRPr="004D3DE3" w14:paraId="1819D56F" w14:textId="77777777" w:rsidTr="00A2470E">
        <w:trPr>
          <w:trHeight w:val="2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7EE161C" w14:textId="77777777" w:rsidR="009F4842" w:rsidRPr="00A2470E" w:rsidRDefault="009F4842" w:rsidP="00A2470E">
            <w:pPr>
              <w:pStyle w:val="TableText"/>
            </w:pPr>
            <w:r w:rsidRPr="00A2470E">
              <w:t>Control</w:t>
            </w:r>
          </w:p>
        </w:tc>
        <w:tc>
          <w:tcPr>
            <w:tcW w:w="1701" w:type="dxa"/>
            <w:vAlign w:val="center"/>
          </w:tcPr>
          <w:p w14:paraId="53D2D63C"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3544</w:t>
            </w:r>
          </w:p>
        </w:tc>
        <w:tc>
          <w:tcPr>
            <w:tcW w:w="2268" w:type="dxa"/>
            <w:vAlign w:val="center"/>
          </w:tcPr>
          <w:p w14:paraId="5A71A020"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5418CDC8"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2126" w:type="dxa"/>
            <w:vAlign w:val="center"/>
          </w:tcPr>
          <w:p w14:paraId="569B498C"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1E615C2C"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6C2FC4C4" w14:textId="77777777" w:rsidTr="00A2470E">
        <w:trPr>
          <w:trHeight w:val="2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21DC7CF" w14:textId="77777777" w:rsidR="009F4842" w:rsidRPr="00A2470E" w:rsidRDefault="009F4842" w:rsidP="00A2470E">
            <w:pPr>
              <w:pStyle w:val="TableText"/>
            </w:pPr>
            <w:r w:rsidRPr="00A2470E">
              <w:t>Direct email</w:t>
            </w:r>
          </w:p>
        </w:tc>
        <w:tc>
          <w:tcPr>
            <w:tcW w:w="1701" w:type="dxa"/>
            <w:vAlign w:val="center"/>
          </w:tcPr>
          <w:p w14:paraId="3B872ACA"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12,444</w:t>
            </w:r>
          </w:p>
        </w:tc>
        <w:tc>
          <w:tcPr>
            <w:tcW w:w="2268" w:type="dxa"/>
            <w:vAlign w:val="center"/>
          </w:tcPr>
          <w:p w14:paraId="3B3413A2" w14:textId="53E2C453"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8,900</w:t>
            </w:r>
            <w:r w:rsidR="00A2470E">
              <w:br/>
            </w:r>
            <w:r w:rsidRPr="00A2470E">
              <w:t>(-30,775 to 48,575)</w:t>
            </w:r>
          </w:p>
        </w:tc>
        <w:tc>
          <w:tcPr>
            <w:tcW w:w="1134" w:type="dxa"/>
            <w:vAlign w:val="center"/>
          </w:tcPr>
          <w:p w14:paraId="57E1FFD2"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0.66</w:t>
            </w:r>
          </w:p>
        </w:tc>
        <w:tc>
          <w:tcPr>
            <w:tcW w:w="2126" w:type="dxa"/>
            <w:vAlign w:val="center"/>
          </w:tcPr>
          <w:p w14:paraId="1420108E"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D27D554"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1EB302EA" w14:textId="77777777" w:rsidTr="00A2470E">
        <w:trPr>
          <w:trHeight w:val="60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F9C7774" w14:textId="77777777" w:rsidR="009F4842" w:rsidRPr="00A2470E" w:rsidRDefault="009F4842" w:rsidP="00A2470E">
            <w:pPr>
              <w:pStyle w:val="TableText"/>
            </w:pPr>
            <w:r w:rsidRPr="00A2470E">
              <w:t>Cooperative email</w:t>
            </w:r>
          </w:p>
        </w:tc>
        <w:tc>
          <w:tcPr>
            <w:tcW w:w="1701" w:type="dxa"/>
            <w:vAlign w:val="center"/>
          </w:tcPr>
          <w:p w14:paraId="309F9ED8"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9992</w:t>
            </w:r>
          </w:p>
        </w:tc>
        <w:tc>
          <w:tcPr>
            <w:tcW w:w="2268" w:type="dxa"/>
            <w:vAlign w:val="center"/>
          </w:tcPr>
          <w:p w14:paraId="147C34A8" w14:textId="36EA171A"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6,448</w:t>
            </w:r>
            <w:r w:rsidR="00A2470E">
              <w:br/>
            </w:r>
            <w:r w:rsidRPr="00A2470E">
              <w:t>(-33,220 to 46,116)</w:t>
            </w:r>
          </w:p>
        </w:tc>
        <w:tc>
          <w:tcPr>
            <w:tcW w:w="1134" w:type="dxa"/>
            <w:vAlign w:val="center"/>
          </w:tcPr>
          <w:p w14:paraId="7BFCBC69"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0.75</w:t>
            </w:r>
          </w:p>
        </w:tc>
        <w:tc>
          <w:tcPr>
            <w:tcW w:w="2126" w:type="dxa"/>
            <w:vAlign w:val="center"/>
          </w:tcPr>
          <w:p w14:paraId="6DA824E6" w14:textId="3914668C" w:rsidR="009F4842" w:rsidRPr="00A2470E" w:rsidRDefault="00A2470E" w:rsidP="00A2470E">
            <w:pPr>
              <w:pStyle w:val="TableText"/>
              <w:jc w:val="center"/>
              <w:cnfStyle w:val="000000000000" w:firstRow="0" w:lastRow="0" w:firstColumn="0" w:lastColumn="0" w:oddVBand="0" w:evenVBand="0" w:oddHBand="0" w:evenHBand="0" w:firstRowFirstColumn="0" w:firstRowLastColumn="0" w:lastRowFirstColumn="0" w:lastRowLastColumn="0"/>
            </w:pPr>
            <w:r>
              <w:t>-2452</w:t>
            </w:r>
            <w:r>
              <w:br/>
            </w:r>
            <w:r w:rsidR="009F4842" w:rsidRPr="00A2470E">
              <w:t>(-42,070 to 37,166)</w:t>
            </w:r>
          </w:p>
        </w:tc>
        <w:tc>
          <w:tcPr>
            <w:tcW w:w="1134" w:type="dxa"/>
            <w:vAlign w:val="center"/>
          </w:tcPr>
          <w:p w14:paraId="669C8BFB"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0.90</w:t>
            </w:r>
          </w:p>
        </w:tc>
      </w:tr>
      <w:tr w:rsidR="009F4842" w:rsidRPr="004D3DE3" w14:paraId="3939C735" w14:textId="77777777" w:rsidTr="00A2470E">
        <w:trPr>
          <w:trHeight w:val="60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4837F9B" w14:textId="77777777" w:rsidR="009F4842" w:rsidRPr="00A2470E" w:rsidRDefault="009F4842" w:rsidP="00A2470E">
            <w:pPr>
              <w:pStyle w:val="TableText"/>
            </w:pPr>
            <w:r w:rsidRPr="00A2470E">
              <w:t>Any email (direct + cooperative)</w:t>
            </w:r>
          </w:p>
        </w:tc>
        <w:tc>
          <w:tcPr>
            <w:tcW w:w="1701" w:type="dxa"/>
            <w:vAlign w:val="center"/>
          </w:tcPr>
          <w:p w14:paraId="53C34AC7"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11,218</w:t>
            </w:r>
          </w:p>
        </w:tc>
        <w:tc>
          <w:tcPr>
            <w:tcW w:w="2268" w:type="dxa"/>
            <w:vAlign w:val="center"/>
          </w:tcPr>
          <w:p w14:paraId="793C470F" w14:textId="06CCAE81"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7674</w:t>
            </w:r>
            <w:r w:rsidR="00A2470E">
              <w:br/>
            </w:r>
            <w:r w:rsidRPr="00A2470E">
              <w:t>(-26,683 to 42,030)</w:t>
            </w:r>
          </w:p>
        </w:tc>
        <w:tc>
          <w:tcPr>
            <w:tcW w:w="1134" w:type="dxa"/>
            <w:vAlign w:val="center"/>
          </w:tcPr>
          <w:p w14:paraId="187F1478"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r w:rsidRPr="00A2470E">
              <w:t>0.66</w:t>
            </w:r>
          </w:p>
        </w:tc>
        <w:tc>
          <w:tcPr>
            <w:tcW w:w="2126" w:type="dxa"/>
            <w:vAlign w:val="center"/>
          </w:tcPr>
          <w:p w14:paraId="5E41098C"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0018246B" w14:textId="77777777" w:rsidR="009F4842" w:rsidRPr="00A2470E"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pPr>
          </w:p>
        </w:tc>
      </w:tr>
    </w:tbl>
    <w:p w14:paraId="789C07C8" w14:textId="5115E300" w:rsidR="009F4842" w:rsidRDefault="009F4842" w:rsidP="00A2470E">
      <w:pPr>
        <w:pStyle w:val="SourceNotesText"/>
        <w:rPr>
          <w:rFonts w:eastAsia="Cambria"/>
          <w:lang w:eastAsia="ja-JP"/>
        </w:rPr>
      </w:pPr>
      <w:r w:rsidRPr="004D3DE3">
        <w:rPr>
          <w:rFonts w:eastAsia="Cambria"/>
          <w:lang w:eastAsia="ja-JP"/>
        </w:rPr>
        <w:t xml:space="preserve">Note: Results presented are from linear regression and the dummy variables for triplets were included. The model overall was not statistically significant. The cooperative and direct email groups were compared to </w:t>
      </w:r>
      <w:r w:rsidR="00503753">
        <w:rPr>
          <w:rFonts w:eastAsia="Cambria"/>
          <w:lang w:eastAsia="ja-JP"/>
        </w:rPr>
        <w:t xml:space="preserve">the </w:t>
      </w:r>
      <w:r w:rsidRPr="004D3DE3">
        <w:rPr>
          <w:rFonts w:eastAsia="Cambria"/>
          <w:lang w:eastAsia="ja-JP"/>
        </w:rPr>
        <w:t xml:space="preserve">control </w:t>
      </w:r>
      <w:r w:rsidR="00503753">
        <w:rPr>
          <w:rFonts w:eastAsia="Cambria"/>
          <w:lang w:eastAsia="ja-JP"/>
        </w:rPr>
        <w:t xml:space="preserve">group </w:t>
      </w:r>
      <w:r w:rsidRPr="004D3DE3">
        <w:rPr>
          <w:rFonts w:eastAsia="Cambria"/>
          <w:lang w:eastAsia="ja-JP"/>
        </w:rPr>
        <w:t xml:space="preserve">separately and then jointly (any email). </w:t>
      </w:r>
      <w:r w:rsidR="00503753">
        <w:rPr>
          <w:rFonts w:eastAsia="Cambria"/>
          <w:lang w:eastAsia="ja-JP"/>
        </w:rPr>
        <w:t xml:space="preserve">The </w:t>
      </w:r>
      <w:r w:rsidRPr="004D3DE3">
        <w:rPr>
          <w:rFonts w:eastAsia="Cambria"/>
          <w:lang w:eastAsia="ja-JP"/>
        </w:rPr>
        <w:t xml:space="preserve">cooperative email </w:t>
      </w:r>
      <w:r w:rsidR="00503753">
        <w:rPr>
          <w:rFonts w:eastAsia="Cambria"/>
          <w:lang w:eastAsia="ja-JP"/>
        </w:rPr>
        <w:t xml:space="preserve">group </w:t>
      </w:r>
      <w:r w:rsidRPr="004D3DE3">
        <w:rPr>
          <w:rFonts w:eastAsia="Cambria"/>
          <w:lang w:eastAsia="ja-JP"/>
        </w:rPr>
        <w:t>was</w:t>
      </w:r>
      <w:r w:rsidR="00503753">
        <w:rPr>
          <w:rFonts w:eastAsia="Cambria"/>
          <w:lang w:eastAsia="ja-JP"/>
        </w:rPr>
        <w:t xml:space="preserve"> then</w:t>
      </w:r>
      <w:r w:rsidRPr="004D3DE3">
        <w:rPr>
          <w:rFonts w:eastAsia="Cambria"/>
          <w:lang w:eastAsia="ja-JP"/>
        </w:rPr>
        <w:t xml:space="preserve"> compared to the direct email</w:t>
      </w:r>
      <w:r w:rsidR="00503753">
        <w:rPr>
          <w:rFonts w:eastAsia="Cambria"/>
          <w:lang w:eastAsia="ja-JP"/>
        </w:rPr>
        <w:t xml:space="preserve"> group</w:t>
      </w:r>
      <w:r w:rsidRPr="004D3DE3">
        <w:rPr>
          <w:rFonts w:eastAsia="Cambria"/>
          <w:lang w:eastAsia="ja-JP"/>
        </w:rPr>
        <w:t>.</w:t>
      </w:r>
    </w:p>
    <w:p w14:paraId="741BC523" w14:textId="5DE1DC1D" w:rsidR="009F4842" w:rsidRPr="009744C4" w:rsidRDefault="00A2470E" w:rsidP="00A2470E">
      <w:pPr>
        <w:pStyle w:val="FigureHeading"/>
        <w:rPr>
          <w:rFonts w:eastAsia="Cambria"/>
        </w:rPr>
      </w:pPr>
      <w:r w:rsidRPr="009744C4">
        <w:rPr>
          <w:rFonts w:eastAsia="Cambria"/>
        </w:rPr>
        <w:t>Table 3.8 –</w:t>
      </w:r>
      <w:r w:rsidR="00503753">
        <w:rPr>
          <w:rFonts w:eastAsia="Cambria"/>
        </w:rPr>
        <w:t xml:space="preserve"> </w:t>
      </w:r>
      <w:r>
        <w:rPr>
          <w:rFonts w:eastAsia="Cambria"/>
        </w:rPr>
        <w:t>C</w:t>
      </w:r>
      <w:r w:rsidRPr="009744C4">
        <w:rPr>
          <w:rFonts w:eastAsia="Cambria"/>
        </w:rPr>
        <w:t xml:space="preserve">alls to the </w:t>
      </w:r>
      <w:r>
        <w:rPr>
          <w:rFonts w:eastAsia="Cambria"/>
        </w:rPr>
        <w:t>ATO</w:t>
      </w:r>
      <w:r w:rsidR="00503753">
        <w:rPr>
          <w:rFonts w:eastAsia="Cambria"/>
        </w:rPr>
        <w:t xml:space="preserve"> – </w:t>
      </w:r>
      <w:r>
        <w:rPr>
          <w:rFonts w:eastAsia="Cambria"/>
        </w:rPr>
        <w:t xml:space="preserve">whether or not a call was made </w:t>
      </w:r>
    </w:p>
    <w:tbl>
      <w:tblPr>
        <w:tblStyle w:val="DefaultTable"/>
        <w:tblW w:w="9498" w:type="dxa"/>
        <w:tblLayout w:type="fixed"/>
        <w:tblLook w:val="04A0" w:firstRow="1" w:lastRow="0" w:firstColumn="1" w:lastColumn="0" w:noHBand="0" w:noVBand="1"/>
        <w:tblCaption w:val="Calls to the ATO - whether or not a call was made"/>
        <w:tblDescription w:val="the percentage of businesses who called the ATO."/>
      </w:tblPr>
      <w:tblGrid>
        <w:gridCol w:w="1985"/>
        <w:gridCol w:w="1276"/>
        <w:gridCol w:w="1984"/>
        <w:gridCol w:w="1134"/>
        <w:gridCol w:w="1985"/>
        <w:gridCol w:w="1134"/>
      </w:tblGrid>
      <w:tr w:rsidR="009F4842" w:rsidRPr="004D3DE3" w14:paraId="66DF459C" w14:textId="77777777" w:rsidTr="003F08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142E3A" w:themeFill="text2"/>
          </w:tcPr>
          <w:p w14:paraId="6866BB4F" w14:textId="77777777" w:rsidR="009F4842" w:rsidRPr="00A2470E" w:rsidRDefault="009F4842" w:rsidP="00A2470E">
            <w:pPr>
              <w:pStyle w:val="TableHeading"/>
            </w:pPr>
          </w:p>
        </w:tc>
        <w:tc>
          <w:tcPr>
            <w:tcW w:w="1276" w:type="dxa"/>
            <w:shd w:val="clear" w:color="auto" w:fill="142E3A" w:themeFill="text2"/>
          </w:tcPr>
          <w:p w14:paraId="482CBF9B" w14:textId="3BD1A593"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 called</w:t>
            </w:r>
          </w:p>
        </w:tc>
        <w:tc>
          <w:tcPr>
            <w:tcW w:w="1984" w:type="dxa"/>
            <w:shd w:val="clear" w:color="auto" w:fill="142E3A" w:themeFill="text2"/>
          </w:tcPr>
          <w:p w14:paraId="77BF8B73" w14:textId="18F389A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 xml:space="preserve">Difference </w:t>
            </w:r>
            <w:r w:rsidR="00A2470E">
              <w:br/>
            </w:r>
            <w:r w:rsidRPr="00A2470E">
              <w:t>from Control</w:t>
            </w:r>
            <w:r w:rsidRPr="00A2470E">
              <w:br/>
              <w:t>(95% confidence interval)</w:t>
            </w:r>
          </w:p>
        </w:tc>
        <w:tc>
          <w:tcPr>
            <w:tcW w:w="1134" w:type="dxa"/>
            <w:shd w:val="clear" w:color="auto" w:fill="142E3A" w:themeFill="text2"/>
          </w:tcPr>
          <w:p w14:paraId="0A55BB6F"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p-value</w:t>
            </w:r>
          </w:p>
        </w:tc>
        <w:tc>
          <w:tcPr>
            <w:tcW w:w="1985" w:type="dxa"/>
            <w:shd w:val="clear" w:color="auto" w:fill="142E3A" w:themeFill="text2"/>
          </w:tcPr>
          <w:p w14:paraId="16044028"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 xml:space="preserve">Difference from direct email </w:t>
            </w:r>
            <w:r w:rsidRPr="00A2470E">
              <w:br/>
              <w:t>(95% confidence interval)</w:t>
            </w:r>
          </w:p>
        </w:tc>
        <w:tc>
          <w:tcPr>
            <w:tcW w:w="1134" w:type="dxa"/>
            <w:shd w:val="clear" w:color="auto" w:fill="142E3A" w:themeFill="text2"/>
          </w:tcPr>
          <w:p w14:paraId="3C1E062A" w14:textId="77777777" w:rsidR="009F4842" w:rsidRPr="00A2470E" w:rsidRDefault="009F4842" w:rsidP="00A2470E">
            <w:pPr>
              <w:pStyle w:val="TableHeading"/>
              <w:jc w:val="center"/>
              <w:cnfStyle w:val="100000000000" w:firstRow="1" w:lastRow="0" w:firstColumn="0" w:lastColumn="0" w:oddVBand="0" w:evenVBand="0" w:oddHBand="0" w:evenHBand="0" w:firstRowFirstColumn="0" w:firstRowLastColumn="0" w:lastRowFirstColumn="0" w:lastRowLastColumn="0"/>
            </w:pPr>
            <w:r w:rsidRPr="00A2470E">
              <w:t>p-value</w:t>
            </w:r>
          </w:p>
        </w:tc>
      </w:tr>
      <w:tr w:rsidR="009F4842" w:rsidRPr="004D3DE3" w14:paraId="7B611F4B" w14:textId="77777777" w:rsidTr="00A2470E">
        <w:trPr>
          <w:trHeight w:val="2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E7E4F09" w14:textId="77777777" w:rsidR="009F4842" w:rsidRPr="004D3DE3" w:rsidRDefault="009F4842" w:rsidP="00A2470E">
            <w:pPr>
              <w:pStyle w:val="TableText"/>
              <w:rPr>
                <w:lang w:val="en-GB"/>
              </w:rPr>
            </w:pPr>
            <w:r w:rsidRPr="004D3DE3">
              <w:rPr>
                <w:lang w:val="en-GB"/>
              </w:rPr>
              <w:t>Control</w:t>
            </w:r>
          </w:p>
        </w:tc>
        <w:tc>
          <w:tcPr>
            <w:tcW w:w="1276" w:type="dxa"/>
            <w:vAlign w:val="center"/>
          </w:tcPr>
          <w:p w14:paraId="6EAACC2E"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14.8</w:t>
            </w:r>
          </w:p>
        </w:tc>
        <w:tc>
          <w:tcPr>
            <w:tcW w:w="1984" w:type="dxa"/>
            <w:vAlign w:val="center"/>
          </w:tcPr>
          <w:p w14:paraId="2967FE98"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134" w:type="dxa"/>
            <w:vAlign w:val="center"/>
          </w:tcPr>
          <w:p w14:paraId="159EC6B1"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985" w:type="dxa"/>
            <w:vAlign w:val="center"/>
          </w:tcPr>
          <w:p w14:paraId="073933FE"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134" w:type="dxa"/>
            <w:vAlign w:val="center"/>
          </w:tcPr>
          <w:p w14:paraId="388C59E3"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r>
      <w:tr w:rsidR="009F4842" w:rsidRPr="004D3DE3" w14:paraId="63C4EC9C" w14:textId="77777777" w:rsidTr="00A2470E">
        <w:trPr>
          <w:trHeight w:val="2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7FA8B89" w14:textId="77777777" w:rsidR="009F4842" w:rsidRPr="004D3DE3" w:rsidRDefault="009F4842" w:rsidP="00A2470E">
            <w:pPr>
              <w:pStyle w:val="TableText"/>
              <w:rPr>
                <w:lang w:val="en-GB"/>
              </w:rPr>
            </w:pPr>
            <w:r w:rsidRPr="004D3DE3">
              <w:rPr>
                <w:lang w:val="en-GB"/>
              </w:rPr>
              <w:t>Direct email</w:t>
            </w:r>
          </w:p>
        </w:tc>
        <w:tc>
          <w:tcPr>
            <w:tcW w:w="1276" w:type="dxa"/>
            <w:vAlign w:val="center"/>
          </w:tcPr>
          <w:p w14:paraId="41C7FA62"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31.9</w:t>
            </w:r>
          </w:p>
        </w:tc>
        <w:tc>
          <w:tcPr>
            <w:tcW w:w="1984" w:type="dxa"/>
            <w:vAlign w:val="center"/>
          </w:tcPr>
          <w:p w14:paraId="5B995DBF" w14:textId="68ADB12C"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17.0</w:t>
            </w:r>
            <w:r w:rsidR="00A2470E">
              <w:rPr>
                <w:lang w:val="en-GB"/>
              </w:rPr>
              <w:br/>
            </w:r>
            <w:r w:rsidRPr="004D3DE3">
              <w:rPr>
                <w:lang w:val="en-GB"/>
              </w:rPr>
              <w:t>(11.4 to 22.7)</w:t>
            </w:r>
          </w:p>
        </w:tc>
        <w:tc>
          <w:tcPr>
            <w:tcW w:w="1134" w:type="dxa"/>
            <w:vAlign w:val="center"/>
          </w:tcPr>
          <w:p w14:paraId="25AE4467"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1985" w:type="dxa"/>
            <w:vAlign w:val="center"/>
          </w:tcPr>
          <w:p w14:paraId="2982D8FE"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134" w:type="dxa"/>
            <w:vAlign w:val="center"/>
          </w:tcPr>
          <w:p w14:paraId="1BCB5D3F"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r>
      <w:tr w:rsidR="009F4842" w:rsidRPr="004D3DE3" w14:paraId="390A2C71" w14:textId="77777777" w:rsidTr="00A2470E">
        <w:trPr>
          <w:trHeight w:val="2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4B61BC1" w14:textId="77777777" w:rsidR="009F4842" w:rsidRPr="004D3DE3" w:rsidRDefault="009F4842" w:rsidP="00A2470E">
            <w:pPr>
              <w:pStyle w:val="TableText"/>
              <w:rPr>
                <w:lang w:val="en-GB"/>
              </w:rPr>
            </w:pPr>
            <w:r w:rsidRPr="004D3DE3">
              <w:rPr>
                <w:lang w:val="en-GB"/>
              </w:rPr>
              <w:t>Cooperative email</w:t>
            </w:r>
          </w:p>
        </w:tc>
        <w:tc>
          <w:tcPr>
            <w:tcW w:w="1276" w:type="dxa"/>
            <w:vAlign w:val="center"/>
          </w:tcPr>
          <w:p w14:paraId="295370FD"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24.8</w:t>
            </w:r>
          </w:p>
        </w:tc>
        <w:tc>
          <w:tcPr>
            <w:tcW w:w="1984" w:type="dxa"/>
            <w:vAlign w:val="center"/>
          </w:tcPr>
          <w:p w14:paraId="1F7218F0" w14:textId="525110D2"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10.0</w:t>
            </w:r>
            <w:r w:rsidR="00A2470E">
              <w:rPr>
                <w:lang w:val="en-GB"/>
              </w:rPr>
              <w:br/>
            </w:r>
            <w:r w:rsidRPr="004D3DE3">
              <w:rPr>
                <w:lang w:val="en-GB"/>
              </w:rPr>
              <w:t>(4.3 to 15.7)</w:t>
            </w:r>
          </w:p>
        </w:tc>
        <w:tc>
          <w:tcPr>
            <w:tcW w:w="1134" w:type="dxa"/>
            <w:vAlign w:val="center"/>
          </w:tcPr>
          <w:p w14:paraId="77336309"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0.001</w:t>
            </w:r>
          </w:p>
        </w:tc>
        <w:tc>
          <w:tcPr>
            <w:tcW w:w="1985" w:type="dxa"/>
            <w:vAlign w:val="center"/>
          </w:tcPr>
          <w:p w14:paraId="74F3D410" w14:textId="77DBA885"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 xml:space="preserve">-7.0 </w:t>
            </w:r>
            <w:r w:rsidR="00A2470E">
              <w:rPr>
                <w:lang w:val="en-GB"/>
              </w:rPr>
              <w:br/>
            </w:r>
            <w:r w:rsidRPr="004D3DE3">
              <w:rPr>
                <w:lang w:val="en-GB"/>
              </w:rPr>
              <w:t>(-12.7 to -1.4)</w:t>
            </w:r>
          </w:p>
        </w:tc>
        <w:tc>
          <w:tcPr>
            <w:tcW w:w="1134" w:type="dxa"/>
            <w:vAlign w:val="center"/>
          </w:tcPr>
          <w:p w14:paraId="491B57F5"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0.0</w:t>
            </w:r>
            <w:r>
              <w:rPr>
                <w:lang w:val="en-GB"/>
              </w:rPr>
              <w:t>2</w:t>
            </w:r>
          </w:p>
        </w:tc>
      </w:tr>
      <w:tr w:rsidR="009F4842" w:rsidRPr="004D3DE3" w14:paraId="0409B4AE" w14:textId="77777777" w:rsidTr="00A2470E">
        <w:trPr>
          <w:trHeight w:val="2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657CE1B" w14:textId="77777777" w:rsidR="009F4842" w:rsidRPr="004D3DE3" w:rsidRDefault="009F4842" w:rsidP="00A2470E">
            <w:pPr>
              <w:pStyle w:val="TableText"/>
              <w:rPr>
                <w:lang w:val="en-GB"/>
              </w:rPr>
            </w:pPr>
            <w:r w:rsidRPr="004D3DE3">
              <w:rPr>
                <w:lang w:val="en-GB"/>
              </w:rPr>
              <w:t>Any email (direct + cooperative)</w:t>
            </w:r>
          </w:p>
        </w:tc>
        <w:tc>
          <w:tcPr>
            <w:tcW w:w="1276" w:type="dxa"/>
            <w:vAlign w:val="center"/>
          </w:tcPr>
          <w:p w14:paraId="018AC099"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28.3</w:t>
            </w:r>
          </w:p>
        </w:tc>
        <w:tc>
          <w:tcPr>
            <w:tcW w:w="1984" w:type="dxa"/>
            <w:vAlign w:val="center"/>
          </w:tcPr>
          <w:p w14:paraId="254CBCFF" w14:textId="77FB5D49"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13.5</w:t>
            </w:r>
            <w:r w:rsidR="00A2470E">
              <w:rPr>
                <w:lang w:val="en-GB"/>
              </w:rPr>
              <w:br/>
            </w:r>
            <w:r w:rsidRPr="004D3DE3">
              <w:rPr>
                <w:lang w:val="en-GB"/>
              </w:rPr>
              <w:t>(8.6 to 18.4)</w:t>
            </w:r>
          </w:p>
        </w:tc>
        <w:tc>
          <w:tcPr>
            <w:tcW w:w="1134" w:type="dxa"/>
            <w:vAlign w:val="center"/>
          </w:tcPr>
          <w:p w14:paraId="0BFB4EB1"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4D3DE3">
              <w:rPr>
                <w:lang w:val="en-GB"/>
              </w:rPr>
              <w:t>&lt; 0.001</w:t>
            </w:r>
          </w:p>
        </w:tc>
        <w:tc>
          <w:tcPr>
            <w:tcW w:w="1985" w:type="dxa"/>
            <w:vAlign w:val="center"/>
          </w:tcPr>
          <w:p w14:paraId="43069DCA"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c>
          <w:tcPr>
            <w:tcW w:w="1134" w:type="dxa"/>
            <w:vAlign w:val="center"/>
          </w:tcPr>
          <w:p w14:paraId="6FE01EC7" w14:textId="77777777" w:rsidR="009F4842" w:rsidRPr="004D3DE3" w:rsidRDefault="009F4842" w:rsidP="00A2470E">
            <w:pPr>
              <w:pStyle w:val="TableText"/>
              <w:jc w:val="center"/>
              <w:cnfStyle w:val="000000000000" w:firstRow="0" w:lastRow="0" w:firstColumn="0" w:lastColumn="0" w:oddVBand="0" w:evenVBand="0" w:oddHBand="0" w:evenHBand="0" w:firstRowFirstColumn="0" w:firstRowLastColumn="0" w:lastRowFirstColumn="0" w:lastRowLastColumn="0"/>
              <w:rPr>
                <w:lang w:val="en-GB"/>
              </w:rPr>
            </w:pPr>
          </w:p>
        </w:tc>
      </w:tr>
    </w:tbl>
    <w:p w14:paraId="3EDD1E73" w14:textId="1F5A0BFA" w:rsidR="00A2470E" w:rsidRPr="00921581" w:rsidRDefault="00A2470E" w:rsidP="00921581">
      <w:pPr>
        <w:pStyle w:val="SourceNotesText"/>
      </w:pPr>
      <w:r w:rsidRPr="00921581">
        <w:t>Note: Results presented are from a linear model and triplet variable was not included. The cooperative and direct email groups were compared to the control group separately and then jointly (any email).</w:t>
      </w:r>
      <w:r w:rsidR="00921581">
        <w:t xml:space="preserve"> </w:t>
      </w:r>
      <w:r w:rsidRPr="00921581">
        <w:t xml:space="preserve">The cooperative email group was then compared to the direct email group. This analysis was also run as a logistic regression with the same results for margins. </w:t>
      </w:r>
    </w:p>
    <w:p w14:paraId="3AD41F90" w14:textId="141FB5FD" w:rsidR="009F4842" w:rsidRDefault="009F4842" w:rsidP="009F4842">
      <w:pPr>
        <w:spacing w:before="40" w:line="288" w:lineRule="auto"/>
        <w:rPr>
          <w:rFonts w:ascii="Montserrat Light" w:eastAsia="Cambria" w:hAnsi="Montserrat Light"/>
          <w:color w:val="323536"/>
          <w:spacing w:val="20"/>
          <w:szCs w:val="19"/>
          <w:lang w:eastAsia="ja-JP"/>
        </w:rPr>
      </w:pPr>
      <w:r>
        <w:rPr>
          <w:rFonts w:ascii="Montserrat Light" w:eastAsia="Cambria" w:hAnsi="Montserrat Light"/>
          <w:color w:val="323536"/>
          <w:spacing w:val="20"/>
          <w:szCs w:val="19"/>
          <w:lang w:eastAsia="ja-JP"/>
        </w:rPr>
        <w:br w:type="page"/>
      </w:r>
    </w:p>
    <w:p w14:paraId="7F85F4C4" w14:textId="1F86B0B6" w:rsidR="009F4842" w:rsidRPr="009744C4" w:rsidRDefault="00D42C6F" w:rsidP="00D42C6F">
      <w:pPr>
        <w:pStyle w:val="FigureHeading"/>
        <w:rPr>
          <w:rFonts w:eastAsia="Cambria"/>
        </w:rPr>
      </w:pPr>
      <w:r w:rsidRPr="009744C4">
        <w:rPr>
          <w:rFonts w:eastAsia="Cambria"/>
        </w:rPr>
        <w:lastRenderedPageBreak/>
        <w:t>Table 3.9 –</w:t>
      </w:r>
      <w:r w:rsidR="00503753">
        <w:rPr>
          <w:rFonts w:eastAsia="Cambria"/>
        </w:rPr>
        <w:t xml:space="preserve"> </w:t>
      </w:r>
      <w:r>
        <w:rPr>
          <w:rFonts w:eastAsia="Cambria"/>
        </w:rPr>
        <w:t>C</w:t>
      </w:r>
      <w:r w:rsidRPr="009744C4">
        <w:rPr>
          <w:rFonts w:eastAsia="Cambria"/>
        </w:rPr>
        <w:t>ompliance after day 21</w:t>
      </w:r>
      <w:r w:rsidR="00F842A4">
        <w:rPr>
          <w:rFonts w:eastAsia="Cambria"/>
        </w:rPr>
        <w:t xml:space="preserve"> – </w:t>
      </w:r>
      <w:r>
        <w:rPr>
          <w:rFonts w:eastAsia="Cambria"/>
        </w:rPr>
        <w:t>population divided by whether they called the ATO</w:t>
      </w:r>
    </w:p>
    <w:tbl>
      <w:tblPr>
        <w:tblStyle w:val="DefaultTable"/>
        <w:tblW w:w="9781" w:type="dxa"/>
        <w:tblLayout w:type="fixed"/>
        <w:tblLook w:val="04A0" w:firstRow="1" w:lastRow="0" w:firstColumn="1" w:lastColumn="0" w:noHBand="0" w:noVBand="1"/>
        <w:tblCaption w:val="Compliance after day 21 - population divided by whether they called the ATO"/>
        <w:tblDescription w:val="Shows the percentage of businesses compliant based on whether or not they called the ATO."/>
      </w:tblPr>
      <w:tblGrid>
        <w:gridCol w:w="1843"/>
        <w:gridCol w:w="1701"/>
        <w:gridCol w:w="1985"/>
        <w:gridCol w:w="1134"/>
        <w:gridCol w:w="1984"/>
        <w:gridCol w:w="1134"/>
      </w:tblGrid>
      <w:tr w:rsidR="009F4842" w:rsidRPr="004D3DE3" w14:paraId="158B35EF" w14:textId="77777777" w:rsidTr="00CB6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142E3A" w:themeFill="text2"/>
          </w:tcPr>
          <w:p w14:paraId="510C0DE5" w14:textId="77777777" w:rsidR="009F4842" w:rsidRPr="00D42C6F" w:rsidRDefault="009F4842" w:rsidP="00D42C6F">
            <w:pPr>
              <w:pStyle w:val="TableHeading"/>
            </w:pPr>
          </w:p>
        </w:tc>
        <w:tc>
          <w:tcPr>
            <w:tcW w:w="1701" w:type="dxa"/>
            <w:shd w:val="clear" w:color="auto" w:fill="142E3A" w:themeFill="text2"/>
          </w:tcPr>
          <w:p w14:paraId="567DEC6C" w14:textId="0A24012A" w:rsidR="009F4842" w:rsidRPr="00D42C6F" w:rsidRDefault="009F4842" w:rsidP="00D42C6F">
            <w:pPr>
              <w:pStyle w:val="TableHeading"/>
              <w:jc w:val="center"/>
              <w:cnfStyle w:val="100000000000" w:firstRow="1" w:lastRow="0" w:firstColumn="0" w:lastColumn="0" w:oddVBand="0" w:evenVBand="0" w:oddHBand="0" w:evenHBand="0" w:firstRowFirstColumn="0" w:firstRowLastColumn="0" w:lastRowFirstColumn="0" w:lastRowLastColumn="0"/>
            </w:pPr>
            <w:r w:rsidRPr="00D42C6F">
              <w:t>% compliant</w:t>
            </w:r>
          </w:p>
        </w:tc>
        <w:tc>
          <w:tcPr>
            <w:tcW w:w="1985" w:type="dxa"/>
            <w:shd w:val="clear" w:color="auto" w:fill="142E3A" w:themeFill="text2"/>
          </w:tcPr>
          <w:p w14:paraId="37E3CA18" w14:textId="34498C0A" w:rsidR="009F4842" w:rsidRPr="00D42C6F" w:rsidRDefault="009F4842" w:rsidP="00D42C6F">
            <w:pPr>
              <w:pStyle w:val="TableHeading"/>
              <w:jc w:val="center"/>
              <w:cnfStyle w:val="100000000000" w:firstRow="1" w:lastRow="0" w:firstColumn="0" w:lastColumn="0" w:oddVBand="0" w:evenVBand="0" w:oddHBand="0" w:evenHBand="0" w:firstRowFirstColumn="0" w:firstRowLastColumn="0" w:lastRowFirstColumn="0" w:lastRowLastColumn="0"/>
            </w:pPr>
            <w:r w:rsidRPr="00D42C6F">
              <w:t xml:space="preserve">Difference </w:t>
            </w:r>
            <w:r w:rsidR="00D42C6F">
              <w:br/>
            </w:r>
            <w:r w:rsidRPr="00D42C6F">
              <w:t>from Control</w:t>
            </w:r>
            <w:r w:rsidRPr="00D42C6F">
              <w:br/>
              <w:t>(95% confidence interval)</w:t>
            </w:r>
          </w:p>
        </w:tc>
        <w:tc>
          <w:tcPr>
            <w:tcW w:w="1134" w:type="dxa"/>
            <w:shd w:val="clear" w:color="auto" w:fill="142E3A" w:themeFill="text2"/>
          </w:tcPr>
          <w:p w14:paraId="38CCD2E9" w14:textId="77777777" w:rsidR="009F4842" w:rsidRPr="00D42C6F" w:rsidRDefault="009F4842" w:rsidP="00D42C6F">
            <w:pPr>
              <w:pStyle w:val="TableHeading"/>
              <w:jc w:val="center"/>
              <w:cnfStyle w:val="100000000000" w:firstRow="1" w:lastRow="0" w:firstColumn="0" w:lastColumn="0" w:oddVBand="0" w:evenVBand="0" w:oddHBand="0" w:evenHBand="0" w:firstRowFirstColumn="0" w:firstRowLastColumn="0" w:lastRowFirstColumn="0" w:lastRowLastColumn="0"/>
            </w:pPr>
            <w:r w:rsidRPr="00D42C6F">
              <w:t>p-value</w:t>
            </w:r>
          </w:p>
        </w:tc>
        <w:tc>
          <w:tcPr>
            <w:tcW w:w="1984" w:type="dxa"/>
            <w:shd w:val="clear" w:color="auto" w:fill="142E3A" w:themeFill="text2"/>
          </w:tcPr>
          <w:p w14:paraId="24C40678" w14:textId="77777777" w:rsidR="009F4842" w:rsidRPr="00D42C6F" w:rsidRDefault="009F4842" w:rsidP="00D42C6F">
            <w:pPr>
              <w:pStyle w:val="TableHeading"/>
              <w:jc w:val="center"/>
              <w:cnfStyle w:val="100000000000" w:firstRow="1" w:lastRow="0" w:firstColumn="0" w:lastColumn="0" w:oddVBand="0" w:evenVBand="0" w:oddHBand="0" w:evenHBand="0" w:firstRowFirstColumn="0" w:firstRowLastColumn="0" w:lastRowFirstColumn="0" w:lastRowLastColumn="0"/>
            </w:pPr>
            <w:r w:rsidRPr="00D42C6F">
              <w:t xml:space="preserve">Difference from direct email </w:t>
            </w:r>
            <w:r w:rsidRPr="00D42C6F">
              <w:br/>
              <w:t>(95% confidence interval)</w:t>
            </w:r>
          </w:p>
        </w:tc>
        <w:tc>
          <w:tcPr>
            <w:tcW w:w="1134" w:type="dxa"/>
            <w:shd w:val="clear" w:color="auto" w:fill="142E3A" w:themeFill="text2"/>
          </w:tcPr>
          <w:p w14:paraId="0F38EA8F" w14:textId="77777777" w:rsidR="009F4842" w:rsidRPr="00D42C6F" w:rsidRDefault="009F4842" w:rsidP="00D42C6F">
            <w:pPr>
              <w:pStyle w:val="TableHeading"/>
              <w:jc w:val="center"/>
              <w:cnfStyle w:val="100000000000" w:firstRow="1" w:lastRow="0" w:firstColumn="0" w:lastColumn="0" w:oddVBand="0" w:evenVBand="0" w:oddHBand="0" w:evenHBand="0" w:firstRowFirstColumn="0" w:firstRowLastColumn="0" w:lastRowFirstColumn="0" w:lastRowLastColumn="0"/>
            </w:pPr>
            <w:r w:rsidRPr="00D42C6F">
              <w:t>p-value</w:t>
            </w:r>
          </w:p>
        </w:tc>
      </w:tr>
      <w:tr w:rsidR="00D42C6F" w:rsidRPr="004D3DE3" w14:paraId="5E2A4D80"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6"/>
          </w:tcPr>
          <w:p w14:paraId="177E2A52" w14:textId="57F17092" w:rsidR="00D42C6F" w:rsidRPr="00D42C6F" w:rsidRDefault="00D42C6F" w:rsidP="00D42C6F">
            <w:pPr>
              <w:pStyle w:val="TableText"/>
              <w:jc w:val="center"/>
              <w:rPr>
                <w:b/>
              </w:rPr>
            </w:pPr>
            <w:r w:rsidRPr="00D42C6F">
              <w:rPr>
                <w:b/>
              </w:rPr>
              <w:t>Did not call the ATO (sample size= 974)</w:t>
            </w:r>
          </w:p>
        </w:tc>
      </w:tr>
      <w:tr w:rsidR="009F4842" w:rsidRPr="004D3DE3" w14:paraId="46D61B44"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17EC0CCE" w14:textId="77777777" w:rsidR="009F4842" w:rsidRPr="00D42C6F" w:rsidRDefault="009F4842" w:rsidP="00D42C6F">
            <w:pPr>
              <w:pStyle w:val="TableText"/>
            </w:pPr>
            <w:r w:rsidRPr="00D42C6F">
              <w:t>Control</w:t>
            </w:r>
          </w:p>
        </w:tc>
        <w:tc>
          <w:tcPr>
            <w:tcW w:w="1701" w:type="dxa"/>
          </w:tcPr>
          <w:p w14:paraId="55B4047D"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31.1</w:t>
            </w:r>
          </w:p>
        </w:tc>
        <w:tc>
          <w:tcPr>
            <w:tcW w:w="1985" w:type="dxa"/>
          </w:tcPr>
          <w:p w14:paraId="761D1E73"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6262952"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984" w:type="dxa"/>
          </w:tcPr>
          <w:p w14:paraId="110C1F42"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917F31B"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3BEEA7BA"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1EE0CBFC" w14:textId="77777777" w:rsidR="009F4842" w:rsidRPr="00D42C6F" w:rsidRDefault="009F4842" w:rsidP="00D42C6F">
            <w:pPr>
              <w:pStyle w:val="TableText"/>
            </w:pPr>
            <w:r w:rsidRPr="00D42C6F">
              <w:t>Direct email</w:t>
            </w:r>
          </w:p>
        </w:tc>
        <w:tc>
          <w:tcPr>
            <w:tcW w:w="1701" w:type="dxa"/>
          </w:tcPr>
          <w:p w14:paraId="30FE3294"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41.1</w:t>
            </w:r>
          </w:p>
        </w:tc>
        <w:tc>
          <w:tcPr>
            <w:tcW w:w="1985" w:type="dxa"/>
          </w:tcPr>
          <w:p w14:paraId="17225E9E" w14:textId="2267B04D"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 xml:space="preserve">10.0 </w:t>
            </w:r>
            <w:r w:rsidR="00D42C6F">
              <w:br/>
            </w:r>
            <w:r w:rsidRPr="00D42C6F">
              <w:t>(2.5 to 17.4)</w:t>
            </w:r>
          </w:p>
        </w:tc>
        <w:tc>
          <w:tcPr>
            <w:tcW w:w="1134" w:type="dxa"/>
          </w:tcPr>
          <w:p w14:paraId="1C949064"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0.01</w:t>
            </w:r>
          </w:p>
        </w:tc>
        <w:tc>
          <w:tcPr>
            <w:tcW w:w="1984" w:type="dxa"/>
          </w:tcPr>
          <w:p w14:paraId="0A7420A0"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4145ADD"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3290D717"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4DA5636F" w14:textId="77777777" w:rsidR="009F4842" w:rsidRPr="00D42C6F" w:rsidRDefault="009F4842" w:rsidP="00D42C6F">
            <w:pPr>
              <w:pStyle w:val="TableText"/>
            </w:pPr>
            <w:r w:rsidRPr="00D42C6F">
              <w:t>Cooperative email</w:t>
            </w:r>
          </w:p>
        </w:tc>
        <w:tc>
          <w:tcPr>
            <w:tcW w:w="1701" w:type="dxa"/>
          </w:tcPr>
          <w:p w14:paraId="5CE4837F"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36.4</w:t>
            </w:r>
          </w:p>
        </w:tc>
        <w:tc>
          <w:tcPr>
            <w:tcW w:w="1985" w:type="dxa"/>
          </w:tcPr>
          <w:p w14:paraId="14852705" w14:textId="6E2AD13D"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 xml:space="preserve">5.3 </w:t>
            </w:r>
            <w:r w:rsidR="00D42C6F">
              <w:br/>
            </w:r>
            <w:r w:rsidRPr="00D42C6F">
              <w:t>(-2.0 to 12.5)</w:t>
            </w:r>
          </w:p>
        </w:tc>
        <w:tc>
          <w:tcPr>
            <w:tcW w:w="1134" w:type="dxa"/>
          </w:tcPr>
          <w:p w14:paraId="5336979F"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0.16</w:t>
            </w:r>
          </w:p>
        </w:tc>
        <w:tc>
          <w:tcPr>
            <w:tcW w:w="1984" w:type="dxa"/>
          </w:tcPr>
          <w:p w14:paraId="390E647E" w14:textId="42D117EB"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 xml:space="preserve">-4.7 </w:t>
            </w:r>
            <w:r w:rsidR="00D42C6F">
              <w:br/>
            </w:r>
            <w:r w:rsidRPr="00D42C6F">
              <w:t>(-12.4 to 3.0)</w:t>
            </w:r>
          </w:p>
        </w:tc>
        <w:tc>
          <w:tcPr>
            <w:tcW w:w="1134" w:type="dxa"/>
          </w:tcPr>
          <w:p w14:paraId="78320904"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0.23</w:t>
            </w:r>
          </w:p>
        </w:tc>
      </w:tr>
      <w:tr w:rsidR="009F4842" w:rsidRPr="004D3DE3" w14:paraId="484A6290"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799851E9" w14:textId="77777777" w:rsidR="009F4842" w:rsidRPr="00D42C6F" w:rsidRDefault="009F4842" w:rsidP="00D42C6F">
            <w:pPr>
              <w:pStyle w:val="TableText"/>
            </w:pPr>
            <w:r w:rsidRPr="00D42C6F">
              <w:t>Any email (direct + cooperative)</w:t>
            </w:r>
          </w:p>
        </w:tc>
        <w:tc>
          <w:tcPr>
            <w:tcW w:w="1701" w:type="dxa"/>
          </w:tcPr>
          <w:p w14:paraId="638B5F90"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38.6</w:t>
            </w:r>
          </w:p>
        </w:tc>
        <w:tc>
          <w:tcPr>
            <w:tcW w:w="1985" w:type="dxa"/>
          </w:tcPr>
          <w:p w14:paraId="74DE0455"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7.5</w:t>
            </w:r>
          </w:p>
          <w:p w14:paraId="045915BD"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(1.2 to 13.8)</w:t>
            </w:r>
          </w:p>
        </w:tc>
        <w:tc>
          <w:tcPr>
            <w:tcW w:w="1134" w:type="dxa"/>
          </w:tcPr>
          <w:p w14:paraId="68A393A7"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0.02</w:t>
            </w:r>
          </w:p>
        </w:tc>
        <w:tc>
          <w:tcPr>
            <w:tcW w:w="1984" w:type="dxa"/>
          </w:tcPr>
          <w:p w14:paraId="66645D02"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35112C8"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r>
      <w:tr w:rsidR="00D42C6F" w:rsidRPr="004D3DE3" w14:paraId="616B8DA9"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9781" w:type="dxa"/>
            <w:gridSpan w:val="6"/>
          </w:tcPr>
          <w:p w14:paraId="110AABC0" w14:textId="47733AD5" w:rsidR="00D42C6F" w:rsidRPr="00D42C6F" w:rsidRDefault="00D42C6F" w:rsidP="00D42C6F">
            <w:pPr>
              <w:pStyle w:val="TableText"/>
              <w:jc w:val="center"/>
              <w:rPr>
                <w:b/>
              </w:rPr>
            </w:pPr>
            <w:r w:rsidRPr="00D42C6F">
              <w:rPr>
                <w:b/>
              </w:rPr>
              <w:t>Called the ATO (sample size= 305)</w:t>
            </w:r>
          </w:p>
        </w:tc>
      </w:tr>
      <w:tr w:rsidR="009F4842" w:rsidRPr="004D3DE3" w14:paraId="1B1B5202"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76266CF9" w14:textId="77777777" w:rsidR="009F4842" w:rsidRPr="00D42C6F" w:rsidRDefault="009F4842" w:rsidP="00D42C6F">
            <w:pPr>
              <w:pStyle w:val="TableText"/>
            </w:pPr>
            <w:r w:rsidRPr="00D42C6F">
              <w:t>Control</w:t>
            </w:r>
          </w:p>
        </w:tc>
        <w:tc>
          <w:tcPr>
            <w:tcW w:w="1701" w:type="dxa"/>
          </w:tcPr>
          <w:p w14:paraId="3B2F91D4"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40.5</w:t>
            </w:r>
          </w:p>
        </w:tc>
        <w:tc>
          <w:tcPr>
            <w:tcW w:w="1985" w:type="dxa"/>
          </w:tcPr>
          <w:p w14:paraId="2AFA5825"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1144D05"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984" w:type="dxa"/>
          </w:tcPr>
          <w:p w14:paraId="62DBA0E4"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EB83022"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229DE2C5"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0225DF69" w14:textId="77777777" w:rsidR="009F4842" w:rsidRPr="00D42C6F" w:rsidRDefault="009F4842" w:rsidP="00D42C6F">
            <w:pPr>
              <w:pStyle w:val="TableText"/>
            </w:pPr>
            <w:r w:rsidRPr="00D42C6F">
              <w:t>Direct email</w:t>
            </w:r>
          </w:p>
        </w:tc>
        <w:tc>
          <w:tcPr>
            <w:tcW w:w="1701" w:type="dxa"/>
          </w:tcPr>
          <w:p w14:paraId="01F879F8"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54.7</w:t>
            </w:r>
          </w:p>
        </w:tc>
        <w:tc>
          <w:tcPr>
            <w:tcW w:w="1985" w:type="dxa"/>
          </w:tcPr>
          <w:p w14:paraId="251B8F00" w14:textId="189C434C"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 xml:space="preserve">14.2 </w:t>
            </w:r>
            <w:r w:rsidR="00D42C6F">
              <w:br/>
            </w:r>
            <w:r w:rsidRPr="00D42C6F">
              <w:t>(-4.4 to 32.7)</w:t>
            </w:r>
          </w:p>
        </w:tc>
        <w:tc>
          <w:tcPr>
            <w:tcW w:w="1134" w:type="dxa"/>
          </w:tcPr>
          <w:p w14:paraId="2D49AEDF"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0.13</w:t>
            </w:r>
          </w:p>
        </w:tc>
        <w:tc>
          <w:tcPr>
            <w:tcW w:w="1984" w:type="dxa"/>
          </w:tcPr>
          <w:p w14:paraId="7EC65981"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A64A86B"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1FCD9461"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1E116780" w14:textId="77777777" w:rsidR="009F4842" w:rsidRPr="00D42C6F" w:rsidRDefault="009F4842" w:rsidP="00D42C6F">
            <w:pPr>
              <w:pStyle w:val="TableText"/>
            </w:pPr>
            <w:r w:rsidRPr="00D42C6F">
              <w:t>Cooperative email</w:t>
            </w:r>
          </w:p>
        </w:tc>
        <w:tc>
          <w:tcPr>
            <w:tcW w:w="1701" w:type="dxa"/>
          </w:tcPr>
          <w:p w14:paraId="1CBC5B5D"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64.3</w:t>
            </w:r>
          </w:p>
        </w:tc>
        <w:tc>
          <w:tcPr>
            <w:tcW w:w="1985" w:type="dxa"/>
          </w:tcPr>
          <w:p w14:paraId="6FD6FA2B" w14:textId="7DA228B3"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 xml:space="preserve">23.7 </w:t>
            </w:r>
            <w:r w:rsidR="00D42C6F">
              <w:br/>
            </w:r>
            <w:r w:rsidRPr="00D42C6F">
              <w:t>(4.5 to 42.9)</w:t>
            </w:r>
          </w:p>
        </w:tc>
        <w:tc>
          <w:tcPr>
            <w:tcW w:w="1134" w:type="dxa"/>
          </w:tcPr>
          <w:p w14:paraId="2548336B"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0.02</w:t>
            </w:r>
          </w:p>
        </w:tc>
        <w:tc>
          <w:tcPr>
            <w:tcW w:w="1984" w:type="dxa"/>
          </w:tcPr>
          <w:p w14:paraId="5A8FAA92" w14:textId="32DDD99D"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 xml:space="preserve">9.6 </w:t>
            </w:r>
            <w:r w:rsidR="00D42C6F">
              <w:br/>
            </w:r>
            <w:r w:rsidRPr="00D42C6F">
              <w:t>(-5.8 to 25.0)</w:t>
            </w:r>
          </w:p>
        </w:tc>
        <w:tc>
          <w:tcPr>
            <w:tcW w:w="1134" w:type="dxa"/>
          </w:tcPr>
          <w:p w14:paraId="548F7D7A"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0.22</w:t>
            </w:r>
          </w:p>
        </w:tc>
      </w:tr>
      <w:tr w:rsidR="009F4842" w:rsidRPr="004D3DE3" w14:paraId="689D4A57" w14:textId="77777777" w:rsidTr="00C5540C">
        <w:trPr>
          <w:trHeight w:val="20"/>
        </w:trPr>
        <w:tc>
          <w:tcPr>
            <w:cnfStyle w:val="001000000000" w:firstRow="0" w:lastRow="0" w:firstColumn="1" w:lastColumn="0" w:oddVBand="0" w:evenVBand="0" w:oddHBand="0" w:evenHBand="0" w:firstRowFirstColumn="0" w:firstRowLastColumn="0" w:lastRowFirstColumn="0" w:lastRowLastColumn="0"/>
            <w:tcW w:w="1843" w:type="dxa"/>
          </w:tcPr>
          <w:p w14:paraId="2CC205A9" w14:textId="77777777" w:rsidR="009F4842" w:rsidRPr="00D42C6F" w:rsidRDefault="009F4842" w:rsidP="00D42C6F">
            <w:pPr>
              <w:pStyle w:val="TableText"/>
            </w:pPr>
            <w:r w:rsidRPr="00D42C6F">
              <w:t>Any email (direct + cooperative)</w:t>
            </w:r>
          </w:p>
        </w:tc>
        <w:tc>
          <w:tcPr>
            <w:tcW w:w="1701" w:type="dxa"/>
          </w:tcPr>
          <w:p w14:paraId="2A5FF59E"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58.9</w:t>
            </w:r>
          </w:p>
        </w:tc>
        <w:tc>
          <w:tcPr>
            <w:tcW w:w="1985" w:type="dxa"/>
          </w:tcPr>
          <w:p w14:paraId="4B07E48E" w14:textId="14E401C1"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18.5</w:t>
            </w:r>
            <w:r w:rsidR="00D42C6F">
              <w:br/>
            </w:r>
            <w:r w:rsidRPr="00D42C6F">
              <w:t>(1.2 to 35.7)</w:t>
            </w:r>
          </w:p>
        </w:tc>
        <w:tc>
          <w:tcPr>
            <w:tcW w:w="1134" w:type="dxa"/>
          </w:tcPr>
          <w:p w14:paraId="08D80B75"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r w:rsidRPr="00D42C6F">
              <w:t>0.04</w:t>
            </w:r>
          </w:p>
        </w:tc>
        <w:tc>
          <w:tcPr>
            <w:tcW w:w="1984" w:type="dxa"/>
          </w:tcPr>
          <w:p w14:paraId="633C423F"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9C65450" w14:textId="77777777" w:rsidR="009F4842" w:rsidRPr="00D42C6F" w:rsidRDefault="009F4842" w:rsidP="00D42C6F">
            <w:pPr>
              <w:pStyle w:val="TableText"/>
              <w:jc w:val="center"/>
              <w:cnfStyle w:val="000000000000" w:firstRow="0" w:lastRow="0" w:firstColumn="0" w:lastColumn="0" w:oddVBand="0" w:evenVBand="0" w:oddHBand="0" w:evenHBand="0" w:firstRowFirstColumn="0" w:firstRowLastColumn="0" w:lastRowFirstColumn="0" w:lastRowLastColumn="0"/>
            </w:pPr>
          </w:p>
        </w:tc>
      </w:tr>
    </w:tbl>
    <w:p w14:paraId="7539DE2B" w14:textId="5C8A40E6" w:rsidR="009F4842" w:rsidRPr="00921581" w:rsidRDefault="009F4842" w:rsidP="00921581">
      <w:pPr>
        <w:pStyle w:val="SourceNotesText"/>
        <w:rPr>
          <w:rFonts w:eastAsia="Cambria"/>
        </w:rPr>
      </w:pPr>
      <w:r w:rsidRPr="00921581">
        <w:rPr>
          <w:rFonts w:eastAsia="Cambria"/>
        </w:rPr>
        <w:t>Note: Results presented are from linear models and triplet variable was included. The cooperative and direct email groups were compared to</w:t>
      </w:r>
      <w:r w:rsidR="00176167" w:rsidRPr="00921581">
        <w:rPr>
          <w:rFonts w:eastAsia="Cambria"/>
        </w:rPr>
        <w:t xml:space="preserve"> the</w:t>
      </w:r>
      <w:r w:rsidRPr="00921581">
        <w:rPr>
          <w:rFonts w:eastAsia="Cambria"/>
        </w:rPr>
        <w:t xml:space="preserve"> control</w:t>
      </w:r>
      <w:r w:rsidR="00176167" w:rsidRPr="00921581">
        <w:rPr>
          <w:rFonts w:eastAsia="Cambria"/>
        </w:rPr>
        <w:t xml:space="preserve"> group</w:t>
      </w:r>
      <w:r w:rsidRPr="00921581">
        <w:rPr>
          <w:rFonts w:eastAsia="Cambria"/>
        </w:rPr>
        <w:t xml:space="preserve"> separately and then jointly (any email).</w:t>
      </w:r>
      <w:r w:rsidR="00921581" w:rsidRPr="00921581">
        <w:rPr>
          <w:rFonts w:eastAsia="Cambria"/>
        </w:rPr>
        <w:t xml:space="preserve"> </w:t>
      </w:r>
      <w:r w:rsidR="00176167" w:rsidRPr="00921581">
        <w:rPr>
          <w:rFonts w:eastAsia="Cambria"/>
        </w:rPr>
        <w:t>The</w:t>
      </w:r>
      <w:r w:rsidRPr="00921581">
        <w:rPr>
          <w:rFonts w:eastAsia="Cambria"/>
        </w:rPr>
        <w:t xml:space="preserve"> cooperative email </w:t>
      </w:r>
      <w:r w:rsidR="00176167" w:rsidRPr="00921581">
        <w:rPr>
          <w:rFonts w:eastAsia="Cambria"/>
        </w:rPr>
        <w:t xml:space="preserve">group </w:t>
      </w:r>
      <w:r w:rsidRPr="00921581">
        <w:rPr>
          <w:rFonts w:eastAsia="Cambria"/>
        </w:rPr>
        <w:t xml:space="preserve">was </w:t>
      </w:r>
      <w:r w:rsidR="00176167" w:rsidRPr="00921581">
        <w:rPr>
          <w:rFonts w:eastAsia="Cambria"/>
        </w:rPr>
        <w:t>then</w:t>
      </w:r>
      <w:r w:rsidRPr="00921581">
        <w:rPr>
          <w:rFonts w:eastAsia="Cambria"/>
        </w:rPr>
        <w:t xml:space="preserve"> compared to the direct email</w:t>
      </w:r>
      <w:r w:rsidR="00176167" w:rsidRPr="00921581">
        <w:rPr>
          <w:rFonts w:eastAsia="Cambria"/>
        </w:rPr>
        <w:t xml:space="preserve"> group</w:t>
      </w:r>
      <w:r w:rsidRPr="00921581">
        <w:rPr>
          <w:rFonts w:eastAsia="Cambria"/>
        </w:rPr>
        <w:t xml:space="preserve">. The overall model for those who called the ATO was not statistically significant. </w:t>
      </w:r>
    </w:p>
    <w:p w14:paraId="480D0D68" w14:textId="77777777" w:rsidR="009F4842" w:rsidRDefault="009F4842" w:rsidP="009F4842">
      <w:pPr>
        <w:spacing w:before="40" w:after="240" w:line="288" w:lineRule="auto"/>
        <w:rPr>
          <w:rFonts w:ascii="Montserrat Light" w:eastAsia="Cambria" w:hAnsi="Montserrat Light"/>
          <w:b/>
          <w:bCs/>
          <w:color w:val="1C2B39"/>
          <w:spacing w:val="20"/>
          <w:sz w:val="20"/>
          <w:szCs w:val="19"/>
          <w:lang w:eastAsia="ja-JP"/>
        </w:rPr>
      </w:pPr>
      <w:r>
        <w:rPr>
          <w:rFonts w:ascii="Montserrat Light" w:eastAsia="Cambria" w:hAnsi="Montserrat Light"/>
          <w:b/>
          <w:bCs/>
          <w:color w:val="1C2B39"/>
          <w:spacing w:val="20"/>
          <w:sz w:val="20"/>
          <w:szCs w:val="19"/>
          <w:lang w:eastAsia="ja-JP"/>
        </w:rPr>
        <w:br w:type="page"/>
      </w:r>
    </w:p>
    <w:p w14:paraId="37C83D4D" w14:textId="77777777" w:rsidR="009F4842" w:rsidRPr="00852002" w:rsidRDefault="009F4842" w:rsidP="00C5540C">
      <w:pPr>
        <w:pStyle w:val="Heading2"/>
      </w:pPr>
      <w:r>
        <w:lastRenderedPageBreak/>
        <w:t>Appendix 4 – Key statistical tables from the new businesses trial</w:t>
      </w:r>
    </w:p>
    <w:p w14:paraId="3584FE8A" w14:textId="6124E4C0" w:rsidR="009F4842" w:rsidRPr="009744C4" w:rsidRDefault="00756135" w:rsidP="00756135">
      <w:pPr>
        <w:pStyle w:val="FigureHeading"/>
        <w:rPr>
          <w:rFonts w:eastAsia="Cambria"/>
        </w:rPr>
      </w:pPr>
      <w:r w:rsidRPr="00756135">
        <w:rPr>
          <w:rFonts w:eastAsia="Cambria"/>
        </w:rPr>
        <w:t>Table</w:t>
      </w:r>
      <w:r w:rsidR="00217E3C">
        <w:rPr>
          <w:rFonts w:eastAsia="Cambria"/>
        </w:rPr>
        <w:t xml:space="preserve"> 4.1</w:t>
      </w:r>
      <w:r w:rsidRPr="009744C4">
        <w:rPr>
          <w:rFonts w:eastAsia="Cambria"/>
        </w:rPr>
        <w:t xml:space="preserve"> – </w:t>
      </w:r>
      <w:r>
        <w:rPr>
          <w:rFonts w:eastAsia="Cambria"/>
        </w:rPr>
        <w:t>B</w:t>
      </w:r>
      <w:r w:rsidRPr="009744C4">
        <w:rPr>
          <w:rFonts w:eastAsia="Cambria"/>
        </w:rPr>
        <w:t xml:space="preserve">aseline characteristics </w:t>
      </w:r>
    </w:p>
    <w:tbl>
      <w:tblPr>
        <w:tblStyle w:val="DefaultTable"/>
        <w:tblW w:w="8080" w:type="dxa"/>
        <w:tblLook w:val="04A0" w:firstRow="1" w:lastRow="0" w:firstColumn="1" w:lastColumn="0" w:noHBand="0" w:noVBand="1"/>
        <w:tblCaption w:val="Baseline characteristics"/>
        <w:tblDescription w:val="Total sample size, Compliant at Day 1, First time to the Scheme, Small to Medium Segment, Micro Segment, Large and other"/>
      </w:tblPr>
      <w:tblGrid>
        <w:gridCol w:w="2977"/>
        <w:gridCol w:w="1276"/>
        <w:gridCol w:w="1984"/>
        <w:gridCol w:w="1843"/>
      </w:tblGrid>
      <w:tr w:rsidR="009F4842" w:rsidRPr="00C56211" w14:paraId="654B0239" w14:textId="77777777" w:rsidTr="00D00FC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77" w:type="dxa"/>
            <w:shd w:val="clear" w:color="auto" w:fill="142E3A" w:themeFill="text2"/>
          </w:tcPr>
          <w:p w14:paraId="4A25B6AB" w14:textId="77777777" w:rsidR="009F4842" w:rsidRPr="00756135" w:rsidRDefault="009F4842" w:rsidP="00756135">
            <w:pPr>
              <w:pStyle w:val="TableHeading"/>
              <w:rPr>
                <w:rFonts w:eastAsia="Cambria"/>
              </w:rPr>
            </w:pPr>
            <w:r w:rsidRPr="00756135">
              <w:rPr>
                <w:rFonts w:eastAsia="Cambria"/>
              </w:rPr>
              <w:t>Characteristics</w:t>
            </w:r>
          </w:p>
        </w:tc>
        <w:tc>
          <w:tcPr>
            <w:tcW w:w="1276" w:type="dxa"/>
            <w:shd w:val="clear" w:color="auto" w:fill="142E3A" w:themeFill="text2"/>
          </w:tcPr>
          <w:p w14:paraId="23DDA35A" w14:textId="77777777"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p>
        </w:tc>
        <w:tc>
          <w:tcPr>
            <w:tcW w:w="1984" w:type="dxa"/>
            <w:shd w:val="clear" w:color="auto" w:fill="142E3A" w:themeFill="text2"/>
          </w:tcPr>
          <w:p w14:paraId="08D07663" w14:textId="0803B87F"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r w:rsidRPr="00756135">
              <w:rPr>
                <w:rFonts w:eastAsia="Cambria"/>
              </w:rPr>
              <w:t>Treatment</w:t>
            </w:r>
          </w:p>
        </w:tc>
        <w:tc>
          <w:tcPr>
            <w:tcW w:w="1843" w:type="dxa"/>
            <w:shd w:val="clear" w:color="auto" w:fill="142E3A" w:themeFill="text2"/>
          </w:tcPr>
          <w:p w14:paraId="405A5A67" w14:textId="77777777"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rPr>
                <w:rFonts w:eastAsia="Cambria"/>
              </w:rPr>
            </w:pPr>
            <w:r w:rsidRPr="00756135">
              <w:rPr>
                <w:rFonts w:eastAsia="Cambria"/>
              </w:rPr>
              <w:t>Control</w:t>
            </w:r>
          </w:p>
        </w:tc>
      </w:tr>
      <w:tr w:rsidR="009F4842" w:rsidRPr="00C56211" w14:paraId="0A4D5769" w14:textId="77777777" w:rsidTr="00756135">
        <w:tc>
          <w:tcPr>
            <w:cnfStyle w:val="001000000000" w:firstRow="0" w:lastRow="0" w:firstColumn="1" w:lastColumn="0" w:oddVBand="0" w:evenVBand="0" w:oddHBand="0" w:evenHBand="0" w:firstRowFirstColumn="0" w:firstRowLastColumn="0" w:lastRowFirstColumn="0" w:lastRowLastColumn="0"/>
            <w:tcW w:w="2977" w:type="dxa"/>
            <w:vAlign w:val="center"/>
          </w:tcPr>
          <w:p w14:paraId="09A138A0" w14:textId="77777777" w:rsidR="009F4842" w:rsidRPr="00756135" w:rsidRDefault="009F4842" w:rsidP="00756135">
            <w:pPr>
              <w:rPr>
                <w:rFonts w:eastAsia="Cambria"/>
              </w:rPr>
            </w:pPr>
            <w:r w:rsidRPr="00756135">
              <w:rPr>
                <w:rFonts w:eastAsia="Cambria"/>
              </w:rPr>
              <w:t>Total sample size</w:t>
            </w:r>
          </w:p>
        </w:tc>
        <w:tc>
          <w:tcPr>
            <w:tcW w:w="1276" w:type="dxa"/>
            <w:vAlign w:val="center"/>
          </w:tcPr>
          <w:p w14:paraId="09060588"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p>
        </w:tc>
        <w:tc>
          <w:tcPr>
            <w:tcW w:w="1984" w:type="dxa"/>
            <w:vAlign w:val="center"/>
          </w:tcPr>
          <w:p w14:paraId="470ED6BF"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162</w:t>
            </w:r>
          </w:p>
        </w:tc>
        <w:tc>
          <w:tcPr>
            <w:tcW w:w="1843" w:type="dxa"/>
            <w:vAlign w:val="center"/>
          </w:tcPr>
          <w:p w14:paraId="1F513AE6"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166</w:t>
            </w:r>
          </w:p>
        </w:tc>
      </w:tr>
      <w:tr w:rsidR="009F4842" w:rsidRPr="00C56211" w14:paraId="2FBB547B" w14:textId="77777777" w:rsidTr="00756135">
        <w:tc>
          <w:tcPr>
            <w:cnfStyle w:val="001000000000" w:firstRow="0" w:lastRow="0" w:firstColumn="1" w:lastColumn="0" w:oddVBand="0" w:evenVBand="0" w:oddHBand="0" w:evenHBand="0" w:firstRowFirstColumn="0" w:firstRowLastColumn="0" w:lastRowFirstColumn="0" w:lastRowLastColumn="0"/>
            <w:tcW w:w="2977" w:type="dxa"/>
            <w:vAlign w:val="center"/>
          </w:tcPr>
          <w:p w14:paraId="541F000E" w14:textId="77777777" w:rsidR="009F4842" w:rsidRPr="00756135" w:rsidRDefault="009F4842" w:rsidP="00756135">
            <w:pPr>
              <w:rPr>
                <w:rFonts w:eastAsia="Cambria"/>
              </w:rPr>
            </w:pPr>
            <w:r w:rsidRPr="00756135">
              <w:rPr>
                <w:rFonts w:eastAsia="Cambria"/>
              </w:rPr>
              <w:t>Compliant at Day 1</w:t>
            </w:r>
          </w:p>
        </w:tc>
        <w:tc>
          <w:tcPr>
            <w:tcW w:w="1276" w:type="dxa"/>
            <w:vAlign w:val="center"/>
          </w:tcPr>
          <w:p w14:paraId="4451F9AB"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N (%)</w:t>
            </w:r>
          </w:p>
        </w:tc>
        <w:tc>
          <w:tcPr>
            <w:tcW w:w="1984" w:type="dxa"/>
            <w:vAlign w:val="center"/>
          </w:tcPr>
          <w:p w14:paraId="17E3F422"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130 (80.3)</w:t>
            </w:r>
          </w:p>
        </w:tc>
        <w:tc>
          <w:tcPr>
            <w:tcW w:w="1843" w:type="dxa"/>
            <w:vAlign w:val="center"/>
          </w:tcPr>
          <w:p w14:paraId="1F197C1E"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138 (83.1)</w:t>
            </w:r>
          </w:p>
        </w:tc>
      </w:tr>
      <w:tr w:rsidR="009F4842" w:rsidRPr="00C56211" w14:paraId="429A4D48" w14:textId="77777777" w:rsidTr="00756135">
        <w:tc>
          <w:tcPr>
            <w:cnfStyle w:val="001000000000" w:firstRow="0" w:lastRow="0" w:firstColumn="1" w:lastColumn="0" w:oddVBand="0" w:evenVBand="0" w:oddHBand="0" w:evenHBand="0" w:firstRowFirstColumn="0" w:firstRowLastColumn="0" w:lastRowFirstColumn="0" w:lastRowLastColumn="0"/>
            <w:tcW w:w="2977" w:type="dxa"/>
            <w:vAlign w:val="center"/>
          </w:tcPr>
          <w:p w14:paraId="40A4B465" w14:textId="77777777" w:rsidR="009F4842" w:rsidRPr="00756135" w:rsidRDefault="009F4842" w:rsidP="00756135">
            <w:pPr>
              <w:rPr>
                <w:rFonts w:eastAsia="Cambria"/>
              </w:rPr>
            </w:pPr>
            <w:r w:rsidRPr="00756135">
              <w:rPr>
                <w:rFonts w:eastAsia="Cambria"/>
              </w:rPr>
              <w:t>First time to the Scheme</w:t>
            </w:r>
          </w:p>
        </w:tc>
        <w:tc>
          <w:tcPr>
            <w:tcW w:w="1276" w:type="dxa"/>
            <w:vAlign w:val="center"/>
          </w:tcPr>
          <w:p w14:paraId="09A96C00"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N (%)</w:t>
            </w:r>
          </w:p>
        </w:tc>
        <w:tc>
          <w:tcPr>
            <w:tcW w:w="1984" w:type="dxa"/>
            <w:vAlign w:val="center"/>
          </w:tcPr>
          <w:p w14:paraId="43A0DF4B"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112 (70.4)</w:t>
            </w:r>
          </w:p>
        </w:tc>
        <w:tc>
          <w:tcPr>
            <w:tcW w:w="1843" w:type="dxa"/>
            <w:vAlign w:val="center"/>
          </w:tcPr>
          <w:p w14:paraId="0DA308EE"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110 (68.8)</w:t>
            </w:r>
          </w:p>
        </w:tc>
      </w:tr>
      <w:tr w:rsidR="009F4842" w:rsidRPr="00C56211" w14:paraId="01D09107" w14:textId="77777777" w:rsidTr="00756135">
        <w:tc>
          <w:tcPr>
            <w:cnfStyle w:val="001000000000" w:firstRow="0" w:lastRow="0" w:firstColumn="1" w:lastColumn="0" w:oddVBand="0" w:evenVBand="0" w:oddHBand="0" w:evenHBand="0" w:firstRowFirstColumn="0" w:firstRowLastColumn="0" w:lastRowFirstColumn="0" w:lastRowLastColumn="0"/>
            <w:tcW w:w="2977" w:type="dxa"/>
            <w:vAlign w:val="center"/>
          </w:tcPr>
          <w:p w14:paraId="34938D30" w14:textId="77777777" w:rsidR="009F4842" w:rsidRPr="00756135" w:rsidRDefault="009F4842" w:rsidP="00756135">
            <w:pPr>
              <w:rPr>
                <w:rFonts w:eastAsia="Cambria"/>
              </w:rPr>
            </w:pPr>
            <w:r w:rsidRPr="00756135">
              <w:rPr>
                <w:rFonts w:eastAsia="Cambria"/>
              </w:rPr>
              <w:t>Small to Medium Segment</w:t>
            </w:r>
          </w:p>
        </w:tc>
        <w:tc>
          <w:tcPr>
            <w:tcW w:w="1276" w:type="dxa"/>
            <w:vAlign w:val="center"/>
          </w:tcPr>
          <w:p w14:paraId="1B9C2F99"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N (%)</w:t>
            </w:r>
          </w:p>
        </w:tc>
        <w:tc>
          <w:tcPr>
            <w:tcW w:w="1984" w:type="dxa"/>
            <w:vAlign w:val="center"/>
          </w:tcPr>
          <w:p w14:paraId="51DACD28"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60 (37.0)</w:t>
            </w:r>
          </w:p>
        </w:tc>
        <w:tc>
          <w:tcPr>
            <w:tcW w:w="1843" w:type="dxa"/>
            <w:vAlign w:val="center"/>
          </w:tcPr>
          <w:p w14:paraId="51FD69CC"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82 (49.4)</w:t>
            </w:r>
          </w:p>
        </w:tc>
      </w:tr>
      <w:tr w:rsidR="009F4842" w:rsidRPr="00C56211" w14:paraId="74E5D94E" w14:textId="77777777" w:rsidTr="00756135">
        <w:tc>
          <w:tcPr>
            <w:cnfStyle w:val="001000000000" w:firstRow="0" w:lastRow="0" w:firstColumn="1" w:lastColumn="0" w:oddVBand="0" w:evenVBand="0" w:oddHBand="0" w:evenHBand="0" w:firstRowFirstColumn="0" w:firstRowLastColumn="0" w:lastRowFirstColumn="0" w:lastRowLastColumn="0"/>
            <w:tcW w:w="2977" w:type="dxa"/>
            <w:vAlign w:val="center"/>
          </w:tcPr>
          <w:p w14:paraId="39586BD2" w14:textId="77777777" w:rsidR="009F4842" w:rsidRPr="00756135" w:rsidRDefault="009F4842" w:rsidP="00756135">
            <w:pPr>
              <w:rPr>
                <w:rFonts w:eastAsia="Cambria"/>
              </w:rPr>
            </w:pPr>
            <w:r w:rsidRPr="00756135">
              <w:rPr>
                <w:rFonts w:eastAsia="Cambria"/>
              </w:rPr>
              <w:t>Micro Segment</w:t>
            </w:r>
          </w:p>
        </w:tc>
        <w:tc>
          <w:tcPr>
            <w:tcW w:w="1276" w:type="dxa"/>
            <w:vAlign w:val="center"/>
          </w:tcPr>
          <w:p w14:paraId="102D2C90"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N (%)</w:t>
            </w:r>
          </w:p>
        </w:tc>
        <w:tc>
          <w:tcPr>
            <w:tcW w:w="1984" w:type="dxa"/>
            <w:vAlign w:val="center"/>
          </w:tcPr>
          <w:p w14:paraId="30134F8E"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89 (54.9)</w:t>
            </w:r>
          </w:p>
        </w:tc>
        <w:tc>
          <w:tcPr>
            <w:tcW w:w="1843" w:type="dxa"/>
            <w:vAlign w:val="center"/>
          </w:tcPr>
          <w:p w14:paraId="6FDFB9BF"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75 (45.2)</w:t>
            </w:r>
          </w:p>
        </w:tc>
      </w:tr>
      <w:tr w:rsidR="009F4842" w:rsidRPr="00C56211" w14:paraId="15A0DE97" w14:textId="77777777" w:rsidTr="00756135">
        <w:tc>
          <w:tcPr>
            <w:cnfStyle w:val="001000000000" w:firstRow="0" w:lastRow="0" w:firstColumn="1" w:lastColumn="0" w:oddVBand="0" w:evenVBand="0" w:oddHBand="0" w:evenHBand="0" w:firstRowFirstColumn="0" w:firstRowLastColumn="0" w:lastRowFirstColumn="0" w:lastRowLastColumn="0"/>
            <w:tcW w:w="2977" w:type="dxa"/>
            <w:vAlign w:val="center"/>
          </w:tcPr>
          <w:p w14:paraId="30CE8E88" w14:textId="77777777" w:rsidR="009F4842" w:rsidRPr="00756135" w:rsidRDefault="009F4842" w:rsidP="00756135">
            <w:pPr>
              <w:rPr>
                <w:rFonts w:eastAsia="Cambria"/>
              </w:rPr>
            </w:pPr>
            <w:r w:rsidRPr="00756135">
              <w:rPr>
                <w:rFonts w:eastAsia="Cambria"/>
              </w:rPr>
              <w:t>Large and other</w:t>
            </w:r>
          </w:p>
        </w:tc>
        <w:tc>
          <w:tcPr>
            <w:tcW w:w="1276" w:type="dxa"/>
            <w:vAlign w:val="center"/>
          </w:tcPr>
          <w:p w14:paraId="7F3EC15B"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N (%)</w:t>
            </w:r>
          </w:p>
        </w:tc>
        <w:tc>
          <w:tcPr>
            <w:tcW w:w="1984" w:type="dxa"/>
            <w:vAlign w:val="center"/>
          </w:tcPr>
          <w:p w14:paraId="258CCAFA"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13 (8.0)</w:t>
            </w:r>
          </w:p>
        </w:tc>
        <w:tc>
          <w:tcPr>
            <w:tcW w:w="1843" w:type="dxa"/>
            <w:vAlign w:val="center"/>
          </w:tcPr>
          <w:p w14:paraId="2553A9AB" w14:textId="77777777" w:rsidR="009F4842" w:rsidRPr="00756135" w:rsidRDefault="009F4842" w:rsidP="00756135">
            <w:pPr>
              <w:jc w:val="center"/>
              <w:cnfStyle w:val="000000000000" w:firstRow="0" w:lastRow="0" w:firstColumn="0" w:lastColumn="0" w:oddVBand="0" w:evenVBand="0" w:oddHBand="0" w:evenHBand="0" w:firstRowFirstColumn="0" w:firstRowLastColumn="0" w:lastRowFirstColumn="0" w:lastRowLastColumn="0"/>
              <w:rPr>
                <w:rFonts w:eastAsia="Cambria"/>
              </w:rPr>
            </w:pPr>
            <w:r w:rsidRPr="00756135">
              <w:rPr>
                <w:rFonts w:eastAsia="Cambria"/>
              </w:rPr>
              <w:t>9 (5.4)</w:t>
            </w:r>
          </w:p>
        </w:tc>
      </w:tr>
    </w:tbl>
    <w:p w14:paraId="5787F5AF" w14:textId="77777777" w:rsidR="009F4842" w:rsidRPr="009744C4" w:rsidRDefault="009F4842" w:rsidP="009F4842">
      <w:pPr>
        <w:spacing w:before="40" w:line="288" w:lineRule="auto"/>
        <w:rPr>
          <w:rFonts w:ascii="Montserrat Light" w:eastAsia="Cambria" w:hAnsi="Montserrat Light"/>
          <w:color w:val="323536"/>
          <w:spacing w:val="20"/>
          <w:szCs w:val="19"/>
          <w:lang w:eastAsia="ja-JP"/>
        </w:rPr>
      </w:pPr>
    </w:p>
    <w:p w14:paraId="15E92892" w14:textId="2C9C6CB9" w:rsidR="009F4842" w:rsidRPr="00756135" w:rsidRDefault="00756135" w:rsidP="00756135">
      <w:pPr>
        <w:pStyle w:val="FigureHeading"/>
        <w:rPr>
          <w:rFonts w:eastAsia="Cambria"/>
        </w:rPr>
      </w:pPr>
      <w:r w:rsidRPr="00756135">
        <w:rPr>
          <w:rFonts w:eastAsia="Cambria"/>
        </w:rPr>
        <w:t xml:space="preserve">Table 4.2 –compliance </w:t>
      </w:r>
    </w:p>
    <w:tbl>
      <w:tblPr>
        <w:tblStyle w:val="DefaultTable"/>
        <w:tblW w:w="9498" w:type="dxa"/>
        <w:tblLook w:val="04A0" w:firstRow="1" w:lastRow="0" w:firstColumn="1" w:lastColumn="0" w:noHBand="0" w:noVBand="1"/>
        <w:tblCaption w:val="Compliance"/>
        <w:tblDescription w:val="The proportion of businesses compliant "/>
      </w:tblPr>
      <w:tblGrid>
        <w:gridCol w:w="2410"/>
        <w:gridCol w:w="2410"/>
        <w:gridCol w:w="2268"/>
        <w:gridCol w:w="2410"/>
      </w:tblGrid>
      <w:tr w:rsidR="009F4842" w:rsidRPr="00C56211" w14:paraId="21D7244A" w14:textId="77777777" w:rsidTr="00D00FC7">
        <w:trPr>
          <w:cnfStyle w:val="100000000000" w:firstRow="1" w:lastRow="0" w:firstColumn="0" w:lastColumn="0" w:oddVBand="0" w:evenVBand="0" w:oddHBand="0"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410" w:type="dxa"/>
            <w:shd w:val="clear" w:color="auto" w:fill="142E3A" w:themeFill="text2"/>
            <w:hideMark/>
          </w:tcPr>
          <w:p w14:paraId="2CC63564" w14:textId="77777777" w:rsidR="009F4842" w:rsidRPr="00756135" w:rsidRDefault="009F4842" w:rsidP="00756135">
            <w:pPr>
              <w:pStyle w:val="TableHeading"/>
              <w:spacing w:line="216" w:lineRule="auto"/>
              <w:rPr>
                <w:rFonts w:eastAsia="Cambria"/>
                <w:sz w:val="20"/>
                <w:szCs w:val="20"/>
              </w:rPr>
            </w:pPr>
            <w:r w:rsidRPr="00756135">
              <w:rPr>
                <w:rFonts w:eastAsia="Cambria"/>
                <w:sz w:val="20"/>
                <w:szCs w:val="20"/>
              </w:rPr>
              <w:t>Outcome Measure</w:t>
            </w:r>
          </w:p>
        </w:tc>
        <w:tc>
          <w:tcPr>
            <w:tcW w:w="2410" w:type="dxa"/>
            <w:shd w:val="clear" w:color="auto" w:fill="142E3A" w:themeFill="text2"/>
            <w:noWrap/>
            <w:hideMark/>
          </w:tcPr>
          <w:p w14:paraId="1E3BB838" w14:textId="2D12A44F" w:rsidR="009F4842" w:rsidRPr="00756135" w:rsidRDefault="009F4842" w:rsidP="00756135">
            <w:pPr>
              <w:pStyle w:val="TableHeading"/>
              <w:spacing w:line="216" w:lineRule="auto"/>
              <w:jc w:val="center"/>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756135">
              <w:rPr>
                <w:rFonts w:eastAsia="Cambria"/>
                <w:sz w:val="20"/>
                <w:szCs w:val="20"/>
              </w:rPr>
              <w:t>Control % (N)</w:t>
            </w:r>
          </w:p>
        </w:tc>
        <w:tc>
          <w:tcPr>
            <w:tcW w:w="2268" w:type="dxa"/>
            <w:shd w:val="clear" w:color="auto" w:fill="142E3A" w:themeFill="text2"/>
            <w:hideMark/>
          </w:tcPr>
          <w:p w14:paraId="2EA200F9" w14:textId="66309874" w:rsidR="009F4842" w:rsidRPr="00756135" w:rsidRDefault="009F4842" w:rsidP="00756135">
            <w:pPr>
              <w:pStyle w:val="TableHeading"/>
              <w:spacing w:line="216" w:lineRule="auto"/>
              <w:jc w:val="center"/>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756135">
              <w:rPr>
                <w:rFonts w:eastAsia="Cambria"/>
                <w:sz w:val="20"/>
                <w:szCs w:val="20"/>
              </w:rPr>
              <w:t>Treatment</w:t>
            </w:r>
            <w:r w:rsidR="00756135">
              <w:rPr>
                <w:rFonts w:eastAsia="Cambria"/>
                <w:sz w:val="20"/>
                <w:szCs w:val="20"/>
              </w:rPr>
              <w:br/>
            </w:r>
            <w:r w:rsidRPr="00756135">
              <w:rPr>
                <w:rFonts w:eastAsia="Cambria"/>
                <w:sz w:val="20"/>
                <w:szCs w:val="20"/>
              </w:rPr>
              <w:t>(Planning Prompt) % (N)</w:t>
            </w:r>
          </w:p>
        </w:tc>
        <w:tc>
          <w:tcPr>
            <w:tcW w:w="2410" w:type="dxa"/>
            <w:shd w:val="clear" w:color="auto" w:fill="142E3A" w:themeFill="text2"/>
            <w:hideMark/>
          </w:tcPr>
          <w:p w14:paraId="180C1039" w14:textId="1F71B97F" w:rsidR="009F4842" w:rsidRPr="00756135" w:rsidRDefault="009F4842" w:rsidP="00756135">
            <w:pPr>
              <w:pStyle w:val="TableHeading"/>
              <w:spacing w:line="216" w:lineRule="auto"/>
              <w:jc w:val="center"/>
              <w:cnfStyle w:val="100000000000" w:firstRow="1" w:lastRow="0" w:firstColumn="0" w:lastColumn="0" w:oddVBand="0" w:evenVBand="0" w:oddHBand="0" w:evenHBand="0" w:firstRowFirstColumn="0" w:firstRowLastColumn="0" w:lastRowFirstColumn="0" w:lastRowLastColumn="0"/>
              <w:rPr>
                <w:rFonts w:eastAsia="Cambria"/>
                <w:sz w:val="20"/>
                <w:szCs w:val="20"/>
              </w:rPr>
            </w:pPr>
            <w:r w:rsidRPr="00756135">
              <w:rPr>
                <w:rFonts w:eastAsia="Cambria"/>
                <w:sz w:val="20"/>
                <w:szCs w:val="20"/>
              </w:rPr>
              <w:t>Percentage point difference: Treatment vs Control (p value)</w:t>
            </w:r>
          </w:p>
        </w:tc>
      </w:tr>
      <w:tr w:rsidR="009F4842" w:rsidRPr="00C56211" w14:paraId="5CA62657" w14:textId="77777777" w:rsidTr="00756135">
        <w:trPr>
          <w:trHeight w:val="818"/>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5597EC98" w14:textId="77777777" w:rsidR="009F4842" w:rsidRPr="00756135" w:rsidRDefault="009F4842" w:rsidP="00756135">
            <w:pPr>
              <w:spacing w:line="216" w:lineRule="auto"/>
              <w:rPr>
                <w:sz w:val="20"/>
                <w:szCs w:val="20"/>
              </w:rPr>
            </w:pPr>
            <w:r w:rsidRPr="00756135">
              <w:rPr>
                <w:sz w:val="20"/>
                <w:szCs w:val="20"/>
              </w:rPr>
              <w:t>Proportion compliant for first 30 days</w:t>
            </w:r>
          </w:p>
        </w:tc>
        <w:tc>
          <w:tcPr>
            <w:tcW w:w="2410" w:type="dxa"/>
            <w:vAlign w:val="center"/>
            <w:hideMark/>
          </w:tcPr>
          <w:p w14:paraId="3422A656" w14:textId="4768E0EA"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34.9</w:t>
            </w:r>
            <w:r w:rsidR="00756135" w:rsidRPr="00756135">
              <w:rPr>
                <w:sz w:val="20"/>
                <w:szCs w:val="20"/>
              </w:rPr>
              <w:br/>
            </w:r>
            <w:r w:rsidR="009F4842" w:rsidRPr="00756135">
              <w:rPr>
                <w:sz w:val="20"/>
                <w:szCs w:val="20"/>
              </w:rPr>
              <w:t>(n=58)</w:t>
            </w:r>
          </w:p>
        </w:tc>
        <w:tc>
          <w:tcPr>
            <w:tcW w:w="2268" w:type="dxa"/>
            <w:vAlign w:val="center"/>
            <w:hideMark/>
          </w:tcPr>
          <w:p w14:paraId="20A7B3EB" w14:textId="2C77F128"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32.1</w:t>
            </w:r>
            <w:r w:rsidR="00756135" w:rsidRPr="00756135">
              <w:rPr>
                <w:sz w:val="20"/>
                <w:szCs w:val="20"/>
              </w:rPr>
              <w:br/>
            </w:r>
            <w:r w:rsidR="009F4842" w:rsidRPr="00756135">
              <w:rPr>
                <w:sz w:val="20"/>
                <w:szCs w:val="20"/>
              </w:rPr>
              <w:t>(n=52)</w:t>
            </w:r>
          </w:p>
        </w:tc>
        <w:tc>
          <w:tcPr>
            <w:tcW w:w="2410" w:type="dxa"/>
            <w:vAlign w:val="center"/>
            <w:hideMark/>
          </w:tcPr>
          <w:p w14:paraId="1B851C94" w14:textId="68DB7286"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2.90</w:t>
            </w:r>
            <w:r w:rsidR="00756135">
              <w:rPr>
                <w:sz w:val="20"/>
                <w:szCs w:val="20"/>
              </w:rPr>
              <w:br/>
            </w:r>
            <w:r w:rsidR="009F4842" w:rsidRPr="00756135">
              <w:rPr>
                <w:sz w:val="20"/>
                <w:szCs w:val="20"/>
              </w:rPr>
              <w:t>(p=0.59)</w:t>
            </w:r>
          </w:p>
        </w:tc>
      </w:tr>
      <w:tr w:rsidR="009F4842" w:rsidRPr="00C56211" w14:paraId="0A351B47" w14:textId="77777777" w:rsidTr="00756135">
        <w:trPr>
          <w:trHeight w:val="693"/>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14:paraId="6D19C9DE" w14:textId="77777777" w:rsidR="009F4842" w:rsidRPr="00756135" w:rsidRDefault="009F4842" w:rsidP="00756135">
            <w:pPr>
              <w:spacing w:line="216" w:lineRule="auto"/>
              <w:rPr>
                <w:sz w:val="20"/>
                <w:szCs w:val="20"/>
              </w:rPr>
            </w:pPr>
            <w:r w:rsidRPr="00756135">
              <w:rPr>
                <w:sz w:val="20"/>
                <w:szCs w:val="20"/>
              </w:rPr>
              <w:t>Proportion compliant for all 60 days</w:t>
            </w:r>
          </w:p>
        </w:tc>
        <w:tc>
          <w:tcPr>
            <w:tcW w:w="2410" w:type="dxa"/>
            <w:vAlign w:val="center"/>
            <w:hideMark/>
          </w:tcPr>
          <w:p w14:paraId="02BAE1BE" w14:textId="0A3C54B7"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18.7</w:t>
            </w:r>
            <w:r w:rsidR="00756135" w:rsidRPr="00756135">
              <w:rPr>
                <w:sz w:val="20"/>
                <w:szCs w:val="20"/>
              </w:rPr>
              <w:br/>
            </w:r>
            <w:r w:rsidR="009F4842" w:rsidRPr="00756135">
              <w:rPr>
                <w:sz w:val="20"/>
                <w:szCs w:val="20"/>
              </w:rPr>
              <w:t>(n=31)</w:t>
            </w:r>
          </w:p>
        </w:tc>
        <w:tc>
          <w:tcPr>
            <w:tcW w:w="2268" w:type="dxa"/>
            <w:vAlign w:val="center"/>
            <w:hideMark/>
          </w:tcPr>
          <w:p w14:paraId="10C54D11" w14:textId="32957797"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17.9</w:t>
            </w:r>
            <w:r w:rsidR="00756135" w:rsidRPr="00756135">
              <w:rPr>
                <w:sz w:val="20"/>
                <w:szCs w:val="20"/>
              </w:rPr>
              <w:br/>
            </w:r>
            <w:r w:rsidR="009F4842" w:rsidRPr="00756135">
              <w:rPr>
                <w:sz w:val="20"/>
                <w:szCs w:val="20"/>
              </w:rPr>
              <w:t>(n=29)</w:t>
            </w:r>
          </w:p>
        </w:tc>
        <w:tc>
          <w:tcPr>
            <w:tcW w:w="2410" w:type="dxa"/>
            <w:vAlign w:val="center"/>
            <w:hideMark/>
          </w:tcPr>
          <w:p w14:paraId="7C2A3E0B" w14:textId="7307D81A"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p w14:paraId="7B9B2706" w14:textId="40D8AA2F" w:rsidR="009F4842" w:rsidRPr="00756135" w:rsidRDefault="009F4842"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56135">
              <w:rPr>
                <w:sz w:val="20"/>
                <w:szCs w:val="20"/>
              </w:rPr>
              <w:t>(p=0.86)</w:t>
            </w:r>
          </w:p>
        </w:tc>
      </w:tr>
      <w:tr w:rsidR="009F4842" w:rsidRPr="00C56211" w14:paraId="57385BC0" w14:textId="77777777" w:rsidTr="0003108E">
        <w:trPr>
          <w:trHeight w:val="693"/>
        </w:trPr>
        <w:tc>
          <w:tcPr>
            <w:cnfStyle w:val="001000000000" w:firstRow="0" w:lastRow="0" w:firstColumn="1" w:lastColumn="0" w:oddVBand="0" w:evenVBand="0" w:oddHBand="0" w:evenHBand="0" w:firstRowFirstColumn="0" w:firstRowLastColumn="0" w:lastRowFirstColumn="0" w:lastRowLastColumn="0"/>
            <w:tcW w:w="2410" w:type="dxa"/>
            <w:shd w:val="clear" w:color="auto" w:fill="142E3A" w:themeFill="text2"/>
            <w:vAlign w:val="center"/>
          </w:tcPr>
          <w:p w14:paraId="32641D47" w14:textId="77777777" w:rsidR="009F4842" w:rsidRPr="0003108E" w:rsidRDefault="009F4842" w:rsidP="00756135">
            <w:pPr>
              <w:spacing w:line="216" w:lineRule="auto"/>
              <w:rPr>
                <w:rFonts w:eastAsia="Cambria"/>
                <w:b/>
                <w:color w:val="FFFFFF" w:themeColor="background1"/>
                <w:sz w:val="20"/>
                <w:szCs w:val="20"/>
              </w:rPr>
            </w:pPr>
            <w:r w:rsidRPr="0003108E">
              <w:rPr>
                <w:rFonts w:eastAsia="Cambria"/>
                <w:b/>
                <w:color w:val="FFFFFF" w:themeColor="background1"/>
                <w:sz w:val="20"/>
                <w:szCs w:val="20"/>
              </w:rPr>
              <w:t>Outcome Measure</w:t>
            </w:r>
          </w:p>
        </w:tc>
        <w:tc>
          <w:tcPr>
            <w:tcW w:w="2410" w:type="dxa"/>
            <w:shd w:val="clear" w:color="auto" w:fill="142E3A" w:themeFill="text2"/>
            <w:vAlign w:val="center"/>
          </w:tcPr>
          <w:p w14:paraId="45C40642" w14:textId="10EDFE32" w:rsidR="009F4842" w:rsidRPr="0003108E" w:rsidRDefault="009F4842" w:rsidP="00756135">
            <w:pPr>
              <w:spacing w:line="216" w:lineRule="auto"/>
              <w:jc w:val="center"/>
              <w:cnfStyle w:val="000000000000" w:firstRow="0" w:lastRow="0" w:firstColumn="0" w:lastColumn="0" w:oddVBand="0" w:evenVBand="0" w:oddHBand="0" w:evenHBand="0" w:firstRowFirstColumn="0" w:firstRowLastColumn="0" w:lastRowFirstColumn="0" w:lastRowLastColumn="0"/>
              <w:rPr>
                <w:rFonts w:eastAsia="Cambria"/>
                <w:b/>
                <w:color w:val="FFFFFF" w:themeColor="background1"/>
                <w:sz w:val="20"/>
                <w:szCs w:val="20"/>
              </w:rPr>
            </w:pPr>
            <w:r w:rsidRPr="0003108E">
              <w:rPr>
                <w:rFonts w:eastAsia="Cambria"/>
                <w:b/>
                <w:color w:val="FFFFFF" w:themeColor="background1"/>
                <w:sz w:val="20"/>
                <w:szCs w:val="20"/>
              </w:rPr>
              <w:t>Control –average % compliance (95% confidence interval)</w:t>
            </w:r>
          </w:p>
        </w:tc>
        <w:tc>
          <w:tcPr>
            <w:tcW w:w="2268" w:type="dxa"/>
            <w:shd w:val="clear" w:color="auto" w:fill="142E3A" w:themeFill="text2"/>
            <w:vAlign w:val="center"/>
          </w:tcPr>
          <w:p w14:paraId="0C30E72C" w14:textId="153D8654" w:rsidR="009F4842" w:rsidRPr="0003108E" w:rsidRDefault="009F4842" w:rsidP="00756135">
            <w:pPr>
              <w:spacing w:line="216" w:lineRule="auto"/>
              <w:jc w:val="center"/>
              <w:cnfStyle w:val="000000000000" w:firstRow="0" w:lastRow="0" w:firstColumn="0" w:lastColumn="0" w:oddVBand="0" w:evenVBand="0" w:oddHBand="0" w:evenHBand="0" w:firstRowFirstColumn="0" w:firstRowLastColumn="0" w:lastRowFirstColumn="0" w:lastRowLastColumn="0"/>
              <w:rPr>
                <w:rFonts w:eastAsia="Cambria"/>
                <w:b/>
                <w:color w:val="FFFFFF" w:themeColor="background1"/>
                <w:sz w:val="20"/>
                <w:szCs w:val="20"/>
              </w:rPr>
            </w:pPr>
            <w:r w:rsidRPr="0003108E">
              <w:rPr>
                <w:rFonts w:eastAsia="Cambria"/>
                <w:b/>
                <w:color w:val="FFFFFF" w:themeColor="background1"/>
                <w:sz w:val="20"/>
                <w:szCs w:val="20"/>
              </w:rPr>
              <w:t>Treatment -average % compliance (95% confidence interval)</w:t>
            </w:r>
          </w:p>
        </w:tc>
        <w:tc>
          <w:tcPr>
            <w:tcW w:w="2410" w:type="dxa"/>
            <w:shd w:val="clear" w:color="auto" w:fill="142E3A" w:themeFill="text2"/>
            <w:vAlign w:val="center"/>
          </w:tcPr>
          <w:p w14:paraId="4B214A9E" w14:textId="7A9759C7" w:rsidR="009F4842" w:rsidRPr="0003108E" w:rsidRDefault="00756135" w:rsidP="00756135">
            <w:pPr>
              <w:spacing w:line="216" w:lineRule="auto"/>
              <w:jc w:val="center"/>
              <w:cnfStyle w:val="000000000000" w:firstRow="0" w:lastRow="0" w:firstColumn="0" w:lastColumn="0" w:oddVBand="0" w:evenVBand="0" w:oddHBand="0" w:evenHBand="0" w:firstRowFirstColumn="0" w:firstRowLastColumn="0" w:lastRowFirstColumn="0" w:lastRowLastColumn="0"/>
              <w:rPr>
                <w:rFonts w:eastAsia="Cambria"/>
                <w:b/>
                <w:color w:val="FFFFFF" w:themeColor="background1"/>
                <w:sz w:val="20"/>
                <w:szCs w:val="20"/>
              </w:rPr>
            </w:pPr>
            <w:r w:rsidRPr="0003108E">
              <w:rPr>
                <w:rFonts w:eastAsia="Cambria"/>
                <w:b/>
                <w:color w:val="FFFFFF" w:themeColor="background1"/>
                <w:sz w:val="20"/>
                <w:szCs w:val="20"/>
              </w:rPr>
              <w:t>Treatment vs Control</w:t>
            </w:r>
            <w:r w:rsidRPr="0003108E">
              <w:rPr>
                <w:rFonts w:eastAsia="Cambria"/>
                <w:b/>
                <w:color w:val="FFFFFF" w:themeColor="background1"/>
                <w:sz w:val="20"/>
                <w:szCs w:val="20"/>
              </w:rPr>
              <w:br/>
            </w:r>
            <w:r w:rsidR="009F4842" w:rsidRPr="0003108E">
              <w:rPr>
                <w:rFonts w:eastAsia="Cambria"/>
                <w:b/>
                <w:color w:val="FFFFFF" w:themeColor="background1"/>
                <w:sz w:val="20"/>
                <w:szCs w:val="20"/>
              </w:rPr>
              <w:t>(p value)</w:t>
            </w:r>
          </w:p>
        </w:tc>
      </w:tr>
      <w:tr w:rsidR="009F4842" w:rsidRPr="00C56211" w14:paraId="06850C41" w14:textId="77777777" w:rsidTr="00756135">
        <w:trPr>
          <w:trHeight w:val="694"/>
        </w:trPr>
        <w:tc>
          <w:tcPr>
            <w:cnfStyle w:val="001000000000" w:firstRow="0" w:lastRow="0" w:firstColumn="1" w:lastColumn="0" w:oddVBand="0" w:evenVBand="0" w:oddHBand="0" w:evenHBand="0" w:firstRowFirstColumn="0" w:firstRowLastColumn="0" w:lastRowFirstColumn="0" w:lastRowLastColumn="0"/>
            <w:tcW w:w="2410" w:type="dxa"/>
            <w:hideMark/>
          </w:tcPr>
          <w:p w14:paraId="2824B21D" w14:textId="77777777" w:rsidR="009F4842" w:rsidRPr="00756135" w:rsidRDefault="009F4842" w:rsidP="00756135">
            <w:pPr>
              <w:spacing w:line="216" w:lineRule="auto"/>
              <w:rPr>
                <w:sz w:val="20"/>
                <w:szCs w:val="20"/>
              </w:rPr>
            </w:pPr>
            <w:r w:rsidRPr="00756135">
              <w:rPr>
                <w:sz w:val="20"/>
                <w:szCs w:val="20"/>
              </w:rPr>
              <w:t>Proportion of days compliant over 30 days</w:t>
            </w:r>
          </w:p>
        </w:tc>
        <w:tc>
          <w:tcPr>
            <w:tcW w:w="2410" w:type="dxa"/>
            <w:hideMark/>
          </w:tcPr>
          <w:p w14:paraId="641D8D4B" w14:textId="33E876EA"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72.1</w:t>
            </w:r>
            <w:r w:rsidR="009F4842" w:rsidRPr="00756135">
              <w:rPr>
                <w:sz w:val="20"/>
                <w:szCs w:val="20"/>
              </w:rPr>
              <w:t xml:space="preserve"> </w:t>
            </w:r>
            <w:r w:rsidR="00756135">
              <w:rPr>
                <w:sz w:val="20"/>
                <w:szCs w:val="20"/>
              </w:rPr>
              <w:br/>
            </w:r>
            <w:r>
              <w:rPr>
                <w:sz w:val="20"/>
                <w:szCs w:val="20"/>
              </w:rPr>
              <w:t>(66.9 to 77.3</w:t>
            </w:r>
            <w:r w:rsidR="009F4842" w:rsidRPr="00756135">
              <w:rPr>
                <w:sz w:val="20"/>
                <w:szCs w:val="20"/>
              </w:rPr>
              <w:t>)</w:t>
            </w:r>
          </w:p>
        </w:tc>
        <w:tc>
          <w:tcPr>
            <w:tcW w:w="2268" w:type="dxa"/>
            <w:hideMark/>
          </w:tcPr>
          <w:p w14:paraId="266D2352" w14:textId="43A8F01F"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67.7</w:t>
            </w:r>
            <w:r w:rsidR="00756135">
              <w:rPr>
                <w:sz w:val="20"/>
                <w:szCs w:val="20"/>
              </w:rPr>
              <w:br/>
            </w:r>
            <w:r>
              <w:rPr>
                <w:sz w:val="20"/>
                <w:szCs w:val="20"/>
              </w:rPr>
              <w:t>(62.4 to 73.0</w:t>
            </w:r>
            <w:r w:rsidR="009F4842" w:rsidRPr="00756135">
              <w:rPr>
                <w:sz w:val="20"/>
                <w:szCs w:val="20"/>
              </w:rPr>
              <w:t>)</w:t>
            </w:r>
          </w:p>
        </w:tc>
        <w:tc>
          <w:tcPr>
            <w:tcW w:w="2410" w:type="dxa"/>
            <w:hideMark/>
          </w:tcPr>
          <w:p w14:paraId="43F0C367" w14:textId="77777777" w:rsidR="009F4842" w:rsidRPr="00756135" w:rsidRDefault="009F4842"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56135">
              <w:rPr>
                <w:sz w:val="20"/>
                <w:szCs w:val="20"/>
              </w:rPr>
              <w:t>p=0.24</w:t>
            </w:r>
          </w:p>
        </w:tc>
      </w:tr>
      <w:tr w:rsidR="009F4842" w:rsidRPr="00C56211" w14:paraId="6179B638" w14:textId="77777777" w:rsidTr="00756135">
        <w:trPr>
          <w:trHeight w:val="690"/>
        </w:trPr>
        <w:tc>
          <w:tcPr>
            <w:cnfStyle w:val="001000000000" w:firstRow="0" w:lastRow="0" w:firstColumn="1" w:lastColumn="0" w:oddVBand="0" w:evenVBand="0" w:oddHBand="0" w:evenHBand="0" w:firstRowFirstColumn="0" w:firstRowLastColumn="0" w:lastRowFirstColumn="0" w:lastRowLastColumn="0"/>
            <w:tcW w:w="2410" w:type="dxa"/>
            <w:hideMark/>
          </w:tcPr>
          <w:p w14:paraId="3933D82E" w14:textId="77777777" w:rsidR="009F4842" w:rsidRPr="00756135" w:rsidRDefault="009F4842" w:rsidP="00756135">
            <w:pPr>
              <w:spacing w:line="216" w:lineRule="auto"/>
              <w:rPr>
                <w:sz w:val="20"/>
                <w:szCs w:val="20"/>
              </w:rPr>
            </w:pPr>
            <w:r w:rsidRPr="00756135">
              <w:rPr>
                <w:sz w:val="20"/>
                <w:szCs w:val="20"/>
              </w:rPr>
              <w:t>Proportion of days compliant over 60 days</w:t>
            </w:r>
          </w:p>
        </w:tc>
        <w:tc>
          <w:tcPr>
            <w:tcW w:w="2410" w:type="dxa"/>
            <w:hideMark/>
          </w:tcPr>
          <w:p w14:paraId="35C8C6C0" w14:textId="0302E0B1" w:rsidR="009F4842" w:rsidRPr="00756135" w:rsidRDefault="00653670"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67.6</w:t>
            </w:r>
            <w:r w:rsidR="009F4842" w:rsidRPr="00756135">
              <w:rPr>
                <w:sz w:val="20"/>
                <w:szCs w:val="20"/>
              </w:rPr>
              <w:t xml:space="preserve"> </w:t>
            </w:r>
            <w:r w:rsidR="00756135">
              <w:rPr>
                <w:sz w:val="20"/>
                <w:szCs w:val="20"/>
              </w:rPr>
              <w:br/>
            </w:r>
            <w:r>
              <w:rPr>
                <w:sz w:val="20"/>
                <w:szCs w:val="20"/>
              </w:rPr>
              <w:t>(63.1 to 72.1</w:t>
            </w:r>
            <w:r w:rsidR="009F4842" w:rsidRPr="00756135">
              <w:rPr>
                <w:sz w:val="20"/>
                <w:szCs w:val="20"/>
              </w:rPr>
              <w:t>)</w:t>
            </w:r>
          </w:p>
        </w:tc>
        <w:tc>
          <w:tcPr>
            <w:tcW w:w="2268" w:type="dxa"/>
            <w:hideMark/>
          </w:tcPr>
          <w:p w14:paraId="567F8216" w14:textId="0BE7229D" w:rsidR="009F4842" w:rsidRPr="00756135" w:rsidRDefault="00653670" w:rsidP="00653670">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66.6</w:t>
            </w:r>
            <w:r w:rsidR="00756135">
              <w:rPr>
                <w:sz w:val="20"/>
                <w:szCs w:val="20"/>
              </w:rPr>
              <w:br/>
            </w:r>
            <w:r w:rsidR="009F4842" w:rsidRPr="00756135">
              <w:rPr>
                <w:sz w:val="20"/>
                <w:szCs w:val="20"/>
              </w:rPr>
              <w:t>(62.1</w:t>
            </w:r>
            <w:r>
              <w:rPr>
                <w:sz w:val="20"/>
                <w:szCs w:val="20"/>
              </w:rPr>
              <w:t xml:space="preserve"> to 71.2</w:t>
            </w:r>
            <w:r w:rsidR="009F4842" w:rsidRPr="00756135">
              <w:rPr>
                <w:sz w:val="20"/>
                <w:szCs w:val="20"/>
              </w:rPr>
              <w:t>)</w:t>
            </w:r>
          </w:p>
        </w:tc>
        <w:tc>
          <w:tcPr>
            <w:tcW w:w="2410" w:type="dxa"/>
            <w:hideMark/>
          </w:tcPr>
          <w:p w14:paraId="74AE6586" w14:textId="77777777" w:rsidR="009F4842" w:rsidRPr="00756135" w:rsidRDefault="009F4842" w:rsidP="00756135">
            <w:pPr>
              <w:spacing w:line="21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56135">
              <w:rPr>
                <w:sz w:val="20"/>
                <w:szCs w:val="20"/>
              </w:rPr>
              <w:t>p=0.76</w:t>
            </w:r>
          </w:p>
        </w:tc>
      </w:tr>
    </w:tbl>
    <w:p w14:paraId="4BB011E9" w14:textId="1D90A963" w:rsidR="009F4842" w:rsidRDefault="009F4842" w:rsidP="009F4842">
      <w:pPr>
        <w:spacing w:before="40" w:after="240" w:line="288" w:lineRule="auto"/>
        <w:rPr>
          <w:rFonts w:ascii="Montserrat Light" w:eastAsia="Cambria" w:hAnsi="Montserrat Light"/>
          <w:color w:val="323536"/>
          <w:spacing w:val="20"/>
          <w:szCs w:val="19"/>
          <w:lang w:eastAsia="ja-JP"/>
        </w:rPr>
      </w:pPr>
      <w:r>
        <w:rPr>
          <w:rFonts w:ascii="Montserrat Light" w:eastAsia="Cambria" w:hAnsi="Montserrat Light"/>
          <w:color w:val="323536"/>
          <w:spacing w:val="20"/>
          <w:szCs w:val="19"/>
          <w:lang w:eastAsia="ja-JP"/>
        </w:rPr>
        <w:br w:type="page"/>
      </w:r>
    </w:p>
    <w:p w14:paraId="3CAC026B" w14:textId="239D2091" w:rsidR="009F4842" w:rsidRPr="00756135" w:rsidRDefault="00756135" w:rsidP="00756135">
      <w:pPr>
        <w:pStyle w:val="FigureHeading"/>
        <w:rPr>
          <w:rFonts w:eastAsia="Cambria"/>
        </w:rPr>
      </w:pPr>
      <w:r w:rsidRPr="00756135">
        <w:rPr>
          <w:rFonts w:eastAsia="Cambria"/>
        </w:rPr>
        <w:lastRenderedPageBreak/>
        <w:t>Table 4.3</w:t>
      </w:r>
      <w:r w:rsidR="009F4842" w:rsidRPr="00756135">
        <w:rPr>
          <w:rFonts w:eastAsia="Cambria"/>
        </w:rPr>
        <w:t xml:space="preserve"> –</w:t>
      </w:r>
      <w:r w:rsidR="00176167" w:rsidRPr="00756135">
        <w:rPr>
          <w:rFonts w:eastAsia="Cambria"/>
        </w:rPr>
        <w:t xml:space="preserve"> </w:t>
      </w:r>
      <w:r>
        <w:rPr>
          <w:rFonts w:eastAsia="Cambria"/>
        </w:rPr>
        <w:t>M</w:t>
      </w:r>
      <w:r w:rsidRPr="00756135">
        <w:rPr>
          <w:rFonts w:eastAsia="Cambria"/>
        </w:rPr>
        <w:t>edian</w:t>
      </w:r>
      <w:r w:rsidR="009F4842" w:rsidRPr="00756135">
        <w:rPr>
          <w:rFonts w:eastAsia="Cambria"/>
        </w:rPr>
        <w:t xml:space="preserve"> </w:t>
      </w:r>
      <w:r w:rsidRPr="00756135">
        <w:rPr>
          <w:rFonts w:eastAsia="Cambria"/>
        </w:rPr>
        <w:t>payment made</w:t>
      </w:r>
      <w:r w:rsidR="009F4842" w:rsidRPr="00756135">
        <w:rPr>
          <w:rFonts w:eastAsia="Cambria"/>
        </w:rPr>
        <w:t xml:space="preserve"> – </w:t>
      </w:r>
      <w:r w:rsidRPr="00756135">
        <w:rPr>
          <w:rFonts w:eastAsia="Cambria"/>
        </w:rPr>
        <w:t>quantile regression</w:t>
      </w:r>
    </w:p>
    <w:tbl>
      <w:tblPr>
        <w:tblStyle w:val="DefaultTable"/>
        <w:tblW w:w="10173" w:type="dxa"/>
        <w:tblLayout w:type="fixed"/>
        <w:tblLook w:val="04A0" w:firstRow="1" w:lastRow="0" w:firstColumn="1" w:lastColumn="0" w:noHBand="0" w:noVBand="1"/>
        <w:tblCaption w:val="Median payment made - quantile regression"/>
        <w:tblDescription w:val="Median payment made"/>
      </w:tblPr>
      <w:tblGrid>
        <w:gridCol w:w="2694"/>
        <w:gridCol w:w="2409"/>
        <w:gridCol w:w="3652"/>
        <w:gridCol w:w="1418"/>
      </w:tblGrid>
      <w:tr w:rsidR="009F4842" w:rsidRPr="004D3DE3" w14:paraId="5670A5A8" w14:textId="77777777" w:rsidTr="00D00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142E3A" w:themeFill="text2"/>
          </w:tcPr>
          <w:p w14:paraId="2DE5967E" w14:textId="77777777" w:rsidR="009F4842" w:rsidRPr="00756135" w:rsidRDefault="009F4842" w:rsidP="00756135">
            <w:pPr>
              <w:pStyle w:val="TableHeading"/>
            </w:pPr>
          </w:p>
        </w:tc>
        <w:tc>
          <w:tcPr>
            <w:tcW w:w="2409" w:type="dxa"/>
            <w:shd w:val="clear" w:color="auto" w:fill="142E3A" w:themeFill="text2"/>
          </w:tcPr>
          <w:p w14:paraId="5BCB2E86" w14:textId="77777777"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pPr>
            <w:r w:rsidRPr="00756135">
              <w:t>Median payment $</w:t>
            </w:r>
          </w:p>
        </w:tc>
        <w:tc>
          <w:tcPr>
            <w:tcW w:w="3652" w:type="dxa"/>
            <w:shd w:val="clear" w:color="auto" w:fill="142E3A" w:themeFill="text2"/>
          </w:tcPr>
          <w:p w14:paraId="1CC4A0DA" w14:textId="79E4AF3F" w:rsidR="009F4842" w:rsidRPr="00756135" w:rsidRDefault="009F4842" w:rsidP="00653670">
            <w:pPr>
              <w:pStyle w:val="TableHeading"/>
              <w:jc w:val="center"/>
              <w:cnfStyle w:val="100000000000" w:firstRow="1" w:lastRow="0" w:firstColumn="0" w:lastColumn="0" w:oddVBand="0" w:evenVBand="0" w:oddHBand="0" w:evenHBand="0" w:firstRowFirstColumn="0" w:firstRowLastColumn="0" w:lastRowFirstColumn="0" w:lastRowLastColumn="0"/>
            </w:pPr>
            <w:r w:rsidRPr="00756135">
              <w:t xml:space="preserve">Difference from </w:t>
            </w:r>
            <w:r w:rsidR="00653670">
              <w:t xml:space="preserve">control </w:t>
            </w:r>
            <w:r w:rsidRPr="00756135">
              <w:t>group</w:t>
            </w:r>
            <w:r w:rsidRPr="00756135">
              <w:br/>
              <w:t>(95% confidence interval)</w:t>
            </w:r>
          </w:p>
        </w:tc>
        <w:tc>
          <w:tcPr>
            <w:tcW w:w="1418" w:type="dxa"/>
            <w:shd w:val="clear" w:color="auto" w:fill="142E3A" w:themeFill="text2"/>
          </w:tcPr>
          <w:p w14:paraId="3E5B7A53" w14:textId="77777777"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pPr>
            <w:r w:rsidRPr="00756135">
              <w:t>p-value</w:t>
            </w:r>
          </w:p>
        </w:tc>
      </w:tr>
      <w:tr w:rsidR="009F4842" w:rsidRPr="004D3DE3" w14:paraId="16569E16" w14:textId="77777777" w:rsidTr="00756135">
        <w:trPr>
          <w:trHeight w:val="2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A900043" w14:textId="77777777" w:rsidR="009F4842" w:rsidRPr="00756135" w:rsidRDefault="009F4842" w:rsidP="00756135">
            <w:pPr>
              <w:pStyle w:val="TableText"/>
            </w:pPr>
            <w:r w:rsidRPr="00756135">
              <w:t>Control</w:t>
            </w:r>
          </w:p>
        </w:tc>
        <w:tc>
          <w:tcPr>
            <w:tcW w:w="2409" w:type="dxa"/>
            <w:vAlign w:val="center"/>
          </w:tcPr>
          <w:p w14:paraId="4166E933"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9,938</w:t>
            </w:r>
          </w:p>
        </w:tc>
        <w:tc>
          <w:tcPr>
            <w:tcW w:w="3652" w:type="dxa"/>
            <w:vAlign w:val="center"/>
          </w:tcPr>
          <w:p w14:paraId="240D21B8" w14:textId="37F02331" w:rsidR="009F4842" w:rsidRPr="00756135" w:rsidRDefault="00653670" w:rsidP="00756135">
            <w:pPr>
              <w:pStyle w:val="TableText"/>
              <w:jc w:val="center"/>
              <w:cnfStyle w:val="000000000000" w:firstRow="0" w:lastRow="0" w:firstColumn="0" w:lastColumn="0" w:oddVBand="0" w:evenVBand="0" w:oddHBand="0" w:evenHBand="0" w:firstRowFirstColumn="0" w:firstRowLastColumn="0" w:lastRowFirstColumn="0" w:lastRowLastColumn="0"/>
            </w:pPr>
            <w:r>
              <w:t>Control</w:t>
            </w:r>
            <w:r w:rsidR="009F4842" w:rsidRPr="00756135">
              <w:t xml:space="preserve"> group</w:t>
            </w:r>
          </w:p>
        </w:tc>
        <w:tc>
          <w:tcPr>
            <w:tcW w:w="1418" w:type="dxa"/>
            <w:vAlign w:val="center"/>
          </w:tcPr>
          <w:p w14:paraId="26D361AB"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4D3DE3" w14:paraId="45D792FD" w14:textId="77777777" w:rsidTr="00756135">
        <w:trPr>
          <w:trHeight w:val="2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13FB77FA" w14:textId="77777777" w:rsidR="009F4842" w:rsidRPr="00756135" w:rsidRDefault="009F4842" w:rsidP="00756135">
            <w:pPr>
              <w:pStyle w:val="TableText"/>
            </w:pPr>
            <w:r w:rsidRPr="00756135">
              <w:t>Prompt email (treatment)</w:t>
            </w:r>
          </w:p>
        </w:tc>
        <w:tc>
          <w:tcPr>
            <w:tcW w:w="2409" w:type="dxa"/>
            <w:vAlign w:val="center"/>
          </w:tcPr>
          <w:p w14:paraId="31367E53"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10,481</w:t>
            </w:r>
          </w:p>
        </w:tc>
        <w:tc>
          <w:tcPr>
            <w:tcW w:w="3652" w:type="dxa"/>
            <w:vAlign w:val="center"/>
          </w:tcPr>
          <w:p w14:paraId="11E55908" w14:textId="780DA0A5"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 xml:space="preserve">543 </w:t>
            </w:r>
            <w:r w:rsidR="00756135">
              <w:br/>
            </w:r>
            <w:r w:rsidRPr="00756135">
              <w:t>(-18,403 to 19,489)</w:t>
            </w:r>
          </w:p>
        </w:tc>
        <w:tc>
          <w:tcPr>
            <w:tcW w:w="1418" w:type="dxa"/>
            <w:vAlign w:val="center"/>
          </w:tcPr>
          <w:p w14:paraId="269539CF"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0.96</w:t>
            </w:r>
          </w:p>
        </w:tc>
      </w:tr>
    </w:tbl>
    <w:p w14:paraId="7A2ED71D" w14:textId="33535FEB" w:rsidR="009F4842" w:rsidRPr="004D3DE3" w:rsidRDefault="009F4842" w:rsidP="00756135">
      <w:pPr>
        <w:pStyle w:val="SourceNotesText"/>
        <w:rPr>
          <w:rFonts w:eastAsia="Cambria"/>
          <w:lang w:eastAsia="ja-JP"/>
        </w:rPr>
      </w:pPr>
      <w:r w:rsidRPr="004D3DE3">
        <w:rPr>
          <w:rFonts w:eastAsia="Cambria"/>
          <w:lang w:eastAsia="ja-JP"/>
        </w:rPr>
        <w:t xml:space="preserve">Note: Results presented are from the </w:t>
      </w:r>
      <w:r w:rsidR="00217E3C">
        <w:rPr>
          <w:rFonts w:eastAsia="Cambria"/>
          <w:lang w:eastAsia="ja-JP"/>
        </w:rPr>
        <w:t>quantile</w:t>
      </w:r>
      <w:r w:rsidRPr="004D3DE3">
        <w:rPr>
          <w:rFonts w:eastAsia="Cambria"/>
          <w:lang w:eastAsia="ja-JP"/>
        </w:rPr>
        <w:t xml:space="preserve"> regression model. </w:t>
      </w:r>
    </w:p>
    <w:p w14:paraId="7B5B49A3" w14:textId="67E1312D" w:rsidR="009F4842" w:rsidRPr="00756135" w:rsidRDefault="00756135" w:rsidP="00756135">
      <w:pPr>
        <w:pStyle w:val="FigureHeading"/>
        <w:rPr>
          <w:rFonts w:eastAsia="Cambria"/>
        </w:rPr>
      </w:pPr>
      <w:r w:rsidRPr="00756135">
        <w:rPr>
          <w:rFonts w:eastAsia="Cambria"/>
        </w:rPr>
        <w:t>Table 4.4</w:t>
      </w:r>
      <w:r w:rsidR="009F4842" w:rsidRPr="00756135">
        <w:rPr>
          <w:rFonts w:eastAsia="Cambria"/>
        </w:rPr>
        <w:t xml:space="preserve"> –</w:t>
      </w:r>
      <w:r w:rsidR="00883A8C" w:rsidRPr="00756135">
        <w:rPr>
          <w:rFonts w:eastAsia="Cambria"/>
        </w:rPr>
        <w:t xml:space="preserve"> </w:t>
      </w:r>
      <w:r w:rsidRPr="00756135">
        <w:rPr>
          <w:rFonts w:eastAsia="Cambria"/>
        </w:rPr>
        <w:t xml:space="preserve">calls to the </w:t>
      </w:r>
      <w:r>
        <w:rPr>
          <w:rFonts w:eastAsia="Cambria"/>
        </w:rPr>
        <w:t>ATO</w:t>
      </w:r>
      <w:r w:rsidR="00F842A4">
        <w:rPr>
          <w:rFonts w:eastAsia="Cambria"/>
        </w:rPr>
        <w:t xml:space="preserve"> – </w:t>
      </w:r>
      <w:r w:rsidRPr="00756135">
        <w:rPr>
          <w:rFonts w:eastAsia="Cambria"/>
        </w:rPr>
        <w:t>whether or not a call was made</w:t>
      </w:r>
    </w:p>
    <w:tbl>
      <w:tblPr>
        <w:tblStyle w:val="DefaultTable"/>
        <w:tblW w:w="10099" w:type="dxa"/>
        <w:tblLayout w:type="fixed"/>
        <w:tblLook w:val="04A0" w:firstRow="1" w:lastRow="0" w:firstColumn="1" w:lastColumn="0" w:noHBand="0" w:noVBand="1"/>
        <w:tblCaption w:val="Calls to the ATO - whether or not a call was made"/>
        <w:tblDescription w:val="Whether or not a call was made to the ATO."/>
      </w:tblPr>
      <w:tblGrid>
        <w:gridCol w:w="2694"/>
        <w:gridCol w:w="2409"/>
        <w:gridCol w:w="3686"/>
        <w:gridCol w:w="1310"/>
      </w:tblGrid>
      <w:tr w:rsidR="009F4842" w:rsidRPr="000F2D00" w14:paraId="2BDEF36E" w14:textId="77777777" w:rsidTr="003F08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142E3A" w:themeFill="text2"/>
          </w:tcPr>
          <w:p w14:paraId="7824FB68" w14:textId="77777777" w:rsidR="009F4842" w:rsidRPr="00756135" w:rsidRDefault="009F4842" w:rsidP="00756135">
            <w:pPr>
              <w:pStyle w:val="TableHeading"/>
            </w:pPr>
          </w:p>
        </w:tc>
        <w:tc>
          <w:tcPr>
            <w:tcW w:w="2409" w:type="dxa"/>
            <w:shd w:val="clear" w:color="auto" w:fill="142E3A" w:themeFill="text2"/>
          </w:tcPr>
          <w:p w14:paraId="3DCDB519" w14:textId="77777777"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pPr>
            <w:r w:rsidRPr="00756135">
              <w:t>% called</w:t>
            </w:r>
            <w:r w:rsidRPr="00756135">
              <w:br/>
            </w:r>
          </w:p>
        </w:tc>
        <w:tc>
          <w:tcPr>
            <w:tcW w:w="3686" w:type="dxa"/>
            <w:shd w:val="clear" w:color="auto" w:fill="142E3A" w:themeFill="text2"/>
          </w:tcPr>
          <w:p w14:paraId="17A964B7" w14:textId="7E5AC351" w:rsidR="009F4842" w:rsidRPr="00756135" w:rsidRDefault="00653670" w:rsidP="00756135">
            <w:pPr>
              <w:pStyle w:val="TableHeading"/>
              <w:jc w:val="center"/>
              <w:cnfStyle w:val="100000000000" w:firstRow="1" w:lastRow="0" w:firstColumn="0" w:lastColumn="0" w:oddVBand="0" w:evenVBand="0" w:oddHBand="0" w:evenHBand="0" w:firstRowFirstColumn="0" w:firstRowLastColumn="0" w:lastRowFirstColumn="0" w:lastRowLastColumn="0"/>
            </w:pPr>
            <w:r>
              <w:t>Difference from c</w:t>
            </w:r>
            <w:r w:rsidR="009F4842" w:rsidRPr="00756135">
              <w:t>ontrol</w:t>
            </w:r>
            <w:r w:rsidR="009F4842" w:rsidRPr="00756135">
              <w:br/>
              <w:t>(95% confidence interval)</w:t>
            </w:r>
          </w:p>
        </w:tc>
        <w:tc>
          <w:tcPr>
            <w:tcW w:w="1310" w:type="dxa"/>
            <w:shd w:val="clear" w:color="auto" w:fill="142E3A" w:themeFill="text2"/>
          </w:tcPr>
          <w:p w14:paraId="588971C8" w14:textId="77777777" w:rsidR="009F4842" w:rsidRPr="00756135" w:rsidRDefault="009F4842" w:rsidP="00756135">
            <w:pPr>
              <w:pStyle w:val="TableHeading"/>
              <w:jc w:val="center"/>
              <w:cnfStyle w:val="100000000000" w:firstRow="1" w:lastRow="0" w:firstColumn="0" w:lastColumn="0" w:oddVBand="0" w:evenVBand="0" w:oddHBand="0" w:evenHBand="0" w:firstRowFirstColumn="0" w:firstRowLastColumn="0" w:lastRowFirstColumn="0" w:lastRowLastColumn="0"/>
            </w:pPr>
            <w:r w:rsidRPr="00756135">
              <w:t>p-value</w:t>
            </w:r>
          </w:p>
        </w:tc>
      </w:tr>
      <w:tr w:rsidR="009F4842" w:rsidRPr="000F2D00" w14:paraId="0865A6B2" w14:textId="77777777" w:rsidTr="00756135">
        <w:trPr>
          <w:trHeight w:val="2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32D7A69" w14:textId="77777777" w:rsidR="009F4842" w:rsidRPr="00756135" w:rsidRDefault="009F4842" w:rsidP="00756135">
            <w:pPr>
              <w:pStyle w:val="TableText"/>
            </w:pPr>
            <w:r w:rsidRPr="00756135">
              <w:t>Control</w:t>
            </w:r>
          </w:p>
        </w:tc>
        <w:tc>
          <w:tcPr>
            <w:tcW w:w="2409" w:type="dxa"/>
            <w:vAlign w:val="center"/>
          </w:tcPr>
          <w:p w14:paraId="22BDD182"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34.9</w:t>
            </w:r>
          </w:p>
        </w:tc>
        <w:tc>
          <w:tcPr>
            <w:tcW w:w="3686" w:type="dxa"/>
            <w:vAlign w:val="center"/>
          </w:tcPr>
          <w:p w14:paraId="671B2704"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0" w:type="dxa"/>
            <w:vAlign w:val="center"/>
          </w:tcPr>
          <w:p w14:paraId="17B4A689"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p>
        </w:tc>
      </w:tr>
      <w:tr w:rsidR="009F4842" w:rsidRPr="000F2D00" w14:paraId="71D69C19" w14:textId="77777777" w:rsidTr="00756135">
        <w:trPr>
          <w:trHeight w:val="2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EB8B4BC" w14:textId="77777777" w:rsidR="009F4842" w:rsidRPr="00756135" w:rsidRDefault="009F4842" w:rsidP="00756135">
            <w:pPr>
              <w:pStyle w:val="TableText"/>
            </w:pPr>
            <w:r w:rsidRPr="00756135">
              <w:t>Prompt email (treatment)</w:t>
            </w:r>
          </w:p>
        </w:tc>
        <w:tc>
          <w:tcPr>
            <w:tcW w:w="2409" w:type="dxa"/>
            <w:vAlign w:val="center"/>
          </w:tcPr>
          <w:p w14:paraId="4EFA615E"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38.3</w:t>
            </w:r>
          </w:p>
        </w:tc>
        <w:tc>
          <w:tcPr>
            <w:tcW w:w="3686" w:type="dxa"/>
            <w:vAlign w:val="center"/>
          </w:tcPr>
          <w:p w14:paraId="31BC5426" w14:textId="423E5A4F"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3.4</w:t>
            </w:r>
            <w:r w:rsidR="00756135">
              <w:br/>
            </w:r>
            <w:r w:rsidRPr="00756135">
              <w:t>(-7.2 to 13.8)</w:t>
            </w:r>
          </w:p>
        </w:tc>
        <w:tc>
          <w:tcPr>
            <w:tcW w:w="1310" w:type="dxa"/>
            <w:vAlign w:val="center"/>
          </w:tcPr>
          <w:p w14:paraId="20F4FE90" w14:textId="77777777" w:rsidR="009F4842" w:rsidRPr="00756135" w:rsidRDefault="009F4842" w:rsidP="00756135">
            <w:pPr>
              <w:pStyle w:val="TableText"/>
              <w:jc w:val="center"/>
              <w:cnfStyle w:val="000000000000" w:firstRow="0" w:lastRow="0" w:firstColumn="0" w:lastColumn="0" w:oddVBand="0" w:evenVBand="0" w:oddHBand="0" w:evenHBand="0" w:firstRowFirstColumn="0" w:firstRowLastColumn="0" w:lastRowFirstColumn="0" w:lastRowLastColumn="0"/>
            </w:pPr>
            <w:r w:rsidRPr="00756135">
              <w:t>0.53</w:t>
            </w:r>
          </w:p>
        </w:tc>
      </w:tr>
    </w:tbl>
    <w:p w14:paraId="7E12FCD4" w14:textId="77777777" w:rsidR="009F4842" w:rsidRPr="00D00FC7" w:rsidRDefault="009F4842" w:rsidP="00D00FC7"/>
    <w:p w14:paraId="3B3A3C78" w14:textId="7ADA72DB" w:rsidR="00112024" w:rsidRDefault="00112024">
      <w:pPr>
        <w:keepLines w:val="0"/>
        <w:spacing w:before="0" w:after="0" w:line="240" w:lineRule="auto"/>
      </w:pPr>
      <w:r>
        <w:br w:type="page"/>
      </w:r>
    </w:p>
    <w:p w14:paraId="28B6F041" w14:textId="77777777" w:rsidR="00112024" w:rsidRPr="00487439" w:rsidRDefault="00112024" w:rsidP="00112024">
      <w:pPr>
        <w:pStyle w:val="Heading1"/>
      </w:pPr>
      <w:bookmarkStart w:id="14" w:name="_Toc517256245"/>
      <w:r>
        <w:lastRenderedPageBreak/>
        <w:t>References</w:t>
      </w:r>
      <w:bookmarkEnd w:id="14"/>
    </w:p>
    <w:p w14:paraId="0D2BB5C6" w14:textId="77777777" w:rsidR="00112024" w:rsidRPr="00095119" w:rsidRDefault="00112024" w:rsidP="00112024">
      <w:r w:rsidRPr="00095119">
        <w:t xml:space="preserve">Adams, C. and Webley, P., 2001. Small business owners' attitudes on VAT compliance in the UK. </w:t>
      </w:r>
      <w:r w:rsidRPr="00095119">
        <w:rPr>
          <w:i/>
        </w:rPr>
        <w:t xml:space="preserve">Journal of Economic Psychology, </w:t>
      </w:r>
      <w:r w:rsidRPr="00095119">
        <w:t>22</w:t>
      </w:r>
      <w:r>
        <w:t xml:space="preserve"> </w:t>
      </w:r>
      <w:r w:rsidRPr="00095119">
        <w:t>(2), pp.195-216.</w:t>
      </w:r>
    </w:p>
    <w:p w14:paraId="60E91D55" w14:textId="7E8B608B" w:rsidR="00112024" w:rsidRPr="00095119" w:rsidRDefault="00112024" w:rsidP="00112024">
      <w:proofErr w:type="spellStart"/>
      <w:r w:rsidRPr="00095119">
        <w:t>Benzarti</w:t>
      </w:r>
      <w:proofErr w:type="spellEnd"/>
      <w:r w:rsidRPr="00095119">
        <w:t>, Y., 2015. How taxing is tax filing? Leaving money on the</w:t>
      </w:r>
      <w:r w:rsidR="00653670">
        <w:t xml:space="preserve"> table because of </w:t>
      </w:r>
      <w:r w:rsidR="00046A02">
        <w:t>compliance</w:t>
      </w:r>
      <w:r w:rsidR="00653670">
        <w:t xml:space="preserve"> costs, </w:t>
      </w:r>
      <w:r w:rsidR="00046A02">
        <w:t xml:space="preserve">available here: </w:t>
      </w:r>
      <w:hyperlink r:id="rId27" w:history="1">
        <w:r w:rsidR="00046A02" w:rsidRPr="009D58EE">
          <w:rPr>
            <w:rStyle w:val="Hyperlink"/>
          </w:rPr>
          <w:t>https://www.ntanet.org/wp-content/uploads/proceedings/2015/213-benzarti-taxing-tax-filing-leaving-money.pdf</w:t>
        </w:r>
      </w:hyperlink>
      <w:r w:rsidR="00046A02">
        <w:t>.</w:t>
      </w:r>
    </w:p>
    <w:p w14:paraId="6A172CC1" w14:textId="77777777" w:rsidR="00112024" w:rsidRPr="00095119" w:rsidRDefault="00112024" w:rsidP="00112024">
      <w:r w:rsidRPr="00095119">
        <w:t xml:space="preserve">Hernandez, M., Jamison, J., </w:t>
      </w:r>
      <w:proofErr w:type="spellStart"/>
      <w:r w:rsidRPr="00095119">
        <w:t>Korczyc</w:t>
      </w:r>
      <w:proofErr w:type="spellEnd"/>
      <w:r w:rsidRPr="00095119">
        <w:t xml:space="preserve">, E., </w:t>
      </w:r>
      <w:proofErr w:type="spellStart"/>
      <w:r w:rsidRPr="00095119">
        <w:t>Mazar</w:t>
      </w:r>
      <w:proofErr w:type="spellEnd"/>
      <w:r w:rsidRPr="00095119">
        <w:t xml:space="preserve">, N. and </w:t>
      </w:r>
      <w:proofErr w:type="spellStart"/>
      <w:r w:rsidRPr="00095119">
        <w:t>Sormani</w:t>
      </w:r>
      <w:proofErr w:type="spellEnd"/>
      <w:r w:rsidRPr="00095119">
        <w:t xml:space="preserve">, R., 2017. Applying </w:t>
      </w:r>
      <w:proofErr w:type="spellStart"/>
      <w:r w:rsidRPr="00095119">
        <w:t>Behavioral</w:t>
      </w:r>
      <w:proofErr w:type="spellEnd"/>
      <w:r w:rsidRPr="00095119">
        <w:t xml:space="preserve"> Insights to Improve Tax Collection, pp. 30-31.</w:t>
      </w:r>
    </w:p>
    <w:p w14:paraId="161CD104" w14:textId="77777777" w:rsidR="00112024" w:rsidRPr="00095119" w:rsidRDefault="00112024" w:rsidP="00112024">
      <w:r w:rsidRPr="00095119">
        <w:t xml:space="preserve">Lusardi, A., Keller, P.A. and Keller, A.M., 2009. </w:t>
      </w:r>
      <w:r w:rsidRPr="00095119">
        <w:rPr>
          <w:i/>
        </w:rPr>
        <w:t>New ways to make people save: a social marketing approach</w:t>
      </w:r>
      <w:r w:rsidRPr="00095119">
        <w:t xml:space="preserve"> (No. w14715). National Bureau of Economic Research.</w:t>
      </w:r>
    </w:p>
    <w:p w14:paraId="6A8B4551" w14:textId="77777777" w:rsidR="00112024" w:rsidRDefault="00112024" w:rsidP="00112024">
      <w:r w:rsidRPr="001D0EBD">
        <w:t>Wasserstein, R. and L</w:t>
      </w:r>
      <w:r>
        <w:t>azar, N., 2016</w:t>
      </w:r>
      <w:r w:rsidRPr="001D0EBD">
        <w:t>. ‘The ASA's Statement on p-Values: Context, Process, and Purpose</w:t>
      </w:r>
      <w:r>
        <w:t>.</w:t>
      </w:r>
      <w:r w:rsidRPr="001D0EBD">
        <w:t xml:space="preserve"> </w:t>
      </w:r>
      <w:r w:rsidRPr="001D0EBD">
        <w:rPr>
          <w:i/>
        </w:rPr>
        <w:t>The American Statistician</w:t>
      </w:r>
      <w:r w:rsidRPr="001D0EBD">
        <w:t>, 70(2), pp</w:t>
      </w:r>
      <w:r>
        <w:t>.129-133</w:t>
      </w:r>
    </w:p>
    <w:p w14:paraId="4D53CA13" w14:textId="00F1BD0B" w:rsidR="007A60B4" w:rsidRDefault="00112024" w:rsidP="00B23F96">
      <w:pPr>
        <w:sectPr w:rsidR="007A60B4" w:rsidSect="008253C4">
          <w:footerReference w:type="default" r:id="rId28"/>
          <w:pgSz w:w="11906" w:h="16838" w:code="9"/>
          <w:pgMar w:top="2041" w:right="2381" w:bottom="1247" w:left="1247" w:header="720" w:footer="851" w:gutter="0"/>
          <w:cols w:space="708"/>
          <w:docGrid w:linePitch="360"/>
        </w:sectPr>
      </w:pPr>
      <w:r>
        <w:br w:type="page"/>
      </w:r>
    </w:p>
    <w:p w14:paraId="227C174B" w14:textId="77777777" w:rsidR="00D10FA1" w:rsidRDefault="00037F3D" w:rsidP="00E320C4">
      <w:pPr>
        <w:ind w:left="-378"/>
      </w:pPr>
      <w:r>
        <w:rPr>
          <w:noProof/>
        </w:rPr>
        <w:lastRenderedPageBreak/>
        <w:drawing>
          <wp:inline distT="0" distB="0" distL="0" distR="0" wp14:anchorId="20D9F8FA" wp14:editId="65315999">
            <wp:extent cx="2532893" cy="3496063"/>
            <wp:effectExtent l="0" t="0" r="127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32893" cy="3496063"/>
                    </a:xfrm>
                    <a:prstGeom prst="rect">
                      <a:avLst/>
                    </a:prstGeom>
                  </pic:spPr>
                </pic:pic>
              </a:graphicData>
            </a:graphic>
          </wp:inline>
        </w:drawing>
      </w:r>
    </w:p>
    <w:p w14:paraId="0D964A4D" w14:textId="77777777" w:rsidR="001A0BF0" w:rsidRPr="00DF234F" w:rsidRDefault="001A0BF0" w:rsidP="001A0BF0">
      <w:pPr>
        <w:pStyle w:val="BackPageH1"/>
      </w:pPr>
      <w:r w:rsidRPr="00037F3D">
        <w:t xml:space="preserve">Behavioural Economics Team </w:t>
      </w:r>
      <w:r>
        <w:br/>
      </w:r>
      <w:r w:rsidRPr="00037F3D">
        <w:t>of the Australian Government</w:t>
      </w:r>
    </w:p>
    <w:p w14:paraId="59AD2C56" w14:textId="77777777" w:rsidR="001A0BF0" w:rsidRPr="004A4D74" w:rsidRDefault="001A0BF0" w:rsidP="004A4D74">
      <w:pPr>
        <w:pStyle w:val="BackPageH2"/>
      </w:pPr>
      <w:r w:rsidRPr="004A4D74">
        <w:t xml:space="preserve">General enquiries </w:t>
      </w:r>
      <w:hyperlink r:id="rId30" w:history="1">
        <w:r w:rsidRPr="004A4D74">
          <w:rPr>
            <w:rStyle w:val="Hyperlink"/>
          </w:rPr>
          <w:t>beta@pmc.gov.au</w:t>
        </w:r>
      </w:hyperlink>
    </w:p>
    <w:p w14:paraId="638ABA34" w14:textId="77777777" w:rsidR="001A0BF0" w:rsidRPr="004A4D74" w:rsidRDefault="001A0BF0" w:rsidP="004A4D74">
      <w:pPr>
        <w:pStyle w:val="BackPageH2"/>
      </w:pPr>
      <w:r w:rsidRPr="004A4D74">
        <w:t xml:space="preserve">Media enquiries </w:t>
      </w:r>
      <w:hyperlink r:id="rId31" w:history="1">
        <w:r w:rsidRPr="004A4D74">
          <w:rPr>
            <w:rStyle w:val="Hyperlink"/>
          </w:rPr>
          <w:t>media@pmc.gov.au</w:t>
        </w:r>
      </w:hyperlink>
    </w:p>
    <w:p w14:paraId="5C164A5C" w14:textId="77777777" w:rsidR="001A0BF0" w:rsidRPr="004A4D74" w:rsidRDefault="001A0BF0" w:rsidP="004A4D74">
      <w:pPr>
        <w:pStyle w:val="BackPageH2"/>
      </w:pPr>
      <w:r w:rsidRPr="004A4D74">
        <w:t xml:space="preserve">Find out more </w:t>
      </w:r>
      <w:hyperlink r:id="rId32" w:history="1">
        <w:r w:rsidRPr="004A4D74">
          <w:rPr>
            <w:rStyle w:val="Hyperlink"/>
          </w:rPr>
          <w:t>www.pmc.gov.au/beta</w:t>
        </w:r>
      </w:hyperlink>
    </w:p>
    <w:p w14:paraId="5E2F93B8" w14:textId="77777777" w:rsidR="00037F3D" w:rsidRPr="00037F3D" w:rsidRDefault="00037F3D" w:rsidP="00037F3D">
      <w:pPr>
        <w:spacing w:before="0" w:after="0" w:line="240" w:lineRule="auto"/>
        <w:rPr>
          <w:sz w:val="2"/>
          <w:szCs w:val="2"/>
        </w:rPr>
      </w:pPr>
    </w:p>
    <w:sectPr w:rsidR="00037F3D" w:rsidRPr="00037F3D" w:rsidSect="00F202CA">
      <w:headerReference w:type="default" r:id="rId33"/>
      <w:footerReference w:type="default" r:id="rId34"/>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F879" w14:textId="77777777" w:rsidR="00D576B1" w:rsidRDefault="00D576B1">
      <w:r>
        <w:separator/>
      </w:r>
    </w:p>
  </w:endnote>
  <w:endnote w:type="continuationSeparator" w:id="0">
    <w:p w14:paraId="377B68BB" w14:textId="77777777" w:rsidR="00D576B1" w:rsidRDefault="00D576B1">
      <w:r>
        <w:continuationSeparator/>
      </w:r>
    </w:p>
  </w:endnote>
  <w:endnote w:type="continuationNotice" w:id="1">
    <w:p w14:paraId="4A99CD54" w14:textId="77777777" w:rsidR="00D576B1" w:rsidRDefault="00D576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ontserrat Hairline">
    <w:panose1 w:val="00000300000000000000"/>
    <w:charset w:val="00"/>
    <w:family w:val="modern"/>
    <w:notTrueType/>
    <w:pitch w:val="variable"/>
    <w:sig w:usb0="00000007" w:usb1="00000000" w:usb2="00000000" w:usb3="00000000" w:csb0="00000093"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1249" w14:textId="6B361FC4" w:rsidR="00653670" w:rsidRPr="008253C4" w:rsidRDefault="00653670" w:rsidP="00A00EEB">
    <w:pPr>
      <w:pStyle w:val="Footer"/>
      <w:rPr>
        <w:color w:val="FFFFFF" w:themeColor="background1"/>
      </w:rPr>
    </w:pPr>
    <w:r w:rsidRPr="003F31E6">
      <w:rPr>
        <w:noProof/>
      </w:rPr>
      <mc:AlternateContent>
        <mc:Choice Requires="wps">
          <w:drawing>
            <wp:anchor distT="0" distB="0" distL="114300" distR="114300" simplePos="0" relativeHeight="251658240" behindDoc="1" locked="0" layoutInCell="1" allowOverlap="1" wp14:anchorId="7951284A" wp14:editId="46D2BD19">
              <wp:simplePos x="0" y="0"/>
              <wp:positionH relativeFrom="page">
                <wp:posOffset>0</wp:posOffset>
              </wp:positionH>
              <wp:positionV relativeFrom="page">
                <wp:posOffset>0</wp:posOffset>
              </wp:positionV>
              <wp:extent cx="7560000" cy="10692000"/>
              <wp:effectExtent l="0" t="0" r="9525" b="1905"/>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1A2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A9911"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" fillcolor="#1a2a39"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3F08B5">
      <w:rPr>
        <w:noProof/>
        <w:color w:val="FFFFFF" w:themeColor="background1"/>
      </w:rPr>
      <w:t>3</w:t>
    </w:r>
    <w:r w:rsidRPr="008253C4">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A4CF" w14:textId="2CC3D3FA" w:rsidR="00653670" w:rsidRDefault="00653670" w:rsidP="00A00EEB">
    <w:pPr>
      <w:pStyle w:val="Footer"/>
    </w:pPr>
    <w:r w:rsidRPr="003F31E6">
      <w:rPr>
        <w:noProof/>
      </w:rPr>
      <mc:AlternateContent>
        <mc:Choice Requires="wps">
          <w:drawing>
            <wp:anchor distT="0" distB="0" distL="114300" distR="114300" simplePos="0" relativeHeight="251658241" behindDoc="1" locked="0" layoutInCell="1" allowOverlap="1" wp14:anchorId="092D5B16" wp14:editId="2C0C2087">
              <wp:simplePos x="0" y="0"/>
              <wp:positionH relativeFrom="page">
                <wp:posOffset>0</wp:posOffset>
              </wp:positionH>
              <wp:positionV relativeFrom="page">
                <wp:posOffset>0</wp:posOffset>
              </wp:positionV>
              <wp:extent cx="7560000" cy="10692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3377" id="Rectangle 4" o:spid="_x0000_s1026"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" fillcolor="#f2f2f2 [3052]" stroked="f" strokeweight="2pt">
              <w10:wrap anchorx="page" anchory="page"/>
            </v:rect>
          </w:pict>
        </mc:Fallback>
      </mc:AlternateContent>
    </w: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F08B5">
      <w:rPr>
        <w:noProof/>
      </w:rPr>
      <w:t>15</w:t>
    </w:r>
    <w:r w:rsidRPr="00D91D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BC20" w14:textId="77777777" w:rsidR="00653670" w:rsidRPr="00F202CA" w:rsidRDefault="00653670"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478F" w14:textId="77777777" w:rsidR="00D576B1" w:rsidRDefault="00D576B1">
      <w:r>
        <w:separator/>
      </w:r>
    </w:p>
  </w:footnote>
  <w:footnote w:type="continuationSeparator" w:id="0">
    <w:p w14:paraId="0AB0C019" w14:textId="77777777" w:rsidR="00D576B1" w:rsidRDefault="00D576B1">
      <w:r>
        <w:continuationSeparator/>
      </w:r>
    </w:p>
  </w:footnote>
  <w:footnote w:type="continuationNotice" w:id="1">
    <w:p w14:paraId="023B38E3" w14:textId="77777777" w:rsidR="00D576B1" w:rsidRDefault="00D576B1">
      <w:pPr>
        <w:spacing w:before="0" w:after="0" w:line="240" w:lineRule="auto"/>
      </w:pPr>
    </w:p>
  </w:footnote>
  <w:footnote w:id="2">
    <w:p w14:paraId="67DABE52" w14:textId="4776F347" w:rsidR="00653670" w:rsidRPr="00C7141D" w:rsidRDefault="00653670">
      <w:pPr>
        <w:pStyle w:val="FootnoteText"/>
        <w:rPr>
          <w:lang w:val="en-US"/>
        </w:rPr>
      </w:pPr>
      <w:r>
        <w:rPr>
          <w:rStyle w:val="FootnoteReference"/>
        </w:rPr>
        <w:footnoteRef/>
      </w:r>
      <w:r>
        <w:t xml:space="preserve"> </w:t>
      </w:r>
      <w:r>
        <w:rPr>
          <w:lang w:val="en-US"/>
        </w:rPr>
        <w:t>The control group paid an average of PLN1</w:t>
      </w:r>
      <w:proofErr w:type="gramStart"/>
      <w:r>
        <w:rPr>
          <w:lang w:val="en-US"/>
        </w:rPr>
        <w:t>,146</w:t>
      </w:r>
      <w:proofErr w:type="gramEnd"/>
      <w:r>
        <w:rPr>
          <w:lang w:val="en-US"/>
        </w:rPr>
        <w:t xml:space="preserve"> in tax, the treatment group paid an average of PLN1,316 in tax. </w:t>
      </w:r>
      <w:r w:rsidRPr="00896202">
        <w:rPr>
          <w:lang w:val="en-US"/>
        </w:rPr>
        <w:t>PLN is the Polish currency, the Zloty.</w:t>
      </w:r>
      <w:r>
        <w:rPr>
          <w:lang w:val="en-US"/>
        </w:rPr>
        <w:t xml:space="preserve"> Exchange rate as at February 2016, based on publication date of draft World Bank report.</w:t>
      </w:r>
      <w:r>
        <w:rPr>
          <w:lang w:val="en-US"/>
        </w:rPr>
        <w:br/>
      </w:r>
    </w:p>
  </w:footnote>
  <w:footnote w:id="3">
    <w:p w14:paraId="1E55D7FC" w14:textId="015BFFCE" w:rsidR="00653670" w:rsidRDefault="00653670">
      <w:pPr>
        <w:pStyle w:val="FootnoteText"/>
      </w:pPr>
      <w:r>
        <w:rPr>
          <w:rStyle w:val="FootnoteReference"/>
        </w:rPr>
        <w:footnoteRef/>
      </w:r>
      <w:r>
        <w:t xml:space="preserve">  We are aware there is a lively academic debate about the merits of testing for ‘statistical significance’, the appropriateness of conventional thresholds such as p&lt;0.05 (or any thresholds at all), and even the use of p</w:t>
      </w:r>
      <w:r>
        <w:noBreakHyphen/>
        <w:t>values generally. See, in particular, ‘The American Statistical Association Statement on Statistical Significance and P-Values’ (</w:t>
      </w:r>
      <w:proofErr w:type="spellStart"/>
      <w:r>
        <w:t>Wassertein</w:t>
      </w:r>
      <w:proofErr w:type="spellEnd"/>
      <w:r>
        <w:t xml:space="preserve"> and Lazar 2016).</w:t>
      </w:r>
    </w:p>
  </w:footnote>
  <w:footnote w:id="4">
    <w:p w14:paraId="7395D8B5" w14:textId="5E3DDA96" w:rsidR="00653670" w:rsidRPr="000E1811" w:rsidRDefault="00653670">
      <w:pPr>
        <w:pStyle w:val="FootnoteText"/>
        <w:rPr>
          <w:lang w:val="en-US"/>
        </w:rPr>
      </w:pPr>
      <w:r>
        <w:rPr>
          <w:rStyle w:val="FootnoteReference"/>
        </w:rPr>
        <w:footnoteRef/>
      </w:r>
      <w:r>
        <w:t xml:space="preserve"> </w:t>
      </w:r>
      <w:r>
        <w:rPr>
          <w:lang w:val="en-US"/>
        </w:rPr>
        <w:t>These figures</w:t>
      </w:r>
      <w:r w:rsidRPr="00444AB5">
        <w:t xml:space="preserve"> </w:t>
      </w:r>
      <w:r w:rsidRPr="00444AB5">
        <w:rPr>
          <w:lang w:val="en-US"/>
        </w:rPr>
        <w:t>are derived from a slightly reduced analysis sample – 1,194, down from 1,279 – because we excluded businesses that had multiple changes to their compliance status over the 21 day period.</w:t>
      </w:r>
    </w:p>
  </w:footnote>
  <w:footnote w:id="5">
    <w:p w14:paraId="0CA189BD" w14:textId="41DA3E92" w:rsidR="00653670" w:rsidRPr="00F6696D" w:rsidRDefault="00653670" w:rsidP="0095076D">
      <w:pPr>
        <w:pStyle w:val="FootnoteText"/>
      </w:pPr>
      <w:r>
        <w:rPr>
          <w:rStyle w:val="FootnoteReference"/>
        </w:rPr>
        <w:footnoteRef/>
      </w:r>
      <w:r>
        <w:t xml:space="preserve"> </w:t>
      </w:r>
      <w:r w:rsidRPr="00F6696D">
        <w:t xml:space="preserve">A pre-analysis plan sets out how </w:t>
      </w:r>
      <w:r>
        <w:t xml:space="preserve">a </w:t>
      </w:r>
      <w:r w:rsidRPr="00F6696D">
        <w:t>research</w:t>
      </w:r>
      <w:r>
        <w:t>er</w:t>
      </w:r>
      <w:r w:rsidRPr="00F6696D">
        <w:t xml:space="preserve"> is going to analyse the data and is prepared before the researcher sees the data (and ideally, before data collection begins). This avoids the problem </w:t>
      </w:r>
      <w:r>
        <w:t>of</w:t>
      </w:r>
      <w:r w:rsidRPr="00F6696D">
        <w:t xml:space="preserve"> data mining and publication bias.</w:t>
      </w:r>
    </w:p>
  </w:footnote>
  <w:footnote w:id="6">
    <w:p w14:paraId="7CC20171" w14:textId="64B6F87E" w:rsidR="00653670" w:rsidRPr="0080644A" w:rsidRDefault="00653670">
      <w:pPr>
        <w:pStyle w:val="FootnoteText"/>
        <w:rPr>
          <w:lang w:val="en-US"/>
        </w:rPr>
      </w:pPr>
      <w:r>
        <w:rPr>
          <w:rStyle w:val="FootnoteReference"/>
        </w:rPr>
        <w:footnoteRef/>
      </w:r>
      <w:r>
        <w:t xml:space="preserve"> A</w:t>
      </w:r>
      <w:r w:rsidRPr="0026444B">
        <w:t xml:space="preserve"> median is the middle value, with exactly half of the sam</w:t>
      </w:r>
      <w:r>
        <w:t xml:space="preserve">ple above and below this number. </w:t>
      </w:r>
      <w:r w:rsidRPr="0026444B">
        <w:t>We chose the median</w:t>
      </w:r>
      <w:r>
        <w:t xml:space="preserve"> for this analysis</w:t>
      </w:r>
      <w:r w:rsidRPr="0026444B">
        <w:t xml:space="preserve"> because it is le</w:t>
      </w:r>
      <w:r>
        <w:t>ss influenced by extreme values. This is important because we did not match businesses on the amount they owed, and two businesses i</w:t>
      </w:r>
      <w:r w:rsidRPr="0026444B">
        <w:t>n the</w:t>
      </w:r>
      <w:r>
        <w:t xml:space="preserve"> no email group (control)</w:t>
      </w:r>
      <w:r w:rsidRPr="0026444B">
        <w:t xml:space="preserve"> made very large payments. In part due to the payments by these two businesses, the </w:t>
      </w:r>
      <w:r>
        <w:t>no email group (control)</w:t>
      </w:r>
      <w:r w:rsidRPr="0026444B">
        <w:t xml:space="preserve"> paid a total of $57.7 million while businesses in the direct email group paid $30.4 million and businesses in the cooperative email group paid $35.7 million. For more information on payments made and client account balances, see Table 3.6 and Table 3.7 in Appendix 3.</w:t>
      </w:r>
    </w:p>
  </w:footnote>
  <w:footnote w:id="7">
    <w:p w14:paraId="55C569F2" w14:textId="66B14920" w:rsidR="00653670" w:rsidRPr="00653670" w:rsidRDefault="00653670">
      <w:pPr>
        <w:pStyle w:val="FootnoteText"/>
        <w:rPr>
          <w:lang w:val="en-US"/>
        </w:rPr>
      </w:pPr>
      <w:r>
        <w:rPr>
          <w:rStyle w:val="FootnoteReference"/>
        </w:rPr>
        <w:footnoteRef/>
      </w:r>
      <w:r>
        <w:t xml:space="preserve"> </w:t>
      </w:r>
      <w:r w:rsidRPr="004622AC">
        <w:rPr>
          <w:rFonts w:eastAsia="Cambria"/>
        </w:rPr>
        <w:t>A p-value evaluates how well the data from the study supports the argument that there is no difference between experimental groups (also called the null hypothesis). This means the p</w:t>
      </w:r>
      <w:r w:rsidRPr="004622AC">
        <w:rPr>
          <w:rFonts w:eastAsia="Cambria"/>
        </w:rPr>
        <w:noBreakHyphen/>
        <w:t>value is the probability of obtaining an effect at least as extreme as the finding in the study assuming the null hypothesis is true.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69E3" w14:textId="77777777" w:rsidR="00653670" w:rsidRPr="008253C4" w:rsidRDefault="00653670" w:rsidP="00825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CA7C" w14:textId="77777777" w:rsidR="00653670" w:rsidRPr="00F202CA" w:rsidRDefault="00653670"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38F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4CBB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0278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086A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43826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BCFC6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F830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1659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D89E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0" w15:restartNumberingAfterBreak="0">
    <w:nsid w:val="018A28DA"/>
    <w:multiLevelType w:val="hybridMultilevel"/>
    <w:tmpl w:val="CB62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921D44"/>
    <w:multiLevelType w:val="hybridMultilevel"/>
    <w:tmpl w:val="F9C4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FC015B"/>
    <w:multiLevelType w:val="hybridMultilevel"/>
    <w:tmpl w:val="7654F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C03D86"/>
    <w:multiLevelType w:val="hybridMultilevel"/>
    <w:tmpl w:val="058C2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2457F"/>
    <w:multiLevelType w:val="hybridMultilevel"/>
    <w:tmpl w:val="DB725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3E4599"/>
    <w:multiLevelType w:val="hybridMultilevel"/>
    <w:tmpl w:val="5DEE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6A40A0"/>
    <w:multiLevelType w:val="hybridMultilevel"/>
    <w:tmpl w:val="E608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A63EA"/>
    <w:multiLevelType w:val="hybridMultilevel"/>
    <w:tmpl w:val="44F8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7663C"/>
    <w:multiLevelType w:val="hybridMultilevel"/>
    <w:tmpl w:val="926E2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102795"/>
    <w:multiLevelType w:val="hybridMultilevel"/>
    <w:tmpl w:val="928C7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711011"/>
    <w:multiLevelType w:val="hybridMultilevel"/>
    <w:tmpl w:val="25A6D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BB60637"/>
    <w:multiLevelType w:val="hybridMultilevel"/>
    <w:tmpl w:val="52B0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4D4214"/>
    <w:multiLevelType w:val="hybridMultilevel"/>
    <w:tmpl w:val="95E04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786"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673C8"/>
    <w:multiLevelType w:val="hybridMultilevel"/>
    <w:tmpl w:val="13FC0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418078E"/>
    <w:multiLevelType w:val="hybridMultilevel"/>
    <w:tmpl w:val="EC98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425F65"/>
    <w:multiLevelType w:val="multilevel"/>
    <w:tmpl w:val="CB0A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E1A15"/>
    <w:multiLevelType w:val="hybridMultilevel"/>
    <w:tmpl w:val="9F3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A64BD"/>
    <w:multiLevelType w:val="hybridMultilevel"/>
    <w:tmpl w:val="F28A4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D5A29A6"/>
    <w:multiLevelType w:val="hybridMultilevel"/>
    <w:tmpl w:val="16E8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104499"/>
    <w:multiLevelType w:val="hybridMultilevel"/>
    <w:tmpl w:val="CD3C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B67532"/>
    <w:multiLevelType w:val="multilevel"/>
    <w:tmpl w:val="C4A2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C33A85"/>
    <w:multiLevelType w:val="hybridMultilevel"/>
    <w:tmpl w:val="7126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4627F2"/>
    <w:multiLevelType w:val="hybridMultilevel"/>
    <w:tmpl w:val="56B0F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8431C3"/>
    <w:multiLevelType w:val="hybridMultilevel"/>
    <w:tmpl w:val="51B29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F76950"/>
    <w:multiLevelType w:val="hybridMultilevel"/>
    <w:tmpl w:val="E1EA8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834EC1"/>
    <w:multiLevelType w:val="hybridMultilevel"/>
    <w:tmpl w:val="37D656FE"/>
    <w:lvl w:ilvl="0" w:tplc="A380EDB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36AE9"/>
    <w:multiLevelType w:val="hybridMultilevel"/>
    <w:tmpl w:val="760E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9F0081"/>
    <w:multiLevelType w:val="hybridMultilevel"/>
    <w:tmpl w:val="F2460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3"/>
  </w:num>
  <w:num w:numId="4">
    <w:abstractNumId w:val="27"/>
  </w:num>
  <w:num w:numId="5">
    <w:abstractNumId w:val="19"/>
  </w:num>
  <w:num w:numId="6">
    <w:abstractNumId w:val="37"/>
  </w:num>
  <w:num w:numId="7">
    <w:abstractNumId w:val="31"/>
  </w:num>
  <w:num w:numId="8">
    <w:abstractNumId w:val="19"/>
  </w:num>
  <w:num w:numId="9">
    <w:abstractNumId w:val="34"/>
  </w:num>
  <w:num w:numId="10">
    <w:abstractNumId w:val="28"/>
  </w:num>
  <w:num w:numId="11">
    <w:abstractNumId w:val="21"/>
  </w:num>
  <w:num w:numId="12">
    <w:abstractNumId w:val="29"/>
  </w:num>
  <w:num w:numId="13">
    <w:abstractNumId w:val="14"/>
  </w:num>
  <w:num w:numId="14">
    <w:abstractNumId w:val="36"/>
  </w:num>
  <w:num w:numId="15">
    <w:abstractNumId w:val="15"/>
  </w:num>
  <w:num w:numId="16">
    <w:abstractNumId w:val="20"/>
  </w:num>
  <w:num w:numId="17">
    <w:abstractNumId w:val="18"/>
  </w:num>
  <w:num w:numId="18">
    <w:abstractNumId w:val="25"/>
  </w:num>
  <w:num w:numId="19">
    <w:abstractNumId w:val="30"/>
  </w:num>
  <w:num w:numId="20">
    <w:abstractNumId w:val="33"/>
  </w:num>
  <w:num w:numId="21">
    <w:abstractNumId w:val="16"/>
  </w:num>
  <w:num w:numId="22">
    <w:abstractNumId w:val="13"/>
  </w:num>
  <w:num w:numId="23">
    <w:abstractNumId w:val="10"/>
  </w:num>
  <w:num w:numId="24">
    <w:abstractNumId w:val="22"/>
  </w:num>
  <w:num w:numId="25">
    <w:abstractNumId w:val="24"/>
  </w:num>
  <w:num w:numId="26">
    <w:abstractNumId w:val="32"/>
  </w:num>
  <w:num w:numId="27">
    <w:abstractNumId w:val="17"/>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11"/>
  </w:num>
  <w:num w:numId="37">
    <w:abstractNumId w:val="26"/>
  </w:num>
  <w:num w:numId="38">
    <w:abstractNumId w:val="35"/>
  </w:num>
  <w:num w:numId="39">
    <w:abstractNumId w:val="0"/>
  </w:num>
  <w:num w:numId="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F8"/>
    <w:rsid w:val="00005785"/>
    <w:rsid w:val="00006876"/>
    <w:rsid w:val="000079AD"/>
    <w:rsid w:val="00007D1F"/>
    <w:rsid w:val="00010D84"/>
    <w:rsid w:val="00010F15"/>
    <w:rsid w:val="00011CE3"/>
    <w:rsid w:val="00013D4D"/>
    <w:rsid w:val="000176B5"/>
    <w:rsid w:val="00021996"/>
    <w:rsid w:val="00022E9C"/>
    <w:rsid w:val="00024EF0"/>
    <w:rsid w:val="00025631"/>
    <w:rsid w:val="00027B26"/>
    <w:rsid w:val="00030705"/>
    <w:rsid w:val="0003108E"/>
    <w:rsid w:val="00032861"/>
    <w:rsid w:val="00032B77"/>
    <w:rsid w:val="00035A9B"/>
    <w:rsid w:val="00037F3D"/>
    <w:rsid w:val="00042285"/>
    <w:rsid w:val="00043256"/>
    <w:rsid w:val="00045A89"/>
    <w:rsid w:val="00046A02"/>
    <w:rsid w:val="00046F8E"/>
    <w:rsid w:val="00047524"/>
    <w:rsid w:val="0005040E"/>
    <w:rsid w:val="0005087D"/>
    <w:rsid w:val="00050F9E"/>
    <w:rsid w:val="0005293E"/>
    <w:rsid w:val="00052D50"/>
    <w:rsid w:val="000547EF"/>
    <w:rsid w:val="00056004"/>
    <w:rsid w:val="0006075A"/>
    <w:rsid w:val="0006174E"/>
    <w:rsid w:val="00061C84"/>
    <w:rsid w:val="00062484"/>
    <w:rsid w:val="00063129"/>
    <w:rsid w:val="00063FF2"/>
    <w:rsid w:val="00064EE9"/>
    <w:rsid w:val="00065022"/>
    <w:rsid w:val="00065A5E"/>
    <w:rsid w:val="000677BA"/>
    <w:rsid w:val="00070681"/>
    <w:rsid w:val="0007097B"/>
    <w:rsid w:val="00070F67"/>
    <w:rsid w:val="000722B0"/>
    <w:rsid w:val="00072DA5"/>
    <w:rsid w:val="00076156"/>
    <w:rsid w:val="00077E0B"/>
    <w:rsid w:val="00080A09"/>
    <w:rsid w:val="00081CEB"/>
    <w:rsid w:val="00082D18"/>
    <w:rsid w:val="00083082"/>
    <w:rsid w:val="00083F36"/>
    <w:rsid w:val="000866DF"/>
    <w:rsid w:val="00086D9F"/>
    <w:rsid w:val="00087B2C"/>
    <w:rsid w:val="00087D4E"/>
    <w:rsid w:val="00087DBD"/>
    <w:rsid w:val="00090718"/>
    <w:rsid w:val="0009142F"/>
    <w:rsid w:val="00091B4E"/>
    <w:rsid w:val="00091CD7"/>
    <w:rsid w:val="00093DD5"/>
    <w:rsid w:val="00095119"/>
    <w:rsid w:val="000A03DD"/>
    <w:rsid w:val="000A1A09"/>
    <w:rsid w:val="000A47A8"/>
    <w:rsid w:val="000A48B2"/>
    <w:rsid w:val="000A73FB"/>
    <w:rsid w:val="000A761A"/>
    <w:rsid w:val="000B0129"/>
    <w:rsid w:val="000B218A"/>
    <w:rsid w:val="000C014D"/>
    <w:rsid w:val="000C1084"/>
    <w:rsid w:val="000C29B4"/>
    <w:rsid w:val="000C3B34"/>
    <w:rsid w:val="000C5CD8"/>
    <w:rsid w:val="000C7A69"/>
    <w:rsid w:val="000D1158"/>
    <w:rsid w:val="000D193B"/>
    <w:rsid w:val="000D374D"/>
    <w:rsid w:val="000D4703"/>
    <w:rsid w:val="000E07B3"/>
    <w:rsid w:val="000E12D4"/>
    <w:rsid w:val="000E1811"/>
    <w:rsid w:val="000E39EF"/>
    <w:rsid w:val="000E3CCF"/>
    <w:rsid w:val="000E51CE"/>
    <w:rsid w:val="000E620E"/>
    <w:rsid w:val="000E7C47"/>
    <w:rsid w:val="000F2063"/>
    <w:rsid w:val="000F3D28"/>
    <w:rsid w:val="000F4081"/>
    <w:rsid w:val="000F63C4"/>
    <w:rsid w:val="000F7463"/>
    <w:rsid w:val="00100200"/>
    <w:rsid w:val="001003F7"/>
    <w:rsid w:val="00102432"/>
    <w:rsid w:val="0010263D"/>
    <w:rsid w:val="00102824"/>
    <w:rsid w:val="0010300A"/>
    <w:rsid w:val="00112024"/>
    <w:rsid w:val="001131F0"/>
    <w:rsid w:val="001139C7"/>
    <w:rsid w:val="00114EBC"/>
    <w:rsid w:val="001239B3"/>
    <w:rsid w:val="0012427E"/>
    <w:rsid w:val="001247E0"/>
    <w:rsid w:val="001252F6"/>
    <w:rsid w:val="00126750"/>
    <w:rsid w:val="00127147"/>
    <w:rsid w:val="001271A1"/>
    <w:rsid w:val="001308DB"/>
    <w:rsid w:val="00131C0F"/>
    <w:rsid w:val="001325BF"/>
    <w:rsid w:val="00132F0D"/>
    <w:rsid w:val="00133713"/>
    <w:rsid w:val="00135B7E"/>
    <w:rsid w:val="0013636E"/>
    <w:rsid w:val="00137933"/>
    <w:rsid w:val="00140FC9"/>
    <w:rsid w:val="001413C5"/>
    <w:rsid w:val="0014231B"/>
    <w:rsid w:val="00142956"/>
    <w:rsid w:val="00142D10"/>
    <w:rsid w:val="001432B0"/>
    <w:rsid w:val="00144868"/>
    <w:rsid w:val="001452BC"/>
    <w:rsid w:val="00150D2A"/>
    <w:rsid w:val="00150E25"/>
    <w:rsid w:val="00150EA9"/>
    <w:rsid w:val="00151650"/>
    <w:rsid w:val="00152415"/>
    <w:rsid w:val="00155B98"/>
    <w:rsid w:val="00157001"/>
    <w:rsid w:val="00157709"/>
    <w:rsid w:val="001604FD"/>
    <w:rsid w:val="001608BC"/>
    <w:rsid w:val="00160B66"/>
    <w:rsid w:val="00160E91"/>
    <w:rsid w:val="00165626"/>
    <w:rsid w:val="00166272"/>
    <w:rsid w:val="001671D2"/>
    <w:rsid w:val="00167A02"/>
    <w:rsid w:val="00167C3F"/>
    <w:rsid w:val="00167CF4"/>
    <w:rsid w:val="00170BE9"/>
    <w:rsid w:val="0017147C"/>
    <w:rsid w:val="0017194E"/>
    <w:rsid w:val="00171F1A"/>
    <w:rsid w:val="0017249B"/>
    <w:rsid w:val="001727A4"/>
    <w:rsid w:val="00175BD4"/>
    <w:rsid w:val="00176167"/>
    <w:rsid w:val="00177EC4"/>
    <w:rsid w:val="00181533"/>
    <w:rsid w:val="001824C8"/>
    <w:rsid w:val="00182698"/>
    <w:rsid w:val="00183351"/>
    <w:rsid w:val="001843D4"/>
    <w:rsid w:val="001864FD"/>
    <w:rsid w:val="0019068F"/>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2FC"/>
    <w:rsid w:val="001B6D86"/>
    <w:rsid w:val="001B6F28"/>
    <w:rsid w:val="001C4F4F"/>
    <w:rsid w:val="001C6BA1"/>
    <w:rsid w:val="001C6F22"/>
    <w:rsid w:val="001D141C"/>
    <w:rsid w:val="001D16A7"/>
    <w:rsid w:val="001D2904"/>
    <w:rsid w:val="001D652D"/>
    <w:rsid w:val="001D661B"/>
    <w:rsid w:val="001D693F"/>
    <w:rsid w:val="001D6EDF"/>
    <w:rsid w:val="001D6F9E"/>
    <w:rsid w:val="001E38FB"/>
    <w:rsid w:val="001E52C2"/>
    <w:rsid w:val="001E5637"/>
    <w:rsid w:val="001E6A27"/>
    <w:rsid w:val="001F0BE1"/>
    <w:rsid w:val="001F101A"/>
    <w:rsid w:val="001F24EF"/>
    <w:rsid w:val="001F2C32"/>
    <w:rsid w:val="001F56C7"/>
    <w:rsid w:val="001F70E2"/>
    <w:rsid w:val="00203039"/>
    <w:rsid w:val="00203B5D"/>
    <w:rsid w:val="00204B17"/>
    <w:rsid w:val="002069D2"/>
    <w:rsid w:val="002111E1"/>
    <w:rsid w:val="00211DA2"/>
    <w:rsid w:val="00213693"/>
    <w:rsid w:val="00215137"/>
    <w:rsid w:val="00215479"/>
    <w:rsid w:val="00215B00"/>
    <w:rsid w:val="00215CCB"/>
    <w:rsid w:val="00216CF5"/>
    <w:rsid w:val="00217E3C"/>
    <w:rsid w:val="0022037B"/>
    <w:rsid w:val="00222C8D"/>
    <w:rsid w:val="002256A8"/>
    <w:rsid w:val="00230E6B"/>
    <w:rsid w:val="00232B97"/>
    <w:rsid w:val="0023523A"/>
    <w:rsid w:val="0023737E"/>
    <w:rsid w:val="0023757C"/>
    <w:rsid w:val="00237C47"/>
    <w:rsid w:val="002402E4"/>
    <w:rsid w:val="002421A0"/>
    <w:rsid w:val="00242884"/>
    <w:rsid w:val="00242B98"/>
    <w:rsid w:val="002445A1"/>
    <w:rsid w:val="00246FE6"/>
    <w:rsid w:val="002470E3"/>
    <w:rsid w:val="0025207D"/>
    <w:rsid w:val="002535AE"/>
    <w:rsid w:val="00254DE9"/>
    <w:rsid w:val="002556BA"/>
    <w:rsid w:val="002615D3"/>
    <w:rsid w:val="0026268A"/>
    <w:rsid w:val="00262828"/>
    <w:rsid w:val="00262845"/>
    <w:rsid w:val="0026444B"/>
    <w:rsid w:val="0026516A"/>
    <w:rsid w:val="002672F1"/>
    <w:rsid w:val="00271414"/>
    <w:rsid w:val="00271922"/>
    <w:rsid w:val="00273412"/>
    <w:rsid w:val="0027373F"/>
    <w:rsid w:val="00274ACF"/>
    <w:rsid w:val="00277388"/>
    <w:rsid w:val="00277C8F"/>
    <w:rsid w:val="0028159B"/>
    <w:rsid w:val="00282671"/>
    <w:rsid w:val="00282861"/>
    <w:rsid w:val="00283638"/>
    <w:rsid w:val="002843E2"/>
    <w:rsid w:val="00287BAA"/>
    <w:rsid w:val="00287FF8"/>
    <w:rsid w:val="00290060"/>
    <w:rsid w:val="0029180D"/>
    <w:rsid w:val="00293126"/>
    <w:rsid w:val="00293489"/>
    <w:rsid w:val="0029429C"/>
    <w:rsid w:val="00295B30"/>
    <w:rsid w:val="00296F5E"/>
    <w:rsid w:val="002A0226"/>
    <w:rsid w:val="002A30F0"/>
    <w:rsid w:val="002A38A4"/>
    <w:rsid w:val="002A6DF5"/>
    <w:rsid w:val="002B1FEE"/>
    <w:rsid w:val="002B5644"/>
    <w:rsid w:val="002B6406"/>
    <w:rsid w:val="002B6809"/>
    <w:rsid w:val="002B6D18"/>
    <w:rsid w:val="002C4231"/>
    <w:rsid w:val="002C7080"/>
    <w:rsid w:val="002D00B0"/>
    <w:rsid w:val="002D02B2"/>
    <w:rsid w:val="002D2364"/>
    <w:rsid w:val="002D2E16"/>
    <w:rsid w:val="002D6050"/>
    <w:rsid w:val="002D6E3E"/>
    <w:rsid w:val="002E21D6"/>
    <w:rsid w:val="002E45F0"/>
    <w:rsid w:val="002E6D28"/>
    <w:rsid w:val="002E7778"/>
    <w:rsid w:val="002F0187"/>
    <w:rsid w:val="00304B3E"/>
    <w:rsid w:val="00304D97"/>
    <w:rsid w:val="003075F1"/>
    <w:rsid w:val="0031180A"/>
    <w:rsid w:val="00313127"/>
    <w:rsid w:val="00313304"/>
    <w:rsid w:val="003155F4"/>
    <w:rsid w:val="00320309"/>
    <w:rsid w:val="0032116F"/>
    <w:rsid w:val="00321D1E"/>
    <w:rsid w:val="0032530E"/>
    <w:rsid w:val="00325A61"/>
    <w:rsid w:val="00326976"/>
    <w:rsid w:val="003279E4"/>
    <w:rsid w:val="003311D7"/>
    <w:rsid w:val="00332B8B"/>
    <w:rsid w:val="0033521E"/>
    <w:rsid w:val="003364C7"/>
    <w:rsid w:val="00337CA2"/>
    <w:rsid w:val="003404A4"/>
    <w:rsid w:val="003418E4"/>
    <w:rsid w:val="00343565"/>
    <w:rsid w:val="00343D52"/>
    <w:rsid w:val="00346843"/>
    <w:rsid w:val="00347104"/>
    <w:rsid w:val="00347350"/>
    <w:rsid w:val="00350852"/>
    <w:rsid w:val="0035096E"/>
    <w:rsid w:val="0035129C"/>
    <w:rsid w:val="0035219F"/>
    <w:rsid w:val="00353431"/>
    <w:rsid w:val="00354A40"/>
    <w:rsid w:val="00355D01"/>
    <w:rsid w:val="00360B81"/>
    <w:rsid w:val="003614E8"/>
    <w:rsid w:val="00366283"/>
    <w:rsid w:val="0036777E"/>
    <w:rsid w:val="003701FA"/>
    <w:rsid w:val="00372A26"/>
    <w:rsid w:val="00372EC7"/>
    <w:rsid w:val="0037484C"/>
    <w:rsid w:val="003749CD"/>
    <w:rsid w:val="00374A6C"/>
    <w:rsid w:val="003771DD"/>
    <w:rsid w:val="00380F19"/>
    <w:rsid w:val="00382718"/>
    <w:rsid w:val="00382B3B"/>
    <w:rsid w:val="00385ED2"/>
    <w:rsid w:val="003866D6"/>
    <w:rsid w:val="0038714A"/>
    <w:rsid w:val="00390EA4"/>
    <w:rsid w:val="00391F86"/>
    <w:rsid w:val="003923FB"/>
    <w:rsid w:val="003931C7"/>
    <w:rsid w:val="00393F00"/>
    <w:rsid w:val="003945C0"/>
    <w:rsid w:val="00395CA3"/>
    <w:rsid w:val="003A25A7"/>
    <w:rsid w:val="003B52CE"/>
    <w:rsid w:val="003B535C"/>
    <w:rsid w:val="003B5F0C"/>
    <w:rsid w:val="003C2120"/>
    <w:rsid w:val="003C39D5"/>
    <w:rsid w:val="003C47C0"/>
    <w:rsid w:val="003C4BB1"/>
    <w:rsid w:val="003C5FD7"/>
    <w:rsid w:val="003C63A3"/>
    <w:rsid w:val="003D030E"/>
    <w:rsid w:val="003D040D"/>
    <w:rsid w:val="003D1F49"/>
    <w:rsid w:val="003D2061"/>
    <w:rsid w:val="003D543B"/>
    <w:rsid w:val="003D6AE7"/>
    <w:rsid w:val="003D6CCF"/>
    <w:rsid w:val="003D7E3D"/>
    <w:rsid w:val="003E02C5"/>
    <w:rsid w:val="003E1FE3"/>
    <w:rsid w:val="003E32A7"/>
    <w:rsid w:val="003E53BD"/>
    <w:rsid w:val="003E74AE"/>
    <w:rsid w:val="003F08B5"/>
    <w:rsid w:val="003F1A33"/>
    <w:rsid w:val="003F3072"/>
    <w:rsid w:val="003F31E6"/>
    <w:rsid w:val="003F6185"/>
    <w:rsid w:val="00401057"/>
    <w:rsid w:val="004024E4"/>
    <w:rsid w:val="0040516A"/>
    <w:rsid w:val="004061B4"/>
    <w:rsid w:val="00406289"/>
    <w:rsid w:val="00406578"/>
    <w:rsid w:val="004074EF"/>
    <w:rsid w:val="004102C3"/>
    <w:rsid w:val="004121BC"/>
    <w:rsid w:val="0041307C"/>
    <w:rsid w:val="00413699"/>
    <w:rsid w:val="004167B4"/>
    <w:rsid w:val="004167BC"/>
    <w:rsid w:val="00416D9F"/>
    <w:rsid w:val="0042032D"/>
    <w:rsid w:val="004225DC"/>
    <w:rsid w:val="00422BD6"/>
    <w:rsid w:val="00423A41"/>
    <w:rsid w:val="00425FBA"/>
    <w:rsid w:val="00427C7D"/>
    <w:rsid w:val="00430D7E"/>
    <w:rsid w:val="0043201B"/>
    <w:rsid w:val="00432332"/>
    <w:rsid w:val="00432368"/>
    <w:rsid w:val="00433B04"/>
    <w:rsid w:val="00437407"/>
    <w:rsid w:val="0043784D"/>
    <w:rsid w:val="00440256"/>
    <w:rsid w:val="00440E22"/>
    <w:rsid w:val="00442A4D"/>
    <w:rsid w:val="00444AB5"/>
    <w:rsid w:val="0044547D"/>
    <w:rsid w:val="00446F93"/>
    <w:rsid w:val="004506D9"/>
    <w:rsid w:val="00451A74"/>
    <w:rsid w:val="004530A4"/>
    <w:rsid w:val="004552AB"/>
    <w:rsid w:val="004553FF"/>
    <w:rsid w:val="0045622C"/>
    <w:rsid w:val="0046007A"/>
    <w:rsid w:val="004622AC"/>
    <w:rsid w:val="00464B51"/>
    <w:rsid w:val="00464FB1"/>
    <w:rsid w:val="00467185"/>
    <w:rsid w:val="00467492"/>
    <w:rsid w:val="00467736"/>
    <w:rsid w:val="0047050C"/>
    <w:rsid w:val="00470BB0"/>
    <w:rsid w:val="00472A45"/>
    <w:rsid w:val="00473930"/>
    <w:rsid w:val="00474D25"/>
    <w:rsid w:val="004750DB"/>
    <w:rsid w:val="00480F21"/>
    <w:rsid w:val="0048108E"/>
    <w:rsid w:val="004821BA"/>
    <w:rsid w:val="0048537F"/>
    <w:rsid w:val="00485CFA"/>
    <w:rsid w:val="00487439"/>
    <w:rsid w:val="004874E5"/>
    <w:rsid w:val="00487885"/>
    <w:rsid w:val="00490A65"/>
    <w:rsid w:val="0049116C"/>
    <w:rsid w:val="00491968"/>
    <w:rsid w:val="004930C9"/>
    <w:rsid w:val="004935E2"/>
    <w:rsid w:val="00493669"/>
    <w:rsid w:val="00493F62"/>
    <w:rsid w:val="00494832"/>
    <w:rsid w:val="004957C2"/>
    <w:rsid w:val="00495AF1"/>
    <w:rsid w:val="00497A89"/>
    <w:rsid w:val="004A4CED"/>
    <w:rsid w:val="004A4D74"/>
    <w:rsid w:val="004A6BE6"/>
    <w:rsid w:val="004B047F"/>
    <w:rsid w:val="004B0828"/>
    <w:rsid w:val="004B0B26"/>
    <w:rsid w:val="004B3304"/>
    <w:rsid w:val="004B3DF1"/>
    <w:rsid w:val="004B4BC0"/>
    <w:rsid w:val="004B5555"/>
    <w:rsid w:val="004B7940"/>
    <w:rsid w:val="004C0484"/>
    <w:rsid w:val="004C259B"/>
    <w:rsid w:val="004C462E"/>
    <w:rsid w:val="004C777E"/>
    <w:rsid w:val="004D0C54"/>
    <w:rsid w:val="004D16A4"/>
    <w:rsid w:val="004D2B50"/>
    <w:rsid w:val="004D3DE3"/>
    <w:rsid w:val="004E34CF"/>
    <w:rsid w:val="004E4DA7"/>
    <w:rsid w:val="004E6113"/>
    <w:rsid w:val="004E6682"/>
    <w:rsid w:val="004E6D8A"/>
    <w:rsid w:val="004F0411"/>
    <w:rsid w:val="004F15EF"/>
    <w:rsid w:val="004F22FE"/>
    <w:rsid w:val="004F774D"/>
    <w:rsid w:val="005013B0"/>
    <w:rsid w:val="005015E4"/>
    <w:rsid w:val="005017A6"/>
    <w:rsid w:val="0050291D"/>
    <w:rsid w:val="00503753"/>
    <w:rsid w:val="005064CD"/>
    <w:rsid w:val="00506C00"/>
    <w:rsid w:val="00511016"/>
    <w:rsid w:val="00515232"/>
    <w:rsid w:val="005158ED"/>
    <w:rsid w:val="005159B3"/>
    <w:rsid w:val="005227BC"/>
    <w:rsid w:val="00522C03"/>
    <w:rsid w:val="00523110"/>
    <w:rsid w:val="00525EA4"/>
    <w:rsid w:val="005276B7"/>
    <w:rsid w:val="0052791F"/>
    <w:rsid w:val="00532CFF"/>
    <w:rsid w:val="00534D3D"/>
    <w:rsid w:val="00536880"/>
    <w:rsid w:val="0054043F"/>
    <w:rsid w:val="00540AD0"/>
    <w:rsid w:val="00543A76"/>
    <w:rsid w:val="00547738"/>
    <w:rsid w:val="005522F3"/>
    <w:rsid w:val="005523D1"/>
    <w:rsid w:val="0055532E"/>
    <w:rsid w:val="00555BC3"/>
    <w:rsid w:val="00557C8E"/>
    <w:rsid w:val="00561B2B"/>
    <w:rsid w:val="00562DC3"/>
    <w:rsid w:val="0056357E"/>
    <w:rsid w:val="00564639"/>
    <w:rsid w:val="00564952"/>
    <w:rsid w:val="0056645F"/>
    <w:rsid w:val="005672F6"/>
    <w:rsid w:val="00571AB1"/>
    <w:rsid w:val="005746EB"/>
    <w:rsid w:val="0057759C"/>
    <w:rsid w:val="00577E1C"/>
    <w:rsid w:val="00580DB1"/>
    <w:rsid w:val="005814AC"/>
    <w:rsid w:val="00584676"/>
    <w:rsid w:val="00584923"/>
    <w:rsid w:val="0058543A"/>
    <w:rsid w:val="005854B7"/>
    <w:rsid w:val="00587AB1"/>
    <w:rsid w:val="0059070B"/>
    <w:rsid w:val="0059283C"/>
    <w:rsid w:val="00595082"/>
    <w:rsid w:val="0059750A"/>
    <w:rsid w:val="005A0D95"/>
    <w:rsid w:val="005A224B"/>
    <w:rsid w:val="005A387B"/>
    <w:rsid w:val="005A5EAE"/>
    <w:rsid w:val="005A7B51"/>
    <w:rsid w:val="005B1225"/>
    <w:rsid w:val="005B17D8"/>
    <w:rsid w:val="005B1D82"/>
    <w:rsid w:val="005B4077"/>
    <w:rsid w:val="005B65E5"/>
    <w:rsid w:val="005C28B0"/>
    <w:rsid w:val="005C2F01"/>
    <w:rsid w:val="005C316B"/>
    <w:rsid w:val="005C5F3C"/>
    <w:rsid w:val="005D01BE"/>
    <w:rsid w:val="005D1177"/>
    <w:rsid w:val="005D1D13"/>
    <w:rsid w:val="005D254A"/>
    <w:rsid w:val="005D5460"/>
    <w:rsid w:val="005E08CD"/>
    <w:rsid w:val="005E1FED"/>
    <w:rsid w:val="005E37E8"/>
    <w:rsid w:val="005E51F6"/>
    <w:rsid w:val="005E74C5"/>
    <w:rsid w:val="005F219D"/>
    <w:rsid w:val="005F2437"/>
    <w:rsid w:val="005F318A"/>
    <w:rsid w:val="005F47DD"/>
    <w:rsid w:val="005F7710"/>
    <w:rsid w:val="005F7830"/>
    <w:rsid w:val="006004F7"/>
    <w:rsid w:val="00600ED0"/>
    <w:rsid w:val="00603261"/>
    <w:rsid w:val="00603DFE"/>
    <w:rsid w:val="00604E3A"/>
    <w:rsid w:val="00607597"/>
    <w:rsid w:val="00610F93"/>
    <w:rsid w:val="006127CC"/>
    <w:rsid w:val="00614661"/>
    <w:rsid w:val="00615498"/>
    <w:rsid w:val="006243C6"/>
    <w:rsid w:val="006273BC"/>
    <w:rsid w:val="00632009"/>
    <w:rsid w:val="00632D70"/>
    <w:rsid w:val="00633CF1"/>
    <w:rsid w:val="00635A6C"/>
    <w:rsid w:val="00637091"/>
    <w:rsid w:val="006420AB"/>
    <w:rsid w:val="00642839"/>
    <w:rsid w:val="006428FC"/>
    <w:rsid w:val="0064365A"/>
    <w:rsid w:val="006457F8"/>
    <w:rsid w:val="00645CCB"/>
    <w:rsid w:val="0064700E"/>
    <w:rsid w:val="006472A3"/>
    <w:rsid w:val="006474E0"/>
    <w:rsid w:val="006478CB"/>
    <w:rsid w:val="0064791F"/>
    <w:rsid w:val="00650B88"/>
    <w:rsid w:val="00652C58"/>
    <w:rsid w:val="006530EF"/>
    <w:rsid w:val="00653670"/>
    <w:rsid w:val="006554DD"/>
    <w:rsid w:val="00657EFF"/>
    <w:rsid w:val="00660951"/>
    <w:rsid w:val="006636E2"/>
    <w:rsid w:val="00663BE0"/>
    <w:rsid w:val="00664C4E"/>
    <w:rsid w:val="00666273"/>
    <w:rsid w:val="00667FA9"/>
    <w:rsid w:val="0067233D"/>
    <w:rsid w:val="00672B2E"/>
    <w:rsid w:val="006745AE"/>
    <w:rsid w:val="006745CB"/>
    <w:rsid w:val="00676870"/>
    <w:rsid w:val="00676AF3"/>
    <w:rsid w:val="00677895"/>
    <w:rsid w:val="00677BEF"/>
    <w:rsid w:val="006814A3"/>
    <w:rsid w:val="00682AFC"/>
    <w:rsid w:val="00683344"/>
    <w:rsid w:val="00684FC9"/>
    <w:rsid w:val="0069072B"/>
    <w:rsid w:val="0069174B"/>
    <w:rsid w:val="00693340"/>
    <w:rsid w:val="0069344B"/>
    <w:rsid w:val="0069353F"/>
    <w:rsid w:val="006A04C7"/>
    <w:rsid w:val="006A07A7"/>
    <w:rsid w:val="006A221D"/>
    <w:rsid w:val="006A4287"/>
    <w:rsid w:val="006A692E"/>
    <w:rsid w:val="006B05E3"/>
    <w:rsid w:val="006B09BC"/>
    <w:rsid w:val="006B6D5D"/>
    <w:rsid w:val="006B7B5A"/>
    <w:rsid w:val="006C0801"/>
    <w:rsid w:val="006C0C2C"/>
    <w:rsid w:val="006C1EAA"/>
    <w:rsid w:val="006C216F"/>
    <w:rsid w:val="006C3C2E"/>
    <w:rsid w:val="006C45D4"/>
    <w:rsid w:val="006C4E61"/>
    <w:rsid w:val="006D11BD"/>
    <w:rsid w:val="006D2042"/>
    <w:rsid w:val="006D66E3"/>
    <w:rsid w:val="006D75BA"/>
    <w:rsid w:val="006D7855"/>
    <w:rsid w:val="006D7BA9"/>
    <w:rsid w:val="006E010C"/>
    <w:rsid w:val="006E1003"/>
    <w:rsid w:val="006E16BF"/>
    <w:rsid w:val="006E18F0"/>
    <w:rsid w:val="006E2C89"/>
    <w:rsid w:val="006E38AF"/>
    <w:rsid w:val="006E4F93"/>
    <w:rsid w:val="006E53EB"/>
    <w:rsid w:val="006F10FE"/>
    <w:rsid w:val="006F1174"/>
    <w:rsid w:val="00700135"/>
    <w:rsid w:val="0070212F"/>
    <w:rsid w:val="007034D5"/>
    <w:rsid w:val="00704A0D"/>
    <w:rsid w:val="00704C40"/>
    <w:rsid w:val="00705180"/>
    <w:rsid w:val="00710A39"/>
    <w:rsid w:val="007111EB"/>
    <w:rsid w:val="00711605"/>
    <w:rsid w:val="00711DF6"/>
    <w:rsid w:val="00716FBC"/>
    <w:rsid w:val="00717090"/>
    <w:rsid w:val="00720739"/>
    <w:rsid w:val="00721650"/>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135"/>
    <w:rsid w:val="007562D4"/>
    <w:rsid w:val="007573FA"/>
    <w:rsid w:val="00757EF9"/>
    <w:rsid w:val="00761DBF"/>
    <w:rsid w:val="00761FCF"/>
    <w:rsid w:val="00762F21"/>
    <w:rsid w:val="00765503"/>
    <w:rsid w:val="00765551"/>
    <w:rsid w:val="00767B7E"/>
    <w:rsid w:val="007705E9"/>
    <w:rsid w:val="00771D7D"/>
    <w:rsid w:val="007745B7"/>
    <w:rsid w:val="007750C8"/>
    <w:rsid w:val="00776538"/>
    <w:rsid w:val="007802BE"/>
    <w:rsid w:val="00780EEF"/>
    <w:rsid w:val="0078134C"/>
    <w:rsid w:val="00781C47"/>
    <w:rsid w:val="007837C7"/>
    <w:rsid w:val="00783F62"/>
    <w:rsid w:val="00784B44"/>
    <w:rsid w:val="00785465"/>
    <w:rsid w:val="00787656"/>
    <w:rsid w:val="00787BEC"/>
    <w:rsid w:val="00791767"/>
    <w:rsid w:val="0079268A"/>
    <w:rsid w:val="0079273E"/>
    <w:rsid w:val="00794859"/>
    <w:rsid w:val="00796A73"/>
    <w:rsid w:val="00797C88"/>
    <w:rsid w:val="007A1013"/>
    <w:rsid w:val="007A235B"/>
    <w:rsid w:val="007A4CA9"/>
    <w:rsid w:val="007A60B4"/>
    <w:rsid w:val="007A6CB5"/>
    <w:rsid w:val="007A7D19"/>
    <w:rsid w:val="007A7EC2"/>
    <w:rsid w:val="007B042D"/>
    <w:rsid w:val="007B05BB"/>
    <w:rsid w:val="007B05F8"/>
    <w:rsid w:val="007B6E0A"/>
    <w:rsid w:val="007B764C"/>
    <w:rsid w:val="007B7887"/>
    <w:rsid w:val="007C118A"/>
    <w:rsid w:val="007C636F"/>
    <w:rsid w:val="007D0FC7"/>
    <w:rsid w:val="007D39EB"/>
    <w:rsid w:val="007E2E6F"/>
    <w:rsid w:val="007E7319"/>
    <w:rsid w:val="007E74E1"/>
    <w:rsid w:val="007E77A8"/>
    <w:rsid w:val="007F491C"/>
    <w:rsid w:val="007F4CA0"/>
    <w:rsid w:val="00800D07"/>
    <w:rsid w:val="008025F3"/>
    <w:rsid w:val="00803BF8"/>
    <w:rsid w:val="008061C9"/>
    <w:rsid w:val="0080644A"/>
    <w:rsid w:val="008066D8"/>
    <w:rsid w:val="008074BB"/>
    <w:rsid w:val="00811A18"/>
    <w:rsid w:val="008121AF"/>
    <w:rsid w:val="00812E00"/>
    <w:rsid w:val="00812E18"/>
    <w:rsid w:val="00813711"/>
    <w:rsid w:val="008168E1"/>
    <w:rsid w:val="00821E64"/>
    <w:rsid w:val="008253C4"/>
    <w:rsid w:val="008263C2"/>
    <w:rsid w:val="008307DB"/>
    <w:rsid w:val="00830E0C"/>
    <w:rsid w:val="00831A7E"/>
    <w:rsid w:val="00833398"/>
    <w:rsid w:val="00835D9D"/>
    <w:rsid w:val="00835FC9"/>
    <w:rsid w:val="008368F8"/>
    <w:rsid w:val="008370E3"/>
    <w:rsid w:val="0084084D"/>
    <w:rsid w:val="008418FA"/>
    <w:rsid w:val="00842959"/>
    <w:rsid w:val="00843390"/>
    <w:rsid w:val="00847049"/>
    <w:rsid w:val="00852002"/>
    <w:rsid w:val="0085235A"/>
    <w:rsid w:val="008528C8"/>
    <w:rsid w:val="00854138"/>
    <w:rsid w:val="00854410"/>
    <w:rsid w:val="008544DF"/>
    <w:rsid w:val="00854575"/>
    <w:rsid w:val="008602B6"/>
    <w:rsid w:val="00860AAD"/>
    <w:rsid w:val="00861AA6"/>
    <w:rsid w:val="00862F0D"/>
    <w:rsid w:val="008708F3"/>
    <w:rsid w:val="00871354"/>
    <w:rsid w:val="00871F26"/>
    <w:rsid w:val="00873611"/>
    <w:rsid w:val="00873C8F"/>
    <w:rsid w:val="008745FE"/>
    <w:rsid w:val="00874FB3"/>
    <w:rsid w:val="008752FA"/>
    <w:rsid w:val="008762D6"/>
    <w:rsid w:val="00877F7C"/>
    <w:rsid w:val="00880BE3"/>
    <w:rsid w:val="00881359"/>
    <w:rsid w:val="00882093"/>
    <w:rsid w:val="00882588"/>
    <w:rsid w:val="00883A8C"/>
    <w:rsid w:val="00884ADE"/>
    <w:rsid w:val="008851A0"/>
    <w:rsid w:val="008856CF"/>
    <w:rsid w:val="00885864"/>
    <w:rsid w:val="00890A1D"/>
    <w:rsid w:val="0089383B"/>
    <w:rsid w:val="0089534B"/>
    <w:rsid w:val="00895C23"/>
    <w:rsid w:val="0089616F"/>
    <w:rsid w:val="00896202"/>
    <w:rsid w:val="008A0232"/>
    <w:rsid w:val="008A7C10"/>
    <w:rsid w:val="008B0470"/>
    <w:rsid w:val="008B05E7"/>
    <w:rsid w:val="008B06C5"/>
    <w:rsid w:val="008B164E"/>
    <w:rsid w:val="008B1D16"/>
    <w:rsid w:val="008B4F06"/>
    <w:rsid w:val="008B502A"/>
    <w:rsid w:val="008B535A"/>
    <w:rsid w:val="008B57D8"/>
    <w:rsid w:val="008B65CF"/>
    <w:rsid w:val="008B6F1F"/>
    <w:rsid w:val="008B7A65"/>
    <w:rsid w:val="008C1219"/>
    <w:rsid w:val="008C123E"/>
    <w:rsid w:val="008C137D"/>
    <w:rsid w:val="008C22DD"/>
    <w:rsid w:val="008C37E9"/>
    <w:rsid w:val="008C3DFD"/>
    <w:rsid w:val="008C3ED0"/>
    <w:rsid w:val="008C5DA5"/>
    <w:rsid w:val="008C5E94"/>
    <w:rsid w:val="008C6F31"/>
    <w:rsid w:val="008C7350"/>
    <w:rsid w:val="008D196A"/>
    <w:rsid w:val="008D27BC"/>
    <w:rsid w:val="008D571E"/>
    <w:rsid w:val="008E3EF2"/>
    <w:rsid w:val="008E51C9"/>
    <w:rsid w:val="008E5510"/>
    <w:rsid w:val="008E5BEB"/>
    <w:rsid w:val="008E6306"/>
    <w:rsid w:val="008E67A0"/>
    <w:rsid w:val="008F2DA3"/>
    <w:rsid w:val="008F6355"/>
    <w:rsid w:val="008F68F7"/>
    <w:rsid w:val="009005A6"/>
    <w:rsid w:val="009006CF"/>
    <w:rsid w:val="00900C71"/>
    <w:rsid w:val="00902A1C"/>
    <w:rsid w:val="009037B6"/>
    <w:rsid w:val="00906CBE"/>
    <w:rsid w:val="00910024"/>
    <w:rsid w:val="00910384"/>
    <w:rsid w:val="0091643D"/>
    <w:rsid w:val="00916E33"/>
    <w:rsid w:val="00917590"/>
    <w:rsid w:val="0092093B"/>
    <w:rsid w:val="00921581"/>
    <w:rsid w:val="00922718"/>
    <w:rsid w:val="00930669"/>
    <w:rsid w:val="00932C33"/>
    <w:rsid w:val="00937ADA"/>
    <w:rsid w:val="00937C63"/>
    <w:rsid w:val="009427A1"/>
    <w:rsid w:val="00942FFE"/>
    <w:rsid w:val="009463FA"/>
    <w:rsid w:val="0094712D"/>
    <w:rsid w:val="0095076D"/>
    <w:rsid w:val="009551E0"/>
    <w:rsid w:val="0095654E"/>
    <w:rsid w:val="00956F3C"/>
    <w:rsid w:val="00966F95"/>
    <w:rsid w:val="00970678"/>
    <w:rsid w:val="00971C34"/>
    <w:rsid w:val="00972488"/>
    <w:rsid w:val="009726D0"/>
    <w:rsid w:val="0097421D"/>
    <w:rsid w:val="00976117"/>
    <w:rsid w:val="00976A23"/>
    <w:rsid w:val="009800BC"/>
    <w:rsid w:val="009816F6"/>
    <w:rsid w:val="009843BA"/>
    <w:rsid w:val="00985C52"/>
    <w:rsid w:val="009900F0"/>
    <w:rsid w:val="00990B9B"/>
    <w:rsid w:val="00991370"/>
    <w:rsid w:val="00991769"/>
    <w:rsid w:val="00991ACA"/>
    <w:rsid w:val="009928B5"/>
    <w:rsid w:val="00993236"/>
    <w:rsid w:val="00993D8C"/>
    <w:rsid w:val="00994E3D"/>
    <w:rsid w:val="00997E2C"/>
    <w:rsid w:val="009A297E"/>
    <w:rsid w:val="009A6082"/>
    <w:rsid w:val="009A6127"/>
    <w:rsid w:val="009B0CC1"/>
    <w:rsid w:val="009B631E"/>
    <w:rsid w:val="009B69F0"/>
    <w:rsid w:val="009B713C"/>
    <w:rsid w:val="009C0F18"/>
    <w:rsid w:val="009C12C6"/>
    <w:rsid w:val="009C2555"/>
    <w:rsid w:val="009C5953"/>
    <w:rsid w:val="009C6D23"/>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9F4842"/>
    <w:rsid w:val="00A000F0"/>
    <w:rsid w:val="00A00568"/>
    <w:rsid w:val="00A00884"/>
    <w:rsid w:val="00A00EEB"/>
    <w:rsid w:val="00A020CE"/>
    <w:rsid w:val="00A02F62"/>
    <w:rsid w:val="00A02FA3"/>
    <w:rsid w:val="00A030C3"/>
    <w:rsid w:val="00A03FD9"/>
    <w:rsid w:val="00A04803"/>
    <w:rsid w:val="00A1001A"/>
    <w:rsid w:val="00A10147"/>
    <w:rsid w:val="00A10EDE"/>
    <w:rsid w:val="00A11331"/>
    <w:rsid w:val="00A12348"/>
    <w:rsid w:val="00A131E6"/>
    <w:rsid w:val="00A13843"/>
    <w:rsid w:val="00A146A5"/>
    <w:rsid w:val="00A17466"/>
    <w:rsid w:val="00A204B3"/>
    <w:rsid w:val="00A20576"/>
    <w:rsid w:val="00A21593"/>
    <w:rsid w:val="00A221F7"/>
    <w:rsid w:val="00A22C21"/>
    <w:rsid w:val="00A2470E"/>
    <w:rsid w:val="00A2604E"/>
    <w:rsid w:val="00A303CC"/>
    <w:rsid w:val="00A31CCE"/>
    <w:rsid w:val="00A33C95"/>
    <w:rsid w:val="00A34FF3"/>
    <w:rsid w:val="00A35351"/>
    <w:rsid w:val="00A361C7"/>
    <w:rsid w:val="00A36723"/>
    <w:rsid w:val="00A369F2"/>
    <w:rsid w:val="00A36A15"/>
    <w:rsid w:val="00A43140"/>
    <w:rsid w:val="00A44B85"/>
    <w:rsid w:val="00A46DF5"/>
    <w:rsid w:val="00A5149A"/>
    <w:rsid w:val="00A53650"/>
    <w:rsid w:val="00A53E51"/>
    <w:rsid w:val="00A5427D"/>
    <w:rsid w:val="00A5601F"/>
    <w:rsid w:val="00A57183"/>
    <w:rsid w:val="00A60693"/>
    <w:rsid w:val="00A6196D"/>
    <w:rsid w:val="00A619C0"/>
    <w:rsid w:val="00A61ADF"/>
    <w:rsid w:val="00A61CE7"/>
    <w:rsid w:val="00A62012"/>
    <w:rsid w:val="00A624CB"/>
    <w:rsid w:val="00A62AC0"/>
    <w:rsid w:val="00A6734E"/>
    <w:rsid w:val="00A67AA8"/>
    <w:rsid w:val="00A70431"/>
    <w:rsid w:val="00A71229"/>
    <w:rsid w:val="00A71A51"/>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6EF"/>
    <w:rsid w:val="00AA5E38"/>
    <w:rsid w:val="00AB09ED"/>
    <w:rsid w:val="00AB265C"/>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6069"/>
    <w:rsid w:val="00AD793A"/>
    <w:rsid w:val="00AE0120"/>
    <w:rsid w:val="00AE3038"/>
    <w:rsid w:val="00AE3D4A"/>
    <w:rsid w:val="00AE5956"/>
    <w:rsid w:val="00AE619F"/>
    <w:rsid w:val="00AE7A88"/>
    <w:rsid w:val="00AF060F"/>
    <w:rsid w:val="00AF064A"/>
    <w:rsid w:val="00AF13D2"/>
    <w:rsid w:val="00AF198E"/>
    <w:rsid w:val="00AF2738"/>
    <w:rsid w:val="00AF2A56"/>
    <w:rsid w:val="00AF4574"/>
    <w:rsid w:val="00AF51D1"/>
    <w:rsid w:val="00AF63AB"/>
    <w:rsid w:val="00B00579"/>
    <w:rsid w:val="00B01784"/>
    <w:rsid w:val="00B0388B"/>
    <w:rsid w:val="00B03BEE"/>
    <w:rsid w:val="00B0517E"/>
    <w:rsid w:val="00B07052"/>
    <w:rsid w:val="00B11314"/>
    <w:rsid w:val="00B113E3"/>
    <w:rsid w:val="00B1156A"/>
    <w:rsid w:val="00B129C6"/>
    <w:rsid w:val="00B138E3"/>
    <w:rsid w:val="00B13FB5"/>
    <w:rsid w:val="00B178FA"/>
    <w:rsid w:val="00B17D8E"/>
    <w:rsid w:val="00B207C3"/>
    <w:rsid w:val="00B21443"/>
    <w:rsid w:val="00B22468"/>
    <w:rsid w:val="00B23267"/>
    <w:rsid w:val="00B23906"/>
    <w:rsid w:val="00B23F96"/>
    <w:rsid w:val="00B2558A"/>
    <w:rsid w:val="00B257BF"/>
    <w:rsid w:val="00B27149"/>
    <w:rsid w:val="00B34BB7"/>
    <w:rsid w:val="00B35B4D"/>
    <w:rsid w:val="00B362F0"/>
    <w:rsid w:val="00B36652"/>
    <w:rsid w:val="00B425AB"/>
    <w:rsid w:val="00B42E2A"/>
    <w:rsid w:val="00B45279"/>
    <w:rsid w:val="00B47090"/>
    <w:rsid w:val="00B51004"/>
    <w:rsid w:val="00B532D1"/>
    <w:rsid w:val="00B57925"/>
    <w:rsid w:val="00B601BB"/>
    <w:rsid w:val="00B602A5"/>
    <w:rsid w:val="00B61E3E"/>
    <w:rsid w:val="00B61F5A"/>
    <w:rsid w:val="00B6432A"/>
    <w:rsid w:val="00B679E4"/>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9207F"/>
    <w:rsid w:val="00BA1B71"/>
    <w:rsid w:val="00BA3176"/>
    <w:rsid w:val="00BA5E20"/>
    <w:rsid w:val="00BA607C"/>
    <w:rsid w:val="00BA6734"/>
    <w:rsid w:val="00BB3A62"/>
    <w:rsid w:val="00BB3E2A"/>
    <w:rsid w:val="00BB48A7"/>
    <w:rsid w:val="00BB7121"/>
    <w:rsid w:val="00BC0479"/>
    <w:rsid w:val="00BC0A1F"/>
    <w:rsid w:val="00BC1651"/>
    <w:rsid w:val="00BC16F5"/>
    <w:rsid w:val="00BC18FF"/>
    <w:rsid w:val="00BC287D"/>
    <w:rsid w:val="00BC2A38"/>
    <w:rsid w:val="00BC46EB"/>
    <w:rsid w:val="00BC57FE"/>
    <w:rsid w:val="00BC643B"/>
    <w:rsid w:val="00BD2A41"/>
    <w:rsid w:val="00BD32E5"/>
    <w:rsid w:val="00BD36C4"/>
    <w:rsid w:val="00BD46B2"/>
    <w:rsid w:val="00BD4BC6"/>
    <w:rsid w:val="00BD6E1A"/>
    <w:rsid w:val="00BD79DE"/>
    <w:rsid w:val="00BE1095"/>
    <w:rsid w:val="00BE150A"/>
    <w:rsid w:val="00BE6767"/>
    <w:rsid w:val="00BE686C"/>
    <w:rsid w:val="00BE78EC"/>
    <w:rsid w:val="00BF3845"/>
    <w:rsid w:val="00BF46EE"/>
    <w:rsid w:val="00BF646E"/>
    <w:rsid w:val="00C0613C"/>
    <w:rsid w:val="00C10D05"/>
    <w:rsid w:val="00C13970"/>
    <w:rsid w:val="00C13DF9"/>
    <w:rsid w:val="00C14FBA"/>
    <w:rsid w:val="00C15484"/>
    <w:rsid w:val="00C15EA1"/>
    <w:rsid w:val="00C174DB"/>
    <w:rsid w:val="00C17A8E"/>
    <w:rsid w:val="00C2378F"/>
    <w:rsid w:val="00C24C68"/>
    <w:rsid w:val="00C24F70"/>
    <w:rsid w:val="00C25615"/>
    <w:rsid w:val="00C25DC2"/>
    <w:rsid w:val="00C26A06"/>
    <w:rsid w:val="00C33479"/>
    <w:rsid w:val="00C40ED2"/>
    <w:rsid w:val="00C41F10"/>
    <w:rsid w:val="00C432DD"/>
    <w:rsid w:val="00C4423A"/>
    <w:rsid w:val="00C44869"/>
    <w:rsid w:val="00C501FE"/>
    <w:rsid w:val="00C53FB0"/>
    <w:rsid w:val="00C5540C"/>
    <w:rsid w:val="00C56957"/>
    <w:rsid w:val="00C5784B"/>
    <w:rsid w:val="00C62713"/>
    <w:rsid w:val="00C63307"/>
    <w:rsid w:val="00C639FF"/>
    <w:rsid w:val="00C63CB4"/>
    <w:rsid w:val="00C6442A"/>
    <w:rsid w:val="00C64D15"/>
    <w:rsid w:val="00C66088"/>
    <w:rsid w:val="00C6609A"/>
    <w:rsid w:val="00C67C4C"/>
    <w:rsid w:val="00C7141D"/>
    <w:rsid w:val="00C74B5D"/>
    <w:rsid w:val="00C74F74"/>
    <w:rsid w:val="00C7554B"/>
    <w:rsid w:val="00C765ED"/>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636C"/>
    <w:rsid w:val="00CB7022"/>
    <w:rsid w:val="00CB7BC5"/>
    <w:rsid w:val="00CC141E"/>
    <w:rsid w:val="00CC586D"/>
    <w:rsid w:val="00CC7DBC"/>
    <w:rsid w:val="00CD1BA3"/>
    <w:rsid w:val="00CD1D23"/>
    <w:rsid w:val="00CD3612"/>
    <w:rsid w:val="00CD3E69"/>
    <w:rsid w:val="00CD4224"/>
    <w:rsid w:val="00CD6B7D"/>
    <w:rsid w:val="00CD6D86"/>
    <w:rsid w:val="00CD7D29"/>
    <w:rsid w:val="00CE0847"/>
    <w:rsid w:val="00CE0B6C"/>
    <w:rsid w:val="00CE11D0"/>
    <w:rsid w:val="00CE2FF4"/>
    <w:rsid w:val="00CE4708"/>
    <w:rsid w:val="00CE4C50"/>
    <w:rsid w:val="00CE6858"/>
    <w:rsid w:val="00CE6E27"/>
    <w:rsid w:val="00CE7450"/>
    <w:rsid w:val="00CE770C"/>
    <w:rsid w:val="00CF50BE"/>
    <w:rsid w:val="00CF538C"/>
    <w:rsid w:val="00CF7625"/>
    <w:rsid w:val="00D00FC7"/>
    <w:rsid w:val="00D0506A"/>
    <w:rsid w:val="00D05EB4"/>
    <w:rsid w:val="00D10FA1"/>
    <w:rsid w:val="00D115FF"/>
    <w:rsid w:val="00D1289C"/>
    <w:rsid w:val="00D1666F"/>
    <w:rsid w:val="00D17AE5"/>
    <w:rsid w:val="00D206B8"/>
    <w:rsid w:val="00D2071A"/>
    <w:rsid w:val="00D22F44"/>
    <w:rsid w:val="00D25177"/>
    <w:rsid w:val="00D27600"/>
    <w:rsid w:val="00D30F73"/>
    <w:rsid w:val="00D30F97"/>
    <w:rsid w:val="00D313A0"/>
    <w:rsid w:val="00D31BBF"/>
    <w:rsid w:val="00D34161"/>
    <w:rsid w:val="00D36FE0"/>
    <w:rsid w:val="00D40635"/>
    <w:rsid w:val="00D40799"/>
    <w:rsid w:val="00D40A67"/>
    <w:rsid w:val="00D4172D"/>
    <w:rsid w:val="00D41840"/>
    <w:rsid w:val="00D41A06"/>
    <w:rsid w:val="00D42ABF"/>
    <w:rsid w:val="00D42C6F"/>
    <w:rsid w:val="00D42F40"/>
    <w:rsid w:val="00D43DA4"/>
    <w:rsid w:val="00D4525E"/>
    <w:rsid w:val="00D45B67"/>
    <w:rsid w:val="00D5034A"/>
    <w:rsid w:val="00D51F49"/>
    <w:rsid w:val="00D52E56"/>
    <w:rsid w:val="00D55EE8"/>
    <w:rsid w:val="00D562CB"/>
    <w:rsid w:val="00D569D1"/>
    <w:rsid w:val="00D56AD8"/>
    <w:rsid w:val="00D56C05"/>
    <w:rsid w:val="00D576B1"/>
    <w:rsid w:val="00D5785A"/>
    <w:rsid w:val="00D57EAA"/>
    <w:rsid w:val="00D627F7"/>
    <w:rsid w:val="00D63293"/>
    <w:rsid w:val="00D633B8"/>
    <w:rsid w:val="00D6375F"/>
    <w:rsid w:val="00D64C48"/>
    <w:rsid w:val="00D6680B"/>
    <w:rsid w:val="00D72F4F"/>
    <w:rsid w:val="00D731C4"/>
    <w:rsid w:val="00D7406A"/>
    <w:rsid w:val="00D74EB4"/>
    <w:rsid w:val="00D76082"/>
    <w:rsid w:val="00D801FC"/>
    <w:rsid w:val="00D85BE0"/>
    <w:rsid w:val="00D87FD7"/>
    <w:rsid w:val="00D91466"/>
    <w:rsid w:val="00D915ED"/>
    <w:rsid w:val="00D91DE4"/>
    <w:rsid w:val="00D92300"/>
    <w:rsid w:val="00D94AFC"/>
    <w:rsid w:val="00D950E6"/>
    <w:rsid w:val="00D95CEB"/>
    <w:rsid w:val="00D97047"/>
    <w:rsid w:val="00D976A1"/>
    <w:rsid w:val="00DA3619"/>
    <w:rsid w:val="00DA5554"/>
    <w:rsid w:val="00DB0B88"/>
    <w:rsid w:val="00DB1652"/>
    <w:rsid w:val="00DB5773"/>
    <w:rsid w:val="00DB58A6"/>
    <w:rsid w:val="00DB6B99"/>
    <w:rsid w:val="00DC001A"/>
    <w:rsid w:val="00DD22BB"/>
    <w:rsid w:val="00DD31A4"/>
    <w:rsid w:val="00DD4F44"/>
    <w:rsid w:val="00DD5791"/>
    <w:rsid w:val="00DD686C"/>
    <w:rsid w:val="00DD6C96"/>
    <w:rsid w:val="00DD7371"/>
    <w:rsid w:val="00DD7E0C"/>
    <w:rsid w:val="00DE2AC3"/>
    <w:rsid w:val="00DE2E40"/>
    <w:rsid w:val="00DE3598"/>
    <w:rsid w:val="00DE3FBD"/>
    <w:rsid w:val="00DE43F5"/>
    <w:rsid w:val="00DE65FB"/>
    <w:rsid w:val="00DE7DD4"/>
    <w:rsid w:val="00DF234F"/>
    <w:rsid w:val="00DF420A"/>
    <w:rsid w:val="00DF7162"/>
    <w:rsid w:val="00E00CDD"/>
    <w:rsid w:val="00E01E17"/>
    <w:rsid w:val="00E0212E"/>
    <w:rsid w:val="00E02472"/>
    <w:rsid w:val="00E041F0"/>
    <w:rsid w:val="00E128D8"/>
    <w:rsid w:val="00E130C3"/>
    <w:rsid w:val="00E17EDF"/>
    <w:rsid w:val="00E2082D"/>
    <w:rsid w:val="00E21228"/>
    <w:rsid w:val="00E221E2"/>
    <w:rsid w:val="00E2330D"/>
    <w:rsid w:val="00E23530"/>
    <w:rsid w:val="00E24303"/>
    <w:rsid w:val="00E255C0"/>
    <w:rsid w:val="00E27A16"/>
    <w:rsid w:val="00E320C4"/>
    <w:rsid w:val="00E40004"/>
    <w:rsid w:val="00E40F7B"/>
    <w:rsid w:val="00E41E4B"/>
    <w:rsid w:val="00E4235C"/>
    <w:rsid w:val="00E43E48"/>
    <w:rsid w:val="00E46D60"/>
    <w:rsid w:val="00E47C33"/>
    <w:rsid w:val="00E47F58"/>
    <w:rsid w:val="00E54BFC"/>
    <w:rsid w:val="00E55248"/>
    <w:rsid w:val="00E56D9D"/>
    <w:rsid w:val="00E60E2E"/>
    <w:rsid w:val="00E66F27"/>
    <w:rsid w:val="00E71A2D"/>
    <w:rsid w:val="00E72FB3"/>
    <w:rsid w:val="00E74A73"/>
    <w:rsid w:val="00E823C1"/>
    <w:rsid w:val="00E82DB7"/>
    <w:rsid w:val="00E83C85"/>
    <w:rsid w:val="00E8474D"/>
    <w:rsid w:val="00E8579C"/>
    <w:rsid w:val="00E865FE"/>
    <w:rsid w:val="00E91408"/>
    <w:rsid w:val="00E91759"/>
    <w:rsid w:val="00E95DD4"/>
    <w:rsid w:val="00E9654B"/>
    <w:rsid w:val="00EA13E4"/>
    <w:rsid w:val="00EA18DB"/>
    <w:rsid w:val="00EA2FBA"/>
    <w:rsid w:val="00EA4DC5"/>
    <w:rsid w:val="00EA5664"/>
    <w:rsid w:val="00EA66DF"/>
    <w:rsid w:val="00EA6ADC"/>
    <w:rsid w:val="00EB13A7"/>
    <w:rsid w:val="00EB14DF"/>
    <w:rsid w:val="00EB1A4D"/>
    <w:rsid w:val="00EB3A07"/>
    <w:rsid w:val="00EB3E05"/>
    <w:rsid w:val="00EB5539"/>
    <w:rsid w:val="00EC3F31"/>
    <w:rsid w:val="00EC52E7"/>
    <w:rsid w:val="00EC7E0E"/>
    <w:rsid w:val="00ED3698"/>
    <w:rsid w:val="00ED4794"/>
    <w:rsid w:val="00ED7B59"/>
    <w:rsid w:val="00ED7DEF"/>
    <w:rsid w:val="00ED7E2C"/>
    <w:rsid w:val="00EE245B"/>
    <w:rsid w:val="00EE265C"/>
    <w:rsid w:val="00EE5C63"/>
    <w:rsid w:val="00EE5E8E"/>
    <w:rsid w:val="00EF416F"/>
    <w:rsid w:val="00EF64CC"/>
    <w:rsid w:val="00F00449"/>
    <w:rsid w:val="00F0095C"/>
    <w:rsid w:val="00F01129"/>
    <w:rsid w:val="00F01CCA"/>
    <w:rsid w:val="00F01F2C"/>
    <w:rsid w:val="00F02104"/>
    <w:rsid w:val="00F04EF6"/>
    <w:rsid w:val="00F06C17"/>
    <w:rsid w:val="00F121B2"/>
    <w:rsid w:val="00F138B4"/>
    <w:rsid w:val="00F13C82"/>
    <w:rsid w:val="00F140A3"/>
    <w:rsid w:val="00F154C5"/>
    <w:rsid w:val="00F1632B"/>
    <w:rsid w:val="00F17E41"/>
    <w:rsid w:val="00F202CA"/>
    <w:rsid w:val="00F2158D"/>
    <w:rsid w:val="00F223A7"/>
    <w:rsid w:val="00F26A64"/>
    <w:rsid w:val="00F334CB"/>
    <w:rsid w:val="00F3495A"/>
    <w:rsid w:val="00F34E2C"/>
    <w:rsid w:val="00F370BC"/>
    <w:rsid w:val="00F37143"/>
    <w:rsid w:val="00F42126"/>
    <w:rsid w:val="00F50562"/>
    <w:rsid w:val="00F50A92"/>
    <w:rsid w:val="00F50B0B"/>
    <w:rsid w:val="00F50D01"/>
    <w:rsid w:val="00F56BC1"/>
    <w:rsid w:val="00F57FF8"/>
    <w:rsid w:val="00F618C4"/>
    <w:rsid w:val="00F65774"/>
    <w:rsid w:val="00F65A34"/>
    <w:rsid w:val="00F65F4C"/>
    <w:rsid w:val="00F6696D"/>
    <w:rsid w:val="00F71A60"/>
    <w:rsid w:val="00F725DA"/>
    <w:rsid w:val="00F72DE4"/>
    <w:rsid w:val="00F7536E"/>
    <w:rsid w:val="00F75652"/>
    <w:rsid w:val="00F76137"/>
    <w:rsid w:val="00F7782D"/>
    <w:rsid w:val="00F8168B"/>
    <w:rsid w:val="00F81CF2"/>
    <w:rsid w:val="00F81F93"/>
    <w:rsid w:val="00F842A4"/>
    <w:rsid w:val="00F84D20"/>
    <w:rsid w:val="00F857D1"/>
    <w:rsid w:val="00F86BAB"/>
    <w:rsid w:val="00F86FD9"/>
    <w:rsid w:val="00F91DCC"/>
    <w:rsid w:val="00F92D37"/>
    <w:rsid w:val="00F9323F"/>
    <w:rsid w:val="00F93F99"/>
    <w:rsid w:val="00F943FE"/>
    <w:rsid w:val="00F95814"/>
    <w:rsid w:val="00F95C92"/>
    <w:rsid w:val="00F95CE9"/>
    <w:rsid w:val="00F97100"/>
    <w:rsid w:val="00FA01D9"/>
    <w:rsid w:val="00FB0401"/>
    <w:rsid w:val="00FC1DFB"/>
    <w:rsid w:val="00FC1EF2"/>
    <w:rsid w:val="00FC3343"/>
    <w:rsid w:val="00FC33BA"/>
    <w:rsid w:val="00FC35AB"/>
    <w:rsid w:val="00FC497A"/>
    <w:rsid w:val="00FC6134"/>
    <w:rsid w:val="00FC654D"/>
    <w:rsid w:val="00FC77CF"/>
    <w:rsid w:val="00FD0555"/>
    <w:rsid w:val="00FD06F5"/>
    <w:rsid w:val="00FD5961"/>
    <w:rsid w:val="00FD7980"/>
    <w:rsid w:val="00FE370C"/>
    <w:rsid w:val="00FE3EFA"/>
    <w:rsid w:val="00FE5C56"/>
    <w:rsid w:val="00FE5E20"/>
    <w:rsid w:val="00FE6C21"/>
    <w:rsid w:val="00FE7AAC"/>
    <w:rsid w:val="00FE7B06"/>
    <w:rsid w:val="00FE7E98"/>
    <w:rsid w:val="00FF06BC"/>
    <w:rsid w:val="00FF20AC"/>
    <w:rsid w:val="00FF3801"/>
    <w:rsid w:val="00FF3A27"/>
    <w:rsid w:val="00FF3B27"/>
    <w:rsid w:val="00FF4E8D"/>
    <w:rsid w:val="00FF5CFA"/>
    <w:rsid w:val="00FF7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C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3" w:qFormat="1"/>
    <w:lsdException w:name="heading 4" w:uiPriority="3"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4E"/>
    <w:pPr>
      <w:keepLines/>
      <w:spacing w:before="120" w:after="120" w:line="320" w:lineRule="atLeast"/>
    </w:pPr>
    <w:rPr>
      <w:rFonts w:asciiTheme="minorHAnsi" w:hAnsiTheme="minorHAnsi"/>
      <w:color w:val="000000" w:themeColor="text1"/>
      <w:sz w:val="22"/>
      <w:szCs w:val="24"/>
    </w:rPr>
  </w:style>
  <w:style w:type="paragraph" w:styleId="Heading1">
    <w:name w:val="heading 1"/>
    <w:aliases w:val="Small H1"/>
    <w:basedOn w:val="Normal"/>
    <w:next w:val="Normal"/>
    <w:uiPriority w:val="2"/>
    <w:qFormat/>
    <w:rsid w:val="00595082"/>
    <w:pPr>
      <w:keepNext/>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A0226"/>
    <w:pPr>
      <w:keepNext/>
      <w:spacing w:before="240"/>
      <w:contextualSpacing/>
      <w:outlineLvl w:val="1"/>
    </w:pPr>
    <w:rPr>
      <w:rFonts w:asciiTheme="majorHAnsi" w:hAnsiTheme="majorHAnsi"/>
      <w:b/>
      <w:color w:val="117478" w:themeColor="accent3"/>
      <w:sz w:val="24"/>
      <w:szCs w:val="44"/>
    </w:rPr>
  </w:style>
  <w:style w:type="paragraph" w:styleId="Heading3">
    <w:name w:val="heading 3"/>
    <w:basedOn w:val="Normal"/>
    <w:next w:val="Normal"/>
    <w:uiPriority w:val="3"/>
    <w:qFormat/>
    <w:rsid w:val="0006174E"/>
    <w:pPr>
      <w:keepNext/>
      <w:spacing w:before="360"/>
      <w:contextualSpacing/>
      <w:outlineLvl w:val="2"/>
    </w:pPr>
    <w:rPr>
      <w:rFonts w:asciiTheme="majorHAnsi" w:hAnsiTheme="majorHAnsi"/>
      <w:b/>
      <w:color w:val="auto"/>
      <w:sz w:val="24"/>
      <w:szCs w:val="28"/>
      <w:lang w:val="en-GB"/>
    </w:rPr>
  </w:style>
  <w:style w:type="paragraph" w:styleId="Heading4">
    <w:name w:val="heading 4"/>
    <w:basedOn w:val="Normal"/>
    <w:next w:val="Normal"/>
    <w:uiPriority w:val="3"/>
    <w:qFormat/>
    <w:rsid w:val="00BD79DE"/>
    <w:pPr>
      <w:keepNext/>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063FF2"/>
    <w:pPr>
      <w:numPr>
        <w:numId w:val="38"/>
      </w:numPr>
      <w:adjustRightInd w:val="0"/>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D34161"/>
    <w:rPr>
      <w:color w:val="117478" w:themeColor="accent3"/>
      <w:u w:val="single"/>
    </w:rPr>
  </w:style>
  <w:style w:type="character" w:customStyle="1" w:styleId="Heading5Char">
    <w:name w:val="Heading 5 Char"/>
    <w:basedOn w:val="DefaultParagraphFont"/>
    <w:link w:val="Heading5"/>
    <w:uiPriority w:val="99"/>
    <w:semiHidden/>
    <w:rsid w:val="00160B66"/>
    <w:rPr>
      <w:rFonts w:ascii="Arial" w:hAnsi="Arial"/>
      <w:b/>
      <w:color w:val="000000" w:themeColor="text1"/>
      <w:sz w:val="22"/>
      <w:szCs w:val="22"/>
    </w:rPr>
  </w:style>
  <w:style w:type="table" w:styleId="TableGrid">
    <w:name w:val="Table Grid"/>
    <w:aliases w:val="DPS 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076D"/>
    <w:pPr>
      <w:spacing w:before="60" w:after="60" w:line="240" w:lineRule="auto"/>
    </w:pPr>
    <w:rPr>
      <w:sz w:val="18"/>
      <w:szCs w:val="20"/>
    </w:rPr>
  </w:style>
  <w:style w:type="character" w:customStyle="1" w:styleId="FootnoteTextChar">
    <w:name w:val="Footnote Text Char"/>
    <w:basedOn w:val="DefaultParagraphFont"/>
    <w:link w:val="FootnoteText"/>
    <w:uiPriority w:val="99"/>
    <w:rsid w:val="0095076D"/>
    <w:rPr>
      <w:rFonts w:asciiTheme="minorHAnsi" w:hAnsiTheme="minorHAnsi"/>
      <w:color w:val="000000" w:themeColor="text1"/>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2A0226"/>
    <w:rPr>
      <w:rFonts w:asciiTheme="majorHAnsi" w:hAnsiTheme="majorHAnsi"/>
      <w:b/>
      <w:color w:val="117478" w:themeColor="accent3"/>
      <w:sz w:val="24"/>
      <w:szCs w:val="44"/>
    </w:rPr>
  </w:style>
  <w:style w:type="paragraph" w:styleId="TOC1">
    <w:name w:val="toc 1"/>
    <w:basedOn w:val="Normal"/>
    <w:next w:val="Normal"/>
    <w:autoRedefine/>
    <w:uiPriority w:val="39"/>
    <w:rsid w:val="007E2E6F"/>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6D6E71" w:themeColor="accent6"/>
          <w:bottom w:val="single" w:sz="4" w:space="0" w:color="6D6E71" w:themeColor="accent6"/>
        </w:tcBorders>
        <w:shd w:val="clear" w:color="auto" w:fill="6D6E71"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6D6E71"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06174E"/>
    <w:pPr>
      <w:keepNext/>
      <w:tabs>
        <w:tab w:val="left" w:pos="907"/>
      </w:tabs>
      <w:spacing w:before="360"/>
      <w:contextualSpacing/>
    </w:pPr>
    <w:rPr>
      <w:b/>
      <w:color w:val="auto"/>
      <w:sz w:val="24"/>
      <w:lang w:val="en-US" w:eastAsia="ja-JP"/>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2057A7"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057A7"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1"/>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142E3A"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142E3A"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GreyBodyFrame">
    <w:name w:val="Grey Body Frame"/>
    <w:basedOn w:val="BodyText"/>
    <w:link w:val="GreyBodyFrameChar"/>
    <w:uiPriority w:val="1"/>
    <w:qFormat/>
    <w:rsid w:val="00615498"/>
    <w:pPr>
      <w:widowControl w:val="0"/>
      <w:pBdr>
        <w:top w:val="single" w:sz="48" w:space="1" w:color="20B9A3" w:themeColor="background2"/>
        <w:left w:val="single" w:sz="48" w:space="4" w:color="20B9A3" w:themeColor="background2"/>
        <w:bottom w:val="single" w:sz="48" w:space="1" w:color="20B9A3" w:themeColor="background2"/>
        <w:right w:val="single" w:sz="48" w:space="4" w:color="20B9A3" w:themeColor="background2"/>
      </w:pBdr>
      <w:shd w:val="clear" w:color="auto" w:fill="20B9A3" w:themeFill="background2"/>
      <w:spacing w:before="60" w:after="160" w:line="312" w:lineRule="auto"/>
    </w:pPr>
    <w:rPr>
      <w:rFonts w:ascii="Calibri Light" w:eastAsia="Calibri Light" w:hAnsi="Calibri Light" w:cstheme="minorBidi"/>
      <w:color w:val="082E28" w:themeColor="background2" w:themeShade="40"/>
      <w:lang w:val="en-US" w:eastAsia="en-US"/>
    </w:rPr>
  </w:style>
  <w:style w:type="character" w:customStyle="1" w:styleId="GreyBodyFrameChar">
    <w:name w:val="Grey Body Frame Char"/>
    <w:basedOn w:val="BodyTextChar"/>
    <w:link w:val="GreyBodyFrame"/>
    <w:uiPriority w:val="1"/>
    <w:rsid w:val="00615498"/>
    <w:rPr>
      <w:rFonts w:ascii="Calibri Light" w:eastAsia="Calibri Light" w:hAnsi="Calibri Light" w:cstheme="minorBidi"/>
      <w:color w:val="082E28" w:themeColor="background2" w:themeShade="40"/>
      <w:sz w:val="22"/>
      <w:szCs w:val="24"/>
      <w:shd w:val="clear" w:color="auto" w:fill="20B9A3" w:themeFill="background2"/>
      <w:lang w:val="en-US" w:eastAsia="en-US"/>
    </w:rPr>
  </w:style>
  <w:style w:type="paragraph" w:styleId="BodyText">
    <w:name w:val="Body Text"/>
    <w:basedOn w:val="Normal"/>
    <w:link w:val="BodyTextChar"/>
    <w:uiPriority w:val="99"/>
    <w:semiHidden/>
    <w:unhideWhenUsed/>
    <w:rsid w:val="00615498"/>
  </w:style>
  <w:style w:type="character" w:customStyle="1" w:styleId="BodyTextChar">
    <w:name w:val="Body Text Char"/>
    <w:basedOn w:val="DefaultParagraphFont"/>
    <w:link w:val="BodyText"/>
    <w:uiPriority w:val="99"/>
    <w:semiHidden/>
    <w:rsid w:val="00615498"/>
    <w:rPr>
      <w:rFonts w:asciiTheme="minorHAnsi" w:hAnsiTheme="minorHAnsi"/>
      <w:color w:val="000000" w:themeColor="text1"/>
      <w:sz w:val="22"/>
      <w:szCs w:val="24"/>
    </w:rPr>
  </w:style>
  <w:style w:type="character" w:customStyle="1" w:styleId="ListParagraphChar">
    <w:name w:val="List Paragraph Char"/>
    <w:basedOn w:val="DefaultParagraphFont"/>
    <w:link w:val="ListParagraph"/>
    <w:uiPriority w:val="34"/>
    <w:rsid w:val="00171F1A"/>
    <w:rPr>
      <w:rFonts w:asciiTheme="minorHAnsi" w:hAnsiTheme="minorHAnsi"/>
      <w:color w:val="000000" w:themeColor="text1"/>
      <w:sz w:val="22"/>
      <w:szCs w:val="24"/>
    </w:rPr>
  </w:style>
  <w:style w:type="table" w:customStyle="1" w:styleId="DPSTableGrid1">
    <w:name w:val="DPS Table Grid1"/>
    <w:basedOn w:val="TableNormal"/>
    <w:next w:val="TableGrid"/>
    <w:uiPriority w:val="39"/>
    <w:rsid w:val="001843D4"/>
    <w:pPr>
      <w:spacing w:before="40"/>
    </w:pPr>
    <w:rPr>
      <w:rFonts w:ascii="Cambria" w:eastAsia="Cambria" w:hAnsi="Cambria"/>
      <w:color w:val="0A69B3"/>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basedOn w:val="DefaultParagraphFont"/>
    <w:link w:val="Title2"/>
    <w:locked/>
    <w:rsid w:val="004121BC"/>
    <w:rPr>
      <w:rFonts w:ascii="Montserrat Hairline" w:hAnsi="Montserrat Hairline"/>
      <w:color w:val="CAA06E"/>
      <w:spacing w:val="16"/>
      <w:sz w:val="42"/>
      <w:szCs w:val="19"/>
      <w:lang w:val="en-GB"/>
    </w:rPr>
  </w:style>
  <w:style w:type="paragraph" w:customStyle="1" w:styleId="Title2">
    <w:name w:val="Title 2"/>
    <w:basedOn w:val="Normal"/>
    <w:link w:val="Title2Char"/>
    <w:qFormat/>
    <w:rsid w:val="004121BC"/>
    <w:pPr>
      <w:spacing w:before="40" w:after="240" w:line="264" w:lineRule="auto"/>
    </w:pPr>
    <w:rPr>
      <w:rFonts w:ascii="Montserrat Hairline" w:hAnsi="Montserrat Hairline"/>
      <w:color w:val="CAA06E"/>
      <w:spacing w:val="16"/>
      <w:sz w:val="42"/>
      <w:szCs w:val="19"/>
      <w:lang w:val="en-GB"/>
    </w:rPr>
  </w:style>
  <w:style w:type="paragraph" w:customStyle="1" w:styleId="Default">
    <w:name w:val="Default"/>
    <w:rsid w:val="008C37E9"/>
    <w:pPr>
      <w:autoSpaceDE w:val="0"/>
      <w:autoSpaceDN w:val="0"/>
      <w:adjustRightInd w:val="0"/>
    </w:pPr>
    <w:rPr>
      <w:rFonts w:ascii="Calibri Light" w:eastAsiaTheme="minorHAnsi" w:hAnsi="Calibri Light" w:cs="Calibri Light"/>
      <w:color w:val="000000"/>
      <w:sz w:val="24"/>
      <w:szCs w:val="24"/>
      <w:lang w:eastAsia="ja-JP"/>
    </w:rPr>
  </w:style>
  <w:style w:type="paragraph" w:customStyle="1" w:styleId="Pa1">
    <w:name w:val="Pa1"/>
    <w:basedOn w:val="Default"/>
    <w:next w:val="Default"/>
    <w:uiPriority w:val="99"/>
    <w:rsid w:val="008C37E9"/>
    <w:pPr>
      <w:spacing w:line="201" w:lineRule="atLeast"/>
    </w:pPr>
    <w:rPr>
      <w:rFonts w:cstheme="minorBidi"/>
      <w:color w:val="595959" w:themeColor="text1" w:themeTint="A6"/>
    </w:rPr>
  </w:style>
  <w:style w:type="paragraph" w:styleId="NormalWeb">
    <w:name w:val="Normal (Web)"/>
    <w:basedOn w:val="Normal"/>
    <w:uiPriority w:val="99"/>
    <w:semiHidden/>
    <w:unhideWhenUsed/>
    <w:rsid w:val="008E5510"/>
    <w:rPr>
      <w:rFonts w:ascii="Times New Roman" w:hAnsi="Times New Roman"/>
      <w:sz w:val="24"/>
    </w:rPr>
  </w:style>
  <w:style w:type="table" w:customStyle="1" w:styleId="LightList-Accent22">
    <w:name w:val="Light List - Accent 22"/>
    <w:basedOn w:val="TableNormal"/>
    <w:next w:val="LightList-Accent2"/>
    <w:uiPriority w:val="61"/>
    <w:rsid w:val="00D27600"/>
    <w:pPr>
      <w:spacing w:before="40"/>
    </w:pPr>
    <w:rPr>
      <w:rFonts w:asciiTheme="minorHAnsi" w:eastAsiaTheme="minorHAnsi" w:hAnsiTheme="minorHAnsi" w:cstheme="minorBidi"/>
      <w:color w:val="0A69B3"/>
      <w:lang w:val="en-US" w:eastAsia="ja-JP"/>
    </w:rPr>
    <w:tblPr>
      <w:tblStyleRowBandSize w:val="1"/>
      <w:tblStyleColBandSize w:val="1"/>
      <w:tblBorders>
        <w:top w:val="single" w:sz="8" w:space="0" w:color="8E734A"/>
        <w:left w:val="single" w:sz="8" w:space="0" w:color="8E734A"/>
        <w:bottom w:val="single" w:sz="8" w:space="0" w:color="8E734A"/>
        <w:right w:val="single" w:sz="8" w:space="0" w:color="8E734A"/>
      </w:tblBorders>
    </w:tblPr>
    <w:tblStylePr w:type="firstRow">
      <w:pPr>
        <w:spacing w:before="0" w:after="0" w:line="240" w:lineRule="auto"/>
      </w:pPr>
      <w:rPr>
        <w:b/>
        <w:bCs/>
        <w:color w:val="262626"/>
      </w:rPr>
      <w:tblPr/>
      <w:tcPr>
        <w:shd w:val="clear" w:color="auto" w:fill="8E734A"/>
      </w:tcPr>
    </w:tblStylePr>
    <w:tblStylePr w:type="lastRow">
      <w:pPr>
        <w:spacing w:before="0" w:after="0" w:line="240" w:lineRule="auto"/>
      </w:pPr>
      <w:rPr>
        <w:b/>
        <w:bCs/>
      </w:rPr>
      <w:tblPr/>
      <w:tcPr>
        <w:tcBorders>
          <w:top w:val="double" w:sz="6" w:space="0" w:color="8E734A"/>
          <w:left w:val="single" w:sz="8" w:space="0" w:color="8E734A"/>
          <w:bottom w:val="single" w:sz="8" w:space="0" w:color="8E734A"/>
          <w:right w:val="single" w:sz="8" w:space="0" w:color="8E734A"/>
        </w:tcBorders>
      </w:tcPr>
    </w:tblStylePr>
    <w:tblStylePr w:type="firstCol">
      <w:rPr>
        <w:b/>
        <w:bCs/>
      </w:rPr>
    </w:tblStylePr>
    <w:tblStylePr w:type="lastCol">
      <w:rPr>
        <w:b/>
        <w:bCs/>
      </w:rPr>
    </w:tblStylePr>
    <w:tblStylePr w:type="band1Vert">
      <w:tblPr/>
      <w:tcPr>
        <w:tcBorders>
          <w:top w:val="single" w:sz="8" w:space="0" w:color="8E734A"/>
          <w:left w:val="single" w:sz="8" w:space="0" w:color="8E734A"/>
          <w:bottom w:val="single" w:sz="8" w:space="0" w:color="8E734A"/>
          <w:right w:val="single" w:sz="8" w:space="0" w:color="8E734A"/>
        </w:tcBorders>
      </w:tcPr>
    </w:tblStylePr>
    <w:tblStylePr w:type="band1Horz">
      <w:tblPr/>
      <w:tcPr>
        <w:tcBorders>
          <w:top w:val="single" w:sz="8" w:space="0" w:color="8E734A"/>
          <w:left w:val="single" w:sz="8" w:space="0" w:color="8E734A"/>
          <w:bottom w:val="single" w:sz="8" w:space="0" w:color="8E734A"/>
          <w:right w:val="single" w:sz="8" w:space="0" w:color="8E734A"/>
        </w:tcBorders>
      </w:tcPr>
    </w:tblStylePr>
  </w:style>
  <w:style w:type="table" w:customStyle="1" w:styleId="TableGridLight1">
    <w:name w:val="Table Grid Light1"/>
    <w:basedOn w:val="TableNormal"/>
    <w:uiPriority w:val="40"/>
    <w:rsid w:val="00D27600"/>
    <w:pPr>
      <w:widowControl w:val="0"/>
    </w:pPr>
    <w:rPr>
      <w:rFonts w:asciiTheme="minorHAnsi" w:eastAsiaTheme="minorHAnsi" w:hAnsiTheme="minorHAnsi" w:cstheme="minorBidi"/>
      <w:sz w:val="22"/>
      <w:szCs w:val="22"/>
      <w:lang w:val="en-US" w:eastAsia="en-US"/>
    </w:rPr>
    <w:tblPr>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Pr>
  </w:style>
  <w:style w:type="table" w:styleId="LightList-Accent2">
    <w:name w:val="Light List Accent 2"/>
    <w:basedOn w:val="TableNormal"/>
    <w:uiPriority w:val="61"/>
    <w:semiHidden/>
    <w:unhideWhenUsed/>
    <w:rsid w:val="00D27600"/>
    <w:tblPr>
      <w:tblStyleRowBandSize w:val="1"/>
      <w:tblStyleColBandSize w:val="1"/>
      <w:tblBorders>
        <w:top w:val="single" w:sz="8" w:space="0" w:color="2057A7" w:themeColor="accent2"/>
        <w:left w:val="single" w:sz="8" w:space="0" w:color="2057A7" w:themeColor="accent2"/>
        <w:bottom w:val="single" w:sz="8" w:space="0" w:color="2057A7" w:themeColor="accent2"/>
        <w:right w:val="single" w:sz="8" w:space="0" w:color="2057A7" w:themeColor="accent2"/>
      </w:tblBorders>
    </w:tblPr>
    <w:tblStylePr w:type="firstRow">
      <w:pPr>
        <w:spacing w:before="0" w:after="0" w:line="240" w:lineRule="auto"/>
      </w:pPr>
      <w:rPr>
        <w:b/>
        <w:bCs/>
        <w:color w:val="FFFFFF" w:themeColor="background1"/>
      </w:rPr>
      <w:tblPr/>
      <w:tcPr>
        <w:shd w:val="clear" w:color="auto" w:fill="2057A7" w:themeFill="accent2"/>
      </w:tcPr>
    </w:tblStylePr>
    <w:tblStylePr w:type="lastRow">
      <w:pPr>
        <w:spacing w:before="0" w:after="0" w:line="240" w:lineRule="auto"/>
      </w:pPr>
      <w:rPr>
        <w:b/>
        <w:bCs/>
      </w:rPr>
      <w:tblPr/>
      <w:tcPr>
        <w:tcBorders>
          <w:top w:val="double" w:sz="6" w:space="0" w:color="2057A7" w:themeColor="accent2"/>
          <w:left w:val="single" w:sz="8" w:space="0" w:color="2057A7" w:themeColor="accent2"/>
          <w:bottom w:val="single" w:sz="8" w:space="0" w:color="2057A7" w:themeColor="accent2"/>
          <w:right w:val="single" w:sz="8" w:space="0" w:color="2057A7" w:themeColor="accent2"/>
        </w:tcBorders>
      </w:tcPr>
    </w:tblStylePr>
    <w:tblStylePr w:type="firstCol">
      <w:rPr>
        <w:b/>
        <w:bCs/>
      </w:rPr>
    </w:tblStylePr>
    <w:tblStylePr w:type="lastCol">
      <w:rPr>
        <w:b/>
        <w:bCs/>
      </w:rPr>
    </w:tblStylePr>
    <w:tblStylePr w:type="band1Vert">
      <w:tblPr/>
      <w:tcPr>
        <w:tcBorders>
          <w:top w:val="single" w:sz="8" w:space="0" w:color="2057A7" w:themeColor="accent2"/>
          <w:left w:val="single" w:sz="8" w:space="0" w:color="2057A7" w:themeColor="accent2"/>
          <w:bottom w:val="single" w:sz="8" w:space="0" w:color="2057A7" w:themeColor="accent2"/>
          <w:right w:val="single" w:sz="8" w:space="0" w:color="2057A7" w:themeColor="accent2"/>
        </w:tcBorders>
      </w:tcPr>
    </w:tblStylePr>
    <w:tblStylePr w:type="band1Horz">
      <w:tblPr/>
      <w:tcPr>
        <w:tcBorders>
          <w:top w:val="single" w:sz="8" w:space="0" w:color="2057A7" w:themeColor="accent2"/>
          <w:left w:val="single" w:sz="8" w:space="0" w:color="2057A7" w:themeColor="accent2"/>
          <w:bottom w:val="single" w:sz="8" w:space="0" w:color="2057A7" w:themeColor="accent2"/>
          <w:right w:val="single" w:sz="8" w:space="0" w:color="2057A7"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13">
      <w:bodyDiv w:val="1"/>
      <w:marLeft w:val="0"/>
      <w:marRight w:val="0"/>
      <w:marTop w:val="0"/>
      <w:marBottom w:val="0"/>
      <w:divBdr>
        <w:top w:val="none" w:sz="0" w:space="0" w:color="auto"/>
        <w:left w:val="none" w:sz="0" w:space="0" w:color="auto"/>
        <w:bottom w:val="none" w:sz="0" w:space="0" w:color="auto"/>
        <w:right w:val="none" w:sz="0" w:space="0" w:color="auto"/>
      </w:divBdr>
    </w:div>
    <w:div w:id="182979718">
      <w:bodyDiv w:val="1"/>
      <w:marLeft w:val="0"/>
      <w:marRight w:val="0"/>
      <w:marTop w:val="0"/>
      <w:marBottom w:val="0"/>
      <w:divBdr>
        <w:top w:val="none" w:sz="0" w:space="0" w:color="auto"/>
        <w:left w:val="none" w:sz="0" w:space="0" w:color="auto"/>
        <w:bottom w:val="none" w:sz="0" w:space="0" w:color="auto"/>
        <w:right w:val="none" w:sz="0" w:space="0" w:color="auto"/>
      </w:divBdr>
    </w:div>
    <w:div w:id="363094436">
      <w:bodyDiv w:val="1"/>
      <w:marLeft w:val="0"/>
      <w:marRight w:val="0"/>
      <w:marTop w:val="0"/>
      <w:marBottom w:val="0"/>
      <w:divBdr>
        <w:top w:val="none" w:sz="0" w:space="0" w:color="auto"/>
        <w:left w:val="none" w:sz="0" w:space="0" w:color="auto"/>
        <w:bottom w:val="none" w:sz="0" w:space="0" w:color="auto"/>
        <w:right w:val="none" w:sz="0" w:space="0" w:color="auto"/>
      </w:divBdr>
    </w:div>
    <w:div w:id="449401211">
      <w:bodyDiv w:val="1"/>
      <w:marLeft w:val="0"/>
      <w:marRight w:val="0"/>
      <w:marTop w:val="0"/>
      <w:marBottom w:val="0"/>
      <w:divBdr>
        <w:top w:val="none" w:sz="0" w:space="0" w:color="auto"/>
        <w:left w:val="none" w:sz="0" w:space="0" w:color="auto"/>
        <w:bottom w:val="none" w:sz="0" w:space="0" w:color="auto"/>
        <w:right w:val="none" w:sz="0" w:space="0" w:color="auto"/>
      </w:divBdr>
    </w:div>
    <w:div w:id="486437790">
      <w:bodyDiv w:val="1"/>
      <w:marLeft w:val="0"/>
      <w:marRight w:val="0"/>
      <w:marTop w:val="0"/>
      <w:marBottom w:val="0"/>
      <w:divBdr>
        <w:top w:val="none" w:sz="0" w:space="0" w:color="auto"/>
        <w:left w:val="none" w:sz="0" w:space="0" w:color="auto"/>
        <w:bottom w:val="none" w:sz="0" w:space="0" w:color="auto"/>
        <w:right w:val="none" w:sz="0" w:space="0" w:color="auto"/>
      </w:divBdr>
    </w:div>
    <w:div w:id="613293540">
      <w:bodyDiv w:val="1"/>
      <w:marLeft w:val="0"/>
      <w:marRight w:val="0"/>
      <w:marTop w:val="0"/>
      <w:marBottom w:val="0"/>
      <w:divBdr>
        <w:top w:val="none" w:sz="0" w:space="0" w:color="auto"/>
        <w:left w:val="none" w:sz="0" w:space="0" w:color="auto"/>
        <w:bottom w:val="none" w:sz="0" w:space="0" w:color="auto"/>
        <w:right w:val="none" w:sz="0" w:space="0" w:color="auto"/>
      </w:divBdr>
    </w:div>
    <w:div w:id="75078417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67114024">
      <w:bodyDiv w:val="1"/>
      <w:marLeft w:val="0"/>
      <w:marRight w:val="0"/>
      <w:marTop w:val="0"/>
      <w:marBottom w:val="0"/>
      <w:divBdr>
        <w:top w:val="none" w:sz="0" w:space="0" w:color="auto"/>
        <w:left w:val="none" w:sz="0" w:space="0" w:color="auto"/>
        <w:bottom w:val="none" w:sz="0" w:space="0" w:color="auto"/>
        <w:right w:val="none" w:sz="0" w:space="0" w:color="auto"/>
      </w:divBdr>
    </w:div>
    <w:div w:id="9618815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375223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61423583">
      <w:bodyDiv w:val="1"/>
      <w:marLeft w:val="0"/>
      <w:marRight w:val="0"/>
      <w:marTop w:val="0"/>
      <w:marBottom w:val="0"/>
      <w:divBdr>
        <w:top w:val="none" w:sz="0" w:space="0" w:color="auto"/>
        <w:left w:val="none" w:sz="0" w:space="0" w:color="auto"/>
        <w:bottom w:val="none" w:sz="0" w:space="0" w:color="auto"/>
        <w:right w:val="none" w:sz="0" w:space="0" w:color="auto"/>
      </w:divBdr>
    </w:div>
    <w:div w:id="1983197612">
      <w:bodyDiv w:val="1"/>
      <w:marLeft w:val="0"/>
      <w:marRight w:val="0"/>
      <w:marTop w:val="0"/>
      <w:marBottom w:val="0"/>
      <w:divBdr>
        <w:top w:val="none" w:sz="0" w:space="0" w:color="auto"/>
        <w:left w:val="none" w:sz="0" w:space="0" w:color="auto"/>
        <w:bottom w:val="none" w:sz="0" w:space="0" w:color="auto"/>
        <w:right w:val="none" w:sz="0" w:space="0" w:color="auto"/>
      </w:divBdr>
    </w:div>
    <w:div w:id="202527793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65987061">
      <w:bodyDiv w:val="1"/>
      <w:marLeft w:val="0"/>
      <w:marRight w:val="0"/>
      <w:marTop w:val="0"/>
      <w:marBottom w:val="0"/>
      <w:divBdr>
        <w:top w:val="none" w:sz="0" w:space="0" w:color="auto"/>
        <w:left w:val="none" w:sz="0" w:space="0" w:color="auto"/>
        <w:bottom w:val="none" w:sz="0" w:space="0" w:color="auto"/>
        <w:right w:val="none" w:sz="0" w:space="0" w:color="auto"/>
      </w:divBdr>
    </w:div>
    <w:div w:id="2080319428">
      <w:bodyDiv w:val="1"/>
      <w:marLeft w:val="0"/>
      <w:marRight w:val="0"/>
      <w:marTop w:val="0"/>
      <w:marBottom w:val="0"/>
      <w:divBdr>
        <w:top w:val="none" w:sz="0" w:space="0" w:color="auto"/>
        <w:left w:val="none" w:sz="0" w:space="0" w:color="auto"/>
        <w:bottom w:val="none" w:sz="0" w:space="0" w:color="auto"/>
        <w:right w:val="none" w:sz="0" w:space="0" w:color="auto"/>
      </w:divBdr>
    </w:div>
    <w:div w:id="21251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creativecommons.org/licensesby/4.0/deed.en" TargetMode="External"/><Relationship Id="rId17" Type="http://schemas.openxmlformats.org/officeDocument/2006/relationships/hyperlink" Target="https://www.socialscienceregistry.org/trials/2209/history/17464" TargetMode="External"/><Relationship Id="rId25" Type="http://schemas.openxmlformats.org/officeDocument/2006/relationships/image" Target="media/image5.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ocialscienceregistry.org/trials/2201" TargetMode="External"/><Relationship Id="rId20" Type="http://schemas.openxmlformats.org/officeDocument/2006/relationships/hyperlink" Target="https://www.researchgate.net/publication/222944662_Small_business_owners%27_attitudes_on_VAT_compliance_in_the_UK"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32" Type="http://schemas.openxmlformats.org/officeDocument/2006/relationships/hyperlink" Target="http://www.pmc.gov.au/beta" TargetMode="External"/><Relationship Id="rId5" Type="http://schemas.openxmlformats.org/officeDocument/2006/relationships/numbering" Target="numbering.xml"/><Relationship Id="rId15" Type="http://schemas.openxmlformats.org/officeDocument/2006/relationships/hyperlink" Target="https://www.pmc.gov.au/domestic-policy/behavioural-economics/making-it-less-taxing-better-compliance-deferred-gst" TargetMode="External"/><Relationship Id="rId23" Type="http://schemas.openxmlformats.org/officeDocument/2006/relationships/chart" Target="charts/chart2.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media@pm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anhonour.gov.au/coat-arms" TargetMode="External"/><Relationship Id="rId22" Type="http://schemas.openxmlformats.org/officeDocument/2006/relationships/chart" Target="charts/chart1.xml"/><Relationship Id="rId27" Type="http://schemas.openxmlformats.org/officeDocument/2006/relationships/hyperlink" Target="https://www.ntanet.org/wp-content/uploads/proceedings/2015/213-benzarti-taxing-tax-filing-leaving-money.pdf" TargetMode="External"/><Relationship Id="rId30" Type="http://schemas.openxmlformats.org/officeDocument/2006/relationships/hyperlink" Target="mailto:beta@pmc.gov.au"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invertIfNegative val="0"/>
          <c:dPt>
            <c:idx val="0"/>
            <c:invertIfNegative val="0"/>
            <c:bubble3D val="0"/>
            <c:spPr>
              <a:solidFill>
                <a:srgbClr val="006F78"/>
              </a:solidFill>
              <a:ln>
                <a:noFill/>
              </a:ln>
              <a:effectLst/>
            </c:spPr>
            <c:extLst>
              <c:ext xmlns:c16="http://schemas.microsoft.com/office/drawing/2014/chart" uri="{C3380CC4-5D6E-409C-BE32-E72D297353CC}">
                <c16:uniqueId val="{00000001-33DA-4585-9570-21D50FE44BCB}"/>
              </c:ext>
            </c:extLst>
          </c:dPt>
          <c:dPt>
            <c:idx val="1"/>
            <c:invertIfNegative val="0"/>
            <c:bubble3D val="0"/>
            <c:spPr>
              <a:solidFill>
                <a:srgbClr val="7F6000"/>
              </a:solidFill>
              <a:ln>
                <a:noFill/>
              </a:ln>
              <a:effectLst/>
            </c:spPr>
            <c:extLst>
              <c:ext xmlns:c16="http://schemas.microsoft.com/office/drawing/2014/chart" uri="{C3380CC4-5D6E-409C-BE32-E72D297353CC}">
                <c16:uniqueId val="{00000003-33DA-4585-9570-21D50FE44BCB}"/>
              </c:ext>
            </c:extLst>
          </c:dPt>
          <c:dPt>
            <c:idx val="2"/>
            <c:invertIfNegative val="0"/>
            <c:bubble3D val="0"/>
            <c:spPr>
              <a:solidFill>
                <a:srgbClr val="C00000"/>
              </a:solidFill>
              <a:ln>
                <a:noFill/>
              </a:ln>
              <a:effectLst/>
            </c:spPr>
            <c:extLst>
              <c:ext xmlns:c16="http://schemas.microsoft.com/office/drawing/2014/chart" uri="{C3380CC4-5D6E-409C-BE32-E72D297353CC}">
                <c16:uniqueId val="{00000005-33DA-4585-9570-21D50FE44BCB}"/>
              </c:ext>
            </c:extLst>
          </c:dPt>
          <c:dLbls>
            <c:dLbl>
              <c:idx val="0"/>
              <c:layout>
                <c:manualLayout>
                  <c:x val="0"/>
                  <c:y val="0.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DA-4585-9570-21D50FE44BCB}"/>
                </c:ext>
              </c:extLst>
            </c:dLbl>
            <c:dLbl>
              <c:idx val="1"/>
              <c:layout>
                <c:manualLayout>
                  <c:x val="0"/>
                  <c:y val="0.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DA-4585-9570-21D50FE44BCB}"/>
                </c:ext>
              </c:extLst>
            </c:dLbl>
            <c:dLbl>
              <c:idx val="2"/>
              <c:layout>
                <c:manualLayout>
                  <c:x val="-1.0185067526416E-16"/>
                  <c:y val="0.11574074074074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DA-4585-9570-21D50FE44BC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to compliance'!$A$12:$A$15</c:f>
              <c:strCache>
                <c:ptCount val="3"/>
                <c:pt idx="0">
                  <c:v>Control</c:v>
                </c:pt>
                <c:pt idx="1">
                  <c:v>Direct email</c:v>
                </c:pt>
                <c:pt idx="2">
                  <c:v>Cooperative email</c:v>
                </c:pt>
              </c:strCache>
            </c:strRef>
          </c:cat>
          <c:val>
            <c:numRef>
              <c:f>'time to compliance'!$B$12:$B$15</c:f>
              <c:numCache>
                <c:formatCode>General</c:formatCode>
                <c:ptCount val="3"/>
                <c:pt idx="0">
                  <c:v>14</c:v>
                </c:pt>
                <c:pt idx="1">
                  <c:v>8</c:v>
                </c:pt>
                <c:pt idx="2">
                  <c:v>10</c:v>
                </c:pt>
              </c:numCache>
            </c:numRef>
          </c:val>
          <c:extLst>
            <c:ext xmlns:c16="http://schemas.microsoft.com/office/drawing/2014/chart" uri="{C3380CC4-5D6E-409C-BE32-E72D297353CC}">
              <c16:uniqueId val="{00000008-33DA-4585-9570-21D50FE44BCB}"/>
            </c:ext>
          </c:extLst>
        </c:ser>
        <c:dLbls>
          <c:showLegendKey val="0"/>
          <c:showVal val="0"/>
          <c:showCatName val="0"/>
          <c:showSerName val="0"/>
          <c:showPercent val="0"/>
          <c:showBubbleSize val="0"/>
        </c:dLbls>
        <c:gapWidth val="73"/>
        <c:overlap val="-47"/>
        <c:axId val="-1656281392"/>
        <c:axId val="-1655745552"/>
      </c:barChart>
      <c:catAx>
        <c:axId val="-16562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655745552"/>
        <c:crosses val="autoZero"/>
        <c:auto val="1"/>
        <c:lblAlgn val="ctr"/>
        <c:lblOffset val="100"/>
        <c:noMultiLvlLbl val="0"/>
      </c:catAx>
      <c:valAx>
        <c:axId val="-1655745552"/>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a:t>Time to reach 25% compliance (days)</a:t>
                </a:r>
              </a:p>
            </c:rich>
          </c:tx>
          <c:layout>
            <c:manualLayout>
              <c:xMode val="edge"/>
              <c:yMode val="edge"/>
              <c:x val="1.38888888888889E-2"/>
              <c:y val="9.1311971420239099E-2"/>
            </c:manualLayout>
          </c:layout>
          <c:overlay val="0"/>
          <c:spPr>
            <a:noFill/>
            <a:ln>
              <a:noFill/>
            </a:ln>
            <a:effectLst/>
          </c:sp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656281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48381452318499"/>
          <c:y val="0.101851851851852"/>
          <c:w val="0.84396062992125997"/>
          <c:h val="0.63759988334791495"/>
        </c:manualLayout>
      </c:layout>
      <c:lineChart>
        <c:grouping val="standard"/>
        <c:varyColors val="0"/>
        <c:ser>
          <c:idx val="0"/>
          <c:order val="0"/>
          <c:tx>
            <c:strRef>
              <c:f>Sheet6!$F$1</c:f>
              <c:strCache>
                <c:ptCount val="1"/>
                <c:pt idx="0">
                  <c:v>Control</c:v>
                </c:pt>
              </c:strCache>
            </c:strRef>
          </c:tx>
          <c:spPr>
            <a:ln w="28575" cap="rnd">
              <a:solidFill>
                <a:srgbClr val="006F78"/>
              </a:solidFill>
              <a:round/>
            </a:ln>
            <a:effectLst/>
          </c:spPr>
          <c:marker>
            <c:symbol val="none"/>
          </c:marker>
          <c:cat>
            <c:numRef>
              <c:f>Sheet6!$E$2:$E$22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18</c:v>
                </c:pt>
                <c:pt idx="18">
                  <c:v>19</c:v>
                </c:pt>
                <c:pt idx="19">
                  <c:v>20</c:v>
                </c:pt>
                <c:pt idx="20">
                  <c:v>21</c:v>
                </c:pt>
              </c:numCache>
            </c:numRef>
          </c:cat>
          <c:val>
            <c:numRef>
              <c:f>Sheet6!$F$2:$F$22</c:f>
              <c:numCache>
                <c:formatCode>General</c:formatCode>
                <c:ptCount val="21"/>
                <c:pt idx="0">
                  <c:v>0.5</c:v>
                </c:pt>
                <c:pt idx="1">
                  <c:v>2.48</c:v>
                </c:pt>
                <c:pt idx="2">
                  <c:v>4.22</c:v>
                </c:pt>
                <c:pt idx="3">
                  <c:v>5.96</c:v>
                </c:pt>
                <c:pt idx="4">
                  <c:v>6.9500000000000011</c:v>
                </c:pt>
                <c:pt idx="5">
                  <c:v>9.93</c:v>
                </c:pt>
                <c:pt idx="6">
                  <c:v>11.91</c:v>
                </c:pt>
                <c:pt idx="7">
                  <c:v>14.64</c:v>
                </c:pt>
                <c:pt idx="8">
                  <c:v>17.87</c:v>
                </c:pt>
                <c:pt idx="9">
                  <c:v>18.61</c:v>
                </c:pt>
                <c:pt idx="10">
                  <c:v>19.850000000000001</c:v>
                </c:pt>
                <c:pt idx="11">
                  <c:v>20.599999999999991</c:v>
                </c:pt>
                <c:pt idx="12">
                  <c:v>21.84</c:v>
                </c:pt>
                <c:pt idx="13">
                  <c:v>23.330000000000009</c:v>
                </c:pt>
                <c:pt idx="14">
                  <c:v>25.56</c:v>
                </c:pt>
                <c:pt idx="15">
                  <c:v>28.04</c:v>
                </c:pt>
                <c:pt idx="16">
                  <c:v>28.54</c:v>
                </c:pt>
                <c:pt idx="17">
                  <c:v>28.78</c:v>
                </c:pt>
                <c:pt idx="18">
                  <c:v>29.28</c:v>
                </c:pt>
                <c:pt idx="19">
                  <c:v>32.75</c:v>
                </c:pt>
                <c:pt idx="20">
                  <c:v>32.75</c:v>
                </c:pt>
              </c:numCache>
            </c:numRef>
          </c:val>
          <c:smooth val="0"/>
          <c:extLst>
            <c:ext xmlns:c16="http://schemas.microsoft.com/office/drawing/2014/chart" uri="{C3380CC4-5D6E-409C-BE32-E72D297353CC}">
              <c16:uniqueId val="{00000000-5778-4F5C-B3DC-16088D7A0E4B}"/>
            </c:ext>
          </c:extLst>
        </c:ser>
        <c:ser>
          <c:idx val="1"/>
          <c:order val="1"/>
          <c:tx>
            <c:strRef>
              <c:f>Sheet6!$G$1</c:f>
              <c:strCache>
                <c:ptCount val="1"/>
                <c:pt idx="0">
                  <c:v>Direct email</c:v>
                </c:pt>
              </c:strCache>
            </c:strRef>
          </c:tx>
          <c:spPr>
            <a:ln w="28575" cap="rnd">
              <a:solidFill>
                <a:srgbClr val="7F6000"/>
              </a:solidFill>
              <a:round/>
            </a:ln>
            <a:effectLst/>
          </c:spPr>
          <c:marker>
            <c:symbol val="none"/>
          </c:marker>
          <c:cat>
            <c:numRef>
              <c:f>Sheet6!$E$2:$E$22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18</c:v>
                </c:pt>
                <c:pt idx="18">
                  <c:v>19</c:v>
                </c:pt>
                <c:pt idx="19">
                  <c:v>20</c:v>
                </c:pt>
                <c:pt idx="20">
                  <c:v>21</c:v>
                </c:pt>
              </c:numCache>
            </c:numRef>
          </c:cat>
          <c:val>
            <c:numRef>
              <c:f>Sheet6!$G$2:$G$22</c:f>
              <c:numCache>
                <c:formatCode>General</c:formatCode>
                <c:ptCount val="21"/>
                <c:pt idx="0">
                  <c:v>1.77</c:v>
                </c:pt>
                <c:pt idx="1">
                  <c:v>5.0599999999999996</c:v>
                </c:pt>
                <c:pt idx="2">
                  <c:v>8.1</c:v>
                </c:pt>
                <c:pt idx="3">
                  <c:v>10.89</c:v>
                </c:pt>
                <c:pt idx="4">
                  <c:v>12.91</c:v>
                </c:pt>
                <c:pt idx="5">
                  <c:v>18.48</c:v>
                </c:pt>
                <c:pt idx="6">
                  <c:v>21.52</c:v>
                </c:pt>
                <c:pt idx="7">
                  <c:v>24.3</c:v>
                </c:pt>
                <c:pt idx="8">
                  <c:v>28.349999999999991</c:v>
                </c:pt>
                <c:pt idx="9">
                  <c:v>29.37</c:v>
                </c:pt>
                <c:pt idx="10">
                  <c:v>30.13000000000001</c:v>
                </c:pt>
                <c:pt idx="11">
                  <c:v>32.15</c:v>
                </c:pt>
                <c:pt idx="12">
                  <c:v>34.18</c:v>
                </c:pt>
                <c:pt idx="13">
                  <c:v>38.730000000000011</c:v>
                </c:pt>
                <c:pt idx="14">
                  <c:v>40.760000000000012</c:v>
                </c:pt>
                <c:pt idx="15">
                  <c:v>43.54</c:v>
                </c:pt>
                <c:pt idx="16">
                  <c:v>44.3</c:v>
                </c:pt>
                <c:pt idx="17">
                  <c:v>44.56</c:v>
                </c:pt>
                <c:pt idx="18">
                  <c:v>44.81</c:v>
                </c:pt>
                <c:pt idx="19">
                  <c:v>47.85</c:v>
                </c:pt>
                <c:pt idx="20">
                  <c:v>47.85</c:v>
                </c:pt>
              </c:numCache>
            </c:numRef>
          </c:val>
          <c:smooth val="0"/>
          <c:extLst>
            <c:ext xmlns:c16="http://schemas.microsoft.com/office/drawing/2014/chart" uri="{C3380CC4-5D6E-409C-BE32-E72D297353CC}">
              <c16:uniqueId val="{00000001-5778-4F5C-B3DC-16088D7A0E4B}"/>
            </c:ext>
          </c:extLst>
        </c:ser>
        <c:ser>
          <c:idx val="2"/>
          <c:order val="2"/>
          <c:tx>
            <c:strRef>
              <c:f>Sheet6!$H$1</c:f>
              <c:strCache>
                <c:ptCount val="1"/>
                <c:pt idx="0">
                  <c:v>Cooperative email</c:v>
                </c:pt>
              </c:strCache>
            </c:strRef>
          </c:tx>
          <c:spPr>
            <a:ln w="28575" cap="rnd">
              <a:solidFill>
                <a:srgbClr val="C00000"/>
              </a:solidFill>
              <a:round/>
            </a:ln>
            <a:effectLst/>
          </c:spPr>
          <c:marker>
            <c:symbol val="none"/>
          </c:marker>
          <c:cat>
            <c:numRef>
              <c:f>Sheet6!$E$2:$E$22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18</c:v>
                </c:pt>
                <c:pt idx="18">
                  <c:v>19</c:v>
                </c:pt>
                <c:pt idx="19">
                  <c:v>20</c:v>
                </c:pt>
                <c:pt idx="20">
                  <c:v>21</c:v>
                </c:pt>
              </c:numCache>
            </c:numRef>
          </c:cat>
          <c:val>
            <c:numRef>
              <c:f>Sheet6!$H$2:$H$22</c:f>
              <c:numCache>
                <c:formatCode>General</c:formatCode>
                <c:ptCount val="21"/>
                <c:pt idx="0">
                  <c:v>0.25</c:v>
                </c:pt>
                <c:pt idx="1">
                  <c:v>3.79</c:v>
                </c:pt>
                <c:pt idx="2">
                  <c:v>6.8199999999999976</c:v>
                </c:pt>
                <c:pt idx="3">
                  <c:v>8.84</c:v>
                </c:pt>
                <c:pt idx="4">
                  <c:v>10.35</c:v>
                </c:pt>
                <c:pt idx="5">
                  <c:v>13.89</c:v>
                </c:pt>
                <c:pt idx="6">
                  <c:v>16.41</c:v>
                </c:pt>
                <c:pt idx="7">
                  <c:v>20.71</c:v>
                </c:pt>
                <c:pt idx="8">
                  <c:v>23.48</c:v>
                </c:pt>
                <c:pt idx="9">
                  <c:v>25</c:v>
                </c:pt>
                <c:pt idx="10">
                  <c:v>25.509999999999991</c:v>
                </c:pt>
                <c:pt idx="11">
                  <c:v>27.77999999999999</c:v>
                </c:pt>
                <c:pt idx="12">
                  <c:v>31.06</c:v>
                </c:pt>
                <c:pt idx="13">
                  <c:v>35.100000000000009</c:v>
                </c:pt>
                <c:pt idx="14">
                  <c:v>37.369999999999997</c:v>
                </c:pt>
                <c:pt idx="15">
                  <c:v>39.14</c:v>
                </c:pt>
                <c:pt idx="16">
                  <c:v>40.400000000000013</c:v>
                </c:pt>
                <c:pt idx="17">
                  <c:v>40.909999999999997</c:v>
                </c:pt>
                <c:pt idx="18">
                  <c:v>44.7</c:v>
                </c:pt>
                <c:pt idx="19">
                  <c:v>44.7</c:v>
                </c:pt>
                <c:pt idx="20">
                  <c:v>44.7</c:v>
                </c:pt>
              </c:numCache>
            </c:numRef>
          </c:val>
          <c:smooth val="0"/>
          <c:extLst>
            <c:ext xmlns:c16="http://schemas.microsoft.com/office/drawing/2014/chart" uri="{C3380CC4-5D6E-409C-BE32-E72D297353CC}">
              <c16:uniqueId val="{00000002-5778-4F5C-B3DC-16088D7A0E4B}"/>
            </c:ext>
          </c:extLst>
        </c:ser>
        <c:dLbls>
          <c:showLegendKey val="0"/>
          <c:showVal val="0"/>
          <c:showCatName val="0"/>
          <c:showSerName val="0"/>
          <c:showPercent val="0"/>
          <c:showBubbleSize val="0"/>
        </c:dLbls>
        <c:smooth val="0"/>
        <c:axId val="-1670541696"/>
        <c:axId val="-2109517632"/>
      </c:lineChart>
      <c:catAx>
        <c:axId val="-167054169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a:t>Time (Days)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109517632"/>
        <c:crosses val="autoZero"/>
        <c:auto val="1"/>
        <c:lblAlgn val="ctr"/>
        <c:lblOffset val="100"/>
        <c:tickLblSkip val="5"/>
        <c:tickMarkSkip val="5"/>
        <c:noMultiLvlLbl val="0"/>
      </c:catAx>
      <c:valAx>
        <c:axId val="-2109517632"/>
        <c:scaling>
          <c:orientation val="minMax"/>
          <c:max val="5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Probability of compliance (</a:t>
                </a:r>
                <a:r>
                  <a:rPr lang="en-US"/>
                  <a:t>per cent</a:t>
                </a:r>
                <a:r>
                  <a:rPr lang="en-US" sz="1100"/>
                  <a:t>)</a:t>
                </a:r>
              </a:p>
            </c:rich>
          </c:tx>
          <c:layout>
            <c:manualLayout>
              <c:xMode val="edge"/>
              <c:yMode val="edge"/>
              <c:x val="1.6666666666666701E-2"/>
              <c:y val="5.8799941673957398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70541696"/>
        <c:crosses val="autoZero"/>
        <c:crossBetween val="between"/>
      </c:valAx>
      <c:spPr>
        <a:noFill/>
        <a:ln>
          <a:noFill/>
        </a:ln>
        <a:effectLst/>
      </c:spPr>
    </c:plotArea>
    <c:legend>
      <c:legendPos val="b"/>
      <c:layout>
        <c:manualLayout>
          <c:xMode val="edge"/>
          <c:yMode val="edge"/>
          <c:x val="0.183732502187227"/>
          <c:y val="0.90420494313210897"/>
          <c:w val="0.816267397785024"/>
          <c:h val="7.776070399176089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PMC BETA Guidance Note Technical Greens 1">
      <a:dk1>
        <a:srgbClr val="000000"/>
      </a:dk1>
      <a:lt1>
        <a:srgbClr val="FFFFFF"/>
      </a:lt1>
      <a:dk2>
        <a:srgbClr val="142E3A"/>
      </a:dk2>
      <a:lt2>
        <a:srgbClr val="20B9A3"/>
      </a:lt2>
      <a:accent1>
        <a:srgbClr val="2C276C"/>
      </a:accent1>
      <a:accent2>
        <a:srgbClr val="2057A7"/>
      </a:accent2>
      <a:accent3>
        <a:srgbClr val="117478"/>
      </a:accent3>
      <a:accent4>
        <a:srgbClr val="8D7349"/>
      </a:accent4>
      <a:accent5>
        <a:srgbClr val="9D2033"/>
      </a:accent5>
      <a:accent6>
        <a:srgbClr val="6D6E71"/>
      </a:accent6>
      <a:hlink>
        <a:srgbClr val="20B9A3"/>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35c4ed8a-af79-46b6-bfac-d65ce1a372e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35c4ed8a-af79-46b6-bfac-d65ce1a372e5">DOC18-233457</ShareHubID>
    <TaxCatchAll xmlns="35c4ed8a-af79-46b6-bfac-d65ce1a372e5">
      <Value>1</Value>
    </TaxCatchAll>
    <PMCNotes xmlns="35c4ed8a-af79-46b6-bfac-d65ce1a372e5" xsi:nil="true"/>
    <jd1c641577414dfdab1686c9d5d0dbd0 xmlns="35c4ed8a-af79-46b6-bfac-d65ce1a372e5">
      <Terms xmlns="http://schemas.microsoft.com/office/infopath/2007/PartnerControls"/>
    </jd1c641577414dfdab1686c9d5d0dbd0>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4181EEBA516AF641964FE8559E3B2EE7" ma:contentTypeVersion="9" ma:contentTypeDescription="PMC Document" ma:contentTypeScope="" ma:versionID="16998d4c1998cf9ee39fc35004615774">
  <xsd:schema xmlns:xsd="http://www.w3.org/2001/XMLSchema" xmlns:xs="http://www.w3.org/2001/XMLSchema" xmlns:p="http://schemas.microsoft.com/office/2006/metadata/properties" xmlns:ns1="35c4ed8a-af79-46b6-bfac-d65ce1a372e5" xmlns:ns3="685f9fda-bd71-4433-b331-92feb9553089" targetNamespace="http://schemas.microsoft.com/office/2006/metadata/properties" ma:root="true" ma:fieldsID="81d46fe47e5c5a15714a7fe76a4dbb14" ns1:_="" ns3:_="">
    <xsd:import namespace="35c4ed8a-af79-46b6-bfac-d65ce1a372e5"/>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4ed8a-af79-46b6-bfac-d65ce1a372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cb544f-6220-4a09-bb74-8e00bed6f1ab}" ma:internalName="TaxCatchAll" ma:showField="CatchAllData" ma:web="35c4ed8a-af79-46b6-bfac-d65ce1a372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cb544f-6220-4a09-bb74-8e00bed6f1ab}" ma:internalName="TaxCatchAllLabel" ma:readOnly="true" ma:showField="CatchAllDataLabel" ma:web="35c4ed8a-af79-46b6-bfac-d65ce1a372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F140-CEF3-480C-B06D-AD763004298C}">
  <ds:schemaRefs>
    <ds:schemaRef ds:uri="http://schemas.microsoft.com/office/2006/metadata/properties"/>
    <ds:schemaRef ds:uri="http://schemas.microsoft.com/office/infopath/2007/PartnerControls"/>
    <ds:schemaRef ds:uri="35c4ed8a-af79-46b6-bfac-d65ce1a372e5"/>
    <ds:schemaRef ds:uri="685f9fda-bd71-4433-b331-92feb9553089"/>
  </ds:schemaRefs>
</ds:datastoreItem>
</file>

<file path=customXml/itemProps2.xml><?xml version="1.0" encoding="utf-8"?>
<ds:datastoreItem xmlns:ds="http://schemas.openxmlformats.org/officeDocument/2006/customXml" ds:itemID="{98C1BA81-B23A-4BDC-9DA2-088D6FD51AA1}">
  <ds:schemaRefs>
    <ds:schemaRef ds:uri="http://schemas.microsoft.com/sharepoint/v3/contenttype/forms"/>
  </ds:schemaRefs>
</ds:datastoreItem>
</file>

<file path=customXml/itemProps3.xml><?xml version="1.0" encoding="utf-8"?>
<ds:datastoreItem xmlns:ds="http://schemas.openxmlformats.org/officeDocument/2006/customXml" ds:itemID="{3DE0F4D1-9751-40AB-B3E1-3C0A83AB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4ed8a-af79-46b6-bfac-d65ce1a372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8F499-56F5-4C73-9B61-8D468023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2018-07-02T01:05:00Z</dcterms:created>
  <dcterms:modified xsi:type="dcterms:W3CDTF">2018-07-03T03:18:00Z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0x0101002825A64A6E1845A99A9D8EE8A5686ECB004181EEBA516AF641964FE8559E3B2EE7</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_NewReviewCycle">
    <vt:lpwstr/>
  </property>
</Properties>
</file>