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A26ED" w14:textId="77777777" w:rsidR="00CC712E" w:rsidRDefault="00C37C62" w:rsidP="00EC43F6">
      <w:pPr>
        <w:pStyle w:val="BETABody"/>
        <w:rPr>
          <w:rStyle w:val="Heading1Char"/>
          <w:rFonts w:eastAsiaTheme="majorEastAsia" w:cstheme="majorBidi"/>
          <w:color w:val="auto"/>
          <w:spacing w:val="-10"/>
          <w:kern w:val="28"/>
          <w:sz w:val="60"/>
          <w:szCs w:val="60"/>
          <w:lang w:val="en-US" w:eastAsia="en-US"/>
        </w:rPr>
      </w:pPr>
      <w:bookmarkStart w:id="0" w:name="_GoBack"/>
      <w:r w:rsidRPr="00C37C62">
        <w:rPr>
          <w:rStyle w:val="Heading1Char"/>
          <w:rFonts w:eastAsiaTheme="majorEastAsia" w:cstheme="majorBidi"/>
          <w:color w:val="auto"/>
          <w:spacing w:val="-10"/>
          <w:kern w:val="28"/>
          <w:sz w:val="60"/>
          <w:szCs w:val="60"/>
          <w:lang w:val="en-US" w:eastAsia="en-US"/>
        </w:rPr>
        <w:t>Pre-Analysis Plan:</w:t>
      </w:r>
      <w:r>
        <w:rPr>
          <w:rStyle w:val="Heading1Char"/>
          <w:rFonts w:eastAsiaTheme="majorEastAsia" w:cstheme="majorBidi"/>
          <w:color w:val="auto"/>
          <w:spacing w:val="-10"/>
          <w:kern w:val="28"/>
          <w:sz w:val="60"/>
          <w:szCs w:val="60"/>
          <w:lang w:val="en-US" w:eastAsia="en-US"/>
        </w:rPr>
        <w:t xml:space="preserve"> </w:t>
      </w:r>
    </w:p>
    <w:p w14:paraId="06CB7BF7" w14:textId="4BA2A7BF" w:rsidR="00C37C62" w:rsidRDefault="00C37C62" w:rsidP="00EC43F6">
      <w:pPr>
        <w:pStyle w:val="BETABody"/>
        <w:rPr>
          <w:rFonts w:asciiTheme="majorHAnsi" w:hAnsiTheme="majorHAnsi"/>
          <w:color w:val="auto"/>
          <w:sz w:val="80"/>
          <w:szCs w:val="44"/>
        </w:rPr>
      </w:pPr>
      <w:r>
        <w:rPr>
          <w:rStyle w:val="Heading1Char"/>
          <w:rFonts w:eastAsiaTheme="majorEastAsia" w:cstheme="majorBidi"/>
          <w:color w:val="auto"/>
          <w:spacing w:val="-10"/>
          <w:kern w:val="28"/>
          <w:sz w:val="60"/>
          <w:szCs w:val="60"/>
          <w:lang w:val="en-US" w:eastAsia="en-US"/>
        </w:rPr>
        <w:t>Online Wagering</w:t>
      </w:r>
      <w:bookmarkEnd w:id="0"/>
    </w:p>
    <w:p w14:paraId="5B108DE8" w14:textId="4FA8E76C" w:rsidR="007565C4" w:rsidRDefault="007565C4" w:rsidP="007565C4">
      <w:pPr>
        <w:pStyle w:val="BETABody"/>
      </w:pPr>
      <w:r w:rsidRPr="007565C4">
        <w:t>Version 2 (</w:t>
      </w:r>
      <w:r w:rsidR="00102A39">
        <w:t>3</w:t>
      </w:r>
      <w:r w:rsidR="00AC4485">
        <w:t xml:space="preserve"> July 2020</w:t>
      </w:r>
      <w:r w:rsidRPr="007565C4">
        <w:t xml:space="preserve">): </w:t>
      </w:r>
      <w:r w:rsidR="004A7A81">
        <w:t>Following pilot testing and a number of changes to the design, a range of c</w:t>
      </w:r>
      <w:r w:rsidRPr="007565C4">
        <w:t xml:space="preserve">hanges were made to the following sections:  </w:t>
      </w:r>
      <w:r w:rsidR="00AC4485">
        <w:t>Framed field experiment,</w:t>
      </w:r>
      <w:r w:rsidR="00AC4485" w:rsidRPr="00AC4485">
        <w:t xml:space="preserve"> </w:t>
      </w:r>
      <w:r w:rsidR="00AC4485">
        <w:t xml:space="preserve">Data sources, Interventions, Outcome measures, Hypotheses, Sample size and power calculations, Sample selection, Randomisation, </w:t>
      </w:r>
      <w:r w:rsidRPr="007565C4">
        <w:t>Trial threats</w:t>
      </w:r>
      <w:r w:rsidR="00AC4485">
        <w:t>, Main analyses,</w:t>
      </w:r>
      <w:r w:rsidR="004A7A81">
        <w:t xml:space="preserve"> </w:t>
      </w:r>
      <w:r w:rsidRPr="007565C4">
        <w:t>Exploratory and Subgroup Analyses</w:t>
      </w:r>
      <w:r w:rsidR="00AC4485">
        <w:t xml:space="preserve"> and Pre-analysis plan commitments</w:t>
      </w:r>
      <w:r w:rsidRPr="007565C4">
        <w:t>.</w:t>
      </w:r>
    </w:p>
    <w:p w14:paraId="475F57F8" w14:textId="19D9FECC" w:rsidR="00C37C62" w:rsidRDefault="00C37C62" w:rsidP="00EC43F6">
      <w:pPr>
        <w:pStyle w:val="Heading2"/>
        <w:rPr>
          <w:color w:val="3F3F3F" w:themeColor="text1"/>
          <w:szCs w:val="72"/>
          <w:lang w:val="en-US" w:eastAsia="en-US"/>
        </w:rPr>
      </w:pPr>
      <w:r w:rsidRPr="00C37C62">
        <w:t>Policy Problem, Trial Aims and Research Question</w:t>
      </w:r>
    </w:p>
    <w:p w14:paraId="2FBEA980" w14:textId="77777777" w:rsidR="00CE6EED" w:rsidRDefault="00CE6EED" w:rsidP="00CE6EED">
      <w:pPr>
        <w:pStyle w:val="BETABody"/>
      </w:pPr>
      <w:r w:rsidRPr="008C66FE">
        <w:t xml:space="preserve">Rapid growth in the use of the internet and digital technologies since 2000 has led to correspondingly rapid growth in online wagering in Australia (DSS, 2017). This is of concern for policy </w:t>
      </w:r>
      <w:r w:rsidR="002B3F84" w:rsidRPr="008C66FE">
        <w:t xml:space="preserve">because </w:t>
      </w:r>
      <w:r w:rsidR="004D1547">
        <w:t xml:space="preserve">certain </w:t>
      </w:r>
      <w:r w:rsidR="002B3F84">
        <w:t xml:space="preserve">features of </w:t>
      </w:r>
      <w:r w:rsidR="002B3F84" w:rsidRPr="008C66FE">
        <w:t xml:space="preserve">online wagering </w:t>
      </w:r>
      <w:r w:rsidR="004D1547">
        <w:t xml:space="preserve">may </w:t>
      </w:r>
      <w:r w:rsidR="002B3F84">
        <w:t xml:space="preserve">increase the risk of problem gambling: specifically, it </w:t>
      </w:r>
      <w:r w:rsidR="002B3F84" w:rsidRPr="008C66FE">
        <w:t xml:space="preserve">is </w:t>
      </w:r>
      <w:r w:rsidR="002B3F84">
        <w:t xml:space="preserve">highly </w:t>
      </w:r>
      <w:r w:rsidR="002B3F84" w:rsidRPr="008C66FE">
        <w:t>accessible, convenient and anonymous, and provides the reduced salience of electronic funds and the ability to place large bets (DSS, 2017).</w:t>
      </w:r>
    </w:p>
    <w:p w14:paraId="40795643" w14:textId="77777777" w:rsidR="00CE6EED" w:rsidRDefault="00CE6EED" w:rsidP="00CE6EED">
      <w:pPr>
        <w:pStyle w:val="BETABody"/>
      </w:pPr>
      <w:r>
        <w:t xml:space="preserve">Commonwealth, state and territory governments have recently taken steps to address the regulatory regime for online wagering in Australia, including agreement </w:t>
      </w:r>
      <w:r w:rsidR="002B3F84">
        <w:t xml:space="preserve">to </w:t>
      </w:r>
      <w:r>
        <w:t>the consumer protection measures in th</w:t>
      </w:r>
      <w:r w:rsidRPr="00A67B3B">
        <w:t xml:space="preserve">e </w:t>
      </w:r>
      <w:hyperlink r:id="rId11" w:history="1">
        <w:r w:rsidRPr="00A67B3B">
          <w:rPr>
            <w:rStyle w:val="Hyperlink"/>
            <w:i/>
            <w:iCs/>
            <w:color w:val="auto"/>
          </w:rPr>
          <w:t>National Consumer Protection Framework for Online Wagering in Australia – National Policy Statement</w:t>
        </w:r>
      </w:hyperlink>
      <w:r w:rsidRPr="00FE0EBA">
        <w:t xml:space="preserve"> </w:t>
      </w:r>
      <w:r>
        <w:t xml:space="preserve">(National Framework). In particular, </w:t>
      </w:r>
      <w:r w:rsidRPr="00FE0EBA">
        <w:rPr>
          <w:u w:val="single"/>
        </w:rPr>
        <w:t>M</w:t>
      </w:r>
      <w:r w:rsidRPr="00984457">
        <w:rPr>
          <w:u w:val="single"/>
        </w:rPr>
        <w:t>easure 7: Activity statements</w:t>
      </w:r>
      <w:r>
        <w:t xml:space="preserve"> sets out principles underlying the provision of regular activity statements from online wagering service providers to their customers. The principles provide guidance on the content of activity statements and emphasise the importance of providing online wagering customers with information that is clear and easily understood.</w:t>
      </w:r>
    </w:p>
    <w:p w14:paraId="09EF1C1D" w14:textId="77777777" w:rsidR="005A1E30" w:rsidRDefault="00C37C62" w:rsidP="00B632EE">
      <w:pPr>
        <w:rPr>
          <w:color w:val="404040"/>
          <w:lang w:val="en-US" w:eastAsia="en-US"/>
        </w:rPr>
      </w:pPr>
      <w:r>
        <w:rPr>
          <w:color w:val="404040"/>
          <w:lang w:val="en-US" w:eastAsia="en-US"/>
        </w:rPr>
        <w:t>This</w:t>
      </w:r>
      <w:r w:rsidR="00CE6EED" w:rsidRPr="00B10261">
        <w:rPr>
          <w:color w:val="404040"/>
          <w:lang w:val="en-US" w:eastAsia="en-US"/>
        </w:rPr>
        <w:t xml:space="preserve"> study aims to test the effectiveness of two different designs of customer activity statements in a simulated online wagering environment and to assess post</w:t>
      </w:r>
      <w:r w:rsidR="008235FB">
        <w:rPr>
          <w:color w:val="404040"/>
          <w:lang w:val="en-US" w:eastAsia="en-US"/>
        </w:rPr>
        <w:noBreakHyphen/>
      </w:r>
      <w:r w:rsidR="00CE6EED" w:rsidRPr="00B10261">
        <w:rPr>
          <w:color w:val="404040"/>
          <w:lang w:val="en-US" w:eastAsia="en-US"/>
        </w:rPr>
        <w:t>intervention financial literacy, gambling habits and beliefs a</w:t>
      </w:r>
      <w:r w:rsidR="00DE6B7A">
        <w:rPr>
          <w:color w:val="404040"/>
          <w:lang w:val="en-US" w:eastAsia="en-US"/>
        </w:rPr>
        <w:t>long with</w:t>
      </w:r>
      <w:r w:rsidR="002B3F84">
        <w:rPr>
          <w:color w:val="404040"/>
          <w:lang w:val="en-US" w:eastAsia="en-US"/>
        </w:rPr>
        <w:t xml:space="preserve"> </w:t>
      </w:r>
      <w:r w:rsidR="00CE6EED" w:rsidRPr="00B10261">
        <w:rPr>
          <w:color w:val="404040"/>
          <w:lang w:val="en-US" w:eastAsia="en-US"/>
        </w:rPr>
        <w:t>comprehension and responses to the activity statements.</w:t>
      </w:r>
      <w:r w:rsidR="00B632EE">
        <w:rPr>
          <w:color w:val="404040"/>
          <w:lang w:val="en-US" w:eastAsia="en-US"/>
        </w:rPr>
        <w:t xml:space="preserve"> </w:t>
      </w:r>
    </w:p>
    <w:p w14:paraId="35163ADC" w14:textId="77777777" w:rsidR="00B632EE" w:rsidRDefault="00B632EE" w:rsidP="00B632EE">
      <w:r>
        <w:t>The activity statements contain key elements such as the number of bet</w:t>
      </w:r>
      <w:r w:rsidR="004D1547">
        <w:t>s placed</w:t>
      </w:r>
      <w:r>
        <w:t xml:space="preserve">, summary account information including how much money </w:t>
      </w:r>
      <w:r w:rsidR="005A1E30">
        <w:t>online wagerers</w:t>
      </w:r>
      <w:r>
        <w:t xml:space="preserve"> have placed into their betting account, the total amount lost and gained</w:t>
      </w:r>
      <w:r w:rsidR="005A1E30">
        <w:t xml:space="preserve"> during the reporting period</w:t>
      </w:r>
      <w:r>
        <w:t>, and betting trend over time for the individual. These elements are hypothesised to help participants make more informed decisions.</w:t>
      </w:r>
    </w:p>
    <w:p w14:paraId="30DCD7D9" w14:textId="77777777" w:rsidR="00462215" w:rsidRDefault="00C37C62" w:rsidP="00C37C62">
      <w:pPr>
        <w:rPr>
          <w:rFonts w:cstheme="minorHAnsi"/>
        </w:rPr>
      </w:pPr>
      <w:r w:rsidRPr="00C37C62">
        <w:rPr>
          <w:color w:val="404040"/>
          <w:lang w:val="en-US" w:eastAsia="en-US"/>
        </w:rPr>
        <w:t>T</w:t>
      </w:r>
      <w:r>
        <w:rPr>
          <w:color w:val="404040"/>
          <w:lang w:val="en-US" w:eastAsia="en-US"/>
        </w:rPr>
        <w:t>he main research question is</w:t>
      </w:r>
      <w:r w:rsidR="002A6077">
        <w:rPr>
          <w:color w:val="404040"/>
          <w:lang w:val="en-US" w:eastAsia="en-US"/>
        </w:rPr>
        <w:t xml:space="preserve">: </w:t>
      </w:r>
      <w:r>
        <w:rPr>
          <w:color w:val="404040"/>
          <w:lang w:val="en-US" w:eastAsia="en-US"/>
        </w:rPr>
        <w:t>d</w:t>
      </w:r>
      <w:r w:rsidR="00462215" w:rsidRPr="00C43F4C">
        <w:rPr>
          <w:rFonts w:cstheme="minorHAnsi"/>
        </w:rPr>
        <w:t xml:space="preserve">oes viewing a gambling activity statement affect gambling behaviour (amount bet, number of bets) compared with the </w:t>
      </w:r>
      <w:r w:rsidR="00DE6B7A">
        <w:rPr>
          <w:rFonts w:cstheme="minorHAnsi"/>
        </w:rPr>
        <w:t xml:space="preserve">condition </w:t>
      </w:r>
      <w:r w:rsidR="00462215" w:rsidRPr="00C43F4C">
        <w:rPr>
          <w:rFonts w:cstheme="minorHAnsi"/>
        </w:rPr>
        <w:t xml:space="preserve">where no </w:t>
      </w:r>
      <w:r w:rsidR="002A6077">
        <w:rPr>
          <w:rFonts w:cstheme="minorHAnsi"/>
        </w:rPr>
        <w:t xml:space="preserve">activity </w:t>
      </w:r>
      <w:r w:rsidR="00462215" w:rsidRPr="00C43F4C">
        <w:rPr>
          <w:rFonts w:cstheme="minorHAnsi"/>
        </w:rPr>
        <w:t>statement is provided?</w:t>
      </w:r>
    </w:p>
    <w:p w14:paraId="23517614" w14:textId="77777777" w:rsidR="005D6C0A" w:rsidRPr="005D6C0A" w:rsidRDefault="005D6C0A" w:rsidP="005D6C0A">
      <w:pPr>
        <w:pStyle w:val="Heading2"/>
      </w:pPr>
      <w:bookmarkStart w:id="1" w:name="_Toc26873814"/>
      <w:r w:rsidRPr="005D6C0A">
        <w:lastRenderedPageBreak/>
        <w:t>Framed field experiment</w:t>
      </w:r>
      <w:bookmarkEnd w:id="1"/>
    </w:p>
    <w:p w14:paraId="072B935E" w14:textId="77777777" w:rsidR="005D6C0A" w:rsidRPr="005D6C0A" w:rsidRDefault="005D6C0A" w:rsidP="005D6C0A">
      <w:pPr>
        <w:rPr>
          <w:lang w:val="en-US"/>
        </w:rPr>
      </w:pPr>
      <w:r>
        <w:rPr>
          <w:lang w:val="en-US"/>
        </w:rPr>
        <w:t xml:space="preserve">We will conduct a framed field online experiment to test the effect of the two designs of activity statements. The experiment will take place in a simulated online wagering environment. </w:t>
      </w:r>
    </w:p>
    <w:p w14:paraId="2DC1362C" w14:textId="77777777" w:rsidR="005D6C0A" w:rsidRPr="000A2780" w:rsidRDefault="005D6C0A" w:rsidP="005D6C0A">
      <w:pPr>
        <w:rPr>
          <w:lang w:val="en-US" w:bidi="en-US"/>
        </w:rPr>
      </w:pPr>
      <w:r>
        <w:rPr>
          <w:lang w:val="en-US" w:bidi="en-US"/>
        </w:rPr>
        <w:t>We</w:t>
      </w:r>
      <w:r w:rsidRPr="000A2780">
        <w:rPr>
          <w:lang w:val="en-US" w:bidi="en-US"/>
        </w:rPr>
        <w:t xml:space="preserve"> estimat</w:t>
      </w:r>
      <w:r>
        <w:rPr>
          <w:lang w:val="en-US" w:bidi="en-US"/>
        </w:rPr>
        <w:t>e that</w:t>
      </w:r>
      <w:r w:rsidRPr="000A2780">
        <w:rPr>
          <w:lang w:val="en-US" w:bidi="en-US"/>
        </w:rPr>
        <w:t xml:space="preserve"> it will take about 45 minutes in total to complete the experiment (including survey questions before and after and the simulated game). Participants will be advised that they will not be able to pause and return to the platform later, and will be encouraged to give their full attention to the experiment (e.g., to close other browsers, background TV, etc. that may be distracting).</w:t>
      </w:r>
    </w:p>
    <w:p w14:paraId="6847F239" w14:textId="77777777" w:rsidR="005D6C0A" w:rsidRDefault="005D6C0A" w:rsidP="005D6C0A">
      <w:pPr>
        <w:rPr>
          <w:lang w:val="en-US"/>
        </w:rPr>
      </w:pPr>
      <w:r>
        <w:rPr>
          <w:lang w:val="en-US"/>
        </w:rPr>
        <w:t xml:space="preserve">The control group will not see any activity statements. There will be two treatment groups (summary page A &amp; B). The detailed statements that sit behind the two summary pages will be the same for both treatment groups. </w:t>
      </w:r>
    </w:p>
    <w:p w14:paraId="2B247669" w14:textId="77777777" w:rsidR="005D6C0A" w:rsidRDefault="005D6C0A" w:rsidP="005D6C0A">
      <w:pPr>
        <w:rPr>
          <w:lang w:val="en-US"/>
        </w:rPr>
      </w:pPr>
      <w:r>
        <w:rPr>
          <w:lang w:val="en-US"/>
        </w:rPr>
        <w:t>Upon accessing the online platform, participants will be provided with instructions on how to complete the task. Each participant will be endowed with $1,000 lab dollars which they can use to bet each round. The animation for each round lasts 10 seconds so each bet would last about 15 seconds. Each round will feature a different bet (e.g. different horse, different race).</w:t>
      </w:r>
    </w:p>
    <w:p w14:paraId="30DF5DBB" w14:textId="77777777" w:rsidR="005D6C0A" w:rsidRDefault="005D6C0A" w:rsidP="005D6C0A">
      <w:pPr>
        <w:rPr>
          <w:lang w:val="en-US"/>
        </w:rPr>
      </w:pPr>
      <w:r>
        <w:rPr>
          <w:lang w:val="en-US"/>
        </w:rPr>
        <w:t xml:space="preserve">The first part of the experiment is the practice round where participants will be asked to gamble for four rounds. This is just to get them comfortable with the platform and placing bets on the platform. The wins and losses during these four rounds will not count towards their account balance. </w:t>
      </w:r>
    </w:p>
    <w:p w14:paraId="041BA2A2" w14:textId="1F62938C" w:rsidR="005D6C0A" w:rsidRDefault="005D6C0A" w:rsidP="005D6C0A">
      <w:pPr>
        <w:rPr>
          <w:lang w:val="en-US"/>
        </w:rPr>
      </w:pPr>
      <w:r>
        <w:rPr>
          <w:lang w:val="en-US"/>
        </w:rPr>
        <w:t xml:space="preserve">The second part of the experiment (main experiment) will have </w:t>
      </w:r>
      <w:r w:rsidR="007565C4">
        <w:rPr>
          <w:lang w:val="en-US"/>
        </w:rPr>
        <w:t>64</w:t>
      </w:r>
      <w:r>
        <w:rPr>
          <w:lang w:val="en-US"/>
        </w:rPr>
        <w:t xml:space="preserve"> gambles in total. </w:t>
      </w:r>
      <w:r w:rsidR="004F142D">
        <w:rPr>
          <w:lang w:val="en-US"/>
        </w:rPr>
        <w:t>If you envisage activity statements being sent out quarterly, e</w:t>
      </w:r>
      <w:r w:rsidR="007565C4">
        <w:rPr>
          <w:lang w:val="en-US"/>
        </w:rPr>
        <w:t>ight</w:t>
      </w:r>
      <w:r>
        <w:rPr>
          <w:lang w:val="en-US"/>
        </w:rPr>
        <w:t xml:space="preserve"> gambles is equated to one </w:t>
      </w:r>
      <w:r w:rsidR="004F142D">
        <w:rPr>
          <w:lang w:val="en-US"/>
        </w:rPr>
        <w:t>quarter</w:t>
      </w:r>
      <w:r>
        <w:rPr>
          <w:lang w:val="en-US"/>
        </w:rPr>
        <w:t xml:space="preserve">. Activity statements will be shown after </w:t>
      </w:r>
      <w:r w:rsidR="004F142D">
        <w:rPr>
          <w:lang w:val="en-US"/>
        </w:rPr>
        <w:t>8</w:t>
      </w:r>
      <w:r>
        <w:rPr>
          <w:lang w:val="en-US"/>
        </w:rPr>
        <w:t>,</w:t>
      </w:r>
      <w:r w:rsidR="004F142D">
        <w:rPr>
          <w:lang w:val="en-US"/>
        </w:rPr>
        <w:t xml:space="preserve"> 16</w:t>
      </w:r>
      <w:r>
        <w:rPr>
          <w:lang w:val="en-US"/>
        </w:rPr>
        <w:t xml:space="preserve">, </w:t>
      </w:r>
      <w:r w:rsidR="004F142D">
        <w:rPr>
          <w:lang w:val="en-US"/>
        </w:rPr>
        <w:t>24</w:t>
      </w:r>
      <w:r>
        <w:rPr>
          <w:lang w:val="en-US"/>
        </w:rPr>
        <w:t xml:space="preserve">, </w:t>
      </w:r>
      <w:r w:rsidR="004F142D">
        <w:rPr>
          <w:lang w:val="en-US"/>
        </w:rPr>
        <w:t>32</w:t>
      </w:r>
      <w:r>
        <w:rPr>
          <w:lang w:val="en-US"/>
        </w:rPr>
        <w:t xml:space="preserve">, </w:t>
      </w:r>
      <w:r w:rsidR="004F142D">
        <w:rPr>
          <w:lang w:val="en-US"/>
        </w:rPr>
        <w:t>40</w:t>
      </w:r>
      <w:r>
        <w:rPr>
          <w:lang w:val="en-US"/>
        </w:rPr>
        <w:t xml:space="preserve">, </w:t>
      </w:r>
      <w:r w:rsidR="004F142D">
        <w:rPr>
          <w:lang w:val="en-US"/>
        </w:rPr>
        <w:t>48</w:t>
      </w:r>
      <w:r>
        <w:rPr>
          <w:lang w:val="en-US"/>
        </w:rPr>
        <w:t xml:space="preserve">, </w:t>
      </w:r>
      <w:r w:rsidR="004F142D">
        <w:rPr>
          <w:lang w:val="en-US"/>
        </w:rPr>
        <w:t>56</w:t>
      </w:r>
      <w:r w:rsidR="00430CFA">
        <w:rPr>
          <w:lang w:val="en-US"/>
        </w:rPr>
        <w:t xml:space="preserve"> </w:t>
      </w:r>
      <w:r>
        <w:rPr>
          <w:lang w:val="en-US"/>
        </w:rPr>
        <w:t xml:space="preserve">and </w:t>
      </w:r>
      <w:r w:rsidR="004F142D">
        <w:rPr>
          <w:lang w:val="en-US"/>
        </w:rPr>
        <w:t xml:space="preserve">64 </w:t>
      </w:r>
      <w:r>
        <w:rPr>
          <w:lang w:val="en-US"/>
        </w:rPr>
        <w:t xml:space="preserve">gambles. We can show full data on the activity statements (i.e. data for all </w:t>
      </w:r>
      <w:r w:rsidR="00430CFA">
        <w:rPr>
          <w:lang w:val="en-US"/>
        </w:rPr>
        <w:t xml:space="preserve">four </w:t>
      </w:r>
      <w:r>
        <w:rPr>
          <w:lang w:val="en-US"/>
        </w:rPr>
        <w:t xml:space="preserve">quarters) for the last </w:t>
      </w:r>
      <w:r w:rsidR="00430CFA">
        <w:rPr>
          <w:lang w:val="en-US"/>
        </w:rPr>
        <w:t xml:space="preserve">four </w:t>
      </w:r>
      <w:r>
        <w:rPr>
          <w:lang w:val="en-US"/>
        </w:rPr>
        <w:t xml:space="preserve">times the statements are shown. </w:t>
      </w:r>
    </w:p>
    <w:p w14:paraId="333AD035" w14:textId="16451867" w:rsidR="005D6C0A" w:rsidRDefault="005D6C0A" w:rsidP="005D6C0A">
      <w:pPr>
        <w:rPr>
          <w:lang w:val="en-US"/>
        </w:rPr>
      </w:pPr>
      <w:r>
        <w:rPr>
          <w:lang w:val="en-US"/>
        </w:rPr>
        <w:t xml:space="preserve">In the treatment groups, we will show each activity statement for </w:t>
      </w:r>
      <w:r w:rsidR="00430CFA">
        <w:rPr>
          <w:lang w:val="en-US"/>
        </w:rPr>
        <w:t>10 seconds</w:t>
      </w:r>
      <w:r>
        <w:rPr>
          <w:lang w:val="en-US"/>
        </w:rPr>
        <w:t xml:space="preserve"> before participants can proceed to the next gamble. Participants can choose to view it for longer if they wish to.</w:t>
      </w:r>
    </w:p>
    <w:p w14:paraId="7252534C" w14:textId="124EDF38" w:rsidR="005D6C0A" w:rsidRDefault="005D6C0A" w:rsidP="005D6C0A">
      <w:pPr>
        <w:rPr>
          <w:lang w:val="en-US"/>
        </w:rPr>
      </w:pPr>
      <w:r>
        <w:rPr>
          <w:lang w:val="en-US"/>
        </w:rPr>
        <w:t xml:space="preserve">In the control group, we will also have a pause (equivalent to ‘mandatory’ viewing times for the activity statements) at the same periods in the experiment. This is to ensure that any changes that are observed are due to viewing activity statements rather than having time to pause and reflect on their gambling behaviour. We will </w:t>
      </w:r>
      <w:r w:rsidR="00430CFA">
        <w:rPr>
          <w:lang w:val="en-US"/>
        </w:rPr>
        <w:t xml:space="preserve">display this statement “Take a small break. You can proceed to next round in 10 seconds”. </w:t>
      </w:r>
      <w:r>
        <w:rPr>
          <w:lang w:val="en-US"/>
        </w:rPr>
        <w:t>The “</w:t>
      </w:r>
      <w:r w:rsidR="00430CFA">
        <w:rPr>
          <w:lang w:val="en-US"/>
        </w:rPr>
        <w:t>Next</w:t>
      </w:r>
      <w:r>
        <w:rPr>
          <w:lang w:val="en-US"/>
        </w:rPr>
        <w:t>” button will be on the screen but will only work after the ‘mandatory’ pause period.</w:t>
      </w:r>
    </w:p>
    <w:p w14:paraId="080BC63E" w14:textId="77777777" w:rsidR="000050BE" w:rsidRPr="000050BE" w:rsidRDefault="000050BE" w:rsidP="00EC43F6">
      <w:pPr>
        <w:pStyle w:val="Heading2"/>
      </w:pPr>
      <w:r w:rsidRPr="000050BE">
        <w:lastRenderedPageBreak/>
        <w:t>Data sources</w:t>
      </w:r>
    </w:p>
    <w:p w14:paraId="46C0EDB9" w14:textId="77777777" w:rsidR="009749F2" w:rsidRDefault="000050BE" w:rsidP="00C43F4C">
      <w:pPr>
        <w:rPr>
          <w:rFonts w:cstheme="minorHAnsi"/>
        </w:rPr>
      </w:pPr>
      <w:r>
        <w:rPr>
          <w:rFonts w:cstheme="minorHAnsi"/>
        </w:rPr>
        <w:t>The project will collect data from participants in three ways:</w:t>
      </w:r>
    </w:p>
    <w:p w14:paraId="726CAAB2" w14:textId="77777777" w:rsidR="000050BE" w:rsidRDefault="000050BE" w:rsidP="00180721">
      <w:pPr>
        <w:pStyle w:val="ListParagraph"/>
        <w:numPr>
          <w:ilvl w:val="0"/>
          <w:numId w:val="10"/>
        </w:numPr>
        <w:rPr>
          <w:rFonts w:cstheme="minorHAnsi"/>
        </w:rPr>
      </w:pPr>
      <w:r>
        <w:rPr>
          <w:rFonts w:cstheme="minorHAnsi"/>
        </w:rPr>
        <w:t>Recruitment screening questionnaire</w:t>
      </w:r>
    </w:p>
    <w:p w14:paraId="4DDD5C5C" w14:textId="77777777" w:rsidR="000050BE" w:rsidRDefault="000050BE" w:rsidP="00180721">
      <w:pPr>
        <w:pStyle w:val="ListParagraph"/>
        <w:numPr>
          <w:ilvl w:val="0"/>
          <w:numId w:val="10"/>
        </w:numPr>
        <w:rPr>
          <w:rFonts w:cstheme="minorHAnsi"/>
        </w:rPr>
      </w:pPr>
      <w:r>
        <w:rPr>
          <w:rFonts w:cstheme="minorHAnsi"/>
        </w:rPr>
        <w:t>Online simulated gambling experiment, and</w:t>
      </w:r>
    </w:p>
    <w:p w14:paraId="402D0C44" w14:textId="77777777" w:rsidR="000050BE" w:rsidRPr="000050BE" w:rsidRDefault="000050BE" w:rsidP="00180721">
      <w:pPr>
        <w:pStyle w:val="ListParagraph"/>
        <w:numPr>
          <w:ilvl w:val="0"/>
          <w:numId w:val="10"/>
        </w:numPr>
        <w:rPr>
          <w:rFonts w:cstheme="minorHAnsi"/>
        </w:rPr>
      </w:pPr>
      <w:r>
        <w:rPr>
          <w:rFonts w:cstheme="minorHAnsi"/>
        </w:rPr>
        <w:t>Post-experiment survey.</w:t>
      </w:r>
    </w:p>
    <w:p w14:paraId="1B3C5430" w14:textId="7669EC81" w:rsidR="000050BE" w:rsidRDefault="000050BE" w:rsidP="00C43F4C">
      <w:pPr>
        <w:rPr>
          <w:rFonts w:cstheme="minorHAnsi"/>
        </w:rPr>
      </w:pPr>
      <w:r>
        <w:rPr>
          <w:rFonts w:cstheme="minorHAnsi"/>
        </w:rPr>
        <w:t xml:space="preserve">We will collect data on age, gender, </w:t>
      </w:r>
      <w:r w:rsidR="00430CFA">
        <w:rPr>
          <w:rFonts w:cstheme="minorHAnsi"/>
        </w:rPr>
        <w:t xml:space="preserve">education, </w:t>
      </w:r>
      <w:r>
        <w:rPr>
          <w:rFonts w:cstheme="minorHAnsi"/>
        </w:rPr>
        <w:t>gambling risk (PGSI score) and frequency of gambling in the recruitment screening questionnaire</w:t>
      </w:r>
      <w:r w:rsidR="005D6C0A">
        <w:rPr>
          <w:rFonts w:cstheme="minorHAnsi"/>
        </w:rPr>
        <w:t>.</w:t>
      </w:r>
    </w:p>
    <w:p w14:paraId="747673DA" w14:textId="77777777" w:rsidR="000050BE" w:rsidRDefault="000050BE" w:rsidP="00C43F4C">
      <w:pPr>
        <w:rPr>
          <w:rFonts w:cstheme="minorHAnsi"/>
        </w:rPr>
      </w:pPr>
      <w:r>
        <w:rPr>
          <w:rFonts w:cstheme="minorHAnsi"/>
        </w:rPr>
        <w:t xml:space="preserve">The bulk of data for this project will be obtained from the online simulated gambling platform including the amount bet for each gamble, whether or not a bet is placed at each round, viewing time for activity statements and time taken to place a bet. </w:t>
      </w:r>
    </w:p>
    <w:p w14:paraId="7F4757CB" w14:textId="77777777" w:rsidR="000050BE" w:rsidRDefault="000050BE" w:rsidP="00C43F4C">
      <w:pPr>
        <w:rPr>
          <w:rFonts w:cstheme="minorHAnsi"/>
        </w:rPr>
      </w:pPr>
      <w:r>
        <w:rPr>
          <w:rFonts w:cstheme="minorHAnsi"/>
        </w:rPr>
        <w:t xml:space="preserve">The post-experiment survey will collect information on comprehension of key concepts in the activity statements, intention to use information on activity statements, gambling beliefs and financial literacy. </w:t>
      </w:r>
    </w:p>
    <w:p w14:paraId="6F0012A2" w14:textId="77777777" w:rsidR="006349C9" w:rsidRDefault="006349C9" w:rsidP="00C43F4C">
      <w:pPr>
        <w:rPr>
          <w:rFonts w:cstheme="minorHAnsi"/>
        </w:rPr>
      </w:pPr>
      <w:r>
        <w:rPr>
          <w:rFonts w:cstheme="minorHAnsi"/>
        </w:rPr>
        <w:t>Data from incomplete records will also be collected to investiga</w:t>
      </w:r>
      <w:r w:rsidR="008357AF">
        <w:rPr>
          <w:rFonts w:cstheme="minorHAnsi"/>
        </w:rPr>
        <w:t>te any systematic differences between people who leave the study, and those who continue.</w:t>
      </w:r>
      <w:r>
        <w:rPr>
          <w:rFonts w:cstheme="minorHAnsi"/>
        </w:rPr>
        <w:t xml:space="preserve"> </w:t>
      </w:r>
    </w:p>
    <w:p w14:paraId="70D7D5D9" w14:textId="77777777" w:rsidR="00C43F4C" w:rsidRPr="009749F2" w:rsidRDefault="00C43F4C" w:rsidP="00EC43F6">
      <w:pPr>
        <w:pStyle w:val="Heading2"/>
      </w:pPr>
      <w:r w:rsidRPr="009749F2">
        <w:t>Interventions</w:t>
      </w:r>
    </w:p>
    <w:p w14:paraId="2333CF8F" w14:textId="2B0CBBE3" w:rsidR="003E702B" w:rsidRDefault="00C43F4C" w:rsidP="00C43F4C">
      <w:r>
        <w:t>The two interventions that are being tested are two different designs of onlin</w:t>
      </w:r>
      <w:r w:rsidR="003E702B">
        <w:t>e wagering activity statements.</w:t>
      </w:r>
      <w:r w:rsidR="00B632EE">
        <w:t xml:space="preserve"> The two designs are very similar but one contains betting trends over time in a graph format and the other contains similar information but in a table format.</w:t>
      </w:r>
    </w:p>
    <w:p w14:paraId="15AE5FD1" w14:textId="2454CAE5" w:rsidR="00C43F4C" w:rsidRDefault="00C43F4C" w:rsidP="00C43F4C">
      <w:r>
        <w:t>Participants in treatment 1 and treatment 2 will be shown an activity statement at regular intervals (every</w:t>
      </w:r>
      <w:r w:rsidR="004F142D">
        <w:t xml:space="preserve"> 8</w:t>
      </w:r>
      <w:r>
        <w:t xml:space="preserve"> gambles). There will be three experimental arms: Two treatment groups and one control.</w:t>
      </w:r>
    </w:p>
    <w:p w14:paraId="5D9E979C" w14:textId="41D87487" w:rsidR="00C43F4C" w:rsidRDefault="00C43F4C" w:rsidP="00C43F4C">
      <w:pPr>
        <w:rPr>
          <w:lang w:val="en-US" w:eastAsia="en-US"/>
        </w:rPr>
      </w:pPr>
      <w:r w:rsidRPr="00F618B9">
        <w:rPr>
          <w:i/>
          <w:lang w:val="en-US" w:eastAsia="en-US"/>
        </w:rPr>
        <w:t>Control</w:t>
      </w:r>
      <w:r>
        <w:rPr>
          <w:lang w:val="en-US" w:eastAsia="en-US"/>
        </w:rPr>
        <w:t xml:space="preserve">: Respondents will not see any activity statements but they get their betting results after each round and have an enforced ‘pause’ every </w:t>
      </w:r>
      <w:r w:rsidR="004F142D">
        <w:rPr>
          <w:lang w:val="en-US" w:eastAsia="en-US"/>
        </w:rPr>
        <w:t xml:space="preserve">8 </w:t>
      </w:r>
      <w:r>
        <w:rPr>
          <w:lang w:val="en-US" w:eastAsia="en-US"/>
        </w:rPr>
        <w:t>gambles (8 times).</w:t>
      </w:r>
    </w:p>
    <w:p w14:paraId="282B2ED7" w14:textId="7B0CE2FD" w:rsidR="00C43F4C" w:rsidRDefault="00C43F4C" w:rsidP="00C43F4C">
      <w:pPr>
        <w:rPr>
          <w:lang w:val="en-US" w:eastAsia="en-US"/>
        </w:rPr>
      </w:pPr>
      <w:r w:rsidRPr="00F618B9">
        <w:rPr>
          <w:i/>
          <w:lang w:val="en-US" w:eastAsia="en-US"/>
        </w:rPr>
        <w:t>Treatment 1</w:t>
      </w:r>
      <w:r>
        <w:rPr>
          <w:lang w:val="en-US" w:eastAsia="en-US"/>
        </w:rPr>
        <w:t xml:space="preserve">: Respondents will see Summary page A with </w:t>
      </w:r>
      <w:r w:rsidR="00A65BC6">
        <w:rPr>
          <w:lang w:val="en-US" w:eastAsia="en-US"/>
        </w:rPr>
        <w:t xml:space="preserve">a </w:t>
      </w:r>
      <w:r>
        <w:rPr>
          <w:lang w:val="en-US" w:eastAsia="en-US"/>
        </w:rPr>
        <w:t xml:space="preserve">detailed activity statement </w:t>
      </w:r>
      <w:r w:rsidR="00DE6B7A">
        <w:rPr>
          <w:lang w:val="en-US" w:eastAsia="en-US"/>
        </w:rPr>
        <w:t xml:space="preserve">for </w:t>
      </w:r>
      <w:r w:rsidR="00A65BC6">
        <w:rPr>
          <w:lang w:val="en-US" w:eastAsia="en-US"/>
        </w:rPr>
        <w:t xml:space="preserve">a </w:t>
      </w:r>
      <w:r>
        <w:rPr>
          <w:lang w:val="en-US" w:eastAsia="en-US"/>
        </w:rPr>
        <w:t xml:space="preserve">minimum viewing time after every </w:t>
      </w:r>
      <w:r w:rsidR="004F142D">
        <w:rPr>
          <w:lang w:val="en-US" w:eastAsia="en-US"/>
        </w:rPr>
        <w:t xml:space="preserve">8 </w:t>
      </w:r>
      <w:r>
        <w:rPr>
          <w:lang w:val="en-US" w:eastAsia="en-US"/>
        </w:rPr>
        <w:t xml:space="preserve">gambles (8 times) in addition to </w:t>
      </w:r>
      <w:r w:rsidR="00844CCC">
        <w:rPr>
          <w:lang w:val="en-US" w:eastAsia="en-US"/>
        </w:rPr>
        <w:t xml:space="preserve">seeing </w:t>
      </w:r>
      <w:r>
        <w:rPr>
          <w:lang w:val="en-US" w:eastAsia="en-US"/>
        </w:rPr>
        <w:t>their betting results after each round.</w:t>
      </w:r>
    </w:p>
    <w:p w14:paraId="1BB0A88D" w14:textId="781FFEAA" w:rsidR="00C43F4C" w:rsidRDefault="00C43F4C" w:rsidP="00C43F4C">
      <w:pPr>
        <w:rPr>
          <w:lang w:val="en-US" w:eastAsia="en-US"/>
        </w:rPr>
      </w:pPr>
      <w:r w:rsidRPr="00F618B9">
        <w:rPr>
          <w:i/>
          <w:lang w:val="en-US" w:eastAsia="en-US"/>
        </w:rPr>
        <w:t>Treatment 2</w:t>
      </w:r>
      <w:r>
        <w:rPr>
          <w:lang w:val="en-US" w:eastAsia="en-US"/>
        </w:rPr>
        <w:t xml:space="preserve">: Respondents see Summary page B with </w:t>
      </w:r>
      <w:r w:rsidR="00A65BC6">
        <w:rPr>
          <w:lang w:val="en-US" w:eastAsia="en-US"/>
        </w:rPr>
        <w:t xml:space="preserve">a </w:t>
      </w:r>
      <w:r>
        <w:rPr>
          <w:lang w:val="en-US" w:eastAsia="en-US"/>
        </w:rPr>
        <w:t xml:space="preserve">detailed activity statement </w:t>
      </w:r>
      <w:r w:rsidR="00DE6B7A">
        <w:rPr>
          <w:lang w:val="en-US" w:eastAsia="en-US"/>
        </w:rPr>
        <w:t xml:space="preserve">for </w:t>
      </w:r>
      <w:r w:rsidR="00A65BC6">
        <w:rPr>
          <w:lang w:val="en-US" w:eastAsia="en-US"/>
        </w:rPr>
        <w:t xml:space="preserve">a </w:t>
      </w:r>
      <w:r>
        <w:rPr>
          <w:lang w:val="en-US" w:eastAsia="en-US"/>
        </w:rPr>
        <w:t xml:space="preserve">minimum viewing time after every </w:t>
      </w:r>
      <w:r w:rsidR="004F142D">
        <w:rPr>
          <w:lang w:val="en-US" w:eastAsia="en-US"/>
        </w:rPr>
        <w:t xml:space="preserve">8 </w:t>
      </w:r>
      <w:r>
        <w:rPr>
          <w:lang w:val="en-US" w:eastAsia="en-US"/>
        </w:rPr>
        <w:t xml:space="preserve">gambles in addition to </w:t>
      </w:r>
      <w:r w:rsidR="00844CCC">
        <w:rPr>
          <w:lang w:val="en-US" w:eastAsia="en-US"/>
        </w:rPr>
        <w:t xml:space="preserve">seeing </w:t>
      </w:r>
      <w:r>
        <w:rPr>
          <w:lang w:val="en-US" w:eastAsia="en-US"/>
        </w:rPr>
        <w:t xml:space="preserve">their betting results after each round. </w:t>
      </w:r>
    </w:p>
    <w:p w14:paraId="018DE3B3" w14:textId="77777777" w:rsidR="005D6C0A" w:rsidRPr="009749F2" w:rsidRDefault="005D6C0A" w:rsidP="005D6C0A">
      <w:pPr>
        <w:pStyle w:val="Heading2"/>
      </w:pPr>
      <w:r w:rsidRPr="009749F2">
        <w:lastRenderedPageBreak/>
        <w:t>Outcome measures</w:t>
      </w:r>
    </w:p>
    <w:p w14:paraId="3B64EE5E" w14:textId="3EE07D16" w:rsidR="005D6C0A" w:rsidRDefault="005D6C0A" w:rsidP="005D6C0A">
      <w:pPr>
        <w:rPr>
          <w:rFonts w:cstheme="minorHAnsi"/>
        </w:rPr>
      </w:pPr>
      <w:r w:rsidRPr="00C43F4C">
        <w:rPr>
          <w:rFonts w:cstheme="minorHAnsi"/>
        </w:rPr>
        <w:t>The primary outcome measure is the</w:t>
      </w:r>
      <w:r>
        <w:rPr>
          <w:rFonts w:cstheme="minorHAnsi"/>
        </w:rPr>
        <w:t xml:space="preserve"> total</w:t>
      </w:r>
      <w:r w:rsidRPr="00C43F4C">
        <w:rPr>
          <w:rFonts w:cstheme="minorHAnsi"/>
        </w:rPr>
        <w:t xml:space="preserve"> amount bet ($) </w:t>
      </w:r>
      <w:r>
        <w:rPr>
          <w:rFonts w:cstheme="minorHAnsi"/>
        </w:rPr>
        <w:t xml:space="preserve">over </w:t>
      </w:r>
      <w:r w:rsidR="008226E3">
        <w:rPr>
          <w:rFonts w:cstheme="minorHAnsi"/>
        </w:rPr>
        <w:t>56</w:t>
      </w:r>
      <w:r w:rsidR="00444F45" w:rsidRPr="00C43F4C">
        <w:rPr>
          <w:rFonts w:cstheme="minorHAnsi"/>
        </w:rPr>
        <w:t> </w:t>
      </w:r>
      <w:r>
        <w:rPr>
          <w:rFonts w:cstheme="minorHAnsi"/>
        </w:rPr>
        <w:t>gambles (gamble </w:t>
      </w:r>
      <w:r w:rsidR="008226E3">
        <w:rPr>
          <w:rFonts w:cstheme="minorHAnsi"/>
        </w:rPr>
        <w:t xml:space="preserve">9 </w:t>
      </w:r>
      <w:r>
        <w:rPr>
          <w:rFonts w:cstheme="minorHAnsi"/>
        </w:rPr>
        <w:t>to gamble</w:t>
      </w:r>
      <w:r w:rsidR="00444F45">
        <w:rPr>
          <w:rFonts w:cstheme="minorHAnsi"/>
        </w:rPr>
        <w:t> </w:t>
      </w:r>
      <w:r w:rsidR="008226E3">
        <w:rPr>
          <w:rFonts w:cstheme="minorHAnsi"/>
        </w:rPr>
        <w:t>64</w:t>
      </w:r>
      <w:r>
        <w:rPr>
          <w:rFonts w:cstheme="minorHAnsi"/>
        </w:rPr>
        <w:t>) by each individual, averaged within each experimental group. The range of this variable will be $0 to $840.</w:t>
      </w:r>
      <w:r w:rsidDel="00E51E27">
        <w:rPr>
          <w:rFonts w:cstheme="minorHAnsi"/>
        </w:rPr>
        <w:t xml:space="preserve"> </w:t>
      </w:r>
    </w:p>
    <w:p w14:paraId="2A1969A9" w14:textId="18E9F8CD" w:rsidR="005D6C0A" w:rsidRDefault="005D6C0A" w:rsidP="005D6C0A">
      <w:pPr>
        <w:rPr>
          <w:rFonts w:cstheme="minorHAnsi"/>
        </w:rPr>
      </w:pPr>
      <w:r w:rsidRPr="00C43F4C">
        <w:rPr>
          <w:rFonts w:cstheme="minorHAnsi"/>
        </w:rPr>
        <w:t xml:space="preserve">The secondary outcome measure is the number of bets placed over </w:t>
      </w:r>
      <w:r w:rsidR="008226E3">
        <w:rPr>
          <w:rFonts w:cstheme="minorHAnsi"/>
        </w:rPr>
        <w:t>56</w:t>
      </w:r>
      <w:r w:rsidR="008226E3" w:rsidRPr="00C43F4C">
        <w:rPr>
          <w:rFonts w:cstheme="minorHAnsi"/>
        </w:rPr>
        <w:t> </w:t>
      </w:r>
      <w:r w:rsidRPr="00C43F4C">
        <w:rPr>
          <w:rFonts w:cstheme="minorHAnsi"/>
        </w:rPr>
        <w:t>gambles</w:t>
      </w:r>
      <w:r>
        <w:rPr>
          <w:rFonts w:cstheme="minorHAnsi"/>
        </w:rPr>
        <w:t xml:space="preserve"> (gamble</w:t>
      </w:r>
      <w:r w:rsidR="00444F45" w:rsidRPr="00C43F4C">
        <w:rPr>
          <w:rFonts w:cstheme="minorHAnsi"/>
        </w:rPr>
        <w:t> </w:t>
      </w:r>
      <w:r w:rsidR="008226E3">
        <w:rPr>
          <w:rFonts w:cstheme="minorHAnsi"/>
        </w:rPr>
        <w:t xml:space="preserve">9 </w:t>
      </w:r>
      <w:r>
        <w:rPr>
          <w:rFonts w:cstheme="minorHAnsi"/>
        </w:rPr>
        <w:t>to gamble</w:t>
      </w:r>
      <w:r w:rsidR="00444F45" w:rsidRPr="00C43F4C">
        <w:rPr>
          <w:rFonts w:cstheme="minorHAnsi"/>
        </w:rPr>
        <w:t> </w:t>
      </w:r>
      <w:r w:rsidR="008226E3">
        <w:rPr>
          <w:rFonts w:cstheme="minorHAnsi"/>
        </w:rPr>
        <w:t>64</w:t>
      </w:r>
      <w:r>
        <w:rPr>
          <w:rFonts w:cstheme="minorHAnsi"/>
        </w:rPr>
        <w:t>)</w:t>
      </w:r>
      <w:r w:rsidR="008226E3">
        <w:rPr>
          <w:rFonts w:cstheme="minorHAnsi"/>
        </w:rPr>
        <w:t xml:space="preserve"> by each individual, averaged within each experimental group</w:t>
      </w:r>
      <w:r w:rsidRPr="00C43F4C">
        <w:rPr>
          <w:rFonts w:cstheme="minorHAnsi"/>
        </w:rPr>
        <w:t xml:space="preserve">. </w:t>
      </w:r>
      <w:r>
        <w:rPr>
          <w:rFonts w:cstheme="minorHAnsi"/>
        </w:rPr>
        <w:t xml:space="preserve">The range for this variable will be 0 to </w:t>
      </w:r>
      <w:r w:rsidR="00444F45">
        <w:rPr>
          <w:rFonts w:cstheme="minorHAnsi"/>
        </w:rPr>
        <w:t>56</w:t>
      </w:r>
      <w:r>
        <w:rPr>
          <w:rFonts w:cstheme="minorHAnsi"/>
        </w:rPr>
        <w:t xml:space="preserve">. </w:t>
      </w:r>
    </w:p>
    <w:p w14:paraId="2BF751B6" w14:textId="77777777" w:rsidR="005D6C0A" w:rsidRDefault="005D6C0A" w:rsidP="005D6C0A">
      <w:pPr>
        <w:rPr>
          <w:rFonts w:cstheme="minorHAnsi"/>
        </w:rPr>
      </w:pPr>
      <w:r>
        <w:rPr>
          <w:rFonts w:cstheme="minorHAnsi"/>
        </w:rPr>
        <w:t>Data for the primary and secondary outcome measures will be collected on the online experimental platform.</w:t>
      </w:r>
    </w:p>
    <w:p w14:paraId="4A067A60" w14:textId="6439FBF1" w:rsidR="005D6C0A" w:rsidRDefault="005D6C0A" w:rsidP="005D6C0A">
      <w:pPr>
        <w:rPr>
          <w:rFonts w:cstheme="minorHAnsi"/>
        </w:rPr>
      </w:pPr>
      <w:r>
        <w:rPr>
          <w:rFonts w:cstheme="minorHAnsi"/>
        </w:rPr>
        <w:t xml:space="preserve">We will also collect additional data using a post-experiment survey. The data from the survey will be used to answer supplementary research questions and to undertake exploratory analyses. </w:t>
      </w:r>
    </w:p>
    <w:p w14:paraId="759184BF" w14:textId="77777777" w:rsidR="00E74E0D" w:rsidRDefault="00C43F4C" w:rsidP="00EC43F6">
      <w:pPr>
        <w:pStyle w:val="Heading2"/>
      </w:pPr>
      <w:r w:rsidRPr="009749F2">
        <w:t>H</w:t>
      </w:r>
      <w:r w:rsidR="00E74E0D" w:rsidRPr="009749F2">
        <w:t>ypotheses</w:t>
      </w:r>
    </w:p>
    <w:p w14:paraId="6A9E855A" w14:textId="47AD91E7" w:rsidR="00862828" w:rsidRPr="00862828" w:rsidRDefault="00862828" w:rsidP="00862828">
      <w:r>
        <w:rPr>
          <w:lang w:val="en-US" w:eastAsia="en-US"/>
        </w:rPr>
        <w:t>We have designed the activity statements with the aim of influencing betting behaviour to reduce the size and number of bets. Consequently, we have made directional hypotheses about the effect of the activity statements relative to control.</w:t>
      </w:r>
    </w:p>
    <w:p w14:paraId="5E6EB22C" w14:textId="77777777" w:rsidR="00C43F4C" w:rsidRPr="00C43F4C" w:rsidRDefault="00C43F4C" w:rsidP="00C43F4C">
      <w:pPr>
        <w:rPr>
          <w:rFonts w:cstheme="minorHAnsi"/>
        </w:rPr>
      </w:pPr>
      <w:r w:rsidRPr="00C43F4C">
        <w:rPr>
          <w:rFonts w:cstheme="minorHAnsi"/>
        </w:rPr>
        <w:t>H1. The amount bet ($) by participants who received behaviourally informed activity statements is lower than the control group (no statements).</w:t>
      </w:r>
    </w:p>
    <w:p w14:paraId="57B63213" w14:textId="379DF60C" w:rsidR="00C43F4C" w:rsidRDefault="00C43F4C" w:rsidP="00C43F4C">
      <w:pPr>
        <w:rPr>
          <w:rFonts w:cstheme="minorHAnsi"/>
          <w:i/>
          <w:iCs/>
        </w:rPr>
      </w:pPr>
      <w:r w:rsidRPr="00C43F4C">
        <w:rPr>
          <w:rFonts w:cstheme="minorHAnsi"/>
          <w:i/>
          <w:iCs/>
        </w:rPr>
        <w:t xml:space="preserve">This will involve comparison of the pooled treatment sample (Treatment 1 </w:t>
      </w:r>
      <w:r w:rsidRPr="00C43F4C">
        <w:rPr>
          <w:rFonts w:cstheme="minorHAnsi"/>
          <w:i/>
          <w:iCs/>
          <w:u w:val="single"/>
        </w:rPr>
        <w:t>and</w:t>
      </w:r>
      <w:r w:rsidRPr="00C43F4C">
        <w:rPr>
          <w:rFonts w:cstheme="minorHAnsi"/>
          <w:i/>
          <w:iCs/>
        </w:rPr>
        <w:t xml:space="preserve"> 2) against the control</w:t>
      </w:r>
      <w:r w:rsidR="0037429F">
        <w:rPr>
          <w:rFonts w:cstheme="minorHAnsi"/>
          <w:i/>
          <w:iCs/>
        </w:rPr>
        <w:t>,</w:t>
      </w:r>
      <w:r w:rsidRPr="00C43F4C">
        <w:rPr>
          <w:rFonts w:cstheme="minorHAnsi"/>
          <w:i/>
          <w:iCs/>
        </w:rPr>
        <w:t xml:space="preserve"> and </w:t>
      </w:r>
      <w:r w:rsidR="0037429F">
        <w:rPr>
          <w:rFonts w:cstheme="minorHAnsi"/>
          <w:i/>
          <w:iCs/>
        </w:rPr>
        <w:t xml:space="preserve">a </w:t>
      </w:r>
      <w:r w:rsidRPr="00C43F4C">
        <w:rPr>
          <w:rFonts w:cstheme="minorHAnsi"/>
          <w:i/>
          <w:iCs/>
        </w:rPr>
        <w:t xml:space="preserve">comparison of each treatment </w:t>
      </w:r>
      <w:r w:rsidR="0037429F">
        <w:rPr>
          <w:rFonts w:cstheme="minorHAnsi"/>
          <w:i/>
          <w:iCs/>
        </w:rPr>
        <w:t xml:space="preserve">individually </w:t>
      </w:r>
      <w:r w:rsidRPr="00C43F4C">
        <w:rPr>
          <w:rFonts w:cstheme="minorHAnsi"/>
          <w:i/>
          <w:iCs/>
        </w:rPr>
        <w:t xml:space="preserve">against the control. We will examine this outcome as an average across all </w:t>
      </w:r>
      <w:r w:rsidR="008226E3">
        <w:rPr>
          <w:rFonts w:cstheme="minorHAnsi"/>
          <w:i/>
          <w:iCs/>
        </w:rPr>
        <w:t>56</w:t>
      </w:r>
      <w:r w:rsidRPr="00C43F4C">
        <w:rPr>
          <w:rFonts w:cstheme="minorHAnsi"/>
          <w:i/>
          <w:iCs/>
        </w:rPr>
        <w:t xml:space="preserve"> gambles</w:t>
      </w:r>
      <w:r w:rsidR="0037429F">
        <w:rPr>
          <w:rFonts w:cstheme="minorHAnsi"/>
          <w:i/>
          <w:iCs/>
        </w:rPr>
        <w:t xml:space="preserve"> using a one</w:t>
      </w:r>
      <w:r w:rsidR="0037429F">
        <w:rPr>
          <w:rFonts w:cstheme="minorHAnsi"/>
          <w:i/>
          <w:iCs/>
        </w:rPr>
        <w:noBreakHyphen/>
        <w:t>sided test</w:t>
      </w:r>
      <w:r w:rsidRPr="00C43F4C">
        <w:rPr>
          <w:rFonts w:cstheme="minorHAnsi"/>
          <w:i/>
          <w:iCs/>
        </w:rPr>
        <w:t>.</w:t>
      </w:r>
    </w:p>
    <w:p w14:paraId="03ABF8EB" w14:textId="77777777" w:rsidR="00B8473F" w:rsidRPr="00C43F4C" w:rsidRDefault="00B8473F" w:rsidP="00C43F4C">
      <w:pPr>
        <w:rPr>
          <w:rFonts w:cstheme="minorHAnsi"/>
          <w:i/>
          <w:iCs/>
        </w:rPr>
      </w:pPr>
      <w:r>
        <w:rPr>
          <w:rFonts w:cstheme="minorHAnsi"/>
          <w:i/>
          <w:iCs/>
        </w:rPr>
        <w:t>This is the most important test in terms of policy perspective.</w:t>
      </w:r>
    </w:p>
    <w:p w14:paraId="77790611" w14:textId="77777777" w:rsidR="00C43F4C" w:rsidRPr="00C43F4C" w:rsidRDefault="00C43F4C" w:rsidP="00C43F4C">
      <w:pPr>
        <w:rPr>
          <w:rFonts w:cstheme="minorHAnsi"/>
          <w:i/>
          <w:iCs/>
        </w:rPr>
      </w:pPr>
      <w:r w:rsidRPr="00C43F4C">
        <w:rPr>
          <w:rFonts w:cstheme="minorHAnsi"/>
        </w:rPr>
        <w:t xml:space="preserve">H2. The number of bets placed by participants who received behaviourally informed activity statements is lower than the mean number of bets placed in the control group. </w:t>
      </w:r>
    </w:p>
    <w:p w14:paraId="78EAAAF1" w14:textId="51E26E11" w:rsidR="00C43F4C" w:rsidRDefault="00C43F4C" w:rsidP="00C43F4C">
      <w:pPr>
        <w:rPr>
          <w:rFonts w:cstheme="minorHAnsi"/>
          <w:i/>
          <w:iCs/>
        </w:rPr>
      </w:pPr>
      <w:r w:rsidRPr="00C43F4C">
        <w:rPr>
          <w:rFonts w:cstheme="minorHAnsi"/>
          <w:i/>
          <w:iCs/>
        </w:rPr>
        <w:t xml:space="preserve">This will involve comparison of the pooled treatment sample (Treatment 1 </w:t>
      </w:r>
      <w:r w:rsidRPr="00C43F4C">
        <w:rPr>
          <w:rFonts w:cstheme="minorHAnsi"/>
          <w:i/>
          <w:iCs/>
          <w:u w:val="single"/>
        </w:rPr>
        <w:t>and</w:t>
      </w:r>
      <w:r w:rsidRPr="00C43F4C">
        <w:rPr>
          <w:rFonts w:cstheme="minorHAnsi"/>
          <w:i/>
          <w:iCs/>
        </w:rPr>
        <w:t xml:space="preserve"> 2) against the control and </w:t>
      </w:r>
      <w:r w:rsidR="0037429F">
        <w:rPr>
          <w:rFonts w:cstheme="minorHAnsi"/>
          <w:i/>
          <w:iCs/>
        </w:rPr>
        <w:t xml:space="preserve">a </w:t>
      </w:r>
      <w:r w:rsidRPr="00C43F4C">
        <w:rPr>
          <w:rFonts w:cstheme="minorHAnsi"/>
          <w:i/>
          <w:iCs/>
        </w:rPr>
        <w:t xml:space="preserve">comparison of each treatment </w:t>
      </w:r>
      <w:r w:rsidR="0037429F">
        <w:rPr>
          <w:rFonts w:cstheme="minorHAnsi"/>
          <w:i/>
          <w:iCs/>
        </w:rPr>
        <w:t xml:space="preserve">individually </w:t>
      </w:r>
      <w:r w:rsidRPr="00C43F4C">
        <w:rPr>
          <w:rFonts w:cstheme="minorHAnsi"/>
          <w:i/>
          <w:iCs/>
        </w:rPr>
        <w:t xml:space="preserve">against the control. We will examine this outcome as an average across all </w:t>
      </w:r>
      <w:r w:rsidR="008226E3">
        <w:rPr>
          <w:rFonts w:cstheme="minorHAnsi"/>
          <w:i/>
          <w:iCs/>
        </w:rPr>
        <w:t>56</w:t>
      </w:r>
      <w:r w:rsidRPr="00C43F4C">
        <w:rPr>
          <w:rFonts w:cstheme="minorHAnsi"/>
          <w:i/>
          <w:iCs/>
        </w:rPr>
        <w:t xml:space="preserve"> gambles</w:t>
      </w:r>
      <w:r w:rsidR="0037429F">
        <w:rPr>
          <w:rFonts w:cstheme="minorHAnsi"/>
          <w:i/>
          <w:iCs/>
        </w:rPr>
        <w:t xml:space="preserve"> using a one</w:t>
      </w:r>
      <w:r w:rsidR="0037429F">
        <w:rPr>
          <w:rFonts w:cstheme="minorHAnsi"/>
          <w:i/>
          <w:iCs/>
        </w:rPr>
        <w:noBreakHyphen/>
        <w:t>sided test</w:t>
      </w:r>
      <w:r w:rsidRPr="00C43F4C">
        <w:rPr>
          <w:rFonts w:cstheme="minorHAnsi"/>
          <w:i/>
          <w:iCs/>
        </w:rPr>
        <w:t xml:space="preserve">.  </w:t>
      </w:r>
    </w:p>
    <w:p w14:paraId="5DACC7A0" w14:textId="77777777" w:rsidR="00683C32" w:rsidRDefault="00683C32" w:rsidP="00683C32">
      <w:pPr>
        <w:rPr>
          <w:rFonts w:cstheme="minorHAnsi"/>
        </w:rPr>
      </w:pPr>
      <w:r>
        <w:rPr>
          <w:rFonts w:cstheme="minorHAnsi"/>
        </w:rPr>
        <w:t xml:space="preserve">H3. The amount bet and the number of bets will be different between the two behaviourally informed activity statements. </w:t>
      </w:r>
    </w:p>
    <w:p w14:paraId="48732A81" w14:textId="77777777" w:rsidR="00683C32" w:rsidRDefault="00683C32" w:rsidP="00683C32">
      <w:pPr>
        <w:rPr>
          <w:rFonts w:cstheme="minorHAnsi"/>
          <w:i/>
          <w:iCs/>
        </w:rPr>
      </w:pPr>
      <w:r>
        <w:rPr>
          <w:rFonts w:cstheme="minorHAnsi"/>
          <w:i/>
          <w:iCs/>
        </w:rPr>
        <w:t xml:space="preserve">This will involve comparison of Treatment 1 </w:t>
      </w:r>
      <w:r>
        <w:rPr>
          <w:rFonts w:cstheme="minorHAnsi"/>
          <w:i/>
          <w:iCs/>
          <w:u w:val="single"/>
        </w:rPr>
        <w:t xml:space="preserve">against Treatment </w:t>
      </w:r>
      <w:r>
        <w:rPr>
          <w:rFonts w:cstheme="minorHAnsi"/>
          <w:i/>
          <w:iCs/>
        </w:rPr>
        <w:t>2. Since we do not have a directional hypothesis, we will use a two</w:t>
      </w:r>
      <w:r>
        <w:rPr>
          <w:rFonts w:cstheme="minorHAnsi"/>
          <w:i/>
          <w:iCs/>
        </w:rPr>
        <w:noBreakHyphen/>
        <w:t>sided test.</w:t>
      </w:r>
    </w:p>
    <w:p w14:paraId="0532677D" w14:textId="77777777" w:rsidR="006B5D2F" w:rsidRDefault="006B5D2F" w:rsidP="00683C32">
      <w:pPr>
        <w:rPr>
          <w:rFonts w:cstheme="minorHAnsi"/>
        </w:rPr>
      </w:pPr>
    </w:p>
    <w:p w14:paraId="79B8EAF7" w14:textId="77777777" w:rsidR="002A6077" w:rsidRDefault="002A6077" w:rsidP="002A6077">
      <w:pPr>
        <w:rPr>
          <w:rFonts w:cstheme="minorHAnsi"/>
        </w:rPr>
      </w:pPr>
      <w:r w:rsidRPr="002A6077">
        <w:rPr>
          <w:rFonts w:cstheme="minorHAnsi"/>
        </w:rPr>
        <w:lastRenderedPageBreak/>
        <w:t xml:space="preserve">We also have </w:t>
      </w:r>
      <w:r>
        <w:rPr>
          <w:rFonts w:cstheme="minorHAnsi"/>
        </w:rPr>
        <w:t>supplementary research questions as set out below. These are considered supplementary because the questions will be answered using self</w:t>
      </w:r>
      <w:r w:rsidR="0037429F">
        <w:rPr>
          <w:rFonts w:cstheme="minorHAnsi"/>
        </w:rPr>
        <w:noBreakHyphen/>
      </w:r>
      <w:r>
        <w:rPr>
          <w:rFonts w:cstheme="minorHAnsi"/>
        </w:rPr>
        <w:t>reported post-experimental survey data or because our trial is not powered adequately for sub</w:t>
      </w:r>
      <w:r w:rsidR="009C1F9A">
        <w:rPr>
          <w:rFonts w:cstheme="minorHAnsi"/>
        </w:rPr>
        <w:t>-</w:t>
      </w:r>
      <w:r>
        <w:rPr>
          <w:rFonts w:cstheme="minorHAnsi"/>
        </w:rPr>
        <w:t>group differences</w:t>
      </w:r>
      <w:r w:rsidR="00862828">
        <w:rPr>
          <w:rFonts w:cstheme="minorHAnsi"/>
        </w:rPr>
        <w:t xml:space="preserve">. </w:t>
      </w:r>
    </w:p>
    <w:p w14:paraId="461B0DA6" w14:textId="77777777" w:rsidR="002A6077" w:rsidRPr="00C43F4C" w:rsidRDefault="002A6077" w:rsidP="002A6077">
      <w:pPr>
        <w:pStyle w:val="ListParagraph"/>
        <w:numPr>
          <w:ilvl w:val="0"/>
          <w:numId w:val="4"/>
        </w:numPr>
        <w:spacing w:before="0" w:after="160" w:line="259" w:lineRule="auto"/>
        <w:contextualSpacing/>
        <w:rPr>
          <w:rFonts w:cstheme="minorHAnsi"/>
        </w:rPr>
      </w:pPr>
      <w:r w:rsidRPr="00C43F4C">
        <w:rPr>
          <w:rFonts w:cstheme="minorHAnsi"/>
        </w:rPr>
        <w:t>Which components of the activity statements are valued by participants?</w:t>
      </w:r>
      <w:r w:rsidR="006B5D2F">
        <w:rPr>
          <w:rFonts w:cstheme="minorHAnsi"/>
        </w:rPr>
        <w:t xml:space="preserve"> (survey data)</w:t>
      </w:r>
    </w:p>
    <w:p w14:paraId="16E78654" w14:textId="77777777" w:rsidR="002A6077" w:rsidRPr="00C43F4C" w:rsidRDefault="002A6077" w:rsidP="002A6077">
      <w:pPr>
        <w:pStyle w:val="ListParagraph"/>
        <w:numPr>
          <w:ilvl w:val="0"/>
          <w:numId w:val="4"/>
        </w:numPr>
        <w:spacing w:before="0" w:after="160" w:line="259" w:lineRule="auto"/>
        <w:contextualSpacing/>
        <w:rPr>
          <w:rFonts w:cstheme="minorHAnsi"/>
        </w:rPr>
      </w:pPr>
      <w:r w:rsidRPr="00C43F4C">
        <w:rPr>
          <w:rFonts w:cstheme="minorHAnsi"/>
        </w:rPr>
        <w:t>Are there differences in comprehension of key concepts between the two activity statements?</w:t>
      </w:r>
      <w:r w:rsidR="006B5D2F">
        <w:rPr>
          <w:rFonts w:cstheme="minorHAnsi"/>
        </w:rPr>
        <w:t xml:space="preserve"> (survey data)</w:t>
      </w:r>
    </w:p>
    <w:p w14:paraId="4B190301" w14:textId="77777777" w:rsidR="002A6077" w:rsidRPr="00C43F4C" w:rsidRDefault="002A6077" w:rsidP="002A6077">
      <w:pPr>
        <w:pStyle w:val="ListParagraph"/>
        <w:numPr>
          <w:ilvl w:val="0"/>
          <w:numId w:val="4"/>
        </w:numPr>
        <w:spacing w:before="0" w:after="160" w:line="259" w:lineRule="auto"/>
        <w:contextualSpacing/>
        <w:rPr>
          <w:rFonts w:cstheme="minorHAnsi"/>
        </w:rPr>
      </w:pPr>
      <w:r w:rsidRPr="00C43F4C">
        <w:rPr>
          <w:rFonts w:cstheme="minorHAnsi"/>
        </w:rPr>
        <w:t>Are there differences in viewing time between the two activity statements?</w:t>
      </w:r>
      <w:r w:rsidR="006B5D2F">
        <w:rPr>
          <w:rFonts w:cstheme="minorHAnsi"/>
        </w:rPr>
        <w:t xml:space="preserve"> (experimental data)</w:t>
      </w:r>
    </w:p>
    <w:p w14:paraId="199529F0" w14:textId="77777777" w:rsidR="002A6077" w:rsidRPr="00C43F4C" w:rsidRDefault="002A6077" w:rsidP="002A6077">
      <w:pPr>
        <w:pStyle w:val="ListParagraph"/>
        <w:numPr>
          <w:ilvl w:val="0"/>
          <w:numId w:val="4"/>
        </w:numPr>
        <w:spacing w:before="0" w:after="160" w:line="259" w:lineRule="auto"/>
        <w:contextualSpacing/>
        <w:rPr>
          <w:rFonts w:cstheme="minorHAnsi"/>
        </w:rPr>
      </w:pPr>
      <w:r w:rsidRPr="00C43F4C">
        <w:rPr>
          <w:rFonts w:cstheme="minorHAnsi"/>
        </w:rPr>
        <w:t xml:space="preserve">Is the effect </w:t>
      </w:r>
      <w:r>
        <w:rPr>
          <w:rFonts w:cstheme="minorHAnsi"/>
        </w:rPr>
        <w:t>on gambling behaviour immediate or</w:t>
      </w:r>
      <w:r w:rsidRPr="00C43F4C">
        <w:rPr>
          <w:rFonts w:cstheme="minorHAnsi"/>
        </w:rPr>
        <w:t xml:space="preserve"> </w:t>
      </w:r>
      <w:r w:rsidR="007E7AA1">
        <w:rPr>
          <w:rFonts w:cstheme="minorHAnsi"/>
        </w:rPr>
        <w:t>cumulative</w:t>
      </w:r>
      <w:r w:rsidRPr="00C43F4C">
        <w:rPr>
          <w:rFonts w:cstheme="minorHAnsi"/>
        </w:rPr>
        <w:t>?</w:t>
      </w:r>
      <w:r w:rsidR="006B5D2F">
        <w:rPr>
          <w:rFonts w:cstheme="minorHAnsi"/>
        </w:rPr>
        <w:t xml:space="preserve"> (experimental data)</w:t>
      </w:r>
    </w:p>
    <w:p w14:paraId="0A76973C" w14:textId="77777777" w:rsidR="002A6077" w:rsidRPr="00C43F4C" w:rsidRDefault="002A6077" w:rsidP="002A6077">
      <w:pPr>
        <w:pStyle w:val="ListParagraph"/>
        <w:numPr>
          <w:ilvl w:val="0"/>
          <w:numId w:val="4"/>
        </w:numPr>
        <w:spacing w:before="0" w:after="200" w:line="276" w:lineRule="auto"/>
        <w:contextualSpacing/>
        <w:jc w:val="both"/>
        <w:rPr>
          <w:rFonts w:cstheme="minorHAnsi"/>
        </w:rPr>
      </w:pPr>
      <w:r w:rsidRPr="00C43F4C">
        <w:rPr>
          <w:rFonts w:cstheme="minorHAnsi"/>
        </w:rPr>
        <w:t>Does viewing a gambling activity statement affect participants’ self-reported intentions to use activity statements to make decisions about gambling activity in the future?</w:t>
      </w:r>
      <w:r w:rsidR="006B5D2F">
        <w:rPr>
          <w:rFonts w:cstheme="minorHAnsi"/>
        </w:rPr>
        <w:t xml:space="preserve"> (survey data)</w:t>
      </w:r>
    </w:p>
    <w:p w14:paraId="0294915F" w14:textId="77777777" w:rsidR="002A6077" w:rsidRPr="00C43F4C" w:rsidRDefault="002A6077" w:rsidP="002A6077">
      <w:pPr>
        <w:pStyle w:val="ListParagraph"/>
        <w:numPr>
          <w:ilvl w:val="0"/>
          <w:numId w:val="4"/>
        </w:numPr>
        <w:spacing w:before="0" w:after="200" w:line="276" w:lineRule="auto"/>
        <w:ind w:hanging="294"/>
        <w:contextualSpacing/>
        <w:jc w:val="both"/>
        <w:rPr>
          <w:rFonts w:cstheme="minorHAnsi"/>
        </w:rPr>
      </w:pPr>
      <w:r w:rsidRPr="00C43F4C">
        <w:rPr>
          <w:rFonts w:cstheme="minorHAnsi"/>
        </w:rPr>
        <w:t>Are there differences between the moderate-risk gamblers and the non/low-risk gamblers in the effect the activity statements have on gambling behaviour?</w:t>
      </w:r>
      <w:r w:rsidR="006B5D2F">
        <w:rPr>
          <w:rFonts w:cstheme="minorHAnsi"/>
        </w:rPr>
        <w:t xml:space="preserve"> (experimental data)</w:t>
      </w:r>
    </w:p>
    <w:p w14:paraId="1899A24F" w14:textId="77777777" w:rsidR="00E74E0D" w:rsidRPr="009749F2" w:rsidRDefault="00E74E0D" w:rsidP="00EC43F6">
      <w:pPr>
        <w:pStyle w:val="Heading2"/>
      </w:pPr>
      <w:r w:rsidRPr="009749F2">
        <w:t>Sample size and power calculations</w:t>
      </w:r>
    </w:p>
    <w:p w14:paraId="58F47E67" w14:textId="77777777" w:rsidR="0033627C" w:rsidRDefault="00862828" w:rsidP="0033627C">
      <w:pPr>
        <w:rPr>
          <w:lang w:val="en-US"/>
        </w:rPr>
      </w:pPr>
      <w:r>
        <w:rPr>
          <w:lang w:val="en-US"/>
        </w:rPr>
        <w:t>Since we are using a new online platform for this study, w</w:t>
      </w:r>
      <w:r w:rsidR="0033627C">
        <w:rPr>
          <w:lang w:val="en-US"/>
        </w:rPr>
        <w:t>e have no prior information on standard gambling</w:t>
      </w:r>
      <w:r w:rsidR="0033627C" w:rsidRPr="006421EF">
        <w:t xml:space="preserve"> behaviours</w:t>
      </w:r>
      <w:r w:rsidR="0033627C">
        <w:rPr>
          <w:lang w:val="en-US"/>
        </w:rPr>
        <w:t xml:space="preserve"> on the platform. We also do not know the expected effect size of an activity statement intervention on gambling</w:t>
      </w:r>
      <w:r w:rsidR="0033627C" w:rsidRPr="006421EF">
        <w:t xml:space="preserve"> behaviours</w:t>
      </w:r>
      <w:r w:rsidR="0033627C">
        <w:rPr>
          <w:lang w:val="en-US"/>
        </w:rPr>
        <w:t xml:space="preserve">. </w:t>
      </w:r>
    </w:p>
    <w:p w14:paraId="36A20DC2" w14:textId="77777777" w:rsidR="0033627C" w:rsidRDefault="0033627C" w:rsidP="0033627C">
      <w:pPr>
        <w:rPr>
          <w:lang w:val="en-US"/>
        </w:rPr>
      </w:pPr>
      <w:r>
        <w:rPr>
          <w:lang w:val="en-US"/>
        </w:rPr>
        <w:t xml:space="preserve">With no existing information available to inform sample size calculations, </w:t>
      </w:r>
      <w:r w:rsidR="00D50742">
        <w:rPr>
          <w:lang w:val="en-US"/>
        </w:rPr>
        <w:t xml:space="preserve">we based our </w:t>
      </w:r>
      <w:r>
        <w:rPr>
          <w:lang w:val="en-US"/>
        </w:rPr>
        <w:t>estimates on the number of participants</w:t>
      </w:r>
      <w:r w:rsidR="00D50742">
        <w:rPr>
          <w:lang w:val="en-US"/>
        </w:rPr>
        <w:t xml:space="preserve"> (which was determined by the available resources for the project)</w:t>
      </w:r>
      <w:r w:rsidR="003E5C6C">
        <w:rPr>
          <w:lang w:val="en-US"/>
        </w:rPr>
        <w:t>,</w:t>
      </w:r>
      <w:r>
        <w:rPr>
          <w:lang w:val="en-US"/>
        </w:rPr>
        <w:t xml:space="preserve"> the number of experimental arms</w:t>
      </w:r>
      <w:r w:rsidR="00D50742">
        <w:rPr>
          <w:lang w:val="en-US"/>
        </w:rPr>
        <w:t>,</w:t>
      </w:r>
      <w:r>
        <w:rPr>
          <w:lang w:val="en-US"/>
        </w:rPr>
        <w:t xml:space="preserve"> and a small effect size. </w:t>
      </w:r>
      <w:r w:rsidR="00DC11F5">
        <w:rPr>
          <w:lang w:val="en-US"/>
        </w:rPr>
        <w:t xml:space="preserve">There </w:t>
      </w:r>
      <w:r>
        <w:rPr>
          <w:lang w:val="en-US"/>
        </w:rPr>
        <w:t xml:space="preserve">will be three experimental arms with </w:t>
      </w:r>
      <w:r w:rsidR="009F7495">
        <w:rPr>
          <w:lang w:val="en-US"/>
        </w:rPr>
        <w:t>a one-third probability of assignment to each experimental arm</w:t>
      </w:r>
      <w:r>
        <w:rPr>
          <w:lang w:val="en-US"/>
        </w:rPr>
        <w:t>.</w:t>
      </w:r>
    </w:p>
    <w:p w14:paraId="01F6AB3D" w14:textId="63E94F78" w:rsidR="0033627C" w:rsidRDefault="0033627C" w:rsidP="0033627C">
      <w:pPr>
        <w:rPr>
          <w:lang w:val="en-US"/>
        </w:rPr>
      </w:pPr>
      <w:r>
        <w:rPr>
          <w:lang w:val="en-US"/>
        </w:rPr>
        <w:t xml:space="preserve">Power calculations are for alpha of 0.05, power 80% and </w:t>
      </w:r>
      <w:r w:rsidR="00862828">
        <w:rPr>
          <w:lang w:val="en-US"/>
        </w:rPr>
        <w:t xml:space="preserve">a </w:t>
      </w:r>
      <w:r w:rsidR="008226E3">
        <w:rPr>
          <w:lang w:val="en-US"/>
        </w:rPr>
        <w:t>two</w:t>
      </w:r>
      <w:r w:rsidR="003E5C6C">
        <w:rPr>
          <w:lang w:val="en-US"/>
        </w:rPr>
        <w:t>-</w:t>
      </w:r>
      <w:r>
        <w:rPr>
          <w:lang w:val="en-US"/>
        </w:rPr>
        <w:t>sided test</w:t>
      </w:r>
      <w:r w:rsidR="00862828">
        <w:rPr>
          <w:lang w:val="en-US"/>
        </w:rPr>
        <w:t xml:space="preserve"> on our primary hypothesis</w:t>
      </w:r>
      <w:r>
        <w:rPr>
          <w:lang w:val="en-US"/>
        </w:rPr>
        <w:t>. We calculat</w:t>
      </w:r>
      <w:r w:rsidR="00D50742">
        <w:rPr>
          <w:lang w:val="en-US"/>
        </w:rPr>
        <w:t>ed</w:t>
      </w:r>
      <w:r>
        <w:rPr>
          <w:lang w:val="en-US"/>
        </w:rPr>
        <w:t xml:space="preserve"> power for a </w:t>
      </w:r>
      <w:r w:rsidR="008226E3">
        <w:rPr>
          <w:lang w:val="en-US"/>
        </w:rPr>
        <w:t>two</w:t>
      </w:r>
      <w:r w:rsidR="003E5C6C">
        <w:rPr>
          <w:lang w:val="en-US"/>
        </w:rPr>
        <w:t>-</w:t>
      </w:r>
      <w:r>
        <w:rPr>
          <w:lang w:val="en-US"/>
        </w:rPr>
        <w:t xml:space="preserve">sided test because </w:t>
      </w:r>
      <w:r w:rsidR="008226E3">
        <w:rPr>
          <w:lang w:val="en-US"/>
        </w:rPr>
        <w:t>that will give us the most conservative figure and forms the basis of H3</w:t>
      </w:r>
      <w:r>
        <w:rPr>
          <w:lang w:val="en-US"/>
        </w:rPr>
        <w:t>. We are aiming to recruit 1</w:t>
      </w:r>
      <w:r w:rsidR="00D50742">
        <w:rPr>
          <w:lang w:val="en-US"/>
        </w:rPr>
        <w:t>,</w:t>
      </w:r>
      <w:r>
        <w:rPr>
          <w:lang w:val="en-US"/>
        </w:rPr>
        <w:t xml:space="preserve">500 participants for the trial. With 500 participants for each arm with three arms, we will be able to detect a small standardized effect size (Cohen’s d) of 0.25 for both the mean amount bet and the mean number of bets made. </w:t>
      </w:r>
    </w:p>
    <w:p w14:paraId="6F13FBE1" w14:textId="77777777" w:rsidR="0033627C" w:rsidRDefault="0033627C" w:rsidP="0033627C">
      <w:pPr>
        <w:rPr>
          <w:lang w:val="en-US"/>
        </w:rPr>
      </w:pPr>
      <w:r>
        <w:rPr>
          <w:lang w:val="en-US"/>
        </w:rPr>
        <w:t xml:space="preserve">If we are unable to recruit as many participants, we will only be able to detect larger effect sizes (e.g. Cohen’s d&gt;0.25) if such an effect exists. </w:t>
      </w:r>
    </w:p>
    <w:p w14:paraId="6CB2D3D5" w14:textId="77777777" w:rsidR="0033627C" w:rsidRDefault="0033627C" w:rsidP="0033627C">
      <w:pPr>
        <w:rPr>
          <w:lang w:val="en-US"/>
        </w:rPr>
      </w:pPr>
      <w:r>
        <w:rPr>
          <w:lang w:val="en-US"/>
        </w:rPr>
        <w:t xml:space="preserve">Power calculations were conducted in Stata SE version 15.1. </w:t>
      </w:r>
    </w:p>
    <w:p w14:paraId="23759548" w14:textId="77777777" w:rsidR="00E74E0D" w:rsidRPr="009749F2" w:rsidRDefault="00E74E0D" w:rsidP="00EC43F6">
      <w:pPr>
        <w:pStyle w:val="Heading2"/>
      </w:pPr>
      <w:r w:rsidRPr="009749F2">
        <w:lastRenderedPageBreak/>
        <w:t xml:space="preserve">Trial design </w:t>
      </w:r>
    </w:p>
    <w:p w14:paraId="70ECAB38" w14:textId="77777777" w:rsidR="009749F2" w:rsidRDefault="001A4064" w:rsidP="009749F2">
      <w:pPr>
        <w:rPr>
          <w:noProof/>
        </w:rPr>
      </w:pPr>
      <w:r w:rsidRPr="001A4064">
        <w:rPr>
          <w:lang w:val="en-US"/>
        </w:rPr>
        <w:t>As shown</w:t>
      </w:r>
      <w:r>
        <w:rPr>
          <w:lang w:val="en-US"/>
        </w:rPr>
        <w:t xml:space="preserve"> in Figure 1, this is a three-arm framed-field experiment. Randomisation will be at the individual level </w:t>
      </w:r>
      <w:r w:rsidR="002267A4">
        <w:rPr>
          <w:lang w:val="en-US"/>
        </w:rPr>
        <w:t>with a one-third probability of assignment</w:t>
      </w:r>
      <w:r w:rsidR="009F7495">
        <w:rPr>
          <w:lang w:val="en-US"/>
        </w:rPr>
        <w:t xml:space="preserve"> to each experimental arm</w:t>
      </w:r>
      <w:r>
        <w:rPr>
          <w:lang w:val="en-US"/>
        </w:rPr>
        <w:t xml:space="preserve"> </w:t>
      </w:r>
      <w:r>
        <w:rPr>
          <w:noProof/>
        </w:rPr>
        <w:t>(more details on this in the ‘Randomisation Section’ below). We expect to continue recruiting participants until our desired sample size of 1</w:t>
      </w:r>
      <w:r w:rsidR="00D50742">
        <w:rPr>
          <w:noProof/>
        </w:rPr>
        <w:t>,</w:t>
      </w:r>
      <w:r>
        <w:rPr>
          <w:noProof/>
        </w:rPr>
        <w:t>500 is reached</w:t>
      </w:r>
      <w:r w:rsidR="00DE6B7A">
        <w:rPr>
          <w:noProof/>
        </w:rPr>
        <w:t xml:space="preserve"> (spread roughly equally across each condition)</w:t>
      </w:r>
      <w:r>
        <w:rPr>
          <w:noProof/>
        </w:rPr>
        <w:t xml:space="preserve">. </w:t>
      </w:r>
      <w:r w:rsidR="006D63C5">
        <w:rPr>
          <w:noProof/>
        </w:rPr>
        <w:t xml:space="preserve">Participants will be randomised into the experiment as they are recruited into the study. </w:t>
      </w:r>
    </w:p>
    <w:p w14:paraId="427168CC" w14:textId="77777777" w:rsidR="002D772A" w:rsidRDefault="001A4064" w:rsidP="001A4064">
      <w:pPr>
        <w:rPr>
          <w:noProof/>
        </w:rPr>
      </w:pPr>
      <w:r>
        <w:rPr>
          <w:noProof/>
        </w:rPr>
        <w:t xml:space="preserve">Data on gambling behaviours will be collected in the online experimental platform. We will also </w:t>
      </w:r>
      <w:r w:rsidR="007E0356">
        <w:rPr>
          <w:noProof/>
        </w:rPr>
        <w:t>conduct</w:t>
      </w:r>
      <w:r>
        <w:rPr>
          <w:noProof/>
        </w:rPr>
        <w:t xml:space="preserve"> a post-experimental survey where participants will answer questions about comprehension and usefulness of activity statements, gambling fallacies, and financi</w:t>
      </w:r>
      <w:r w:rsidR="003E5C6C">
        <w:rPr>
          <w:noProof/>
        </w:rPr>
        <w:t>a</w:t>
      </w:r>
      <w:r>
        <w:rPr>
          <w:noProof/>
        </w:rPr>
        <w:t xml:space="preserve">l literacy. </w:t>
      </w:r>
      <w:bookmarkStart w:id="2" w:name="_Ref535913263"/>
    </w:p>
    <w:bookmarkEnd w:id="2"/>
    <w:p w14:paraId="13CE31DA" w14:textId="77777777" w:rsidR="009749F2" w:rsidRPr="009749F2" w:rsidRDefault="009749F2" w:rsidP="00EC43F6">
      <w:pPr>
        <w:pStyle w:val="Heading2"/>
      </w:pPr>
      <w:r w:rsidRPr="009749F2">
        <w:t xml:space="preserve">Sample selection </w:t>
      </w:r>
    </w:p>
    <w:p w14:paraId="685B4691" w14:textId="77777777" w:rsidR="001C6F8B" w:rsidRPr="00830E71" w:rsidRDefault="001C6F8B" w:rsidP="001C6F8B">
      <w:pPr>
        <w:spacing w:after="160"/>
        <w:rPr>
          <w:rFonts w:cstheme="minorHAnsi"/>
        </w:rPr>
      </w:pPr>
      <w:r w:rsidRPr="00830E71">
        <w:rPr>
          <w:rFonts w:cstheme="minorHAnsi"/>
        </w:rPr>
        <w:t xml:space="preserve">Participants </w:t>
      </w:r>
      <w:r w:rsidR="00830E71">
        <w:rPr>
          <w:rFonts w:cstheme="minorHAnsi"/>
        </w:rPr>
        <w:t>will be</w:t>
      </w:r>
      <w:r w:rsidRPr="00830E71">
        <w:rPr>
          <w:rFonts w:cstheme="minorHAnsi"/>
        </w:rPr>
        <w:t xml:space="preserve"> included in the study if they are Australian residents aged 18</w:t>
      </w:r>
      <w:r w:rsidR="005B253B">
        <w:rPr>
          <w:rFonts w:cstheme="minorHAnsi"/>
        </w:rPr>
        <w:t> </w:t>
      </w:r>
      <w:r w:rsidRPr="00830E71">
        <w:rPr>
          <w:rFonts w:cstheme="minorHAnsi"/>
        </w:rPr>
        <w:t>years and over who have:</w:t>
      </w:r>
    </w:p>
    <w:p w14:paraId="10AF28BB" w14:textId="523ECE08" w:rsidR="001C6F8B" w:rsidRPr="00830E71" w:rsidRDefault="001C6F8B" w:rsidP="001C6F8B">
      <w:pPr>
        <w:pStyle w:val="ListParagraph"/>
        <w:numPr>
          <w:ilvl w:val="0"/>
          <w:numId w:val="7"/>
        </w:numPr>
        <w:spacing w:before="0" w:after="160"/>
        <w:ind w:left="714" w:hanging="357"/>
        <w:jc w:val="both"/>
        <w:rPr>
          <w:rFonts w:cstheme="minorHAnsi"/>
        </w:rPr>
      </w:pPr>
      <w:r w:rsidRPr="00830E71">
        <w:rPr>
          <w:rFonts w:cstheme="minorHAnsi"/>
        </w:rPr>
        <w:t xml:space="preserve">gambled online at least once in the last </w:t>
      </w:r>
      <w:r w:rsidR="008226E3">
        <w:rPr>
          <w:rFonts w:cstheme="minorHAnsi"/>
        </w:rPr>
        <w:t>6 months</w:t>
      </w:r>
      <w:r w:rsidRPr="00830E71">
        <w:rPr>
          <w:rFonts w:cstheme="minorHAnsi"/>
        </w:rPr>
        <w:t xml:space="preserve"> (e.g., sports betting, horse race betting)</w:t>
      </w:r>
    </w:p>
    <w:p w14:paraId="2ABA51AC" w14:textId="77777777" w:rsidR="001C6F8B" w:rsidRPr="00830E71" w:rsidRDefault="001C6F8B" w:rsidP="001C6F8B">
      <w:pPr>
        <w:pStyle w:val="ListParagraph"/>
        <w:numPr>
          <w:ilvl w:val="0"/>
          <w:numId w:val="6"/>
        </w:numPr>
        <w:spacing w:before="0" w:after="200" w:line="276" w:lineRule="auto"/>
        <w:contextualSpacing/>
        <w:jc w:val="both"/>
        <w:rPr>
          <w:rFonts w:cstheme="minorHAnsi"/>
        </w:rPr>
      </w:pPr>
      <w:r w:rsidRPr="00830E71">
        <w:rPr>
          <w:rFonts w:cstheme="minorHAnsi"/>
        </w:rPr>
        <w:t>Have a Problem G</w:t>
      </w:r>
      <w:r w:rsidR="006D63C5">
        <w:rPr>
          <w:rFonts w:cstheme="minorHAnsi"/>
        </w:rPr>
        <w:t>ambling Severity Index (PGSI) ≤ 7</w:t>
      </w:r>
      <w:r w:rsidRPr="00830E71">
        <w:rPr>
          <w:rFonts w:cstheme="minorHAnsi"/>
        </w:rPr>
        <w:t xml:space="preserve"> (non-problem, low</w:t>
      </w:r>
      <w:r w:rsidR="005B253B">
        <w:rPr>
          <w:rFonts w:cstheme="minorHAnsi"/>
        </w:rPr>
        <w:t xml:space="preserve"> </w:t>
      </w:r>
      <w:r w:rsidRPr="00830E71">
        <w:rPr>
          <w:rFonts w:cstheme="minorHAnsi"/>
        </w:rPr>
        <w:t>risk, or moderate risk).</w:t>
      </w:r>
    </w:p>
    <w:p w14:paraId="48DBEEC1" w14:textId="77777777" w:rsidR="001C6F8B" w:rsidRDefault="001C6F8B" w:rsidP="001C6F8B">
      <w:pPr>
        <w:rPr>
          <w:rFonts w:cstheme="minorHAnsi"/>
        </w:rPr>
      </w:pPr>
      <w:r w:rsidRPr="00830E71">
        <w:rPr>
          <w:rFonts w:cstheme="minorHAnsi"/>
        </w:rPr>
        <w:t>People identified as high-risk gamblers when completing the PGSI</w:t>
      </w:r>
      <w:r w:rsidR="00830E71">
        <w:rPr>
          <w:rFonts w:cstheme="minorHAnsi"/>
        </w:rPr>
        <w:t xml:space="preserve"> (</w:t>
      </w:r>
      <w:r w:rsidR="00D300CF">
        <w:rPr>
          <w:rFonts w:cstheme="minorHAnsi"/>
        </w:rPr>
        <w:t xml:space="preserve">with a score higher than </w:t>
      </w:r>
      <w:r w:rsidR="00830E71">
        <w:rPr>
          <w:rFonts w:cstheme="minorHAnsi"/>
        </w:rPr>
        <w:t>7)</w:t>
      </w:r>
      <w:r w:rsidRPr="00830E71">
        <w:rPr>
          <w:rFonts w:cstheme="minorHAnsi"/>
        </w:rPr>
        <w:t xml:space="preserve"> will be excluded from the study.</w:t>
      </w:r>
      <w:r w:rsidR="006B5D2F">
        <w:rPr>
          <w:rFonts w:cstheme="minorHAnsi"/>
        </w:rPr>
        <w:t xml:space="preserve"> They will be provided with Gambling Helpline numbers. </w:t>
      </w:r>
    </w:p>
    <w:p w14:paraId="38632F97" w14:textId="77777777" w:rsidR="00432473" w:rsidRPr="009749F2" w:rsidRDefault="00432473" w:rsidP="00EC43F6">
      <w:pPr>
        <w:pStyle w:val="Heading2"/>
      </w:pPr>
      <w:r w:rsidRPr="009749F2">
        <w:t>Randomisation</w:t>
      </w:r>
    </w:p>
    <w:p w14:paraId="502586A7" w14:textId="77777777" w:rsidR="00432473" w:rsidRPr="00432473" w:rsidRDefault="00432473" w:rsidP="00432473">
      <w:pPr>
        <w:rPr>
          <w:rFonts w:cstheme="minorHAnsi"/>
        </w:rPr>
      </w:pPr>
      <w:r w:rsidRPr="00432473">
        <w:rPr>
          <w:rFonts w:cstheme="minorHAnsi"/>
        </w:rPr>
        <w:t xml:space="preserve">The unit for randomisation will be at the individual participant level. </w:t>
      </w:r>
    </w:p>
    <w:p w14:paraId="4AAB837E" w14:textId="10C27074" w:rsidR="006B5D2F" w:rsidRDefault="00432473" w:rsidP="00432473">
      <w:pPr>
        <w:pStyle w:val="ListBullet"/>
        <w:numPr>
          <w:ilvl w:val="0"/>
          <w:numId w:val="0"/>
        </w:numPr>
      </w:pPr>
      <w:r w:rsidRPr="79EF6260">
        <w:t>The aim is to randomise participants to one of the three experimental conditions when th</w:t>
      </w:r>
      <w:r>
        <w:t xml:space="preserve">ey log on. </w:t>
      </w:r>
    </w:p>
    <w:p w14:paraId="30E055E9" w14:textId="3ED3D304" w:rsidR="00432473" w:rsidRPr="00183C20" w:rsidRDefault="008226E3" w:rsidP="00432473">
      <w:pPr>
        <w:pStyle w:val="ListBullet"/>
        <w:numPr>
          <w:ilvl w:val="0"/>
          <w:numId w:val="0"/>
        </w:numPr>
      </w:pPr>
      <w:r>
        <w:t xml:space="preserve">Randomisation will take place on the online platform once an individual progresses through the screener. </w:t>
      </w:r>
    </w:p>
    <w:p w14:paraId="294C9D05" w14:textId="77777777" w:rsidR="00432473" w:rsidRDefault="00432473" w:rsidP="00432473">
      <w:pPr>
        <w:pStyle w:val="ListBullet"/>
        <w:numPr>
          <w:ilvl w:val="0"/>
          <w:numId w:val="0"/>
        </w:numPr>
      </w:pPr>
      <w:r w:rsidRPr="79EF6260">
        <w:t>If people drop out (i.e.</w:t>
      </w:r>
      <w:r>
        <w:t>,</w:t>
      </w:r>
      <w:r w:rsidRPr="79EF6260">
        <w:t xml:space="preserve"> never log on to the platf</w:t>
      </w:r>
      <w:r>
        <w:t xml:space="preserve">orm or do not complete the full </w:t>
      </w:r>
      <w:r w:rsidRPr="79EF6260">
        <w:t>experiment), we will replace these participants to ensure we get 1</w:t>
      </w:r>
      <w:r>
        <w:t>,</w:t>
      </w:r>
      <w:r w:rsidRPr="79EF6260">
        <w:t>500</w:t>
      </w:r>
      <w:r>
        <w:t xml:space="preserve"> </w:t>
      </w:r>
      <w:r w:rsidRPr="79EF6260">
        <w:t>participants.</w:t>
      </w:r>
    </w:p>
    <w:p w14:paraId="7B308654" w14:textId="77777777" w:rsidR="00EE3A7D" w:rsidRPr="00EC43F6" w:rsidRDefault="00EE3A7D" w:rsidP="00117F05">
      <w:pPr>
        <w:keepNext/>
        <w:rPr>
          <w:i/>
        </w:rPr>
      </w:pPr>
      <w:r w:rsidRPr="00EC43F6">
        <w:rPr>
          <w:i/>
        </w:rPr>
        <w:t>Balance checks</w:t>
      </w:r>
    </w:p>
    <w:p w14:paraId="4679F01C" w14:textId="7C948247" w:rsidR="00EE3A7D" w:rsidRDefault="008226E3" w:rsidP="00102A39">
      <w:pPr>
        <w:pStyle w:val="ListBullet"/>
        <w:numPr>
          <w:ilvl w:val="0"/>
          <w:numId w:val="0"/>
        </w:numPr>
        <w:rPr>
          <w:lang w:val="en-US"/>
        </w:rPr>
      </w:pPr>
      <w:r>
        <w:t>W</w:t>
      </w:r>
      <w:r w:rsidR="00EE3A7D" w:rsidRPr="001C6F8B">
        <w:t xml:space="preserve">e will </w:t>
      </w:r>
      <w:r w:rsidR="00AD3D12">
        <w:t>conduct balance checks</w:t>
      </w:r>
      <w:r w:rsidR="006B5D2F">
        <w:t xml:space="preserve"> once all data has been collected. </w:t>
      </w:r>
      <w:r w:rsidR="00AD3D12">
        <w:t xml:space="preserve"> </w:t>
      </w:r>
      <w:r w:rsidR="00EE3A7D">
        <w:t xml:space="preserve">We will check for balance by performing a multinomial regression where treatment status will be regressed on </w:t>
      </w:r>
      <w:r w:rsidR="00C74FFF">
        <w:t xml:space="preserve">the </w:t>
      </w:r>
      <w:r w:rsidR="00EE3A7D">
        <w:t>baseline covariat</w:t>
      </w:r>
      <w:r w:rsidR="00C74FFF">
        <w:t>e</w:t>
      </w:r>
      <w:r w:rsidR="00EE3A7D">
        <w:t xml:space="preserve">. </w:t>
      </w:r>
      <w:r w:rsidR="00EE3A7D" w:rsidRPr="00F93C7C">
        <w:rPr>
          <w:lang w:val="en-US"/>
        </w:rPr>
        <w:t xml:space="preserve">A p-value of 0.01 or less will prompt a review of the random assignment procedure and possible data-handling mistakes. If the review finds no errors, we will report the imbalance test and proceed on the </w:t>
      </w:r>
      <w:r w:rsidR="00EE3A7D" w:rsidRPr="00F93C7C">
        <w:rPr>
          <w:lang w:val="en-US"/>
        </w:rPr>
        <w:lastRenderedPageBreak/>
        <w:t xml:space="preserve">assumption that the imbalance is due to chance, and report </w:t>
      </w:r>
      <w:r w:rsidR="00485004">
        <w:rPr>
          <w:lang w:val="en-US"/>
        </w:rPr>
        <w:t xml:space="preserve">our primary analysis as defined in </w:t>
      </w:r>
      <w:r w:rsidR="00EE3A7D">
        <w:rPr>
          <w:lang w:val="en-US"/>
        </w:rPr>
        <w:t>‘Analysis’</w:t>
      </w:r>
      <w:r w:rsidR="00EE3A7D" w:rsidRPr="00F93C7C">
        <w:rPr>
          <w:lang w:val="en-US"/>
        </w:rPr>
        <w:t>.</w:t>
      </w:r>
      <w:r w:rsidR="00EE3A7D">
        <w:rPr>
          <w:lang w:val="en-US"/>
        </w:rPr>
        <w:t xml:space="preserve"> </w:t>
      </w:r>
    </w:p>
    <w:p w14:paraId="4EFD3C3C" w14:textId="77777777" w:rsidR="00432473" w:rsidRPr="001A4064" w:rsidRDefault="0033627C" w:rsidP="00EC43F6">
      <w:pPr>
        <w:pStyle w:val="Heading2"/>
      </w:pPr>
      <w:r w:rsidRPr="001A4064">
        <w:t>Trial threats</w:t>
      </w:r>
    </w:p>
    <w:p w14:paraId="63FCB05F" w14:textId="77777777" w:rsidR="00EE3A7D" w:rsidRDefault="00EE3A7D" w:rsidP="00F618B9">
      <w:r w:rsidRPr="00EE3A7D">
        <w:rPr>
          <w:i/>
        </w:rPr>
        <w:t>Blinding</w:t>
      </w:r>
      <w:r>
        <w:t xml:space="preserve">: Individuals enrolled in the experiment will be aware that they are participating in an experiment. However, they </w:t>
      </w:r>
      <w:r w:rsidR="00F618B9">
        <w:t xml:space="preserve">will </w:t>
      </w:r>
      <w:r>
        <w:t xml:space="preserve">not be told </w:t>
      </w:r>
      <w:r w:rsidR="00AD3D12">
        <w:t xml:space="preserve">that the purpose of the experiment is to examine the effect of activity statements on gambling behaviour. They will be told we are trying to understand </w:t>
      </w:r>
      <w:r w:rsidR="0059373D">
        <w:t xml:space="preserve">people’s decision making and risk taking behaviour and they will be asked to gamble on an online game and answer questions about their gambling behaviour. </w:t>
      </w:r>
      <w:r>
        <w:t>They will be debriefed at the end of the experiment and informed of the actual aim of t</w:t>
      </w:r>
      <w:r w:rsidR="0059373D">
        <w:t>he trial which is about the effect of activity statements on gambling behaviour.</w:t>
      </w:r>
    </w:p>
    <w:p w14:paraId="70071FE6" w14:textId="71579F46" w:rsidR="0033627C" w:rsidRDefault="0033627C" w:rsidP="00F618B9">
      <w:r w:rsidRPr="00EE3A7D">
        <w:rPr>
          <w:i/>
        </w:rPr>
        <w:t>Attrition</w:t>
      </w:r>
      <w:r w:rsidR="00EE3A7D">
        <w:t>:</w:t>
      </w:r>
      <w:r>
        <w:t xml:space="preserve"> We think the rate of attrition will be low once participants log on to the online platform because the flat rate incentive of $25 is paid only upon completion</w:t>
      </w:r>
      <w:r w:rsidR="00F618B9">
        <w:t xml:space="preserve"> of the experiment and the post</w:t>
      </w:r>
      <w:r w:rsidR="00F618B9">
        <w:noBreakHyphen/>
      </w:r>
      <w:r>
        <w:t xml:space="preserve">experiment survey. </w:t>
      </w:r>
      <w:r w:rsidR="00D300CF">
        <w:t>Also, participants will only be eligible to be one of three selected to receive their account balance</w:t>
      </w:r>
      <w:r w:rsidR="000D5F56">
        <w:t xml:space="preserve"> (paid at out at $1AUD for every $20 lab dollars)</w:t>
      </w:r>
      <w:r w:rsidR="00D300CF">
        <w:t xml:space="preserve"> if they complete the full study. </w:t>
      </w:r>
      <w:r>
        <w:t>If people drop out before completion, we will replace them wherever possible</w:t>
      </w:r>
      <w:r w:rsidR="008357AF">
        <w:t>.</w:t>
      </w:r>
      <w:r>
        <w:t xml:space="preserve"> </w:t>
      </w:r>
      <w:r w:rsidR="0059373D">
        <w:t xml:space="preserve">We will assume that data is missing </w:t>
      </w:r>
      <w:r w:rsidR="001C445C">
        <w:t>independent of treatment</w:t>
      </w:r>
      <w:r w:rsidR="0059373D">
        <w:t xml:space="preserve"> </w:t>
      </w:r>
      <w:r w:rsidR="006B5D2F">
        <w:t xml:space="preserve">(orthogonal to treatment) </w:t>
      </w:r>
      <w:r w:rsidR="001C445C">
        <w:t xml:space="preserve">but </w:t>
      </w:r>
      <w:r w:rsidR="0059373D">
        <w:t xml:space="preserve">will </w:t>
      </w:r>
      <w:r w:rsidR="001C445C">
        <w:t>nonetheless</w:t>
      </w:r>
      <w:r w:rsidR="0059373D">
        <w:t xml:space="preserve"> test for differential attrition by treatment arm (i.e. compare attrition rate by experimental arm). </w:t>
      </w:r>
      <w:r w:rsidR="009172ED">
        <w:t>Further,</w:t>
      </w:r>
      <w:r w:rsidR="00505D80">
        <w:t xml:space="preserve"> we will analyse data from respondents who do not complete the </w:t>
      </w:r>
      <w:r w:rsidR="008C6FAD">
        <w:t>experiment</w:t>
      </w:r>
      <w:r w:rsidR="00505D80">
        <w:t xml:space="preserve"> (i.e., drop-outs)</w:t>
      </w:r>
      <w:r w:rsidR="00083FBB">
        <w:t xml:space="preserve"> to investigate potential </w:t>
      </w:r>
      <w:r w:rsidR="00081CC8">
        <w:t>attrition</w:t>
      </w:r>
      <w:r w:rsidR="00083FBB">
        <w:t xml:space="preserve"> bias.</w:t>
      </w:r>
    </w:p>
    <w:p w14:paraId="5C5FB044" w14:textId="77777777" w:rsidR="00EE3A7D" w:rsidRDefault="00EE3A7D" w:rsidP="00F618B9">
      <w:r>
        <w:rPr>
          <w:i/>
        </w:rPr>
        <w:t>Spillovers</w:t>
      </w:r>
      <w:r w:rsidRPr="00EE3A7D">
        <w:t>:</w:t>
      </w:r>
      <w:r w:rsidR="004A6A02">
        <w:t xml:space="preserve"> We think the chance of </w:t>
      </w:r>
      <w:r>
        <w:t xml:space="preserve">spillover is </w:t>
      </w:r>
      <w:r w:rsidR="00F618B9">
        <w:t xml:space="preserve">extremely </w:t>
      </w:r>
      <w:r>
        <w:t>low as the experime</w:t>
      </w:r>
      <w:r w:rsidR="004A6A02">
        <w:t xml:space="preserve">nt will </w:t>
      </w:r>
      <w:r w:rsidR="00F618B9">
        <w:t xml:space="preserve">take </w:t>
      </w:r>
      <w:r w:rsidR="004A6A02">
        <w:t>place online and participants cannot share or save the activity statements shown in the experiment.</w:t>
      </w:r>
    </w:p>
    <w:p w14:paraId="5DFA0854" w14:textId="77777777" w:rsidR="001A4064" w:rsidRDefault="0059373D" w:rsidP="0059373D">
      <w:r w:rsidRPr="0059373D">
        <w:rPr>
          <w:i/>
        </w:rPr>
        <w:t>Trial adherence</w:t>
      </w:r>
      <w:r>
        <w:t xml:space="preserve">: While we are showing activity statements to the two treatment arms and the statements will be on the screen for a specified amount of time (e.g. 10 seconds) before participants proceed to the next gamble, we cannot be confident about whether participants are actually viewing the activity statements or are distracted and doing something else before they are able to proceed to the next gamble. We also do not know whether people refrain from placing bets because they are not engaged and not taking the game seriously and skipping placing bets to get to the end of the game or whether they are refraining from betting because that is the rational thing to do. </w:t>
      </w:r>
      <w:r w:rsidR="00375AD1">
        <w:t xml:space="preserve">To address these, we have designed the game so that they have to press the ‘Next’ button to proceed after the activity statements are shown. We will also ask them about their reasons for not placing a bet during the game. </w:t>
      </w:r>
    </w:p>
    <w:p w14:paraId="5C1E605F" w14:textId="77777777" w:rsidR="00E74E0D" w:rsidRDefault="00562629" w:rsidP="001A4064">
      <w:pPr>
        <w:pStyle w:val="Heading2"/>
      </w:pPr>
      <w:r>
        <w:t>Main analyses</w:t>
      </w:r>
    </w:p>
    <w:p w14:paraId="1463FEE5" w14:textId="77777777" w:rsidR="00562629" w:rsidRPr="00562629" w:rsidRDefault="00562629" w:rsidP="00562629">
      <w:pPr>
        <w:rPr>
          <w:rFonts w:cstheme="minorHAnsi"/>
        </w:rPr>
      </w:pPr>
      <w:r w:rsidRPr="00562629">
        <w:rPr>
          <w:rFonts w:cstheme="minorHAnsi"/>
        </w:rPr>
        <w:t xml:space="preserve">We will undertake intention to treat (ITT) analyses using a linear regression model for our primary and secondary outcomes, as per the equation below: </w:t>
      </w:r>
    </w:p>
    <w:p w14:paraId="5B365D9F" w14:textId="77777777" w:rsidR="00562629" w:rsidRPr="00183C20" w:rsidRDefault="00AC5F37" w:rsidP="00562629">
      <w:pPr>
        <w:jc w:val="center"/>
        <w:rPr>
          <w:rFonts w:ascii="Verdana" w:hAnsi="Verdana"/>
        </w:rPr>
      </w:pPr>
      <m:oMathPara>
        <m:oMath>
          <m:sSub>
            <m:sSubPr>
              <m:ctrlPr>
                <w:rPr>
                  <w:rFonts w:ascii="Cambria Math" w:eastAsiaTheme="minorHAnsi" w:hAnsi="Cambria Math" w:cstheme="minorBidi"/>
                  <w:i/>
                </w:rPr>
              </m:ctrlPr>
            </m:sSubPr>
            <m:e>
              <m:r>
                <w:rPr>
                  <w:rFonts w:ascii="Cambria Math" w:hAnsi="Cambria Math"/>
                </w:rPr>
                <m:t>y</m:t>
              </m:r>
            </m:e>
            <m:sub>
              <m:r>
                <w:rPr>
                  <w:rFonts w:ascii="Cambria Math" w:hAnsi="Cambria Math"/>
                </w:rPr>
                <m:t>i</m:t>
              </m:r>
            </m:sub>
          </m:sSub>
          <m:r>
            <w:rPr>
              <w:rFonts w:ascii="Cambria Math" w:hAnsi="Cambria Math"/>
            </w:rPr>
            <m:t>= α+τ</m:t>
          </m:r>
          <m:sSub>
            <m:sSubPr>
              <m:ctrlPr>
                <w:rPr>
                  <w:rFonts w:ascii="Cambria Math" w:eastAsiaTheme="minorHAnsi" w:hAnsi="Cambria Math" w:cstheme="minorBidi"/>
                  <w:i/>
                </w:rPr>
              </m:ctrlPr>
            </m:sSubPr>
            <m:e>
              <m:r>
                <w:rPr>
                  <w:rFonts w:ascii="Cambria Math" w:hAnsi="Cambria Math"/>
                </w:rPr>
                <m:t>T</m:t>
              </m:r>
            </m:e>
            <m:sub>
              <m:r>
                <w:rPr>
                  <w:rFonts w:ascii="Cambria Math" w:hAnsi="Cambria Math"/>
                </w:rPr>
                <m:t>i</m:t>
              </m:r>
            </m:sub>
          </m:sSub>
          <m:r>
            <w:rPr>
              <w:rFonts w:ascii="Cambria Math" w:hAnsi="Cambria Math"/>
            </w:rPr>
            <m:t>+β</m:t>
          </m:r>
          <m:sSub>
            <m:sSubPr>
              <m:ctrlPr>
                <w:rPr>
                  <w:rFonts w:ascii="Cambria Math" w:hAnsi="Cambria Math"/>
                  <w:i/>
                </w:rPr>
              </m:ctrlPr>
            </m:sSubPr>
            <m:e>
              <m:r>
                <w:rPr>
                  <w:rFonts w:ascii="Cambria Math" w:hAnsi="Cambria Math"/>
                </w:rPr>
                <m:t>X</m:t>
              </m:r>
            </m:e>
            <m:sub>
              <m:r>
                <w:rPr>
                  <w:rFonts w:ascii="Cambria Math" w:hAnsi="Cambria Math"/>
                </w:rPr>
                <m:t>i</m:t>
              </m:r>
            </m:sub>
          </m:sSub>
          <m:sSub>
            <m:sSubPr>
              <m:ctrlPr>
                <w:rPr>
                  <w:rFonts w:ascii="Cambria Math" w:eastAsiaTheme="minorHAnsi" w:hAnsi="Cambria Math" w:cstheme="minorBidi"/>
                  <w:i/>
                </w:rPr>
              </m:ctrlPr>
            </m:sSubPr>
            <m:e>
              <m:r>
                <w:rPr>
                  <w:rFonts w:ascii="Cambria Math" w:eastAsiaTheme="minorHAnsi" w:hAnsi="Cambria Math" w:cstheme="minorBidi"/>
                </w:rPr>
                <m:t xml:space="preserve">+ </m:t>
              </m:r>
              <m:r>
                <w:rPr>
                  <w:rFonts w:ascii="Cambria Math" w:hAnsi="Cambria Math"/>
                </w:rPr>
                <m:t>γ</m:t>
              </m:r>
              <m:sSub>
                <m:sSubPr>
                  <m:ctrlPr>
                    <w:rPr>
                      <w:rFonts w:ascii="Cambria Math" w:eastAsiaTheme="minorHAnsi" w:hAnsi="Cambria Math" w:cstheme="minorBidi"/>
                      <w:i/>
                    </w:rPr>
                  </m:ctrlPr>
                </m:sSubPr>
                <m:e>
                  <m:r>
                    <w:rPr>
                      <w:rFonts w:ascii="Cambria Math" w:hAnsi="Cambria Math"/>
                    </w:rPr>
                    <m:t>X</m:t>
                  </m:r>
                </m:e>
                <m:sub>
                  <m:r>
                    <w:rPr>
                      <w:rFonts w:ascii="Cambria Math" w:hAnsi="Cambria Math"/>
                    </w:rPr>
                    <m:t>i</m:t>
                  </m:r>
                </m:sub>
              </m:sSub>
              <m:sSub>
                <m:sSubPr>
                  <m:ctrlPr>
                    <w:rPr>
                      <w:rFonts w:ascii="Cambria Math" w:eastAsiaTheme="minorHAnsi" w:hAnsi="Cambria Math" w:cstheme="minorBidi"/>
                      <w:i/>
                    </w:rPr>
                  </m:ctrlPr>
                </m:sSubPr>
                <m:e>
                  <m:r>
                    <w:rPr>
                      <w:rFonts w:ascii="Cambria Math" w:hAnsi="Cambria Math"/>
                    </w:rPr>
                    <m:t>T</m:t>
                  </m:r>
                </m:e>
                <m:sub>
                  <m:r>
                    <w:rPr>
                      <w:rFonts w:ascii="Cambria Math" w:hAnsi="Cambria Math"/>
                    </w:rPr>
                    <m:t xml:space="preserve">i </m:t>
                  </m:r>
                </m:sub>
              </m:sSub>
              <m:r>
                <w:rPr>
                  <w:rFonts w:ascii="Cambria Math" w:eastAsiaTheme="minorHAnsi" w:hAnsi="Cambria Math" w:cstheme="minorBidi"/>
                </w:rPr>
                <m:t>+ε</m:t>
              </m:r>
            </m:e>
            <m:sub>
              <m:r>
                <w:rPr>
                  <w:rFonts w:ascii="Cambria Math" w:eastAsiaTheme="minorHAnsi" w:hAnsi="Cambria Math" w:cstheme="minorBidi"/>
                </w:rPr>
                <m:t>i</m:t>
              </m:r>
            </m:sub>
          </m:sSub>
        </m:oMath>
      </m:oMathPara>
    </w:p>
    <w:p w14:paraId="4FB29313" w14:textId="6577F9D7" w:rsidR="006F3C98" w:rsidRDefault="00562629" w:rsidP="00562629">
      <w:pPr>
        <w:rPr>
          <w:rFonts w:cstheme="minorHAnsi"/>
        </w:rPr>
      </w:pPr>
      <w:r w:rsidRPr="00375AD1">
        <w:rPr>
          <w:rFonts w:cstheme="minorHAnsi"/>
        </w:rPr>
        <w:t xml:space="preserve">where </w:t>
      </w:r>
      <m:oMath>
        <m:r>
          <w:rPr>
            <w:rFonts w:ascii="Cambria Math" w:hAnsi="Cambria Math" w:cstheme="minorHAnsi"/>
          </w:rPr>
          <m:t>y</m:t>
        </m:r>
      </m:oMath>
      <w:r w:rsidRPr="00375AD1">
        <w:rPr>
          <w:rFonts w:cstheme="minorHAnsi"/>
        </w:rPr>
        <w:t xml:space="preserve"> is one of the primary and secondary outcomes (see Outcome </w:t>
      </w:r>
      <w:r w:rsidRPr="002220E8">
        <w:rPr>
          <w:rFonts w:cstheme="minorHAnsi"/>
        </w:rPr>
        <w:t>Measures above),</w:t>
      </w:r>
      <w:r w:rsidRPr="00562629">
        <w:rPr>
          <w:rFonts w:cstheme="minorHAnsi"/>
        </w:rPr>
        <w:t xml:space="preserve"> </w:t>
      </w:r>
      <m:oMath>
        <m:r>
          <w:rPr>
            <w:rFonts w:ascii="Cambria Math" w:hAnsi="Cambria Math" w:cstheme="minorHAnsi"/>
          </w:rPr>
          <m:t>α</m:t>
        </m:r>
      </m:oMath>
      <w:r w:rsidRPr="00562629">
        <w:rPr>
          <w:rFonts w:cstheme="minorHAnsi"/>
        </w:rPr>
        <w:t xml:space="preserve"> is the intercept, </w:t>
      </w:r>
      <m:oMath>
        <m:sSub>
          <m:sSubPr>
            <m:ctrlPr>
              <w:rPr>
                <w:rFonts w:ascii="Cambria Math" w:eastAsiaTheme="minorHAnsi" w:hAnsi="Cambria Math" w:cstheme="minorHAnsi"/>
                <w:i/>
              </w:rPr>
            </m:ctrlPr>
          </m:sSubPr>
          <m:e>
            <m:r>
              <w:rPr>
                <w:rFonts w:ascii="Cambria Math" w:hAnsi="Cambria Math" w:cstheme="minorHAnsi"/>
              </w:rPr>
              <m:t>T</m:t>
            </m:r>
          </m:e>
          <m:sub>
            <m:r>
              <w:rPr>
                <w:rFonts w:ascii="Cambria Math" w:hAnsi="Cambria Math" w:cstheme="minorHAnsi"/>
              </w:rPr>
              <m:t>i</m:t>
            </m:r>
          </m:sub>
        </m:sSub>
      </m:oMath>
      <w:r w:rsidRPr="00562629">
        <w:rPr>
          <w:rFonts w:cstheme="minorHAnsi"/>
        </w:rPr>
        <w:t xml:space="preserve"> is a vector of indicators for treatment group membership, and </w:t>
      </w:r>
      <m:oMath>
        <m:r>
          <w:rPr>
            <w:rFonts w:ascii="Cambria Math" w:hAnsi="Cambria Math" w:cstheme="minorHAnsi"/>
          </w:rPr>
          <m:t>ε</m:t>
        </m:r>
      </m:oMath>
      <w:r w:rsidRPr="00562629">
        <w:rPr>
          <w:rFonts w:cstheme="minorHAnsi"/>
        </w:rPr>
        <w:t xml:space="preserve"> is an error term which picks up variance not explainable by other variables in the model. </w:t>
      </w:r>
      <m:oMath>
        <m:sSub>
          <m:sSubPr>
            <m:ctrlPr>
              <w:rPr>
                <w:rFonts w:ascii="Cambria Math" w:eastAsiaTheme="minorHAnsi" w:hAnsi="Cambria Math" w:cstheme="minorHAnsi"/>
                <w:i/>
              </w:rPr>
            </m:ctrlPr>
          </m:sSubPr>
          <m:e>
            <m:r>
              <w:rPr>
                <w:rFonts w:ascii="Cambria Math" w:eastAsiaTheme="minorHAnsi" w:hAnsi="Cambria Math" w:cstheme="minorHAnsi"/>
              </w:rPr>
              <m:t>X</m:t>
            </m:r>
          </m:e>
          <m:sub>
            <m:r>
              <w:rPr>
                <w:rFonts w:ascii="Cambria Math" w:eastAsiaTheme="minorHAnsi" w:hAnsi="Cambria Math" w:cstheme="minorHAnsi"/>
              </w:rPr>
              <m:t>i</m:t>
            </m:r>
          </m:sub>
        </m:sSub>
      </m:oMath>
      <w:r w:rsidRPr="00562629">
        <w:rPr>
          <w:rFonts w:cstheme="minorHAnsi"/>
        </w:rPr>
        <w:t xml:space="preserve"> </w:t>
      </w:r>
      <w:r w:rsidR="00CA62A3">
        <w:rPr>
          <w:rFonts w:cstheme="minorHAnsi"/>
        </w:rPr>
        <w:t>is the</w:t>
      </w:r>
      <w:r w:rsidRPr="00562629">
        <w:rPr>
          <w:rFonts w:cstheme="minorHAnsi"/>
        </w:rPr>
        <w:t xml:space="preserve"> mean-centred covariate and </w:t>
      </w:r>
      <m:oMath>
        <m:sSub>
          <m:sSubPr>
            <m:ctrlPr>
              <w:rPr>
                <w:rFonts w:ascii="Cambria Math" w:eastAsiaTheme="minorHAnsi" w:hAnsi="Cambria Math" w:cstheme="minorHAnsi"/>
                <w:i/>
              </w:rPr>
            </m:ctrlPr>
          </m:sSubPr>
          <m:e>
            <m:r>
              <w:rPr>
                <w:rFonts w:ascii="Cambria Math" w:eastAsiaTheme="minorHAnsi" w:hAnsi="Cambria Math" w:cstheme="minorHAnsi"/>
              </w:rPr>
              <m:t>X</m:t>
            </m:r>
          </m:e>
          <m:sub>
            <m:r>
              <w:rPr>
                <w:rFonts w:ascii="Cambria Math" w:hAnsi="Cambria Math" w:cstheme="minorHAnsi"/>
              </w:rPr>
              <m:t>i</m:t>
            </m:r>
          </m:sub>
        </m:sSub>
        <m:sSub>
          <m:sSubPr>
            <m:ctrlPr>
              <w:rPr>
                <w:rFonts w:ascii="Cambria Math" w:eastAsiaTheme="minorHAnsi" w:hAnsi="Cambria Math" w:cstheme="minorHAnsi"/>
                <w:i/>
              </w:rPr>
            </m:ctrlPr>
          </m:sSubPr>
          <m:e>
            <m:r>
              <w:rPr>
                <w:rFonts w:ascii="Cambria Math" w:hAnsi="Cambria Math" w:cstheme="minorHAnsi"/>
              </w:rPr>
              <m:t>T</m:t>
            </m:r>
          </m:e>
          <m:sub>
            <m:r>
              <w:rPr>
                <w:rFonts w:ascii="Cambria Math" w:hAnsi="Cambria Math" w:cstheme="minorHAnsi"/>
              </w:rPr>
              <m:t>i</m:t>
            </m:r>
          </m:sub>
        </m:sSub>
        <m:r>
          <w:rPr>
            <w:rFonts w:ascii="Cambria Math" w:hAnsi="Cambria Math" w:cstheme="minorHAnsi"/>
          </w:rPr>
          <m:t xml:space="preserve"> </m:t>
        </m:r>
      </m:oMath>
      <w:r w:rsidRPr="00562629">
        <w:rPr>
          <w:rFonts w:cstheme="minorHAnsi"/>
        </w:rPr>
        <w:t xml:space="preserve">is an interaction between treatment group indicator and the mean-centred covariate. </w:t>
      </w:r>
    </w:p>
    <w:p w14:paraId="10C1127A" w14:textId="73330090" w:rsidR="006F3C98" w:rsidRDefault="00562629" w:rsidP="006F3C98">
      <w:pPr>
        <w:rPr>
          <w:rFonts w:cstheme="minorHAnsi"/>
        </w:rPr>
      </w:pPr>
      <w:r w:rsidRPr="00562629">
        <w:rPr>
          <w:rFonts w:cstheme="minorHAnsi"/>
        </w:rPr>
        <w:t xml:space="preserve">The covariate that will be included </w:t>
      </w:r>
      <w:r w:rsidR="00CA62A3">
        <w:rPr>
          <w:rFonts w:cstheme="minorHAnsi"/>
        </w:rPr>
        <w:t>is</w:t>
      </w:r>
      <w:r w:rsidR="00102A39">
        <w:rPr>
          <w:rFonts w:cstheme="minorHAnsi"/>
        </w:rPr>
        <w:t xml:space="preserve"> the</w:t>
      </w:r>
      <w:r w:rsidRPr="00562629">
        <w:rPr>
          <w:rFonts w:cstheme="minorHAnsi"/>
        </w:rPr>
        <w:t xml:space="preserve"> </w:t>
      </w:r>
      <w:r w:rsidR="00450AB2">
        <w:rPr>
          <w:rFonts w:cstheme="minorHAnsi"/>
        </w:rPr>
        <w:t>total amount bet over the first 8 gambles</w:t>
      </w:r>
      <w:r w:rsidR="00102A39">
        <w:rPr>
          <w:rFonts w:cstheme="minorHAnsi"/>
        </w:rPr>
        <w:t xml:space="preserve">. Using data from the pilot test, we found this substantially </w:t>
      </w:r>
      <w:r w:rsidR="00CA62A3">
        <w:rPr>
          <w:rFonts w:cstheme="minorHAnsi"/>
        </w:rPr>
        <w:t>reduced the standard error on the treatment effect</w:t>
      </w:r>
      <w:r w:rsidR="00102A39">
        <w:rPr>
          <w:rFonts w:cstheme="minorHAnsi"/>
        </w:rPr>
        <w:t>; additional covariates did not add further precision</w:t>
      </w:r>
      <w:r w:rsidR="00CA62A3">
        <w:rPr>
          <w:rFonts w:cstheme="minorHAnsi"/>
        </w:rPr>
        <w:t>.</w:t>
      </w:r>
    </w:p>
    <w:p w14:paraId="59EE8C3D" w14:textId="77777777" w:rsidR="00562629" w:rsidRPr="00562629" w:rsidRDefault="00562629" w:rsidP="00562629">
      <w:pPr>
        <w:rPr>
          <w:rFonts w:cstheme="minorHAnsi"/>
        </w:rPr>
      </w:pPr>
      <w:r w:rsidRPr="00562629">
        <w:rPr>
          <w:rFonts w:cstheme="minorHAnsi"/>
        </w:rPr>
        <w:t xml:space="preserve">Exact p-values and confidence intervals will be reported for the listed hypotheses. Our analyses will not adjust for multiple comparisons. However, we will exercise caution interpreting the results of the primary analysis in light of the number of comparisons. </w:t>
      </w:r>
    </w:p>
    <w:p w14:paraId="2F86E9A9" w14:textId="77777777" w:rsidR="00562629" w:rsidRDefault="00562629" w:rsidP="00562629">
      <w:pPr>
        <w:rPr>
          <w:rFonts w:cstheme="minorHAnsi"/>
        </w:rPr>
      </w:pPr>
      <w:r w:rsidRPr="00562629">
        <w:rPr>
          <w:rFonts w:cstheme="minorHAnsi"/>
        </w:rPr>
        <w:t>We expect that there will be very little missing data for primary and secondary outcomes as the data will be obtained from the experimental platform</w:t>
      </w:r>
      <w:r>
        <w:rPr>
          <w:rFonts w:cstheme="minorHAnsi"/>
        </w:rPr>
        <w:t xml:space="preserve"> and participants are incentivised to complete both the experiment and post</w:t>
      </w:r>
      <w:r w:rsidR="00107DD0">
        <w:rPr>
          <w:rFonts w:cstheme="minorHAnsi"/>
        </w:rPr>
        <w:noBreakHyphen/>
      </w:r>
      <w:r>
        <w:rPr>
          <w:rFonts w:cstheme="minorHAnsi"/>
        </w:rPr>
        <w:t>experiment survey</w:t>
      </w:r>
      <w:r w:rsidRPr="00562629">
        <w:rPr>
          <w:rFonts w:cstheme="minorHAnsi"/>
        </w:rPr>
        <w:t>.</w:t>
      </w:r>
    </w:p>
    <w:p w14:paraId="65BEC8A4" w14:textId="77777777" w:rsidR="00562629" w:rsidRPr="00757CFA" w:rsidRDefault="00562629" w:rsidP="004608C7">
      <w:pPr>
        <w:pStyle w:val="Heading2"/>
      </w:pPr>
      <w:bookmarkStart w:id="3" w:name="_Toc26873819"/>
      <w:bookmarkStart w:id="4" w:name="_Toc27484552"/>
      <w:r w:rsidRPr="00757CFA">
        <w:t xml:space="preserve">Exploratory </w:t>
      </w:r>
      <w:r w:rsidR="001A4064">
        <w:t xml:space="preserve">and subgroup </w:t>
      </w:r>
      <w:r w:rsidRPr="00757CFA">
        <w:t>analyses</w:t>
      </w:r>
      <w:bookmarkEnd w:id="3"/>
      <w:bookmarkEnd w:id="4"/>
    </w:p>
    <w:p w14:paraId="7D6CF7FA" w14:textId="1989C464" w:rsidR="00562629" w:rsidRPr="00562629" w:rsidRDefault="0051542B" w:rsidP="00562629">
      <w:pPr>
        <w:rPr>
          <w:rFonts w:cstheme="minorHAnsi"/>
        </w:rPr>
      </w:pPr>
      <w:r>
        <w:rPr>
          <w:rFonts w:cstheme="minorHAnsi"/>
        </w:rPr>
        <w:t xml:space="preserve">Exploratory analyses will include examining outcome measures at different time points. </w:t>
      </w:r>
      <w:r w:rsidR="00562629" w:rsidRPr="00562629">
        <w:rPr>
          <w:rFonts w:cstheme="minorHAnsi"/>
        </w:rPr>
        <w:t xml:space="preserve">While our main hypothesis tests will use average data across </w:t>
      </w:r>
      <w:r w:rsidR="00CC4FF0">
        <w:rPr>
          <w:rFonts w:cstheme="minorHAnsi"/>
        </w:rPr>
        <w:t>56</w:t>
      </w:r>
      <w:r w:rsidR="00562629" w:rsidRPr="00562629">
        <w:rPr>
          <w:rFonts w:cstheme="minorHAnsi"/>
        </w:rPr>
        <w:t xml:space="preserve"> gambles,</w:t>
      </w:r>
      <w:r>
        <w:rPr>
          <w:rFonts w:cstheme="minorHAnsi"/>
        </w:rPr>
        <w:t xml:space="preserve"> as</w:t>
      </w:r>
      <w:r w:rsidR="00562629" w:rsidRPr="00562629">
        <w:rPr>
          <w:rFonts w:cstheme="minorHAnsi"/>
        </w:rPr>
        <w:t xml:space="preserve"> exploratory analysis we will look at the outcomes at two other time points: the average amount bet at gamble </w:t>
      </w:r>
      <w:r w:rsidR="00CC4FF0">
        <w:rPr>
          <w:rFonts w:cstheme="minorHAnsi"/>
        </w:rPr>
        <w:t>9</w:t>
      </w:r>
      <w:r w:rsidR="00CC4FF0" w:rsidRPr="00562629">
        <w:rPr>
          <w:rFonts w:cstheme="minorHAnsi"/>
        </w:rPr>
        <w:t xml:space="preserve"> </w:t>
      </w:r>
      <w:r w:rsidR="00562629" w:rsidRPr="00562629">
        <w:rPr>
          <w:rFonts w:cstheme="minorHAnsi"/>
        </w:rPr>
        <w:t xml:space="preserve">and </w:t>
      </w:r>
      <w:r w:rsidR="00C37C62">
        <w:rPr>
          <w:rFonts w:cstheme="minorHAnsi"/>
        </w:rPr>
        <w:t xml:space="preserve">the average amount bet </w:t>
      </w:r>
      <w:r w:rsidR="00494D22">
        <w:rPr>
          <w:rFonts w:cstheme="minorHAnsi"/>
        </w:rPr>
        <w:t xml:space="preserve">at </w:t>
      </w:r>
      <w:r w:rsidR="00562629" w:rsidRPr="00562629">
        <w:rPr>
          <w:rFonts w:cstheme="minorHAnsi"/>
        </w:rPr>
        <w:t xml:space="preserve">gamble </w:t>
      </w:r>
      <w:r w:rsidR="00CC4FF0">
        <w:rPr>
          <w:rFonts w:cstheme="minorHAnsi"/>
        </w:rPr>
        <w:t>57</w:t>
      </w:r>
      <w:r w:rsidR="00CC4FF0" w:rsidRPr="00562629">
        <w:rPr>
          <w:rFonts w:cstheme="minorHAnsi"/>
        </w:rPr>
        <w:t xml:space="preserve"> </w:t>
      </w:r>
      <w:r w:rsidR="00562629" w:rsidRPr="00562629">
        <w:rPr>
          <w:rFonts w:cstheme="minorHAnsi"/>
        </w:rPr>
        <w:t xml:space="preserve">for immediate effects. </w:t>
      </w:r>
    </w:p>
    <w:p w14:paraId="58721CD1" w14:textId="4B677FC7" w:rsidR="00562629" w:rsidRPr="00562629" w:rsidRDefault="00562629" w:rsidP="00562629">
      <w:pPr>
        <w:rPr>
          <w:rFonts w:cstheme="minorHAnsi"/>
        </w:rPr>
      </w:pPr>
      <w:r w:rsidRPr="00562629">
        <w:rPr>
          <w:rFonts w:cstheme="minorHAnsi"/>
        </w:rPr>
        <w:t xml:space="preserve">We will also undertake time series analysis by taking an average amount bet and the number of bets placed over </w:t>
      </w:r>
      <w:r w:rsidR="00CC4FF0">
        <w:rPr>
          <w:rFonts w:cstheme="minorHAnsi"/>
        </w:rPr>
        <w:t>every four gambles (16 groups in total)</w:t>
      </w:r>
      <w:r w:rsidR="00102A39">
        <w:rPr>
          <w:rFonts w:cstheme="minorHAnsi"/>
        </w:rPr>
        <w:t>.</w:t>
      </w:r>
      <w:r w:rsidR="00CC4FF0">
        <w:rPr>
          <w:rFonts w:cstheme="minorHAnsi"/>
        </w:rPr>
        <w:t xml:space="preserve"> </w:t>
      </w:r>
      <w:r w:rsidRPr="00562629">
        <w:rPr>
          <w:rFonts w:cstheme="minorHAnsi"/>
        </w:rPr>
        <w:t xml:space="preserve"> </w:t>
      </w:r>
    </w:p>
    <w:p w14:paraId="2CC86674" w14:textId="77777777" w:rsidR="00562629" w:rsidRPr="00562629" w:rsidRDefault="00562629" w:rsidP="00562629">
      <w:pPr>
        <w:rPr>
          <w:rFonts w:cstheme="minorHAnsi"/>
        </w:rPr>
      </w:pPr>
      <w:r w:rsidRPr="00562629">
        <w:rPr>
          <w:rFonts w:cstheme="minorHAnsi"/>
        </w:rPr>
        <w:t xml:space="preserve">For our main outcome measures, we will undertake sub-group analyses by gambling risk (non-problem/low-risk vs. moderate-risk), financial literacy, gambling beliefs and type of device they used to participate in the online experiment (e.g., mobile, desktop). These are treated as exploratory analyses because we have not powered the study for sub-group analyses. Depending on the results of our main analyses and sample size, we may only conduct these with pooled data (Treatment 1+ Treatment 2 vs Control). </w:t>
      </w:r>
    </w:p>
    <w:p w14:paraId="1F0F3288" w14:textId="77777777" w:rsidR="00562629" w:rsidRPr="00562629" w:rsidRDefault="002E3A1F" w:rsidP="00562629">
      <w:pPr>
        <w:rPr>
          <w:rFonts w:cstheme="minorHAnsi"/>
        </w:rPr>
      </w:pPr>
      <w:r>
        <w:rPr>
          <w:rFonts w:cstheme="minorHAnsi"/>
        </w:rPr>
        <w:t>W</w:t>
      </w:r>
      <w:r w:rsidR="00562629" w:rsidRPr="00562629">
        <w:rPr>
          <w:rFonts w:cstheme="minorHAnsi"/>
        </w:rPr>
        <w:t>e will compare</w:t>
      </w:r>
      <w:r w:rsidR="000B7E1B">
        <w:rPr>
          <w:rFonts w:cstheme="minorHAnsi"/>
        </w:rPr>
        <w:t xml:space="preserve"> by treatment groups and then by gambling risk level (no or low risk vs. moderate risk)</w:t>
      </w:r>
      <w:r w:rsidR="00562629" w:rsidRPr="00562629">
        <w:rPr>
          <w:rFonts w:cstheme="minorHAnsi"/>
        </w:rPr>
        <w:t>:</w:t>
      </w:r>
    </w:p>
    <w:p w14:paraId="25123C56" w14:textId="28747CF2" w:rsidR="00562629" w:rsidRPr="00562629" w:rsidRDefault="00562629" w:rsidP="00562629">
      <w:pPr>
        <w:pStyle w:val="ListParagraph"/>
        <w:numPr>
          <w:ilvl w:val="0"/>
          <w:numId w:val="8"/>
        </w:numPr>
        <w:spacing w:before="0" w:after="160"/>
        <w:contextualSpacing/>
        <w:rPr>
          <w:rFonts w:cstheme="minorHAnsi"/>
        </w:rPr>
      </w:pPr>
      <w:r w:rsidRPr="00562629">
        <w:rPr>
          <w:rFonts w:cstheme="minorHAnsi"/>
        </w:rPr>
        <w:t xml:space="preserve">components of statements valued by participants (self-reported data from the </w:t>
      </w:r>
      <w:r w:rsidR="000B7E1B">
        <w:rPr>
          <w:rFonts w:cstheme="minorHAnsi"/>
        </w:rPr>
        <w:t xml:space="preserve">post experiment </w:t>
      </w:r>
      <w:r w:rsidRPr="00562629">
        <w:rPr>
          <w:rFonts w:cstheme="minorHAnsi"/>
        </w:rPr>
        <w:t>survey)</w:t>
      </w:r>
    </w:p>
    <w:p w14:paraId="47A17A2C" w14:textId="17EA0E1B" w:rsidR="00562629" w:rsidRDefault="00562629" w:rsidP="00562629">
      <w:pPr>
        <w:pStyle w:val="ListParagraph"/>
        <w:numPr>
          <w:ilvl w:val="0"/>
          <w:numId w:val="8"/>
        </w:numPr>
        <w:spacing w:before="0" w:after="160"/>
        <w:contextualSpacing/>
        <w:rPr>
          <w:rFonts w:cstheme="minorHAnsi"/>
        </w:rPr>
      </w:pPr>
      <w:r w:rsidRPr="00562629">
        <w:rPr>
          <w:rFonts w:cstheme="minorHAnsi"/>
        </w:rPr>
        <w:lastRenderedPageBreak/>
        <w:t xml:space="preserve">understanding of key concepts in the statements (self-reported data from the </w:t>
      </w:r>
      <w:r w:rsidR="000B7E1B">
        <w:rPr>
          <w:rFonts w:cstheme="minorHAnsi"/>
        </w:rPr>
        <w:t xml:space="preserve">post experiment </w:t>
      </w:r>
      <w:r w:rsidRPr="00562629">
        <w:rPr>
          <w:rFonts w:cstheme="minorHAnsi"/>
        </w:rPr>
        <w:t>survey)</w:t>
      </w:r>
    </w:p>
    <w:p w14:paraId="18D8B60A" w14:textId="760330C0" w:rsidR="000B7E1B" w:rsidRPr="00562629" w:rsidRDefault="00A56154" w:rsidP="00562629">
      <w:pPr>
        <w:pStyle w:val="ListParagraph"/>
        <w:numPr>
          <w:ilvl w:val="0"/>
          <w:numId w:val="8"/>
        </w:numPr>
        <w:spacing w:before="0" w:after="160"/>
        <w:contextualSpacing/>
        <w:rPr>
          <w:rFonts w:cstheme="minorHAnsi"/>
        </w:rPr>
      </w:pPr>
      <w:r>
        <w:rPr>
          <w:rFonts w:cstheme="minorHAnsi"/>
        </w:rPr>
        <w:t>d</w:t>
      </w:r>
      <w:r w:rsidR="000B7E1B">
        <w:rPr>
          <w:rFonts w:cstheme="minorHAnsi"/>
        </w:rPr>
        <w:t>ifferences in understanding of key concepts in the statement (self-reported data from the post experiment survey)</w:t>
      </w:r>
    </w:p>
    <w:p w14:paraId="4CCC5F1F" w14:textId="7372398C" w:rsidR="00562629" w:rsidRDefault="00562629" w:rsidP="00562629">
      <w:pPr>
        <w:pStyle w:val="ListParagraph"/>
        <w:numPr>
          <w:ilvl w:val="0"/>
          <w:numId w:val="8"/>
        </w:numPr>
        <w:spacing w:before="0" w:after="160"/>
        <w:contextualSpacing/>
        <w:rPr>
          <w:rFonts w:cstheme="minorHAnsi"/>
        </w:rPr>
      </w:pPr>
      <w:r w:rsidRPr="00562629">
        <w:rPr>
          <w:rFonts w:cstheme="minorHAnsi"/>
        </w:rPr>
        <w:t xml:space="preserve">intention to use activity statements in the future when making gambling decisions (self-reported data from the </w:t>
      </w:r>
      <w:r w:rsidR="000B7E1B">
        <w:rPr>
          <w:rFonts w:cstheme="minorHAnsi"/>
        </w:rPr>
        <w:t xml:space="preserve">post experiment </w:t>
      </w:r>
      <w:r w:rsidRPr="00562629">
        <w:rPr>
          <w:rFonts w:cstheme="minorHAnsi"/>
        </w:rPr>
        <w:t>survey)</w:t>
      </w:r>
    </w:p>
    <w:p w14:paraId="5769F8A9" w14:textId="00169D2F" w:rsidR="000B7E1B" w:rsidRPr="00562629" w:rsidRDefault="00A56154" w:rsidP="00562629">
      <w:pPr>
        <w:pStyle w:val="ListParagraph"/>
        <w:numPr>
          <w:ilvl w:val="0"/>
          <w:numId w:val="8"/>
        </w:numPr>
        <w:spacing w:before="0" w:after="160"/>
        <w:contextualSpacing/>
        <w:rPr>
          <w:rFonts w:cstheme="minorHAnsi"/>
        </w:rPr>
      </w:pPr>
      <w:r>
        <w:rPr>
          <w:rFonts w:cstheme="minorHAnsi"/>
        </w:rPr>
        <w:t>v</w:t>
      </w:r>
      <w:r w:rsidR="000B7E1B">
        <w:rPr>
          <w:rFonts w:cstheme="minorHAnsi"/>
        </w:rPr>
        <w:t>iewing time between the two activity statements (online experimental data)</w:t>
      </w:r>
    </w:p>
    <w:p w14:paraId="1775416A" w14:textId="77777777" w:rsidR="00831A88" w:rsidRDefault="00562629" w:rsidP="00831A88">
      <w:pPr>
        <w:pStyle w:val="ListParagraph"/>
        <w:numPr>
          <w:ilvl w:val="0"/>
          <w:numId w:val="8"/>
        </w:numPr>
        <w:spacing w:before="0" w:after="160"/>
        <w:contextualSpacing/>
        <w:rPr>
          <w:rFonts w:cstheme="minorHAnsi"/>
        </w:rPr>
      </w:pPr>
      <w:r w:rsidRPr="00562629">
        <w:rPr>
          <w:rFonts w:cstheme="minorHAnsi"/>
        </w:rPr>
        <w:t>differences between the non-problem/low-risk gamblers and the moderate-risk gamblers</w:t>
      </w:r>
      <w:r w:rsidR="000B7E1B">
        <w:rPr>
          <w:rFonts w:cstheme="minorHAnsi"/>
        </w:rPr>
        <w:t xml:space="preserve"> in gambling behaviours</w:t>
      </w:r>
      <w:r w:rsidR="00C37C62">
        <w:rPr>
          <w:rFonts w:cstheme="minorHAnsi"/>
        </w:rPr>
        <w:t xml:space="preserve"> </w:t>
      </w:r>
      <w:r w:rsidR="000B7E1B">
        <w:rPr>
          <w:rFonts w:cstheme="minorHAnsi"/>
        </w:rPr>
        <w:t xml:space="preserve">and treatment effect </w:t>
      </w:r>
      <w:r w:rsidR="00C37C62">
        <w:rPr>
          <w:rFonts w:cstheme="minorHAnsi"/>
        </w:rPr>
        <w:t>(</w:t>
      </w:r>
      <w:r w:rsidR="000B7E1B">
        <w:rPr>
          <w:rFonts w:cstheme="minorHAnsi"/>
        </w:rPr>
        <w:t>online experimental data and self-reported data from the post experiment survey), and</w:t>
      </w:r>
    </w:p>
    <w:p w14:paraId="085B4711" w14:textId="77777777" w:rsidR="00831A88" w:rsidRPr="000B7E1B" w:rsidRDefault="002E3A1F" w:rsidP="00831A88">
      <w:pPr>
        <w:pStyle w:val="ListParagraph"/>
        <w:numPr>
          <w:ilvl w:val="0"/>
          <w:numId w:val="8"/>
        </w:numPr>
        <w:spacing w:before="0" w:after="160"/>
        <w:contextualSpacing/>
        <w:rPr>
          <w:rFonts w:cstheme="minorHAnsi"/>
        </w:rPr>
      </w:pPr>
      <w:r w:rsidRPr="000B7E1B">
        <w:t>the size of effect on gambling behaviour between Activity Statement A and Activity Statement B</w:t>
      </w:r>
      <w:r w:rsidR="000B7E1B">
        <w:t>.</w:t>
      </w:r>
    </w:p>
    <w:p w14:paraId="30C21C90" w14:textId="77777777" w:rsidR="00F037A6" w:rsidRPr="006B5D2F" w:rsidRDefault="00F037A6" w:rsidP="006B5D2F">
      <w:pPr>
        <w:rPr>
          <w:rFonts w:cstheme="minorHAnsi"/>
        </w:rPr>
      </w:pPr>
      <w:r w:rsidRPr="006B5D2F">
        <w:rPr>
          <w:rFonts w:cstheme="minorHAnsi"/>
        </w:rPr>
        <w:t>We will examine unintended consequences of the activity statements by examining:</w:t>
      </w:r>
    </w:p>
    <w:p w14:paraId="21CE7B6F" w14:textId="77777777" w:rsidR="00F037A6" w:rsidRDefault="00F037A6" w:rsidP="006B5D2F">
      <w:pPr>
        <w:pStyle w:val="ListParagraph"/>
        <w:numPr>
          <w:ilvl w:val="0"/>
          <w:numId w:val="8"/>
        </w:numPr>
        <w:spacing w:before="0" w:after="160"/>
        <w:contextualSpacing/>
        <w:rPr>
          <w:rFonts w:cstheme="minorHAnsi"/>
        </w:rPr>
      </w:pPr>
      <w:r>
        <w:rPr>
          <w:rFonts w:cstheme="minorHAnsi"/>
        </w:rPr>
        <w:t>whether the</w:t>
      </w:r>
      <w:r w:rsidR="00A06690">
        <w:rPr>
          <w:rFonts w:cstheme="minorHAnsi"/>
        </w:rPr>
        <w:t xml:space="preserve"> total</w:t>
      </w:r>
      <w:r>
        <w:rPr>
          <w:rFonts w:cstheme="minorHAnsi"/>
        </w:rPr>
        <w:t xml:space="preserve"> amount gambled and the </w:t>
      </w:r>
      <w:r w:rsidR="00A06690">
        <w:rPr>
          <w:rFonts w:cstheme="minorHAnsi"/>
        </w:rPr>
        <w:t>number of times</w:t>
      </w:r>
      <w:r>
        <w:rPr>
          <w:rFonts w:cstheme="minorHAnsi"/>
        </w:rPr>
        <w:t xml:space="preserve"> bet is higher in the two treatment groups compared to the control group (descriptive data</w:t>
      </w:r>
      <w:r w:rsidR="00A06690">
        <w:rPr>
          <w:rFonts w:cstheme="minorHAnsi"/>
        </w:rPr>
        <w:t xml:space="preserve"> from the online experiment</w:t>
      </w:r>
      <w:r>
        <w:rPr>
          <w:rFonts w:cstheme="minorHAnsi"/>
        </w:rPr>
        <w:t>)</w:t>
      </w:r>
    </w:p>
    <w:p w14:paraId="096210DE" w14:textId="77777777" w:rsidR="00F037A6" w:rsidRDefault="00F037A6" w:rsidP="006B5D2F">
      <w:pPr>
        <w:pStyle w:val="ListParagraph"/>
        <w:numPr>
          <w:ilvl w:val="0"/>
          <w:numId w:val="8"/>
        </w:numPr>
        <w:spacing w:before="0" w:after="160"/>
        <w:contextualSpacing/>
        <w:rPr>
          <w:rFonts w:cstheme="minorHAnsi"/>
        </w:rPr>
      </w:pPr>
      <w:r>
        <w:rPr>
          <w:rFonts w:cstheme="minorHAnsi"/>
        </w:rPr>
        <w:t xml:space="preserve">whether </w:t>
      </w:r>
      <w:r w:rsidR="00A06690">
        <w:rPr>
          <w:rFonts w:cstheme="minorHAnsi"/>
        </w:rPr>
        <w:t>participants are more likely to place a bet or higher bets right after they have been shown losses (loss chasing, online experimental data), and</w:t>
      </w:r>
    </w:p>
    <w:p w14:paraId="122DC953" w14:textId="46433CDC" w:rsidR="00083FBB" w:rsidRDefault="00A06690" w:rsidP="00083FBB">
      <w:pPr>
        <w:pStyle w:val="ListParagraph"/>
        <w:numPr>
          <w:ilvl w:val="0"/>
          <w:numId w:val="8"/>
        </w:numPr>
        <w:spacing w:before="0" w:after="160"/>
        <w:contextualSpacing/>
        <w:rPr>
          <w:rFonts w:cstheme="minorHAnsi"/>
        </w:rPr>
      </w:pPr>
      <w:r>
        <w:rPr>
          <w:rFonts w:cstheme="minorHAnsi"/>
        </w:rPr>
        <w:t>Looking at survey questions about loss chasing in relation to information presented in the activity statements (post-experiment survey).</w:t>
      </w:r>
    </w:p>
    <w:p w14:paraId="0191433B" w14:textId="77777777" w:rsidR="00083FBB" w:rsidRPr="00083FBB" w:rsidRDefault="00083FBB" w:rsidP="00102A39">
      <w:pPr>
        <w:spacing w:before="0" w:after="160"/>
        <w:ind w:left="420"/>
        <w:contextualSpacing/>
        <w:rPr>
          <w:rFonts w:cstheme="minorHAnsi"/>
        </w:rPr>
      </w:pPr>
    </w:p>
    <w:p w14:paraId="3CCCEC40" w14:textId="65B74F2D" w:rsidR="00083FBB" w:rsidRDefault="000B5C0F" w:rsidP="00102A39">
      <w:pPr>
        <w:spacing w:before="0" w:after="160"/>
        <w:contextualSpacing/>
        <w:rPr>
          <w:rFonts w:cstheme="minorHAnsi"/>
        </w:rPr>
      </w:pPr>
      <w:r>
        <w:rPr>
          <w:rFonts w:cstheme="minorHAnsi"/>
        </w:rPr>
        <w:t xml:space="preserve">We will investigate potential </w:t>
      </w:r>
      <w:r w:rsidR="00081CC8">
        <w:rPr>
          <w:rFonts w:cstheme="minorHAnsi"/>
        </w:rPr>
        <w:t>attrition</w:t>
      </w:r>
      <w:r>
        <w:rPr>
          <w:rFonts w:cstheme="minorHAnsi"/>
        </w:rPr>
        <w:t xml:space="preserve"> bias through examining:</w:t>
      </w:r>
    </w:p>
    <w:p w14:paraId="1C902779" w14:textId="23C7332B" w:rsidR="008C6FAD" w:rsidRDefault="008C6FAD" w:rsidP="008C6FAD">
      <w:pPr>
        <w:pStyle w:val="ListParagraph"/>
        <w:numPr>
          <w:ilvl w:val="0"/>
          <w:numId w:val="8"/>
        </w:numPr>
        <w:spacing w:before="0" w:after="160"/>
        <w:contextualSpacing/>
        <w:rPr>
          <w:rFonts w:cstheme="minorHAnsi"/>
        </w:rPr>
      </w:pPr>
      <w:r w:rsidRPr="008C6FAD">
        <w:rPr>
          <w:rFonts w:cstheme="minorHAnsi"/>
        </w:rPr>
        <w:t xml:space="preserve">Whether participants who did not complete the online gambling experiment systematically differ to those who did complete the online gambling experiment as a function of </w:t>
      </w:r>
      <w:r w:rsidR="000A09B8">
        <w:rPr>
          <w:rFonts w:cstheme="minorHAnsi"/>
        </w:rPr>
        <w:t>demographic variables</w:t>
      </w:r>
      <w:r w:rsidRPr="008C6FAD">
        <w:rPr>
          <w:rFonts w:cstheme="minorHAnsi"/>
        </w:rPr>
        <w:t xml:space="preserve"> within the screening questionnaire.</w:t>
      </w:r>
    </w:p>
    <w:p w14:paraId="31A6162A" w14:textId="01FE3E97" w:rsidR="000A09B8" w:rsidRPr="008C6FAD" w:rsidRDefault="000A09B8" w:rsidP="008C6FAD">
      <w:pPr>
        <w:pStyle w:val="ListParagraph"/>
        <w:numPr>
          <w:ilvl w:val="0"/>
          <w:numId w:val="8"/>
        </w:numPr>
        <w:spacing w:before="0" w:after="160"/>
        <w:contextualSpacing/>
        <w:rPr>
          <w:rFonts w:cstheme="minorHAnsi"/>
        </w:rPr>
      </w:pPr>
      <w:r>
        <w:rPr>
          <w:rFonts w:cstheme="minorHAnsi"/>
        </w:rPr>
        <w:t xml:space="preserve">Whether </w:t>
      </w:r>
      <w:r w:rsidR="00081CC8">
        <w:rPr>
          <w:rFonts w:cstheme="minorHAnsi"/>
        </w:rPr>
        <w:t>there are differences in attrition rates between treatment arms</w:t>
      </w:r>
      <w:r w:rsidR="00A56154">
        <w:rPr>
          <w:rFonts w:cstheme="minorHAnsi"/>
        </w:rPr>
        <w:t>.</w:t>
      </w:r>
    </w:p>
    <w:p w14:paraId="61471230" w14:textId="77777777" w:rsidR="00E74E0D" w:rsidRDefault="00C37C62" w:rsidP="004608C7">
      <w:pPr>
        <w:pStyle w:val="Heading2"/>
      </w:pPr>
      <w:r>
        <w:t>Interpretation</w:t>
      </w:r>
      <w:r w:rsidR="00910F6C">
        <w:t xml:space="preserve"> of results</w:t>
      </w:r>
    </w:p>
    <w:p w14:paraId="7E91B558" w14:textId="77777777" w:rsidR="00DB452D" w:rsidRDefault="00DB452D" w:rsidP="00DB452D">
      <w:pPr>
        <w:rPr>
          <w:lang w:val="en-US"/>
        </w:rPr>
      </w:pPr>
      <w:r w:rsidRPr="00122BBC">
        <w:rPr>
          <w:lang w:val="en-US"/>
        </w:rPr>
        <w:t xml:space="preserve">We conduct statistical tests both for public reporting purposes and to inform future government decision making. For public reporting, we will be guided by the effect size and by the conventional threshold for ‘statistical significance’ used in the social sciences (p&lt;0.05). This means that, over many studies where there is, in fact, no effect, we will only incorrectly conclude that there is an effect in five per cent of cases. </w:t>
      </w:r>
    </w:p>
    <w:p w14:paraId="36E6DF1D" w14:textId="77777777" w:rsidR="00DB452D" w:rsidRPr="00122BBC" w:rsidRDefault="00DB452D" w:rsidP="00DB452D">
      <w:pPr>
        <w:rPr>
          <w:lang w:val="en-US"/>
        </w:rPr>
      </w:pPr>
      <w:r>
        <w:rPr>
          <w:lang w:val="en-US"/>
        </w:rPr>
        <w:t>F</w:t>
      </w:r>
      <w:r w:rsidRPr="00122BBC">
        <w:rPr>
          <w:lang w:val="en-US"/>
        </w:rPr>
        <w:t xml:space="preserve">or decisions about whether to </w:t>
      </w:r>
      <w:r>
        <w:rPr>
          <w:lang w:val="en-US"/>
        </w:rPr>
        <w:t>recommend the use of activity statements and components of activity statements</w:t>
      </w:r>
      <w:r w:rsidRPr="00122BBC">
        <w:rPr>
          <w:lang w:val="en-US"/>
        </w:rPr>
        <w:t xml:space="preserve">, we will make a judgement about </w:t>
      </w:r>
      <w:r>
        <w:rPr>
          <w:lang w:val="en-US"/>
        </w:rPr>
        <w:t xml:space="preserve">the </w:t>
      </w:r>
      <w:r w:rsidRPr="00122BBC">
        <w:rPr>
          <w:lang w:val="en-US"/>
        </w:rPr>
        <w:t xml:space="preserve">likelihood of an effect (of a certain size) from the </w:t>
      </w:r>
      <w:r>
        <w:rPr>
          <w:lang w:val="en-US"/>
        </w:rPr>
        <w:t>activity statement</w:t>
      </w:r>
      <w:r w:rsidRPr="00122BBC">
        <w:rPr>
          <w:lang w:val="en-US"/>
        </w:rPr>
        <w:t xml:space="preserve"> and weigh this against </w:t>
      </w:r>
      <w:r w:rsidR="00FF1908">
        <w:rPr>
          <w:lang w:val="en-US"/>
        </w:rPr>
        <w:t xml:space="preserve">any </w:t>
      </w:r>
      <w:r w:rsidR="00FF1908">
        <w:rPr>
          <w:lang w:val="en-US"/>
        </w:rPr>
        <w:lastRenderedPageBreak/>
        <w:t xml:space="preserve">unintended consequences. We believe that the cost of providing activity statements for online </w:t>
      </w:r>
      <w:r w:rsidR="004D1547">
        <w:rPr>
          <w:lang w:val="en-US"/>
        </w:rPr>
        <w:t xml:space="preserve">wagering </w:t>
      </w:r>
      <w:r w:rsidR="00FF1908">
        <w:rPr>
          <w:lang w:val="en-US"/>
        </w:rPr>
        <w:t xml:space="preserve">providers is low so cost will not be factored in to our recommendation. </w:t>
      </w:r>
      <w:r w:rsidRPr="00122BBC">
        <w:rPr>
          <w:lang w:val="en-US"/>
        </w:rPr>
        <w:t xml:space="preserve">In practice, this could mean we recommend </w:t>
      </w:r>
      <w:r w:rsidR="00FF1908">
        <w:rPr>
          <w:lang w:val="en-US"/>
        </w:rPr>
        <w:t xml:space="preserve">the use of activity statements </w:t>
      </w:r>
      <w:r w:rsidRPr="00122BBC">
        <w:rPr>
          <w:lang w:val="en-US"/>
        </w:rPr>
        <w:t>if the possible effect size is large even if the p-value is larger than 0.05. Alternatively, if the effect size is small (</w:t>
      </w:r>
      <w:r w:rsidR="00D17386" w:rsidRPr="00122BBC">
        <w:rPr>
          <w:lang w:val="en-US"/>
        </w:rPr>
        <w:t>e.g.</w:t>
      </w:r>
      <w:r w:rsidRPr="00122BBC">
        <w:rPr>
          <w:lang w:val="en-US"/>
        </w:rPr>
        <w:t xml:space="preserve">, </w:t>
      </w:r>
      <w:r w:rsidR="00D17386">
        <w:rPr>
          <w:lang w:val="en-US"/>
        </w:rPr>
        <w:t>Cohen’s d is less than 0.1</w:t>
      </w:r>
      <w:r w:rsidRPr="00122BBC">
        <w:rPr>
          <w:lang w:val="en-US"/>
        </w:rPr>
        <w:t xml:space="preserve">), we may not recommend using the </w:t>
      </w:r>
      <w:r w:rsidR="00FF1908">
        <w:rPr>
          <w:lang w:val="en-US"/>
        </w:rPr>
        <w:t>activity statement</w:t>
      </w:r>
      <w:r w:rsidRPr="00122BBC">
        <w:rPr>
          <w:lang w:val="en-US"/>
        </w:rPr>
        <w:t xml:space="preserve"> even if that effect is ‘statistically significant’.</w:t>
      </w:r>
    </w:p>
    <w:p w14:paraId="520A35F9" w14:textId="77777777" w:rsidR="00E74E0D" w:rsidRPr="00E74E0D" w:rsidRDefault="00E74E0D" w:rsidP="00E74E0D">
      <w:pPr>
        <w:pStyle w:val="Heading2"/>
      </w:pPr>
      <w:r w:rsidRPr="00E74E0D">
        <w:t>Pre-analysis plan commitments</w:t>
      </w:r>
    </w:p>
    <w:p w14:paraId="4AA59A47" w14:textId="6EC86169" w:rsidR="00416234" w:rsidRDefault="00416234" w:rsidP="008C3A54">
      <w:pPr>
        <w:pStyle w:val="ListBullet"/>
      </w:pPr>
      <w:r>
        <w:t>Pilot data was collected prior to the completion of this pre</w:t>
      </w:r>
      <w:r>
        <w:noBreakHyphen/>
        <w:t xml:space="preserve">analysis plan but no trial data was collected beforehand. </w:t>
      </w:r>
    </w:p>
    <w:p w14:paraId="6E13A45F" w14:textId="484C8772" w:rsidR="003E702B" w:rsidRDefault="00E74E0D" w:rsidP="00102A39">
      <w:pPr>
        <w:pStyle w:val="ListBullet"/>
      </w:pPr>
      <w:r w:rsidRPr="00E74E0D">
        <w:t>We will be transparent about, and provide justification for, any deviations (additions or omissions) f</w:t>
      </w:r>
      <w:r w:rsidR="00C37C62">
        <w:t>rom this plan.</w:t>
      </w:r>
    </w:p>
    <w:sectPr w:rsidR="003E702B" w:rsidSect="00E74E0D">
      <w:footerReference w:type="default" r:id="rId12"/>
      <w:pgSz w:w="11906" w:h="16838" w:code="9"/>
      <w:pgMar w:top="2041" w:right="2381" w:bottom="1247" w:left="1247" w:header="72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E946A" w14:textId="77777777" w:rsidR="00AC5F37" w:rsidRDefault="00AC5F37">
      <w:r>
        <w:separator/>
      </w:r>
    </w:p>
  </w:endnote>
  <w:endnote w:type="continuationSeparator" w:id="0">
    <w:p w14:paraId="3499A0C3" w14:textId="77777777" w:rsidR="00AC5F37" w:rsidRDefault="00AC5F37">
      <w:r>
        <w:continuationSeparator/>
      </w:r>
    </w:p>
  </w:endnote>
  <w:endnote w:type="continuationNotice" w:id="1">
    <w:p w14:paraId="4FB1D0B1" w14:textId="77777777" w:rsidR="00AC5F37" w:rsidRDefault="00AC5F3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2902359"/>
      <w:docPartObj>
        <w:docPartGallery w:val="Page Numbers (Bottom of Page)"/>
        <w:docPartUnique/>
      </w:docPartObj>
    </w:sdtPr>
    <w:sdtEndPr>
      <w:rPr>
        <w:noProof/>
      </w:rPr>
    </w:sdtEndPr>
    <w:sdtContent>
      <w:p w14:paraId="173EDD1B" w14:textId="46C94578" w:rsidR="00920F74" w:rsidRDefault="00920F74">
        <w:pPr>
          <w:pStyle w:val="Footer"/>
          <w:jc w:val="right"/>
        </w:pPr>
        <w:r>
          <w:fldChar w:fldCharType="begin"/>
        </w:r>
        <w:r>
          <w:instrText xml:space="preserve"> PAGE   \* MERGEFORMAT </w:instrText>
        </w:r>
        <w:r>
          <w:fldChar w:fldCharType="separate"/>
        </w:r>
        <w:r w:rsidR="001315EB">
          <w:rPr>
            <w:noProof/>
          </w:rPr>
          <w:t>1</w:t>
        </w:r>
        <w:r>
          <w:rPr>
            <w:noProof/>
          </w:rPr>
          <w:fldChar w:fldCharType="end"/>
        </w:r>
      </w:p>
    </w:sdtContent>
  </w:sdt>
  <w:p w14:paraId="61B501B1" w14:textId="77777777" w:rsidR="00920F74" w:rsidRDefault="00920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6B562" w14:textId="77777777" w:rsidR="00AC5F37" w:rsidRDefault="00AC5F37">
      <w:r>
        <w:separator/>
      </w:r>
    </w:p>
  </w:footnote>
  <w:footnote w:type="continuationSeparator" w:id="0">
    <w:p w14:paraId="24A4CD16" w14:textId="77777777" w:rsidR="00AC5F37" w:rsidRDefault="00AC5F37">
      <w:r>
        <w:continuationSeparator/>
      </w:r>
    </w:p>
  </w:footnote>
  <w:footnote w:type="continuationNotice" w:id="1">
    <w:p w14:paraId="37DED338" w14:textId="77777777" w:rsidR="00AC5F37" w:rsidRDefault="00AC5F3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5745F1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CE6C0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B4046B"/>
    <w:multiLevelType w:val="hybridMultilevel"/>
    <w:tmpl w:val="46628A64"/>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3" w15:restartNumberingAfterBreak="0">
    <w:nsid w:val="074C147F"/>
    <w:multiLevelType w:val="hybridMultilevel"/>
    <w:tmpl w:val="0CEC067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571444"/>
    <w:multiLevelType w:val="hybridMultilevel"/>
    <w:tmpl w:val="72602B0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5" w15:restartNumberingAfterBreak="0">
    <w:nsid w:val="374D4EB2"/>
    <w:multiLevelType w:val="hybridMultilevel"/>
    <w:tmpl w:val="AEAA3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687188"/>
    <w:multiLevelType w:val="hybridMultilevel"/>
    <w:tmpl w:val="7632C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6A7891"/>
    <w:multiLevelType w:val="multilevel"/>
    <w:tmpl w:val="E15E891A"/>
    <w:lvl w:ilvl="0">
      <w:start w:val="1"/>
      <w:numFmt w:val="decimal"/>
      <w:pStyle w:val="FigureHeading"/>
      <w:suff w:val="space"/>
      <w:lvlText w:val="Figure %1:"/>
      <w:lvlJc w:val="left"/>
      <w:pPr>
        <w:ind w:left="720" w:hanging="720"/>
      </w:pPr>
      <w:rPr>
        <w:rFonts w:ascii="Helvetica" w:hAnsi="Helvetica"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70AC39DE"/>
    <w:multiLevelType w:val="hybridMultilevel"/>
    <w:tmpl w:val="816CA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BD45E3"/>
    <w:multiLevelType w:val="hybridMultilevel"/>
    <w:tmpl w:val="98DA78D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77EA1388"/>
    <w:multiLevelType w:val="hybridMultilevel"/>
    <w:tmpl w:val="ED0CA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B570E42"/>
    <w:multiLevelType w:val="hybridMultilevel"/>
    <w:tmpl w:val="8F981E04"/>
    <w:lvl w:ilvl="0" w:tplc="012076FC">
      <w:start w:val="1"/>
      <w:numFmt w:val="decimal"/>
      <w:lvlText w:val="%1."/>
      <w:lvlJc w:val="left"/>
      <w:pPr>
        <w:ind w:left="720" w:hanging="360"/>
      </w:pPr>
      <w:rPr>
        <w:rFonts w:ascii="Verdana" w:hAnsi="Verdana"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11"/>
  </w:num>
  <w:num w:numId="5">
    <w:abstractNumId w:val="1"/>
  </w:num>
  <w:num w:numId="6">
    <w:abstractNumId w:val="6"/>
  </w:num>
  <w:num w:numId="7">
    <w:abstractNumId w:val="8"/>
  </w:num>
  <w:num w:numId="8">
    <w:abstractNumId w:val="9"/>
  </w:num>
  <w:num w:numId="9">
    <w:abstractNumId w:val="10"/>
  </w:num>
  <w:num w:numId="10">
    <w:abstractNumId w:val="3"/>
  </w:num>
  <w:num w:numId="11">
    <w:abstractNumId w:val="1"/>
  </w:num>
  <w:num w:numId="12">
    <w:abstractNumId w:val="4"/>
  </w:num>
  <w:num w:numId="13">
    <w:abstractNumId w:val="2"/>
  </w:num>
  <w:num w:numId="1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isplayBackgroundShape/>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C97"/>
    <w:rsid w:val="000050BE"/>
    <w:rsid w:val="00005785"/>
    <w:rsid w:val="00006876"/>
    <w:rsid w:val="000079AD"/>
    <w:rsid w:val="00007D1F"/>
    <w:rsid w:val="00010D84"/>
    <w:rsid w:val="00010F15"/>
    <w:rsid w:val="00011CE3"/>
    <w:rsid w:val="00014B51"/>
    <w:rsid w:val="00015777"/>
    <w:rsid w:val="000176B5"/>
    <w:rsid w:val="00022E9C"/>
    <w:rsid w:val="00024EF0"/>
    <w:rsid w:val="00025631"/>
    <w:rsid w:val="00027B26"/>
    <w:rsid w:val="00030705"/>
    <w:rsid w:val="00032861"/>
    <w:rsid w:val="00032B77"/>
    <w:rsid w:val="00037F3D"/>
    <w:rsid w:val="00042285"/>
    <w:rsid w:val="00043256"/>
    <w:rsid w:val="00045A89"/>
    <w:rsid w:val="00045AA5"/>
    <w:rsid w:val="00046F8E"/>
    <w:rsid w:val="00047524"/>
    <w:rsid w:val="0005040E"/>
    <w:rsid w:val="0005087D"/>
    <w:rsid w:val="00050F9E"/>
    <w:rsid w:val="000547EF"/>
    <w:rsid w:val="00056004"/>
    <w:rsid w:val="0006075A"/>
    <w:rsid w:val="00061C84"/>
    <w:rsid w:val="00062484"/>
    <w:rsid w:val="00063129"/>
    <w:rsid w:val="00064EE9"/>
    <w:rsid w:val="00065022"/>
    <w:rsid w:val="00065A5E"/>
    <w:rsid w:val="00070681"/>
    <w:rsid w:val="0007097B"/>
    <w:rsid w:val="00070F67"/>
    <w:rsid w:val="00072DA5"/>
    <w:rsid w:val="00080A09"/>
    <w:rsid w:val="00081CC8"/>
    <w:rsid w:val="00081CEB"/>
    <w:rsid w:val="00083082"/>
    <w:rsid w:val="00083F36"/>
    <w:rsid w:val="00083FBB"/>
    <w:rsid w:val="00084F66"/>
    <w:rsid w:val="00086D9F"/>
    <w:rsid w:val="00087B2C"/>
    <w:rsid w:val="00087D4E"/>
    <w:rsid w:val="00087DBD"/>
    <w:rsid w:val="00090718"/>
    <w:rsid w:val="00091B4E"/>
    <w:rsid w:val="00091CD7"/>
    <w:rsid w:val="00093410"/>
    <w:rsid w:val="00093DD5"/>
    <w:rsid w:val="000A03DD"/>
    <w:rsid w:val="000A09B8"/>
    <w:rsid w:val="000A1A09"/>
    <w:rsid w:val="000A47A8"/>
    <w:rsid w:val="000A48B2"/>
    <w:rsid w:val="000A73FB"/>
    <w:rsid w:val="000B0129"/>
    <w:rsid w:val="000B218A"/>
    <w:rsid w:val="000B5C0F"/>
    <w:rsid w:val="000B7E1B"/>
    <w:rsid w:val="000C014D"/>
    <w:rsid w:val="000C29B4"/>
    <w:rsid w:val="000C5CD8"/>
    <w:rsid w:val="000C7A69"/>
    <w:rsid w:val="000D1158"/>
    <w:rsid w:val="000D4703"/>
    <w:rsid w:val="000D5F56"/>
    <w:rsid w:val="000E12D4"/>
    <w:rsid w:val="000E39EF"/>
    <w:rsid w:val="000E51CE"/>
    <w:rsid w:val="000E620E"/>
    <w:rsid w:val="000E78B8"/>
    <w:rsid w:val="000F2063"/>
    <w:rsid w:val="000F3D28"/>
    <w:rsid w:val="000F63C4"/>
    <w:rsid w:val="000F7463"/>
    <w:rsid w:val="00100200"/>
    <w:rsid w:val="0010263D"/>
    <w:rsid w:val="00102824"/>
    <w:rsid w:val="00102A39"/>
    <w:rsid w:val="0010300A"/>
    <w:rsid w:val="00107DD0"/>
    <w:rsid w:val="001131F0"/>
    <w:rsid w:val="001139C7"/>
    <w:rsid w:val="00114EBC"/>
    <w:rsid w:val="00117F05"/>
    <w:rsid w:val="001239B3"/>
    <w:rsid w:val="0012427E"/>
    <w:rsid w:val="001247E0"/>
    <w:rsid w:val="001252F6"/>
    <w:rsid w:val="00126750"/>
    <w:rsid w:val="001271A1"/>
    <w:rsid w:val="001315EB"/>
    <w:rsid w:val="00131C0F"/>
    <w:rsid w:val="001325BF"/>
    <w:rsid w:val="00132F0D"/>
    <w:rsid w:val="00133713"/>
    <w:rsid w:val="00135B7E"/>
    <w:rsid w:val="00140FC9"/>
    <w:rsid w:val="001413C5"/>
    <w:rsid w:val="0014231B"/>
    <w:rsid w:val="00142956"/>
    <w:rsid w:val="00142D10"/>
    <w:rsid w:val="001432B0"/>
    <w:rsid w:val="00144868"/>
    <w:rsid w:val="001452BC"/>
    <w:rsid w:val="00150D2A"/>
    <w:rsid w:val="00150E25"/>
    <w:rsid w:val="00150EA9"/>
    <w:rsid w:val="00151650"/>
    <w:rsid w:val="00155B98"/>
    <w:rsid w:val="00156506"/>
    <w:rsid w:val="00157001"/>
    <w:rsid w:val="00157709"/>
    <w:rsid w:val="00160B66"/>
    <w:rsid w:val="00160E91"/>
    <w:rsid w:val="00165626"/>
    <w:rsid w:val="00166272"/>
    <w:rsid w:val="001671D2"/>
    <w:rsid w:val="00167CF4"/>
    <w:rsid w:val="00170BE9"/>
    <w:rsid w:val="00170CF2"/>
    <w:rsid w:val="0017147C"/>
    <w:rsid w:val="0017194E"/>
    <w:rsid w:val="0017249B"/>
    <w:rsid w:val="001727A4"/>
    <w:rsid w:val="00175439"/>
    <w:rsid w:val="00177EC4"/>
    <w:rsid w:val="00180721"/>
    <w:rsid w:val="00181533"/>
    <w:rsid w:val="001824C8"/>
    <w:rsid w:val="00182698"/>
    <w:rsid w:val="001864FD"/>
    <w:rsid w:val="001936A7"/>
    <w:rsid w:val="001943DD"/>
    <w:rsid w:val="00196BAC"/>
    <w:rsid w:val="001A009A"/>
    <w:rsid w:val="001A0BF0"/>
    <w:rsid w:val="001A13F6"/>
    <w:rsid w:val="001A2D78"/>
    <w:rsid w:val="001A4064"/>
    <w:rsid w:val="001A456F"/>
    <w:rsid w:val="001A7249"/>
    <w:rsid w:val="001B385A"/>
    <w:rsid w:val="001B3904"/>
    <w:rsid w:val="001B3AEC"/>
    <w:rsid w:val="001B3E8D"/>
    <w:rsid w:val="001B5259"/>
    <w:rsid w:val="001B53B8"/>
    <w:rsid w:val="001B60D4"/>
    <w:rsid w:val="001B6F28"/>
    <w:rsid w:val="001C445C"/>
    <w:rsid w:val="001C4F4F"/>
    <w:rsid w:val="001C6BA1"/>
    <w:rsid w:val="001C6F22"/>
    <w:rsid w:val="001C6F8B"/>
    <w:rsid w:val="001D141C"/>
    <w:rsid w:val="001D2904"/>
    <w:rsid w:val="001D652D"/>
    <w:rsid w:val="001D693F"/>
    <w:rsid w:val="001D6EDF"/>
    <w:rsid w:val="001D6F9E"/>
    <w:rsid w:val="001E0ECB"/>
    <w:rsid w:val="001E1574"/>
    <w:rsid w:val="001E38FB"/>
    <w:rsid w:val="001E52C2"/>
    <w:rsid w:val="001E6A27"/>
    <w:rsid w:val="001F0BE1"/>
    <w:rsid w:val="001F101A"/>
    <w:rsid w:val="001F24EF"/>
    <w:rsid w:val="001F56C7"/>
    <w:rsid w:val="00203039"/>
    <w:rsid w:val="00204B17"/>
    <w:rsid w:val="002069D2"/>
    <w:rsid w:val="002111E1"/>
    <w:rsid w:val="00211DA2"/>
    <w:rsid w:val="00213693"/>
    <w:rsid w:val="00215137"/>
    <w:rsid w:val="00215479"/>
    <w:rsid w:val="00215CCB"/>
    <w:rsid w:val="00216CF5"/>
    <w:rsid w:val="0022037B"/>
    <w:rsid w:val="002220E8"/>
    <w:rsid w:val="00222C8D"/>
    <w:rsid w:val="002230E4"/>
    <w:rsid w:val="002256A8"/>
    <w:rsid w:val="00225C97"/>
    <w:rsid w:val="002267A4"/>
    <w:rsid w:val="00230E6B"/>
    <w:rsid w:val="00232B97"/>
    <w:rsid w:val="0023523A"/>
    <w:rsid w:val="0023757C"/>
    <w:rsid w:val="00237C47"/>
    <w:rsid w:val="002402E4"/>
    <w:rsid w:val="002421A0"/>
    <w:rsid w:val="00242B98"/>
    <w:rsid w:val="002445A1"/>
    <w:rsid w:val="00246FE6"/>
    <w:rsid w:val="002470E3"/>
    <w:rsid w:val="0025207D"/>
    <w:rsid w:val="002535AE"/>
    <w:rsid w:val="00254DE9"/>
    <w:rsid w:val="0026067F"/>
    <w:rsid w:val="002615D3"/>
    <w:rsid w:val="0026268A"/>
    <w:rsid w:val="00262845"/>
    <w:rsid w:val="002672F1"/>
    <w:rsid w:val="00271414"/>
    <w:rsid w:val="00271922"/>
    <w:rsid w:val="00273412"/>
    <w:rsid w:val="0027373F"/>
    <w:rsid w:val="00274ACF"/>
    <w:rsid w:val="00277388"/>
    <w:rsid w:val="00277C8F"/>
    <w:rsid w:val="0028159B"/>
    <w:rsid w:val="00282671"/>
    <w:rsid w:val="00282861"/>
    <w:rsid w:val="002843E2"/>
    <w:rsid w:val="00287BAA"/>
    <w:rsid w:val="0029180D"/>
    <w:rsid w:val="00293489"/>
    <w:rsid w:val="00295B30"/>
    <w:rsid w:val="00296F5E"/>
    <w:rsid w:val="002978A4"/>
    <w:rsid w:val="002A30F0"/>
    <w:rsid w:val="002A38A4"/>
    <w:rsid w:val="002A47A0"/>
    <w:rsid w:val="002A6077"/>
    <w:rsid w:val="002A6DF5"/>
    <w:rsid w:val="002B3F84"/>
    <w:rsid w:val="002B6406"/>
    <w:rsid w:val="002B6809"/>
    <w:rsid w:val="002C4231"/>
    <w:rsid w:val="002C4248"/>
    <w:rsid w:val="002C7080"/>
    <w:rsid w:val="002D00B0"/>
    <w:rsid w:val="002D2364"/>
    <w:rsid w:val="002D2E16"/>
    <w:rsid w:val="002D6050"/>
    <w:rsid w:val="002D6E3E"/>
    <w:rsid w:val="002D772A"/>
    <w:rsid w:val="002E1197"/>
    <w:rsid w:val="002E21D6"/>
    <w:rsid w:val="002E3A1F"/>
    <w:rsid w:val="002E45F0"/>
    <w:rsid w:val="002E7778"/>
    <w:rsid w:val="002F394F"/>
    <w:rsid w:val="00304B3E"/>
    <w:rsid w:val="00304D97"/>
    <w:rsid w:val="0031180A"/>
    <w:rsid w:val="00313127"/>
    <w:rsid w:val="00313304"/>
    <w:rsid w:val="003155F4"/>
    <w:rsid w:val="003168FC"/>
    <w:rsid w:val="00320309"/>
    <w:rsid w:val="00321D1E"/>
    <w:rsid w:val="0032530E"/>
    <w:rsid w:val="00325A61"/>
    <w:rsid w:val="00326976"/>
    <w:rsid w:val="003279E4"/>
    <w:rsid w:val="003311D7"/>
    <w:rsid w:val="00332B8B"/>
    <w:rsid w:val="0033521E"/>
    <w:rsid w:val="0033627C"/>
    <w:rsid w:val="003364C7"/>
    <w:rsid w:val="00337CA2"/>
    <w:rsid w:val="003404A4"/>
    <w:rsid w:val="003418E4"/>
    <w:rsid w:val="00346843"/>
    <w:rsid w:val="00347104"/>
    <w:rsid w:val="00350852"/>
    <w:rsid w:val="0035096E"/>
    <w:rsid w:val="0035129C"/>
    <w:rsid w:val="0035219F"/>
    <w:rsid w:val="0035367E"/>
    <w:rsid w:val="00355D01"/>
    <w:rsid w:val="00360B81"/>
    <w:rsid w:val="00366283"/>
    <w:rsid w:val="0036777E"/>
    <w:rsid w:val="003701FA"/>
    <w:rsid w:val="00372A26"/>
    <w:rsid w:val="00372EC7"/>
    <w:rsid w:val="0037429F"/>
    <w:rsid w:val="0037484C"/>
    <w:rsid w:val="003749CD"/>
    <w:rsid w:val="00374A6C"/>
    <w:rsid w:val="00375380"/>
    <w:rsid w:val="00375AD1"/>
    <w:rsid w:val="00382718"/>
    <w:rsid w:val="00382B3B"/>
    <w:rsid w:val="00385ED2"/>
    <w:rsid w:val="003866D6"/>
    <w:rsid w:val="0038714A"/>
    <w:rsid w:val="00391F86"/>
    <w:rsid w:val="003923FB"/>
    <w:rsid w:val="003931C7"/>
    <w:rsid w:val="00393F00"/>
    <w:rsid w:val="00393FF1"/>
    <w:rsid w:val="003945C0"/>
    <w:rsid w:val="003A25A7"/>
    <w:rsid w:val="003A44D0"/>
    <w:rsid w:val="003B52CE"/>
    <w:rsid w:val="003B535C"/>
    <w:rsid w:val="003B5F0C"/>
    <w:rsid w:val="003B7179"/>
    <w:rsid w:val="003C1451"/>
    <w:rsid w:val="003C2120"/>
    <w:rsid w:val="003C47C0"/>
    <w:rsid w:val="003C4BB1"/>
    <w:rsid w:val="003C63A3"/>
    <w:rsid w:val="003D030E"/>
    <w:rsid w:val="003D040D"/>
    <w:rsid w:val="003D1F49"/>
    <w:rsid w:val="003D2061"/>
    <w:rsid w:val="003D543B"/>
    <w:rsid w:val="003D6AE7"/>
    <w:rsid w:val="003D7E3D"/>
    <w:rsid w:val="003E02C5"/>
    <w:rsid w:val="003E0749"/>
    <w:rsid w:val="003E1FE3"/>
    <w:rsid w:val="003E32A7"/>
    <w:rsid w:val="003E5C6C"/>
    <w:rsid w:val="003E702B"/>
    <w:rsid w:val="003E74AE"/>
    <w:rsid w:val="003F1A33"/>
    <w:rsid w:val="003F3072"/>
    <w:rsid w:val="003F31E6"/>
    <w:rsid w:val="00401057"/>
    <w:rsid w:val="004024E4"/>
    <w:rsid w:val="004061B4"/>
    <w:rsid w:val="00406289"/>
    <w:rsid w:val="00406578"/>
    <w:rsid w:val="004074EF"/>
    <w:rsid w:val="004102C3"/>
    <w:rsid w:val="0041307C"/>
    <w:rsid w:val="00413699"/>
    <w:rsid w:val="00416234"/>
    <w:rsid w:val="004167B4"/>
    <w:rsid w:val="004167BC"/>
    <w:rsid w:val="0042032D"/>
    <w:rsid w:val="0042138A"/>
    <w:rsid w:val="004225DC"/>
    <w:rsid w:val="00423A41"/>
    <w:rsid w:val="00425FBA"/>
    <w:rsid w:val="00427C7D"/>
    <w:rsid w:val="00430CFA"/>
    <w:rsid w:val="00430D7E"/>
    <w:rsid w:val="00432332"/>
    <w:rsid w:val="00432368"/>
    <w:rsid w:val="00432473"/>
    <w:rsid w:val="004332D5"/>
    <w:rsid w:val="00433B04"/>
    <w:rsid w:val="0043784D"/>
    <w:rsid w:val="00440256"/>
    <w:rsid w:val="00440E22"/>
    <w:rsid w:val="00444F45"/>
    <w:rsid w:val="0044547D"/>
    <w:rsid w:val="00446F93"/>
    <w:rsid w:val="00450AB2"/>
    <w:rsid w:val="00451A74"/>
    <w:rsid w:val="004552AB"/>
    <w:rsid w:val="004553FF"/>
    <w:rsid w:val="0045622C"/>
    <w:rsid w:val="004608C7"/>
    <w:rsid w:val="00462215"/>
    <w:rsid w:val="00464B51"/>
    <w:rsid w:val="00464FB1"/>
    <w:rsid w:val="0046560A"/>
    <w:rsid w:val="00467185"/>
    <w:rsid w:val="00467736"/>
    <w:rsid w:val="0047050C"/>
    <w:rsid w:val="00472A45"/>
    <w:rsid w:val="00473930"/>
    <w:rsid w:val="00474D25"/>
    <w:rsid w:val="004750DB"/>
    <w:rsid w:val="00480F21"/>
    <w:rsid w:val="0048108E"/>
    <w:rsid w:val="004821BA"/>
    <w:rsid w:val="004827E6"/>
    <w:rsid w:val="00485004"/>
    <w:rsid w:val="0048537F"/>
    <w:rsid w:val="004874E5"/>
    <w:rsid w:val="00487885"/>
    <w:rsid w:val="00490A65"/>
    <w:rsid w:val="0049116C"/>
    <w:rsid w:val="00491968"/>
    <w:rsid w:val="004930C9"/>
    <w:rsid w:val="00493F62"/>
    <w:rsid w:val="00494832"/>
    <w:rsid w:val="00494D22"/>
    <w:rsid w:val="004957C2"/>
    <w:rsid w:val="00495AF1"/>
    <w:rsid w:val="00497A89"/>
    <w:rsid w:val="004A1DEB"/>
    <w:rsid w:val="004A308B"/>
    <w:rsid w:val="004A4CED"/>
    <w:rsid w:val="004A4D74"/>
    <w:rsid w:val="004A6A02"/>
    <w:rsid w:val="004A6BE6"/>
    <w:rsid w:val="004A7A81"/>
    <w:rsid w:val="004B047F"/>
    <w:rsid w:val="004B0828"/>
    <w:rsid w:val="004B3304"/>
    <w:rsid w:val="004B3DF1"/>
    <w:rsid w:val="004B4BC0"/>
    <w:rsid w:val="004B5555"/>
    <w:rsid w:val="004B7A3B"/>
    <w:rsid w:val="004C0484"/>
    <w:rsid w:val="004C259B"/>
    <w:rsid w:val="004C777E"/>
    <w:rsid w:val="004D0C54"/>
    <w:rsid w:val="004D1547"/>
    <w:rsid w:val="004D16A4"/>
    <w:rsid w:val="004E6682"/>
    <w:rsid w:val="004E6D8A"/>
    <w:rsid w:val="004F0411"/>
    <w:rsid w:val="004F142D"/>
    <w:rsid w:val="004F15EF"/>
    <w:rsid w:val="004F22FE"/>
    <w:rsid w:val="004F774D"/>
    <w:rsid w:val="005013B0"/>
    <w:rsid w:val="005015E4"/>
    <w:rsid w:val="005017A6"/>
    <w:rsid w:val="0050291D"/>
    <w:rsid w:val="00504237"/>
    <w:rsid w:val="00505D80"/>
    <w:rsid w:val="005064CD"/>
    <w:rsid w:val="00506C00"/>
    <w:rsid w:val="00511016"/>
    <w:rsid w:val="0051542B"/>
    <w:rsid w:val="005159B3"/>
    <w:rsid w:val="00522C03"/>
    <w:rsid w:val="00523110"/>
    <w:rsid w:val="00525EA4"/>
    <w:rsid w:val="005276B7"/>
    <w:rsid w:val="0052791F"/>
    <w:rsid w:val="00532CFF"/>
    <w:rsid w:val="00533112"/>
    <w:rsid w:val="00534D3D"/>
    <w:rsid w:val="00536880"/>
    <w:rsid w:val="00540AD0"/>
    <w:rsid w:val="00543A76"/>
    <w:rsid w:val="00547738"/>
    <w:rsid w:val="005522F3"/>
    <w:rsid w:val="005523D1"/>
    <w:rsid w:val="0055532E"/>
    <w:rsid w:val="00555BC3"/>
    <w:rsid w:val="00557C8E"/>
    <w:rsid w:val="00561B2B"/>
    <w:rsid w:val="00562629"/>
    <w:rsid w:val="0056357E"/>
    <w:rsid w:val="00564952"/>
    <w:rsid w:val="00564F24"/>
    <w:rsid w:val="0056645F"/>
    <w:rsid w:val="00571AB1"/>
    <w:rsid w:val="00577E1C"/>
    <w:rsid w:val="00580DB1"/>
    <w:rsid w:val="005814AC"/>
    <w:rsid w:val="00584676"/>
    <w:rsid w:val="00584923"/>
    <w:rsid w:val="005854B7"/>
    <w:rsid w:val="00587AB1"/>
    <w:rsid w:val="0059070B"/>
    <w:rsid w:val="0059283C"/>
    <w:rsid w:val="0059373D"/>
    <w:rsid w:val="00595082"/>
    <w:rsid w:val="005A0D95"/>
    <w:rsid w:val="005A1E30"/>
    <w:rsid w:val="005A224B"/>
    <w:rsid w:val="005A5EAE"/>
    <w:rsid w:val="005B0002"/>
    <w:rsid w:val="005B1225"/>
    <w:rsid w:val="005B17D8"/>
    <w:rsid w:val="005B1D82"/>
    <w:rsid w:val="005B253B"/>
    <w:rsid w:val="005B4077"/>
    <w:rsid w:val="005B65E5"/>
    <w:rsid w:val="005C28B0"/>
    <w:rsid w:val="005C2F01"/>
    <w:rsid w:val="005C5F3C"/>
    <w:rsid w:val="005C70C5"/>
    <w:rsid w:val="005D01BE"/>
    <w:rsid w:val="005D1177"/>
    <w:rsid w:val="005D1D13"/>
    <w:rsid w:val="005D254A"/>
    <w:rsid w:val="005D5460"/>
    <w:rsid w:val="005D6C0A"/>
    <w:rsid w:val="005E08CD"/>
    <w:rsid w:val="005E37E8"/>
    <w:rsid w:val="005E74C5"/>
    <w:rsid w:val="005F219D"/>
    <w:rsid w:val="005F2437"/>
    <w:rsid w:val="005F318A"/>
    <w:rsid w:val="005F7710"/>
    <w:rsid w:val="006004F7"/>
    <w:rsid w:val="00603261"/>
    <w:rsid w:val="00605010"/>
    <w:rsid w:val="00607597"/>
    <w:rsid w:val="00610F93"/>
    <w:rsid w:val="006127CC"/>
    <w:rsid w:val="00614661"/>
    <w:rsid w:val="006243C6"/>
    <w:rsid w:val="006273BC"/>
    <w:rsid w:val="00630D0B"/>
    <w:rsid w:val="00632009"/>
    <w:rsid w:val="00632D70"/>
    <w:rsid w:val="00633CF1"/>
    <w:rsid w:val="006349C9"/>
    <w:rsid w:val="006358DA"/>
    <w:rsid w:val="00635A6C"/>
    <w:rsid w:val="00637091"/>
    <w:rsid w:val="00642839"/>
    <w:rsid w:val="00643567"/>
    <w:rsid w:val="006457F8"/>
    <w:rsid w:val="00645CCB"/>
    <w:rsid w:val="0064700E"/>
    <w:rsid w:val="006472A3"/>
    <w:rsid w:val="006474E0"/>
    <w:rsid w:val="006478CB"/>
    <w:rsid w:val="00650B88"/>
    <w:rsid w:val="00652C58"/>
    <w:rsid w:val="006530EF"/>
    <w:rsid w:val="00653489"/>
    <w:rsid w:val="006554DD"/>
    <w:rsid w:val="00656528"/>
    <w:rsid w:val="00660951"/>
    <w:rsid w:val="006636E2"/>
    <w:rsid w:val="00664C4E"/>
    <w:rsid w:val="00666273"/>
    <w:rsid w:val="00667FA9"/>
    <w:rsid w:val="0067233D"/>
    <w:rsid w:val="0067240D"/>
    <w:rsid w:val="00672B2E"/>
    <w:rsid w:val="006745AE"/>
    <w:rsid w:val="00676870"/>
    <w:rsid w:val="00676AF3"/>
    <w:rsid w:val="00677895"/>
    <w:rsid w:val="00677BEF"/>
    <w:rsid w:val="006814A3"/>
    <w:rsid w:val="00682AFC"/>
    <w:rsid w:val="00683344"/>
    <w:rsid w:val="00683C32"/>
    <w:rsid w:val="00684FC9"/>
    <w:rsid w:val="0069072B"/>
    <w:rsid w:val="0069174B"/>
    <w:rsid w:val="00693340"/>
    <w:rsid w:val="006A04C7"/>
    <w:rsid w:val="006A3EFC"/>
    <w:rsid w:val="006A4287"/>
    <w:rsid w:val="006B05E3"/>
    <w:rsid w:val="006B09BC"/>
    <w:rsid w:val="006B5D2F"/>
    <w:rsid w:val="006B64FF"/>
    <w:rsid w:val="006B6D36"/>
    <w:rsid w:val="006B6D5D"/>
    <w:rsid w:val="006B7B5A"/>
    <w:rsid w:val="006C0801"/>
    <w:rsid w:val="006C0C2C"/>
    <w:rsid w:val="006C1EAA"/>
    <w:rsid w:val="006C216F"/>
    <w:rsid w:val="006C45D4"/>
    <w:rsid w:val="006C490E"/>
    <w:rsid w:val="006D11BD"/>
    <w:rsid w:val="006D2042"/>
    <w:rsid w:val="006D63C5"/>
    <w:rsid w:val="006D66E3"/>
    <w:rsid w:val="006D75BA"/>
    <w:rsid w:val="006D7855"/>
    <w:rsid w:val="006E010C"/>
    <w:rsid w:val="006E1003"/>
    <w:rsid w:val="006E16BF"/>
    <w:rsid w:val="006E18F0"/>
    <w:rsid w:val="006E2C89"/>
    <w:rsid w:val="006E38AF"/>
    <w:rsid w:val="006E4F93"/>
    <w:rsid w:val="006F10FE"/>
    <w:rsid w:val="006F1174"/>
    <w:rsid w:val="006F3C98"/>
    <w:rsid w:val="00700135"/>
    <w:rsid w:val="0070212F"/>
    <w:rsid w:val="007034D5"/>
    <w:rsid w:val="00704C40"/>
    <w:rsid w:val="00705180"/>
    <w:rsid w:val="00710A39"/>
    <w:rsid w:val="00711605"/>
    <w:rsid w:val="00711DF6"/>
    <w:rsid w:val="00716FBC"/>
    <w:rsid w:val="00717090"/>
    <w:rsid w:val="00720739"/>
    <w:rsid w:val="0072253E"/>
    <w:rsid w:val="00723E1F"/>
    <w:rsid w:val="0072443D"/>
    <w:rsid w:val="007247E5"/>
    <w:rsid w:val="007248B7"/>
    <w:rsid w:val="007254CA"/>
    <w:rsid w:val="007267D2"/>
    <w:rsid w:val="00730CF8"/>
    <w:rsid w:val="00731A90"/>
    <w:rsid w:val="00732608"/>
    <w:rsid w:val="00733251"/>
    <w:rsid w:val="00734083"/>
    <w:rsid w:val="00736DCA"/>
    <w:rsid w:val="00740913"/>
    <w:rsid w:val="00745C47"/>
    <w:rsid w:val="00745E49"/>
    <w:rsid w:val="00746742"/>
    <w:rsid w:val="0075003D"/>
    <w:rsid w:val="00751D97"/>
    <w:rsid w:val="00752C55"/>
    <w:rsid w:val="007562D4"/>
    <w:rsid w:val="007565C4"/>
    <w:rsid w:val="007573FA"/>
    <w:rsid w:val="00757EF9"/>
    <w:rsid w:val="00761DBF"/>
    <w:rsid w:val="00761FCF"/>
    <w:rsid w:val="00765175"/>
    <w:rsid w:val="00765503"/>
    <w:rsid w:val="00767B7E"/>
    <w:rsid w:val="007705E9"/>
    <w:rsid w:val="00771BC7"/>
    <w:rsid w:val="00771D7D"/>
    <w:rsid w:val="00772D44"/>
    <w:rsid w:val="007745B7"/>
    <w:rsid w:val="007750C8"/>
    <w:rsid w:val="00776538"/>
    <w:rsid w:val="007802BE"/>
    <w:rsid w:val="00780EEF"/>
    <w:rsid w:val="0078134C"/>
    <w:rsid w:val="00781C47"/>
    <w:rsid w:val="007837C7"/>
    <w:rsid w:val="00784B44"/>
    <w:rsid w:val="00785465"/>
    <w:rsid w:val="00787656"/>
    <w:rsid w:val="00791767"/>
    <w:rsid w:val="0079268A"/>
    <w:rsid w:val="0079287A"/>
    <w:rsid w:val="00794859"/>
    <w:rsid w:val="00797C88"/>
    <w:rsid w:val="007A1013"/>
    <w:rsid w:val="007A235B"/>
    <w:rsid w:val="007A4CA9"/>
    <w:rsid w:val="007A60B4"/>
    <w:rsid w:val="007A7D19"/>
    <w:rsid w:val="007A7EC2"/>
    <w:rsid w:val="007B042D"/>
    <w:rsid w:val="007B05BB"/>
    <w:rsid w:val="007B6E0A"/>
    <w:rsid w:val="007B764C"/>
    <w:rsid w:val="007C118A"/>
    <w:rsid w:val="007C636F"/>
    <w:rsid w:val="007D0FC7"/>
    <w:rsid w:val="007D39EB"/>
    <w:rsid w:val="007E0356"/>
    <w:rsid w:val="007E7319"/>
    <w:rsid w:val="007E74E1"/>
    <w:rsid w:val="007E77A8"/>
    <w:rsid w:val="007E7AA1"/>
    <w:rsid w:val="007F2073"/>
    <w:rsid w:val="007F491C"/>
    <w:rsid w:val="007F72F8"/>
    <w:rsid w:val="00800D07"/>
    <w:rsid w:val="008025F3"/>
    <w:rsid w:val="00803BF8"/>
    <w:rsid w:val="008061C9"/>
    <w:rsid w:val="008066D8"/>
    <w:rsid w:val="008074BB"/>
    <w:rsid w:val="00811A18"/>
    <w:rsid w:val="008121AF"/>
    <w:rsid w:val="00812E18"/>
    <w:rsid w:val="00813711"/>
    <w:rsid w:val="00821E64"/>
    <w:rsid w:val="008226E3"/>
    <w:rsid w:val="008235FB"/>
    <w:rsid w:val="008253C4"/>
    <w:rsid w:val="008263C2"/>
    <w:rsid w:val="008307DB"/>
    <w:rsid w:val="00830E71"/>
    <w:rsid w:val="008312C9"/>
    <w:rsid w:val="00831A7E"/>
    <w:rsid w:val="00831A88"/>
    <w:rsid w:val="00833398"/>
    <w:rsid w:val="008357AF"/>
    <w:rsid w:val="00835D9D"/>
    <w:rsid w:val="00835FC9"/>
    <w:rsid w:val="008368F8"/>
    <w:rsid w:val="008370E3"/>
    <w:rsid w:val="008418FA"/>
    <w:rsid w:val="00842959"/>
    <w:rsid w:val="00843390"/>
    <w:rsid w:val="00844CCC"/>
    <w:rsid w:val="0085235A"/>
    <w:rsid w:val="00854138"/>
    <w:rsid w:val="00854410"/>
    <w:rsid w:val="008544DF"/>
    <w:rsid w:val="008602B6"/>
    <w:rsid w:val="00860AAD"/>
    <w:rsid w:val="00861AA6"/>
    <w:rsid w:val="00862828"/>
    <w:rsid w:val="008708F3"/>
    <w:rsid w:val="00871354"/>
    <w:rsid w:val="00873611"/>
    <w:rsid w:val="00873C8F"/>
    <w:rsid w:val="008745FE"/>
    <w:rsid w:val="00874FB3"/>
    <w:rsid w:val="00877F7C"/>
    <w:rsid w:val="00880BE3"/>
    <w:rsid w:val="00881359"/>
    <w:rsid w:val="00882093"/>
    <w:rsid w:val="00882588"/>
    <w:rsid w:val="00884ADE"/>
    <w:rsid w:val="008856CF"/>
    <w:rsid w:val="00885864"/>
    <w:rsid w:val="00890A1D"/>
    <w:rsid w:val="0089383B"/>
    <w:rsid w:val="0089534B"/>
    <w:rsid w:val="0089616F"/>
    <w:rsid w:val="008A0232"/>
    <w:rsid w:val="008B0470"/>
    <w:rsid w:val="008B05E7"/>
    <w:rsid w:val="008B06C5"/>
    <w:rsid w:val="008B164E"/>
    <w:rsid w:val="008B4F06"/>
    <w:rsid w:val="008B502A"/>
    <w:rsid w:val="008B57D8"/>
    <w:rsid w:val="008B65CF"/>
    <w:rsid w:val="008B7A65"/>
    <w:rsid w:val="008C1219"/>
    <w:rsid w:val="008C123E"/>
    <w:rsid w:val="008C137D"/>
    <w:rsid w:val="008C22DD"/>
    <w:rsid w:val="008C3A54"/>
    <w:rsid w:val="008C3DFD"/>
    <w:rsid w:val="008C3ED0"/>
    <w:rsid w:val="008C5DA5"/>
    <w:rsid w:val="008C5E94"/>
    <w:rsid w:val="008C6FAD"/>
    <w:rsid w:val="008D196A"/>
    <w:rsid w:val="008D27BC"/>
    <w:rsid w:val="008E3EF2"/>
    <w:rsid w:val="008E51C9"/>
    <w:rsid w:val="008E5BEB"/>
    <w:rsid w:val="008E6306"/>
    <w:rsid w:val="008F6355"/>
    <w:rsid w:val="008F68F7"/>
    <w:rsid w:val="009005A6"/>
    <w:rsid w:val="009006CF"/>
    <w:rsid w:val="00900C71"/>
    <w:rsid w:val="00902A1C"/>
    <w:rsid w:val="009037B6"/>
    <w:rsid w:val="00906CBE"/>
    <w:rsid w:val="00910024"/>
    <w:rsid w:val="00910384"/>
    <w:rsid w:val="00910F6C"/>
    <w:rsid w:val="0091643D"/>
    <w:rsid w:val="00916E33"/>
    <w:rsid w:val="009172ED"/>
    <w:rsid w:val="0092093B"/>
    <w:rsid w:val="00920F74"/>
    <w:rsid w:val="009301BA"/>
    <w:rsid w:val="00930669"/>
    <w:rsid w:val="00932C33"/>
    <w:rsid w:val="00937C63"/>
    <w:rsid w:val="009427A1"/>
    <w:rsid w:val="00942FFE"/>
    <w:rsid w:val="009551E0"/>
    <w:rsid w:val="0095654E"/>
    <w:rsid w:val="00956F3C"/>
    <w:rsid w:val="00970678"/>
    <w:rsid w:val="00971C34"/>
    <w:rsid w:val="00972488"/>
    <w:rsid w:val="009726D0"/>
    <w:rsid w:val="0097421D"/>
    <w:rsid w:val="009749F2"/>
    <w:rsid w:val="00976117"/>
    <w:rsid w:val="00976A23"/>
    <w:rsid w:val="009800BC"/>
    <w:rsid w:val="009816F6"/>
    <w:rsid w:val="009843BA"/>
    <w:rsid w:val="0098581D"/>
    <w:rsid w:val="009900F0"/>
    <w:rsid w:val="00990B9B"/>
    <w:rsid w:val="00991370"/>
    <w:rsid w:val="00991769"/>
    <w:rsid w:val="00991ACA"/>
    <w:rsid w:val="009928B5"/>
    <w:rsid w:val="00993236"/>
    <w:rsid w:val="00993D8C"/>
    <w:rsid w:val="00994E3D"/>
    <w:rsid w:val="009A297E"/>
    <w:rsid w:val="009A6127"/>
    <w:rsid w:val="009A6EFD"/>
    <w:rsid w:val="009A7EB9"/>
    <w:rsid w:val="009B0CC1"/>
    <w:rsid w:val="009B69F0"/>
    <w:rsid w:val="009B713C"/>
    <w:rsid w:val="009C0F18"/>
    <w:rsid w:val="009C12C6"/>
    <w:rsid w:val="009C1F9A"/>
    <w:rsid w:val="009C2555"/>
    <w:rsid w:val="009C705A"/>
    <w:rsid w:val="009C7778"/>
    <w:rsid w:val="009C7EE6"/>
    <w:rsid w:val="009D06AE"/>
    <w:rsid w:val="009D09E2"/>
    <w:rsid w:val="009D1E42"/>
    <w:rsid w:val="009D282B"/>
    <w:rsid w:val="009D3991"/>
    <w:rsid w:val="009D7148"/>
    <w:rsid w:val="009E02FD"/>
    <w:rsid w:val="009E4C74"/>
    <w:rsid w:val="009E56CC"/>
    <w:rsid w:val="009E59F1"/>
    <w:rsid w:val="009E62B6"/>
    <w:rsid w:val="009F0A1A"/>
    <w:rsid w:val="009F26CA"/>
    <w:rsid w:val="009F35DA"/>
    <w:rsid w:val="009F4034"/>
    <w:rsid w:val="009F43D0"/>
    <w:rsid w:val="009F7495"/>
    <w:rsid w:val="00A000F0"/>
    <w:rsid w:val="00A00568"/>
    <w:rsid w:val="00A00884"/>
    <w:rsid w:val="00A00EEB"/>
    <w:rsid w:val="00A020CE"/>
    <w:rsid w:val="00A02F62"/>
    <w:rsid w:val="00A02FA3"/>
    <w:rsid w:val="00A030C3"/>
    <w:rsid w:val="00A04803"/>
    <w:rsid w:val="00A06690"/>
    <w:rsid w:val="00A10147"/>
    <w:rsid w:val="00A10EDE"/>
    <w:rsid w:val="00A11331"/>
    <w:rsid w:val="00A12348"/>
    <w:rsid w:val="00A131E6"/>
    <w:rsid w:val="00A13843"/>
    <w:rsid w:val="00A146A5"/>
    <w:rsid w:val="00A17466"/>
    <w:rsid w:val="00A204B3"/>
    <w:rsid w:val="00A20576"/>
    <w:rsid w:val="00A21593"/>
    <w:rsid w:val="00A221F7"/>
    <w:rsid w:val="00A22C21"/>
    <w:rsid w:val="00A2604E"/>
    <w:rsid w:val="00A31CCE"/>
    <w:rsid w:val="00A33C95"/>
    <w:rsid w:val="00A34FF3"/>
    <w:rsid w:val="00A35351"/>
    <w:rsid w:val="00A361C7"/>
    <w:rsid w:val="00A36723"/>
    <w:rsid w:val="00A43140"/>
    <w:rsid w:val="00A46DF5"/>
    <w:rsid w:val="00A5149A"/>
    <w:rsid w:val="00A53650"/>
    <w:rsid w:val="00A53E51"/>
    <w:rsid w:val="00A56154"/>
    <w:rsid w:val="00A57183"/>
    <w:rsid w:val="00A60693"/>
    <w:rsid w:val="00A6196D"/>
    <w:rsid w:val="00A619C0"/>
    <w:rsid w:val="00A61ADF"/>
    <w:rsid w:val="00A62012"/>
    <w:rsid w:val="00A624CB"/>
    <w:rsid w:val="00A62AC0"/>
    <w:rsid w:val="00A65BC6"/>
    <w:rsid w:val="00A75118"/>
    <w:rsid w:val="00A76BD2"/>
    <w:rsid w:val="00A8267D"/>
    <w:rsid w:val="00A82E14"/>
    <w:rsid w:val="00A8688E"/>
    <w:rsid w:val="00A8722B"/>
    <w:rsid w:val="00A901E9"/>
    <w:rsid w:val="00A917B6"/>
    <w:rsid w:val="00A91831"/>
    <w:rsid w:val="00A91B3B"/>
    <w:rsid w:val="00A93B4F"/>
    <w:rsid w:val="00A94F7A"/>
    <w:rsid w:val="00A95D3B"/>
    <w:rsid w:val="00A97341"/>
    <w:rsid w:val="00AA0081"/>
    <w:rsid w:val="00AA1A77"/>
    <w:rsid w:val="00AA2545"/>
    <w:rsid w:val="00AA4E4D"/>
    <w:rsid w:val="00AA5E38"/>
    <w:rsid w:val="00AB09ED"/>
    <w:rsid w:val="00AB3DC0"/>
    <w:rsid w:val="00AB4CBB"/>
    <w:rsid w:val="00AC108F"/>
    <w:rsid w:val="00AC125E"/>
    <w:rsid w:val="00AC4485"/>
    <w:rsid w:val="00AC45DF"/>
    <w:rsid w:val="00AC474D"/>
    <w:rsid w:val="00AC4DFD"/>
    <w:rsid w:val="00AC4F47"/>
    <w:rsid w:val="00AC5663"/>
    <w:rsid w:val="00AC58FD"/>
    <w:rsid w:val="00AC5F37"/>
    <w:rsid w:val="00AC6A8B"/>
    <w:rsid w:val="00AD0F6D"/>
    <w:rsid w:val="00AD1166"/>
    <w:rsid w:val="00AD19D2"/>
    <w:rsid w:val="00AD1A96"/>
    <w:rsid w:val="00AD3042"/>
    <w:rsid w:val="00AD3D12"/>
    <w:rsid w:val="00AD793A"/>
    <w:rsid w:val="00AE0120"/>
    <w:rsid w:val="00AE3038"/>
    <w:rsid w:val="00AE3D4A"/>
    <w:rsid w:val="00AE5956"/>
    <w:rsid w:val="00AE619F"/>
    <w:rsid w:val="00AE7A88"/>
    <w:rsid w:val="00AF060F"/>
    <w:rsid w:val="00AF13D2"/>
    <w:rsid w:val="00AF2A56"/>
    <w:rsid w:val="00AF51D1"/>
    <w:rsid w:val="00AF63AB"/>
    <w:rsid w:val="00B007B3"/>
    <w:rsid w:val="00B01784"/>
    <w:rsid w:val="00B0388B"/>
    <w:rsid w:val="00B03BEE"/>
    <w:rsid w:val="00B0517E"/>
    <w:rsid w:val="00B11314"/>
    <w:rsid w:val="00B113E3"/>
    <w:rsid w:val="00B1156A"/>
    <w:rsid w:val="00B138E3"/>
    <w:rsid w:val="00B13FB5"/>
    <w:rsid w:val="00B178FA"/>
    <w:rsid w:val="00B17D8E"/>
    <w:rsid w:val="00B207C3"/>
    <w:rsid w:val="00B21443"/>
    <w:rsid w:val="00B22468"/>
    <w:rsid w:val="00B23267"/>
    <w:rsid w:val="00B23906"/>
    <w:rsid w:val="00B23F96"/>
    <w:rsid w:val="00B257BF"/>
    <w:rsid w:val="00B27149"/>
    <w:rsid w:val="00B34BB7"/>
    <w:rsid w:val="00B35B4D"/>
    <w:rsid w:val="00B362F0"/>
    <w:rsid w:val="00B36652"/>
    <w:rsid w:val="00B425AB"/>
    <w:rsid w:val="00B45279"/>
    <w:rsid w:val="00B453D5"/>
    <w:rsid w:val="00B456F4"/>
    <w:rsid w:val="00B47090"/>
    <w:rsid w:val="00B532D1"/>
    <w:rsid w:val="00B57925"/>
    <w:rsid w:val="00B601BB"/>
    <w:rsid w:val="00B602A5"/>
    <w:rsid w:val="00B61E3E"/>
    <w:rsid w:val="00B632EE"/>
    <w:rsid w:val="00B6432A"/>
    <w:rsid w:val="00B67A79"/>
    <w:rsid w:val="00B72335"/>
    <w:rsid w:val="00B72D62"/>
    <w:rsid w:val="00B767AF"/>
    <w:rsid w:val="00B80511"/>
    <w:rsid w:val="00B80798"/>
    <w:rsid w:val="00B80876"/>
    <w:rsid w:val="00B812A9"/>
    <w:rsid w:val="00B82C3C"/>
    <w:rsid w:val="00B82DE6"/>
    <w:rsid w:val="00B831CD"/>
    <w:rsid w:val="00B846F6"/>
    <w:rsid w:val="00B8473F"/>
    <w:rsid w:val="00B85329"/>
    <w:rsid w:val="00B91B73"/>
    <w:rsid w:val="00B91B9D"/>
    <w:rsid w:val="00B95FF9"/>
    <w:rsid w:val="00BA1323"/>
    <w:rsid w:val="00BA1B71"/>
    <w:rsid w:val="00BA23C7"/>
    <w:rsid w:val="00BA3176"/>
    <w:rsid w:val="00BA5E20"/>
    <w:rsid w:val="00BA607C"/>
    <w:rsid w:val="00BA6734"/>
    <w:rsid w:val="00BB3E2A"/>
    <w:rsid w:val="00BB48A7"/>
    <w:rsid w:val="00BB7094"/>
    <w:rsid w:val="00BB7121"/>
    <w:rsid w:val="00BC0479"/>
    <w:rsid w:val="00BC0831"/>
    <w:rsid w:val="00BC1651"/>
    <w:rsid w:val="00BC16F5"/>
    <w:rsid w:val="00BC18FF"/>
    <w:rsid w:val="00BC287D"/>
    <w:rsid w:val="00BC2A38"/>
    <w:rsid w:val="00BC46EB"/>
    <w:rsid w:val="00BC57FE"/>
    <w:rsid w:val="00BC643B"/>
    <w:rsid w:val="00BD2A41"/>
    <w:rsid w:val="00BD32E5"/>
    <w:rsid w:val="00BD36C4"/>
    <w:rsid w:val="00BD4BC6"/>
    <w:rsid w:val="00BD6E1A"/>
    <w:rsid w:val="00BD79DE"/>
    <w:rsid w:val="00BE1095"/>
    <w:rsid w:val="00BE150A"/>
    <w:rsid w:val="00BE6767"/>
    <w:rsid w:val="00BE686C"/>
    <w:rsid w:val="00BE78EC"/>
    <w:rsid w:val="00BF0A33"/>
    <w:rsid w:val="00BF46EE"/>
    <w:rsid w:val="00BF646E"/>
    <w:rsid w:val="00C0613C"/>
    <w:rsid w:val="00C10D05"/>
    <w:rsid w:val="00C13970"/>
    <w:rsid w:val="00C13DF9"/>
    <w:rsid w:val="00C14FBA"/>
    <w:rsid w:val="00C15484"/>
    <w:rsid w:val="00C15EA1"/>
    <w:rsid w:val="00C167CB"/>
    <w:rsid w:val="00C174B1"/>
    <w:rsid w:val="00C174DB"/>
    <w:rsid w:val="00C17A8E"/>
    <w:rsid w:val="00C2104F"/>
    <w:rsid w:val="00C2378F"/>
    <w:rsid w:val="00C24F70"/>
    <w:rsid w:val="00C25615"/>
    <w:rsid w:val="00C25DC2"/>
    <w:rsid w:val="00C26A06"/>
    <w:rsid w:val="00C33479"/>
    <w:rsid w:val="00C37C62"/>
    <w:rsid w:val="00C40ED2"/>
    <w:rsid w:val="00C41E16"/>
    <w:rsid w:val="00C41F10"/>
    <w:rsid w:val="00C432DD"/>
    <w:rsid w:val="00C43F4C"/>
    <w:rsid w:val="00C4423A"/>
    <w:rsid w:val="00C501FE"/>
    <w:rsid w:val="00C56957"/>
    <w:rsid w:val="00C5784B"/>
    <w:rsid w:val="00C639FF"/>
    <w:rsid w:val="00C63CB4"/>
    <w:rsid w:val="00C6442A"/>
    <w:rsid w:val="00C64D15"/>
    <w:rsid w:val="00C66088"/>
    <w:rsid w:val="00C67C4C"/>
    <w:rsid w:val="00C74B5D"/>
    <w:rsid w:val="00C74F74"/>
    <w:rsid w:val="00C74FFF"/>
    <w:rsid w:val="00C7554B"/>
    <w:rsid w:val="00C80951"/>
    <w:rsid w:val="00C8205E"/>
    <w:rsid w:val="00C8223A"/>
    <w:rsid w:val="00C82EB5"/>
    <w:rsid w:val="00C87966"/>
    <w:rsid w:val="00C902DE"/>
    <w:rsid w:val="00C916AE"/>
    <w:rsid w:val="00C93AAA"/>
    <w:rsid w:val="00C95FCD"/>
    <w:rsid w:val="00C97188"/>
    <w:rsid w:val="00CA0639"/>
    <w:rsid w:val="00CA11D0"/>
    <w:rsid w:val="00CA1B90"/>
    <w:rsid w:val="00CA2E02"/>
    <w:rsid w:val="00CA583A"/>
    <w:rsid w:val="00CA5EC6"/>
    <w:rsid w:val="00CA62A3"/>
    <w:rsid w:val="00CB35A6"/>
    <w:rsid w:val="00CB5744"/>
    <w:rsid w:val="00CB7022"/>
    <w:rsid w:val="00CB7BC5"/>
    <w:rsid w:val="00CC141E"/>
    <w:rsid w:val="00CC4C2C"/>
    <w:rsid w:val="00CC4FF0"/>
    <w:rsid w:val="00CC586D"/>
    <w:rsid w:val="00CC712E"/>
    <w:rsid w:val="00CC7DBC"/>
    <w:rsid w:val="00CD1BA3"/>
    <w:rsid w:val="00CD1D23"/>
    <w:rsid w:val="00CD3612"/>
    <w:rsid w:val="00CD3E69"/>
    <w:rsid w:val="00CD4224"/>
    <w:rsid w:val="00CD6B7D"/>
    <w:rsid w:val="00CD7D29"/>
    <w:rsid w:val="00CE0847"/>
    <w:rsid w:val="00CE0B6C"/>
    <w:rsid w:val="00CE11D0"/>
    <w:rsid w:val="00CE4708"/>
    <w:rsid w:val="00CE4C50"/>
    <w:rsid w:val="00CE6858"/>
    <w:rsid w:val="00CE6EED"/>
    <w:rsid w:val="00CE7450"/>
    <w:rsid w:val="00CE770C"/>
    <w:rsid w:val="00CF50BE"/>
    <w:rsid w:val="00CF538C"/>
    <w:rsid w:val="00CF7625"/>
    <w:rsid w:val="00D0506A"/>
    <w:rsid w:val="00D10FA1"/>
    <w:rsid w:val="00D1289C"/>
    <w:rsid w:val="00D142D3"/>
    <w:rsid w:val="00D1666F"/>
    <w:rsid w:val="00D17386"/>
    <w:rsid w:val="00D2071A"/>
    <w:rsid w:val="00D22F44"/>
    <w:rsid w:val="00D25177"/>
    <w:rsid w:val="00D300CF"/>
    <w:rsid w:val="00D30F73"/>
    <w:rsid w:val="00D30F97"/>
    <w:rsid w:val="00D313A0"/>
    <w:rsid w:val="00D36FE0"/>
    <w:rsid w:val="00D40799"/>
    <w:rsid w:val="00D41A06"/>
    <w:rsid w:val="00D42ABF"/>
    <w:rsid w:val="00D42F40"/>
    <w:rsid w:val="00D45B67"/>
    <w:rsid w:val="00D5034A"/>
    <w:rsid w:val="00D50742"/>
    <w:rsid w:val="00D51F49"/>
    <w:rsid w:val="00D55EE8"/>
    <w:rsid w:val="00D562CB"/>
    <w:rsid w:val="00D569D1"/>
    <w:rsid w:val="00D56AD8"/>
    <w:rsid w:val="00D56C05"/>
    <w:rsid w:val="00D5785A"/>
    <w:rsid w:val="00D63293"/>
    <w:rsid w:val="00D6362F"/>
    <w:rsid w:val="00D6375F"/>
    <w:rsid w:val="00D64C48"/>
    <w:rsid w:val="00D6680B"/>
    <w:rsid w:val="00D72F4F"/>
    <w:rsid w:val="00D731C4"/>
    <w:rsid w:val="00D74EB4"/>
    <w:rsid w:val="00D801FC"/>
    <w:rsid w:val="00D85BE0"/>
    <w:rsid w:val="00D87FD7"/>
    <w:rsid w:val="00D91466"/>
    <w:rsid w:val="00D915ED"/>
    <w:rsid w:val="00D91DE4"/>
    <w:rsid w:val="00D92300"/>
    <w:rsid w:val="00D94AFC"/>
    <w:rsid w:val="00D950E6"/>
    <w:rsid w:val="00D97047"/>
    <w:rsid w:val="00D974DC"/>
    <w:rsid w:val="00DA3619"/>
    <w:rsid w:val="00DB0B88"/>
    <w:rsid w:val="00DB1652"/>
    <w:rsid w:val="00DB452D"/>
    <w:rsid w:val="00DB5773"/>
    <w:rsid w:val="00DB58A6"/>
    <w:rsid w:val="00DB6A93"/>
    <w:rsid w:val="00DB6B99"/>
    <w:rsid w:val="00DC001A"/>
    <w:rsid w:val="00DC11F5"/>
    <w:rsid w:val="00DD22BB"/>
    <w:rsid w:val="00DD4F44"/>
    <w:rsid w:val="00DD686C"/>
    <w:rsid w:val="00DD7E0C"/>
    <w:rsid w:val="00DE2AC3"/>
    <w:rsid w:val="00DE2E40"/>
    <w:rsid w:val="00DE3598"/>
    <w:rsid w:val="00DE3FBD"/>
    <w:rsid w:val="00DE43F5"/>
    <w:rsid w:val="00DE65FB"/>
    <w:rsid w:val="00DE6B7A"/>
    <w:rsid w:val="00DF234F"/>
    <w:rsid w:val="00DF3951"/>
    <w:rsid w:val="00DF420A"/>
    <w:rsid w:val="00E02472"/>
    <w:rsid w:val="00E041F0"/>
    <w:rsid w:val="00E128D8"/>
    <w:rsid w:val="00E130C3"/>
    <w:rsid w:val="00E17EDF"/>
    <w:rsid w:val="00E2082D"/>
    <w:rsid w:val="00E221E2"/>
    <w:rsid w:val="00E2330D"/>
    <w:rsid w:val="00E23B25"/>
    <w:rsid w:val="00E24303"/>
    <w:rsid w:val="00E27A16"/>
    <w:rsid w:val="00E320C4"/>
    <w:rsid w:val="00E354E8"/>
    <w:rsid w:val="00E40F7B"/>
    <w:rsid w:val="00E4112B"/>
    <w:rsid w:val="00E426C6"/>
    <w:rsid w:val="00E43E48"/>
    <w:rsid w:val="00E46D60"/>
    <w:rsid w:val="00E47C33"/>
    <w:rsid w:val="00E47F58"/>
    <w:rsid w:val="00E51E27"/>
    <w:rsid w:val="00E54BFC"/>
    <w:rsid w:val="00E55248"/>
    <w:rsid w:val="00E56D9D"/>
    <w:rsid w:val="00E60E2E"/>
    <w:rsid w:val="00E71A2D"/>
    <w:rsid w:val="00E72FB3"/>
    <w:rsid w:val="00E74A73"/>
    <w:rsid w:val="00E74E0D"/>
    <w:rsid w:val="00E771AD"/>
    <w:rsid w:val="00E823C1"/>
    <w:rsid w:val="00E82DB7"/>
    <w:rsid w:val="00E83C85"/>
    <w:rsid w:val="00E84720"/>
    <w:rsid w:val="00E8579C"/>
    <w:rsid w:val="00E865FE"/>
    <w:rsid w:val="00E91408"/>
    <w:rsid w:val="00E91759"/>
    <w:rsid w:val="00E9654B"/>
    <w:rsid w:val="00EA13E4"/>
    <w:rsid w:val="00EA18DB"/>
    <w:rsid w:val="00EA2FBA"/>
    <w:rsid w:val="00EA4DC5"/>
    <w:rsid w:val="00EA5664"/>
    <w:rsid w:val="00EA66DF"/>
    <w:rsid w:val="00EA6ADC"/>
    <w:rsid w:val="00EB13A7"/>
    <w:rsid w:val="00EB14DF"/>
    <w:rsid w:val="00EB1A4D"/>
    <w:rsid w:val="00EB26FC"/>
    <w:rsid w:val="00EB3A07"/>
    <w:rsid w:val="00EB5539"/>
    <w:rsid w:val="00EC3F31"/>
    <w:rsid w:val="00EC43F6"/>
    <w:rsid w:val="00EC52E7"/>
    <w:rsid w:val="00EC6416"/>
    <w:rsid w:val="00EC7E0E"/>
    <w:rsid w:val="00ED3698"/>
    <w:rsid w:val="00ED4794"/>
    <w:rsid w:val="00ED7B59"/>
    <w:rsid w:val="00EE265C"/>
    <w:rsid w:val="00EE3A06"/>
    <w:rsid w:val="00EE3A7D"/>
    <w:rsid w:val="00EE5C63"/>
    <w:rsid w:val="00EF416F"/>
    <w:rsid w:val="00F00449"/>
    <w:rsid w:val="00F0095C"/>
    <w:rsid w:val="00F01129"/>
    <w:rsid w:val="00F01CCA"/>
    <w:rsid w:val="00F01F2C"/>
    <w:rsid w:val="00F02104"/>
    <w:rsid w:val="00F037A6"/>
    <w:rsid w:val="00F04EF6"/>
    <w:rsid w:val="00F06C17"/>
    <w:rsid w:val="00F121B2"/>
    <w:rsid w:val="00F138B4"/>
    <w:rsid w:val="00F13C82"/>
    <w:rsid w:val="00F1632B"/>
    <w:rsid w:val="00F202CA"/>
    <w:rsid w:val="00F223A7"/>
    <w:rsid w:val="00F26A64"/>
    <w:rsid w:val="00F334CB"/>
    <w:rsid w:val="00F3495A"/>
    <w:rsid w:val="00F34E2C"/>
    <w:rsid w:val="00F370BC"/>
    <w:rsid w:val="00F37143"/>
    <w:rsid w:val="00F41E50"/>
    <w:rsid w:val="00F446C7"/>
    <w:rsid w:val="00F50562"/>
    <w:rsid w:val="00F50A92"/>
    <w:rsid w:val="00F50B0B"/>
    <w:rsid w:val="00F50D01"/>
    <w:rsid w:val="00F56BC1"/>
    <w:rsid w:val="00F618B9"/>
    <w:rsid w:val="00F618C4"/>
    <w:rsid w:val="00F65774"/>
    <w:rsid w:val="00F65A34"/>
    <w:rsid w:val="00F65F4C"/>
    <w:rsid w:val="00F71A60"/>
    <w:rsid w:val="00F725DA"/>
    <w:rsid w:val="00F73EE0"/>
    <w:rsid w:val="00F7536E"/>
    <w:rsid w:val="00F75652"/>
    <w:rsid w:val="00F76137"/>
    <w:rsid w:val="00F7782D"/>
    <w:rsid w:val="00F8168B"/>
    <w:rsid w:val="00F81CF2"/>
    <w:rsid w:val="00F81F93"/>
    <w:rsid w:val="00F857D1"/>
    <w:rsid w:val="00F86FD9"/>
    <w:rsid w:val="00F91DCC"/>
    <w:rsid w:val="00F9323F"/>
    <w:rsid w:val="00F943FE"/>
    <w:rsid w:val="00F95814"/>
    <w:rsid w:val="00F95CE9"/>
    <w:rsid w:val="00F97100"/>
    <w:rsid w:val="00FA01D9"/>
    <w:rsid w:val="00FA0369"/>
    <w:rsid w:val="00FB0401"/>
    <w:rsid w:val="00FC1DFB"/>
    <w:rsid w:val="00FC1EF2"/>
    <w:rsid w:val="00FC3343"/>
    <w:rsid w:val="00FC33BA"/>
    <w:rsid w:val="00FC35AB"/>
    <w:rsid w:val="00FC6134"/>
    <w:rsid w:val="00FC654D"/>
    <w:rsid w:val="00FC77CF"/>
    <w:rsid w:val="00FD0555"/>
    <w:rsid w:val="00FD06F5"/>
    <w:rsid w:val="00FD5961"/>
    <w:rsid w:val="00FE3EFA"/>
    <w:rsid w:val="00FE5C56"/>
    <w:rsid w:val="00FE5E20"/>
    <w:rsid w:val="00FE7AAC"/>
    <w:rsid w:val="00FE7B06"/>
    <w:rsid w:val="00FE7E98"/>
    <w:rsid w:val="00FF06BC"/>
    <w:rsid w:val="00FF1908"/>
    <w:rsid w:val="00FF20AC"/>
    <w:rsid w:val="00FF2F36"/>
    <w:rsid w:val="00FF3801"/>
    <w:rsid w:val="00FF3A27"/>
    <w:rsid w:val="00FF3B27"/>
    <w:rsid w:val="00FF4E8D"/>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F9725"/>
  <w15:docId w15:val="{EBCE62E7-575B-404F-8167-4826BB74E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uiPriority="3" w:qFormat="1"/>
    <w:lsdException w:name="heading 3" w:uiPriority="3" w:qFormat="1"/>
    <w:lsdException w:name="heading 4" w:uiPriority="3" w:qFormat="1"/>
    <w:lsdException w:name="heading 5" w:uiPriority="99"/>
    <w:lsdException w:name="heading 6" w:semiHidden="1" w:uiPriority="99" w:unhideWhenUsed="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5" w:unhideWhenUsed="1" w:qFormat="1"/>
    <w:lsdException w:name="List Number" w:uiPriority="5"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40"/>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41"/>
    <w:lsdException w:name="Salutation" w:semiHidden="1"/>
    <w:lsdException w:name="Date" w:uiPriority="42"/>
    <w:lsdException w:name="Body Text First Indent" w:semiHidden="1"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Emphasis" w:uiPriority="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C89"/>
    <w:pPr>
      <w:spacing w:before="120" w:after="120" w:line="320" w:lineRule="atLeast"/>
    </w:pPr>
    <w:rPr>
      <w:rFonts w:asciiTheme="minorHAnsi" w:hAnsiTheme="minorHAnsi"/>
      <w:color w:val="3F3F3F" w:themeColor="text1"/>
      <w:sz w:val="22"/>
      <w:szCs w:val="24"/>
    </w:rPr>
  </w:style>
  <w:style w:type="paragraph" w:styleId="Heading1">
    <w:name w:val="heading 1"/>
    <w:aliases w:val="Small H1"/>
    <w:basedOn w:val="Normal"/>
    <w:next w:val="Normal"/>
    <w:link w:val="Heading1Char"/>
    <w:qFormat/>
    <w:rsid w:val="009749F2"/>
    <w:pPr>
      <w:keepNext/>
      <w:keepLines/>
      <w:pBdr>
        <w:bottom w:val="single" w:sz="24" w:space="31" w:color="20B9A3" w:themeColor="background2"/>
      </w:pBdr>
      <w:spacing w:before="0" w:after="240" w:line="240" w:lineRule="auto"/>
      <w:contextualSpacing/>
      <w:outlineLvl w:val="0"/>
    </w:pPr>
    <w:rPr>
      <w:rFonts w:asciiTheme="majorHAnsi" w:hAnsiTheme="majorHAnsi"/>
      <w:b/>
      <w:color w:val="auto"/>
      <w:sz w:val="80"/>
      <w:szCs w:val="44"/>
    </w:rPr>
  </w:style>
  <w:style w:type="paragraph" w:styleId="Heading2">
    <w:name w:val="heading 2"/>
    <w:basedOn w:val="Normal"/>
    <w:next w:val="Normal"/>
    <w:link w:val="Heading2Char"/>
    <w:uiPriority w:val="3"/>
    <w:qFormat/>
    <w:rsid w:val="002535AE"/>
    <w:pPr>
      <w:keepNext/>
      <w:keepLines/>
      <w:spacing w:before="240"/>
      <w:contextualSpacing/>
      <w:outlineLvl w:val="1"/>
    </w:pPr>
    <w:rPr>
      <w:rFonts w:asciiTheme="majorHAnsi" w:hAnsiTheme="majorHAnsi"/>
      <w:b/>
      <w:color w:val="117479" w:themeColor="accent2"/>
      <w:sz w:val="24"/>
      <w:szCs w:val="44"/>
    </w:rPr>
  </w:style>
  <w:style w:type="paragraph" w:styleId="Heading3">
    <w:name w:val="heading 3"/>
    <w:basedOn w:val="Normal"/>
    <w:next w:val="Normal"/>
    <w:uiPriority w:val="3"/>
    <w:qFormat/>
    <w:rsid w:val="002535AE"/>
    <w:pPr>
      <w:keepNext/>
      <w:keepLines/>
      <w:spacing w:before="240"/>
      <w:contextualSpacing/>
      <w:outlineLvl w:val="2"/>
    </w:pPr>
    <w:rPr>
      <w:rFonts w:asciiTheme="majorHAnsi" w:hAnsiTheme="majorHAnsi"/>
      <w:b/>
      <w:color w:val="auto"/>
      <w:sz w:val="24"/>
      <w:szCs w:val="28"/>
    </w:rPr>
  </w:style>
  <w:style w:type="paragraph" w:styleId="Heading4">
    <w:name w:val="heading 4"/>
    <w:basedOn w:val="Normal"/>
    <w:next w:val="Normal"/>
    <w:uiPriority w:val="3"/>
    <w:qFormat/>
    <w:rsid w:val="00BD79DE"/>
    <w:pPr>
      <w:keepNext/>
      <w:keepLines/>
      <w:spacing w:before="240"/>
      <w:contextualSpacing/>
      <w:outlineLvl w:val="3"/>
    </w:pPr>
    <w:rPr>
      <w:b/>
      <w:color w:val="auto"/>
    </w:rPr>
  </w:style>
  <w:style w:type="paragraph" w:styleId="Heading5">
    <w:name w:val="heading 5"/>
    <w:basedOn w:val="Normal"/>
    <w:next w:val="Normal"/>
    <w:link w:val="Heading5Char"/>
    <w:uiPriority w:val="99"/>
    <w:semiHidden/>
    <w:rsid w:val="002672F1"/>
    <w:pPr>
      <w:keepNext/>
      <w:spacing w:before="240"/>
      <w:contextualSpacing/>
      <w:outlineLvl w:val="4"/>
    </w:pPr>
    <w:rPr>
      <w:b/>
      <w:szCs w:val="22"/>
    </w:rPr>
  </w:style>
  <w:style w:type="paragraph" w:styleId="Heading6">
    <w:name w:val="heading 6"/>
    <w:basedOn w:val="Normal"/>
    <w:next w:val="Normal"/>
    <w:link w:val="Heading6Char"/>
    <w:uiPriority w:val="99"/>
    <w:semiHidden/>
    <w:rsid w:val="002672F1"/>
    <w:pPr>
      <w:keepNext/>
      <w:spacing w:before="240"/>
      <w:contextualSpacing/>
      <w:outlineLvl w:val="5"/>
    </w:pPr>
    <w:rPr>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D91DE4"/>
    <w:pPr>
      <w:tabs>
        <w:tab w:val="right" w:pos="10319"/>
      </w:tabs>
      <w:spacing w:before="0" w:after="0" w:line="240" w:lineRule="auto"/>
    </w:pPr>
    <w:rPr>
      <w:sz w:val="14"/>
    </w:rPr>
  </w:style>
  <w:style w:type="paragraph" w:styleId="Title">
    <w:name w:val="Title"/>
    <w:aliases w:val="Small Title"/>
    <w:basedOn w:val="Normal"/>
    <w:link w:val="TitleChar"/>
    <w:uiPriority w:val="40"/>
    <w:rsid w:val="009C705A"/>
    <w:pPr>
      <w:spacing w:before="0" w:after="360" w:line="240" w:lineRule="auto"/>
      <w:contextualSpacing/>
      <w:outlineLvl w:val="0"/>
    </w:pPr>
    <w:rPr>
      <w:rFonts w:asciiTheme="majorHAnsi" w:hAnsiTheme="majorHAnsi" w:cs="Arial"/>
      <w:b/>
      <w:bCs/>
      <w:color w:val="auto"/>
      <w:kern w:val="28"/>
      <w:sz w:val="70"/>
      <w:szCs w:val="32"/>
    </w:rPr>
  </w:style>
  <w:style w:type="paragraph" w:styleId="ListBullet">
    <w:name w:val="List Bullet"/>
    <w:basedOn w:val="Normal"/>
    <w:uiPriority w:val="5"/>
    <w:qFormat/>
    <w:rsid w:val="00BA3176"/>
    <w:pPr>
      <w:numPr>
        <w:numId w:val="1"/>
      </w:numPr>
    </w:pPr>
  </w:style>
  <w:style w:type="paragraph" w:styleId="Footer">
    <w:name w:val="footer"/>
    <w:basedOn w:val="Header"/>
    <w:link w:val="FooterChar"/>
    <w:uiPriority w:val="99"/>
    <w:rsid w:val="00A00EEB"/>
    <w:pPr>
      <w:pBdr>
        <w:bottom w:val="single" w:sz="24" w:space="12" w:color="20B9A3" w:themeColor="background2"/>
      </w:pBdr>
      <w:tabs>
        <w:tab w:val="clear" w:pos="10319"/>
        <w:tab w:val="right" w:pos="9940"/>
      </w:tabs>
      <w:ind w:right="-1661"/>
    </w:pPr>
  </w:style>
  <w:style w:type="character" w:styleId="Hyperlink">
    <w:name w:val="Hyperlink"/>
    <w:basedOn w:val="DefaultParagraphFont"/>
    <w:uiPriority w:val="99"/>
    <w:rsid w:val="00B23F96"/>
    <w:rPr>
      <w:color w:val="117479" w:themeColor="accent2"/>
      <w:u w:val="single"/>
    </w:rPr>
  </w:style>
  <w:style w:type="character" w:customStyle="1" w:styleId="Heading5Char">
    <w:name w:val="Heading 5 Char"/>
    <w:basedOn w:val="DefaultParagraphFont"/>
    <w:link w:val="Heading5"/>
    <w:uiPriority w:val="99"/>
    <w:semiHidden/>
    <w:rsid w:val="00160B66"/>
    <w:rPr>
      <w:rFonts w:ascii="Arial" w:hAnsi="Arial"/>
      <w:b/>
      <w:color w:val="3F3F3F" w:themeColor="text1"/>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C57FE"/>
    <w:pPr>
      <w:spacing w:before="0" w:after="0" w:line="240" w:lineRule="auto"/>
    </w:pPr>
    <w:rPr>
      <w:sz w:val="18"/>
      <w:szCs w:val="20"/>
    </w:rPr>
  </w:style>
  <w:style w:type="character" w:customStyle="1" w:styleId="FootnoteTextChar">
    <w:name w:val="Footnote Text Char"/>
    <w:basedOn w:val="DefaultParagraphFont"/>
    <w:link w:val="FootnoteText"/>
    <w:uiPriority w:val="99"/>
    <w:rsid w:val="00BC57FE"/>
    <w:rPr>
      <w:rFonts w:ascii="Arial" w:hAnsi="Arial"/>
      <w:sz w:val="18"/>
    </w:rPr>
  </w:style>
  <w:style w:type="character" w:styleId="FootnoteReference">
    <w:name w:val="footnote reference"/>
    <w:basedOn w:val="DefaultParagraphFont"/>
    <w:uiPriority w:val="99"/>
    <w:rsid w:val="00843390"/>
    <w:rPr>
      <w:vertAlign w:val="superscript"/>
    </w:rPr>
  </w:style>
  <w:style w:type="paragraph" w:styleId="ListParagraph">
    <w:name w:val="List Paragraph"/>
    <w:aliases w:val="Resp codes,Neg Numbering,Bullet,Recommendation"/>
    <w:basedOn w:val="Normal"/>
    <w:link w:val="ListParagraphChar"/>
    <w:uiPriority w:val="34"/>
    <w:qFormat/>
    <w:rsid w:val="00010D84"/>
    <w:pPr>
      <w:ind w:left="720"/>
    </w:pPr>
  </w:style>
  <w:style w:type="character" w:customStyle="1" w:styleId="Heading2Char">
    <w:name w:val="Heading 2 Char"/>
    <w:basedOn w:val="DefaultParagraphFont"/>
    <w:link w:val="Heading2"/>
    <w:uiPriority w:val="3"/>
    <w:rsid w:val="009843BA"/>
    <w:rPr>
      <w:rFonts w:asciiTheme="majorHAnsi" w:hAnsiTheme="majorHAnsi"/>
      <w:b/>
      <w:color w:val="117479" w:themeColor="accent2"/>
      <w:sz w:val="24"/>
      <w:szCs w:val="44"/>
    </w:rPr>
  </w:style>
  <w:style w:type="paragraph" w:styleId="TOC1">
    <w:name w:val="toc 1"/>
    <w:basedOn w:val="Normal"/>
    <w:next w:val="Normal"/>
    <w:autoRedefine/>
    <w:uiPriority w:val="39"/>
    <w:rsid w:val="00087D4E"/>
    <w:pPr>
      <w:pBdr>
        <w:bottom w:val="single" w:sz="24" w:space="6" w:color="20B9A3" w:themeColor="background2"/>
        <w:between w:val="single" w:sz="24" w:space="1" w:color="20B9A3" w:themeColor="background2"/>
      </w:pBdr>
      <w:tabs>
        <w:tab w:val="right" w:pos="6577"/>
      </w:tabs>
      <w:spacing w:before="240" w:line="240" w:lineRule="auto"/>
      <w:ind w:right="1758"/>
    </w:pPr>
    <w:rPr>
      <w:b/>
      <w:noProof/>
      <w:color w:val="FFFFFF" w:themeColor="background1"/>
      <w:sz w:val="28"/>
    </w:rPr>
  </w:style>
  <w:style w:type="paragraph" w:styleId="TOC2">
    <w:name w:val="toc 2"/>
    <w:basedOn w:val="Normal"/>
    <w:next w:val="Normal"/>
    <w:autoRedefine/>
    <w:uiPriority w:val="39"/>
    <w:semiHidden/>
    <w:rsid w:val="00135B7E"/>
    <w:pPr>
      <w:tabs>
        <w:tab w:val="right" w:leader="dot" w:pos="7643"/>
      </w:tabs>
      <w:spacing w:before="60" w:after="60" w:line="240" w:lineRule="auto"/>
      <w:ind w:right="567"/>
    </w:pPr>
    <w:rPr>
      <w:noProof/>
    </w:rPr>
  </w:style>
  <w:style w:type="paragraph" w:customStyle="1" w:styleId="TableText">
    <w:name w:val="Table Text"/>
    <w:basedOn w:val="Normal"/>
    <w:uiPriority w:val="49"/>
    <w:qFormat/>
    <w:rsid w:val="00DB5773"/>
    <w:pPr>
      <w:spacing w:after="80" w:line="240" w:lineRule="auto"/>
    </w:pPr>
  </w:style>
  <w:style w:type="character" w:styleId="Emphasis">
    <w:name w:val="Emphasis"/>
    <w:basedOn w:val="DefaultParagraphFont"/>
    <w:uiPriority w:val="1"/>
    <w:rsid w:val="00D92300"/>
    <w:rPr>
      <w:i/>
      <w:iCs/>
    </w:rPr>
  </w:style>
  <w:style w:type="character" w:customStyle="1" w:styleId="Heading6Char">
    <w:name w:val="Heading 6 Char"/>
    <w:basedOn w:val="DefaultParagraphFont"/>
    <w:link w:val="Heading6"/>
    <w:uiPriority w:val="99"/>
    <w:semiHidden/>
    <w:rsid w:val="00160B66"/>
    <w:rPr>
      <w:rFonts w:ascii="Arial" w:hAnsi="Arial"/>
      <w:b/>
      <w:color w:val="3F3F3F" w:themeColor="text1"/>
      <w:szCs w:val="22"/>
    </w:rPr>
  </w:style>
  <w:style w:type="table" w:customStyle="1" w:styleId="DefaultTable">
    <w:name w:val="Default Table"/>
    <w:basedOn w:val="TableNormal"/>
    <w:uiPriority w:val="99"/>
    <w:rsid w:val="00DB5773"/>
    <w:tblPr>
      <w:tblStyleRowBandSize w:val="1"/>
      <w:tblBorders>
        <w:bottom w:val="single" w:sz="4" w:space="0" w:color="808080" w:themeColor="background1" w:themeShade="80"/>
        <w:insideH w:val="single" w:sz="4" w:space="0" w:color="808080" w:themeColor="background1" w:themeShade="80"/>
      </w:tblBorders>
      <w:tblCellMar>
        <w:left w:w="113" w:type="dxa"/>
        <w:bottom w:w="85" w:type="dxa"/>
        <w:right w:w="113" w:type="dxa"/>
      </w:tblCellMar>
    </w:tblPr>
    <w:trPr>
      <w:cantSplit/>
    </w:trPr>
    <w:tcPr>
      <w:shd w:val="clear" w:color="auto" w:fill="F2F2F2" w:themeFill="background1" w:themeFillShade="F2"/>
    </w:tcPr>
    <w:tblStylePr w:type="firstRow">
      <w:pPr>
        <w:jc w:val="left"/>
      </w:pPr>
      <w:rPr>
        <w:b/>
        <w:caps w:val="0"/>
        <w:smallCaps w:val="0"/>
        <w:color w:val="FFFFFF" w:themeColor="background1"/>
        <w:sz w:val="14"/>
      </w:rPr>
      <w:tblPr/>
      <w:tcPr>
        <w:tcBorders>
          <w:top w:val="single" w:sz="4" w:space="0" w:color="142E3B" w:themeColor="accent6"/>
          <w:bottom w:val="single" w:sz="4" w:space="0" w:color="142E3B" w:themeColor="accent6"/>
        </w:tcBorders>
        <w:shd w:val="clear" w:color="auto" w:fill="142E3B" w:themeFill="accent6"/>
      </w:tcPr>
    </w:tblStylePr>
    <w:tblStylePr w:type="firstCol">
      <w:rPr>
        <w:b w:val="0"/>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shd w:val="clear" w:color="auto" w:fill="F2F2F2" w:themeFill="background1" w:themeFillShade="F2"/>
      </w:tcPr>
    </w:tblStylePr>
  </w:style>
  <w:style w:type="paragraph" w:styleId="TOCHeading">
    <w:name w:val="TOC Heading"/>
    <w:basedOn w:val="Heading1"/>
    <w:next w:val="Normal"/>
    <w:uiPriority w:val="39"/>
    <w:rsid w:val="00A10EDE"/>
    <w:pPr>
      <w:pBdr>
        <w:bottom w:val="none" w:sz="0" w:space="0" w:color="auto"/>
      </w:pBdr>
      <w:spacing w:after="720"/>
      <w:outlineLvl w:val="9"/>
    </w:pPr>
    <w:rPr>
      <w:rFonts w:eastAsiaTheme="majorEastAsia" w:cstheme="majorBidi"/>
      <w:bCs/>
      <w:color w:val="FFFFFF" w:themeColor="background1"/>
      <w:szCs w:val="28"/>
    </w:rPr>
  </w:style>
  <w:style w:type="paragraph" w:customStyle="1" w:styleId="SourceNotesText">
    <w:name w:val="Source/Notes Text"/>
    <w:basedOn w:val="Normal"/>
    <w:uiPriority w:val="50"/>
    <w:qFormat/>
    <w:rsid w:val="00BC57FE"/>
    <w:pPr>
      <w:spacing w:line="240" w:lineRule="auto"/>
    </w:pPr>
    <w:rPr>
      <w:sz w:val="18"/>
      <w:szCs w:val="16"/>
    </w:rPr>
  </w:style>
  <w:style w:type="character" w:styleId="Strong">
    <w:name w:val="Strong"/>
    <w:basedOn w:val="DefaultParagraphFont"/>
    <w:rsid w:val="00D45B67"/>
    <w:rPr>
      <w:b/>
      <w:bCs/>
    </w:rPr>
  </w:style>
  <w:style w:type="paragraph" w:customStyle="1" w:styleId="Intro">
    <w:name w:val="Intro"/>
    <w:basedOn w:val="Normal"/>
    <w:next w:val="Normal"/>
    <w:uiPriority w:val="4"/>
    <w:qFormat/>
    <w:rsid w:val="00991ACA"/>
    <w:pPr>
      <w:spacing w:after="240" w:line="360" w:lineRule="atLeast"/>
      <w:contextualSpacing/>
    </w:pPr>
    <w:rPr>
      <w:b/>
      <w:color w:val="auto"/>
      <w:sz w:val="28"/>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60B66"/>
    <w:rPr>
      <w:rFonts w:ascii="Tahoma" w:hAnsi="Tahoma" w:cs="Tahoma"/>
      <w:color w:val="3F3F3F" w:themeColor="text1"/>
      <w:sz w:val="16"/>
      <w:szCs w:val="16"/>
    </w:rPr>
  </w:style>
  <w:style w:type="paragraph" w:styleId="NoSpacing">
    <w:name w:val="No Spacing"/>
    <w:uiPriority w:val="1"/>
    <w:rsid w:val="00406578"/>
    <w:rPr>
      <w:rFonts w:ascii="Arial" w:hAnsi="Arial"/>
      <w:sz w:val="22"/>
      <w:szCs w:val="24"/>
    </w:rPr>
  </w:style>
  <w:style w:type="paragraph" w:styleId="EndnoteText">
    <w:name w:val="endnote text"/>
    <w:basedOn w:val="Normal"/>
    <w:link w:val="EndnoteTextChar"/>
    <w:uiPriority w:val="99"/>
    <w:semiHidden/>
    <w:rsid w:val="00EE265C"/>
    <w:rPr>
      <w:sz w:val="20"/>
      <w:szCs w:val="20"/>
    </w:rPr>
  </w:style>
  <w:style w:type="character" w:customStyle="1" w:styleId="EndnoteTextChar">
    <w:name w:val="Endnote Text Char"/>
    <w:basedOn w:val="DefaultParagraphFont"/>
    <w:link w:val="EndnoteText"/>
    <w:uiPriority w:val="99"/>
    <w:semiHidden/>
    <w:rsid w:val="00160B66"/>
    <w:rPr>
      <w:rFonts w:ascii="Arial" w:hAnsi="Arial"/>
      <w:color w:val="3F3F3F" w:themeColor="text1"/>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uiPriority w:val="99"/>
    <w:semiHidden/>
    <w:rsid w:val="000E39EF"/>
    <w:rPr>
      <w:color w:val="117479" w:themeColor="followedHyperlink"/>
      <w:u w:val="single"/>
    </w:rPr>
  </w:style>
  <w:style w:type="paragraph" w:styleId="Subtitle">
    <w:name w:val="Subtitle"/>
    <w:basedOn w:val="Normal"/>
    <w:link w:val="SubtitleChar"/>
    <w:uiPriority w:val="41"/>
    <w:rsid w:val="00F76137"/>
    <w:pPr>
      <w:numPr>
        <w:ilvl w:val="1"/>
      </w:numPr>
      <w:spacing w:before="0" w:after="0" w:line="240" w:lineRule="auto"/>
    </w:pPr>
    <w:rPr>
      <w:rFonts w:asciiTheme="majorHAnsi" w:eastAsiaTheme="majorEastAsia" w:hAnsiTheme="majorHAnsi" w:cstheme="majorBidi"/>
      <w:iCs/>
      <w:sz w:val="32"/>
    </w:rPr>
  </w:style>
  <w:style w:type="character" w:customStyle="1" w:styleId="SubtitleChar">
    <w:name w:val="Subtitle Char"/>
    <w:basedOn w:val="DefaultParagraphFont"/>
    <w:link w:val="Subtitle"/>
    <w:uiPriority w:val="41"/>
    <w:rsid w:val="00F76137"/>
    <w:rPr>
      <w:rFonts w:asciiTheme="majorHAnsi" w:eastAsiaTheme="majorEastAsia" w:hAnsiTheme="majorHAnsi" w:cstheme="majorBidi"/>
      <w:iCs/>
      <w:color w:val="3F3F3F" w:themeColor="text1"/>
      <w:sz w:val="32"/>
      <w:szCs w:val="24"/>
    </w:rPr>
  </w:style>
  <w:style w:type="paragraph" w:customStyle="1" w:styleId="TableHeading">
    <w:name w:val="Table Heading"/>
    <w:basedOn w:val="Normal"/>
    <w:uiPriority w:val="49"/>
    <w:qFormat/>
    <w:rsid w:val="00E43E48"/>
    <w:pPr>
      <w:spacing w:after="80" w:line="240" w:lineRule="auto"/>
    </w:pPr>
    <w:rPr>
      <w:color w:val="FFFFFF" w:themeColor="background1"/>
    </w:rPr>
  </w:style>
  <w:style w:type="paragraph" w:customStyle="1" w:styleId="FigureHeading">
    <w:name w:val="Figure Heading"/>
    <w:basedOn w:val="Normal"/>
    <w:next w:val="Normal"/>
    <w:uiPriority w:val="48"/>
    <w:qFormat/>
    <w:rsid w:val="004061B4"/>
    <w:pPr>
      <w:keepNext/>
      <w:keepLines/>
      <w:numPr>
        <w:numId w:val="3"/>
      </w:numPr>
      <w:tabs>
        <w:tab w:val="left" w:pos="907"/>
      </w:tabs>
      <w:spacing w:before="240"/>
      <w:contextualSpacing/>
    </w:pPr>
    <w:rPr>
      <w:b/>
      <w:color w:val="auto"/>
      <w:sz w:val="24"/>
    </w:rPr>
  </w:style>
  <w:style w:type="character" w:customStyle="1" w:styleId="UnresolvedMention">
    <w:name w:val="Unresolved Mention"/>
    <w:basedOn w:val="DefaultParagraphFont"/>
    <w:uiPriority w:val="99"/>
    <w:semiHidden/>
    <w:unhideWhenUsed/>
    <w:rsid w:val="00B23F96"/>
    <w:rPr>
      <w:color w:val="808080"/>
      <w:shd w:val="clear" w:color="auto" w:fill="E6E6E6"/>
    </w:rPr>
  </w:style>
  <w:style w:type="paragraph" w:customStyle="1" w:styleId="DisclaimerH1">
    <w:name w:val="Disclaimer H1"/>
    <w:next w:val="Normal"/>
    <w:uiPriority w:val="99"/>
    <w:rsid w:val="001936A7"/>
    <w:pPr>
      <w:pBdr>
        <w:bottom w:val="single" w:sz="24" w:space="31" w:color="20B9A3" w:themeColor="background2"/>
      </w:pBdr>
      <w:spacing w:after="360"/>
      <w:contextualSpacing/>
    </w:pPr>
    <w:rPr>
      <w:rFonts w:asciiTheme="majorHAnsi" w:hAnsiTheme="majorHAnsi"/>
      <w:b/>
      <w:color w:val="F2F2F2" w:themeColor="background1" w:themeShade="F2"/>
      <w:sz w:val="186"/>
      <w:szCs w:val="186"/>
    </w:rPr>
  </w:style>
  <w:style w:type="paragraph" w:customStyle="1" w:styleId="DisclaimerH2">
    <w:name w:val="Disclaimer H2"/>
    <w:basedOn w:val="Normal"/>
    <w:next w:val="Normal"/>
    <w:uiPriority w:val="99"/>
    <w:rsid w:val="00C26A06"/>
    <w:pPr>
      <w:spacing w:before="240"/>
      <w:contextualSpacing/>
    </w:pPr>
    <w:rPr>
      <w:b/>
      <w:color w:val="117479" w:themeColor="accent2"/>
      <w:sz w:val="24"/>
    </w:rPr>
  </w:style>
  <w:style w:type="paragraph" w:customStyle="1" w:styleId="BackPageH1">
    <w:name w:val="Back Page H1"/>
    <w:basedOn w:val="Normal"/>
    <w:next w:val="Normal"/>
    <w:uiPriority w:val="99"/>
    <w:rsid w:val="00F202CA"/>
    <w:pPr>
      <w:spacing w:before="720" w:after="6000" w:line="240" w:lineRule="auto"/>
      <w:contextualSpacing/>
    </w:pPr>
    <w:rPr>
      <w:sz w:val="48"/>
      <w:szCs w:val="48"/>
    </w:rPr>
  </w:style>
  <w:style w:type="paragraph" w:customStyle="1" w:styleId="BackPageH2">
    <w:name w:val="Back Page H2"/>
    <w:basedOn w:val="Normal"/>
    <w:uiPriority w:val="99"/>
    <w:rsid w:val="004A4D74"/>
    <w:rPr>
      <w:b/>
    </w:rPr>
  </w:style>
  <w:style w:type="character" w:styleId="PageNumber">
    <w:name w:val="page number"/>
    <w:basedOn w:val="DefaultParagraphFont"/>
    <w:semiHidden/>
    <w:unhideWhenUsed/>
    <w:rsid w:val="005F219D"/>
    <w:rPr>
      <w:rFonts w:asciiTheme="minorHAnsi" w:hAnsiTheme="minorHAnsi"/>
      <w:b/>
      <w:color w:val="117479" w:themeColor="accent2"/>
      <w:sz w:val="16"/>
    </w:rPr>
  </w:style>
  <w:style w:type="paragraph" w:customStyle="1" w:styleId="LargeH1">
    <w:name w:val="Large H1"/>
    <w:basedOn w:val="Heading1"/>
    <w:next w:val="Normal"/>
    <w:uiPriority w:val="2"/>
    <w:qFormat/>
    <w:rsid w:val="009843BA"/>
    <w:rPr>
      <w:sz w:val="186"/>
      <w:szCs w:val="186"/>
    </w:rPr>
  </w:style>
  <w:style w:type="paragraph" w:styleId="ListNumber">
    <w:name w:val="List Number"/>
    <w:basedOn w:val="Normal"/>
    <w:uiPriority w:val="5"/>
    <w:qFormat/>
    <w:rsid w:val="00BA3176"/>
    <w:pPr>
      <w:numPr>
        <w:numId w:val="2"/>
      </w:numPr>
      <w:ind w:left="357" w:hanging="357"/>
    </w:pPr>
  </w:style>
  <w:style w:type="paragraph" w:customStyle="1" w:styleId="LargeTitle">
    <w:name w:val="Large Title"/>
    <w:basedOn w:val="Title"/>
    <w:uiPriority w:val="40"/>
    <w:rsid w:val="00F76137"/>
    <w:pPr>
      <w:spacing w:after="480"/>
    </w:pPr>
    <w:rPr>
      <w:sz w:val="130"/>
      <w:szCs w:val="130"/>
    </w:rPr>
  </w:style>
  <w:style w:type="character" w:styleId="CommentReference">
    <w:name w:val="annotation reference"/>
    <w:basedOn w:val="DefaultParagraphFont"/>
    <w:uiPriority w:val="99"/>
    <w:semiHidden/>
    <w:unhideWhenUsed/>
    <w:rsid w:val="009C705A"/>
    <w:rPr>
      <w:sz w:val="16"/>
      <w:szCs w:val="16"/>
    </w:rPr>
  </w:style>
  <w:style w:type="paragraph" w:styleId="Date">
    <w:name w:val="Date"/>
    <w:aliases w:val="Date &amp; Web"/>
    <w:basedOn w:val="Normal"/>
    <w:next w:val="Normal"/>
    <w:link w:val="DateChar"/>
    <w:uiPriority w:val="42"/>
    <w:rsid w:val="006E2C89"/>
    <w:pPr>
      <w:spacing w:line="240" w:lineRule="auto"/>
      <w:contextualSpacing/>
    </w:pPr>
    <w:rPr>
      <w:b/>
      <w:color w:val="000000" w:themeColor="text2"/>
    </w:rPr>
  </w:style>
  <w:style w:type="character" w:customStyle="1" w:styleId="DateChar">
    <w:name w:val="Date Char"/>
    <w:aliases w:val="Date &amp; Web Char"/>
    <w:basedOn w:val="DefaultParagraphFont"/>
    <w:link w:val="Date"/>
    <w:uiPriority w:val="42"/>
    <w:rsid w:val="006E2C89"/>
    <w:rPr>
      <w:rFonts w:asciiTheme="minorHAnsi" w:hAnsiTheme="minorHAnsi"/>
      <w:b/>
      <w:color w:val="000000" w:themeColor="text2"/>
      <w:sz w:val="22"/>
      <w:szCs w:val="24"/>
    </w:rPr>
  </w:style>
  <w:style w:type="paragraph" w:styleId="CommentText">
    <w:name w:val="annotation text"/>
    <w:basedOn w:val="Normal"/>
    <w:link w:val="CommentTextChar"/>
    <w:uiPriority w:val="99"/>
    <w:semiHidden/>
    <w:unhideWhenUsed/>
    <w:rsid w:val="009C705A"/>
    <w:pPr>
      <w:spacing w:line="240" w:lineRule="auto"/>
    </w:pPr>
    <w:rPr>
      <w:sz w:val="20"/>
      <w:szCs w:val="20"/>
    </w:rPr>
  </w:style>
  <w:style w:type="character" w:customStyle="1" w:styleId="CommentTextChar">
    <w:name w:val="Comment Text Char"/>
    <w:basedOn w:val="DefaultParagraphFont"/>
    <w:link w:val="CommentText"/>
    <w:uiPriority w:val="99"/>
    <w:semiHidden/>
    <w:rsid w:val="009C705A"/>
    <w:rPr>
      <w:rFonts w:asciiTheme="minorHAnsi" w:hAnsiTheme="minorHAnsi"/>
      <w:color w:val="3F3F3F" w:themeColor="text1"/>
    </w:rPr>
  </w:style>
  <w:style w:type="paragraph" w:styleId="CommentSubject">
    <w:name w:val="annotation subject"/>
    <w:basedOn w:val="CommentText"/>
    <w:next w:val="CommentText"/>
    <w:link w:val="CommentSubjectChar"/>
    <w:uiPriority w:val="99"/>
    <w:semiHidden/>
    <w:unhideWhenUsed/>
    <w:rsid w:val="009C705A"/>
    <w:rPr>
      <w:b/>
      <w:bCs/>
    </w:rPr>
  </w:style>
  <w:style w:type="character" w:customStyle="1" w:styleId="CommentSubjectChar">
    <w:name w:val="Comment Subject Char"/>
    <w:basedOn w:val="CommentTextChar"/>
    <w:link w:val="CommentSubject"/>
    <w:uiPriority w:val="99"/>
    <w:semiHidden/>
    <w:rsid w:val="009C705A"/>
    <w:rPr>
      <w:rFonts w:asciiTheme="minorHAnsi" w:hAnsiTheme="minorHAnsi"/>
      <w:b/>
      <w:bCs/>
      <w:color w:val="3F3F3F" w:themeColor="text1"/>
    </w:rPr>
  </w:style>
  <w:style w:type="character" w:customStyle="1" w:styleId="TitleChar">
    <w:name w:val="Title Char"/>
    <w:aliases w:val="Small Title Char"/>
    <w:basedOn w:val="DefaultParagraphFont"/>
    <w:link w:val="Title"/>
    <w:uiPriority w:val="40"/>
    <w:rsid w:val="007D0FC7"/>
    <w:rPr>
      <w:rFonts w:asciiTheme="majorHAnsi" w:hAnsiTheme="majorHAnsi" w:cs="Arial"/>
      <w:b/>
      <w:bCs/>
      <w:kern w:val="28"/>
      <w:sz w:val="70"/>
      <w:szCs w:val="32"/>
    </w:rPr>
  </w:style>
  <w:style w:type="paragraph" w:customStyle="1" w:styleId="BETABody">
    <w:name w:val="BETA Body"/>
    <w:basedOn w:val="Normal"/>
    <w:link w:val="BETABodyChar"/>
    <w:qFormat/>
    <w:rsid w:val="00CE6EED"/>
    <w:pPr>
      <w:spacing w:before="0" w:after="160"/>
    </w:pPr>
    <w:rPr>
      <w:rFonts w:ascii="Helvetica" w:hAnsi="Helvetica"/>
      <w:color w:val="404040"/>
    </w:rPr>
  </w:style>
  <w:style w:type="character" w:customStyle="1" w:styleId="BETABodyChar">
    <w:name w:val="BETA Body Char"/>
    <w:basedOn w:val="DefaultParagraphFont"/>
    <w:link w:val="BETABody"/>
    <w:rsid w:val="00CE6EED"/>
    <w:rPr>
      <w:rFonts w:ascii="Helvetica" w:hAnsi="Helvetica"/>
      <w:color w:val="404040"/>
      <w:sz w:val="22"/>
      <w:szCs w:val="24"/>
    </w:rPr>
  </w:style>
  <w:style w:type="character" w:customStyle="1" w:styleId="ListParagraphChar">
    <w:name w:val="List Paragraph Char"/>
    <w:aliases w:val="Resp codes Char,Neg Numbering Char,Bullet Char,Recommendation Char"/>
    <w:basedOn w:val="DefaultParagraphFont"/>
    <w:link w:val="ListParagraph"/>
    <w:uiPriority w:val="34"/>
    <w:rsid w:val="00462215"/>
    <w:rPr>
      <w:rFonts w:asciiTheme="minorHAnsi" w:hAnsiTheme="minorHAnsi"/>
      <w:color w:val="3F3F3F" w:themeColor="text1"/>
      <w:sz w:val="22"/>
      <w:szCs w:val="24"/>
    </w:rPr>
  </w:style>
  <w:style w:type="character" w:customStyle="1" w:styleId="Heading1Char">
    <w:name w:val="Heading 1 Char"/>
    <w:aliases w:val="Small H1 Char"/>
    <w:basedOn w:val="DefaultParagraphFont"/>
    <w:link w:val="Heading1"/>
    <w:rsid w:val="009749F2"/>
    <w:rPr>
      <w:rFonts w:asciiTheme="majorHAnsi" w:hAnsiTheme="majorHAnsi"/>
      <w:b/>
      <w:sz w:val="80"/>
      <w:szCs w:val="44"/>
    </w:rPr>
  </w:style>
  <w:style w:type="paragraph" w:styleId="Caption">
    <w:name w:val="caption"/>
    <w:basedOn w:val="Normal"/>
    <w:next w:val="Normal"/>
    <w:uiPriority w:val="35"/>
    <w:unhideWhenUsed/>
    <w:qFormat/>
    <w:rsid w:val="001A4064"/>
    <w:pPr>
      <w:spacing w:before="0" w:after="200" w:line="240" w:lineRule="auto"/>
    </w:pPr>
    <w:rPr>
      <w:rFonts w:eastAsiaTheme="minorHAnsi" w:cstheme="minorBidi"/>
      <w:i/>
      <w:iCs/>
      <w:color w:val="000000" w:themeColor="text2"/>
      <w:sz w:val="18"/>
      <w:szCs w:val="18"/>
      <w:lang w:eastAsia="en-US"/>
    </w:rPr>
  </w:style>
  <w:style w:type="paragraph" w:styleId="NormalWeb">
    <w:name w:val="Normal (Web)"/>
    <w:basedOn w:val="Normal"/>
    <w:uiPriority w:val="99"/>
    <w:semiHidden/>
    <w:unhideWhenUsed/>
    <w:rsid w:val="009A7EB9"/>
    <w:pPr>
      <w:spacing w:before="100" w:beforeAutospacing="1" w:after="100" w:afterAutospacing="1" w:line="240" w:lineRule="auto"/>
    </w:pPr>
    <w:rPr>
      <w:rFonts w:ascii="Times New Roman" w:eastAsiaTheme="minorEastAsia" w:hAnsi="Times New Roman"/>
      <w:color w:val="auto"/>
      <w:sz w:val="24"/>
    </w:rPr>
  </w:style>
  <w:style w:type="character" w:customStyle="1" w:styleId="FooterChar">
    <w:name w:val="Footer Char"/>
    <w:basedOn w:val="DefaultParagraphFont"/>
    <w:link w:val="Footer"/>
    <w:uiPriority w:val="99"/>
    <w:rsid w:val="00831A88"/>
    <w:rPr>
      <w:rFonts w:asciiTheme="minorHAnsi" w:hAnsiTheme="minorHAnsi"/>
      <w:color w:val="3F3F3F" w:themeColor="text1"/>
      <w:sz w:val="14"/>
      <w:szCs w:val="24"/>
    </w:rPr>
  </w:style>
  <w:style w:type="character" w:styleId="PlaceholderText">
    <w:name w:val="Placeholder Text"/>
    <w:basedOn w:val="DefaultParagraphFont"/>
    <w:uiPriority w:val="99"/>
    <w:semiHidden/>
    <w:rsid w:val="002B3F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47948">
      <w:bodyDiv w:val="1"/>
      <w:marLeft w:val="0"/>
      <w:marRight w:val="0"/>
      <w:marTop w:val="0"/>
      <w:marBottom w:val="0"/>
      <w:divBdr>
        <w:top w:val="none" w:sz="0" w:space="0" w:color="auto"/>
        <w:left w:val="none" w:sz="0" w:space="0" w:color="auto"/>
        <w:bottom w:val="none" w:sz="0" w:space="0" w:color="auto"/>
        <w:right w:val="none" w:sz="0" w:space="0" w:color="auto"/>
      </w:divBdr>
    </w:div>
    <w:div w:id="387340405">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846238516">
      <w:bodyDiv w:val="1"/>
      <w:marLeft w:val="0"/>
      <w:marRight w:val="0"/>
      <w:marTop w:val="0"/>
      <w:marBottom w:val="0"/>
      <w:divBdr>
        <w:top w:val="none" w:sz="0" w:space="0" w:color="auto"/>
        <w:left w:val="none" w:sz="0" w:space="0" w:color="auto"/>
        <w:bottom w:val="none" w:sz="0" w:space="0" w:color="auto"/>
        <w:right w:val="none" w:sz="0" w:space="0" w:color="auto"/>
      </w:divBdr>
    </w:div>
    <w:div w:id="1964771939">
      <w:bodyDiv w:val="1"/>
      <w:marLeft w:val="0"/>
      <w:marRight w:val="0"/>
      <w:marTop w:val="0"/>
      <w:marBottom w:val="0"/>
      <w:divBdr>
        <w:top w:val="none" w:sz="0" w:space="0" w:color="auto"/>
        <w:left w:val="none" w:sz="0" w:space="0" w:color="auto"/>
        <w:bottom w:val="none" w:sz="0" w:space="0" w:color="auto"/>
        <w:right w:val="none" w:sz="0" w:space="0" w:color="auto"/>
      </w:divBdr>
    </w:div>
    <w:div w:id="1992638012">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ss.gov.au/communities-and-vulnerable-people-programs-services-gambling/national-consumer-protection-framework-for-online-wagering-national-policy-statement" TargetMode="Externa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ETA">
      <a:dk1>
        <a:srgbClr val="3F3F3F"/>
      </a:dk1>
      <a:lt1>
        <a:sysClr val="window" lastClr="FFFFFF"/>
      </a:lt1>
      <a:dk2>
        <a:srgbClr val="000000"/>
      </a:dk2>
      <a:lt2>
        <a:srgbClr val="20B9A3"/>
      </a:lt2>
      <a:accent1>
        <a:srgbClr val="2158A8"/>
      </a:accent1>
      <a:accent2>
        <a:srgbClr val="117479"/>
      </a:accent2>
      <a:accent3>
        <a:srgbClr val="8D734A"/>
      </a:accent3>
      <a:accent4>
        <a:srgbClr val="9F2234"/>
      </a:accent4>
      <a:accent5>
        <a:srgbClr val="6D6E71"/>
      </a:accent5>
      <a:accent6>
        <a:srgbClr val="142E3B"/>
      </a:accent6>
      <a:hlink>
        <a:srgbClr val="117479"/>
      </a:hlink>
      <a:folHlink>
        <a:srgbClr val="117479"/>
      </a:folHlink>
    </a:clrScheme>
    <a:fontScheme name="BET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16B95156DCD04D953F50914F23662E" ma:contentTypeVersion="26" ma:contentTypeDescription="Create a new document." ma:contentTypeScope="" ma:versionID="9b5c10c07c411b4bd1de0bd71909b3bf">
  <xsd:schema xmlns:xsd="http://www.w3.org/2001/XMLSchema" xmlns:xs="http://www.w3.org/2001/XMLSchema" xmlns:p="http://schemas.microsoft.com/office/2006/metadata/properties" xmlns:ns1="http://schemas.microsoft.com/sharepoint/v3" xmlns:ns2="d0dfa800-9ef0-44cb-8a12-633e29de1e0b" xmlns:ns3="e771ab56-0c5d-40e7-b080-2686d2b89623" xmlns:ns4="631b17cb-7e05-4b62-a9e3-205a319faa46" targetNamespace="http://schemas.microsoft.com/office/2006/metadata/properties" ma:root="true" ma:fieldsID="61d04d7efde089c9098b02c2be8c002d" ns1:_="" ns2:_="" ns3:_="" ns4:_="">
    <xsd:import namespace="http://schemas.microsoft.com/sharepoint/v3"/>
    <xsd:import namespace="d0dfa800-9ef0-44cb-8a12-633e29de1e0b"/>
    <xsd:import namespace="e771ab56-0c5d-40e7-b080-2686d2b89623"/>
    <xsd:import namespace="631b17cb-7e05-4b62-a9e3-205a319faa46"/>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b17cb-7e05-4b62-a9e3-205a319faa4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HubID xmlns="e771ab56-0c5d-40e7-b080-2686d2b89623">DOC20-355127</ShareHubID>
    <TaxCatchAll xmlns="d0dfa800-9ef0-44cb-8a12-633e29de1e0b">
      <Value>1</Value>
    </TaxCatchAll>
    <TaxKeywordTaxHTField xmlns="d0dfa800-9ef0-44cb-8a12-633e29de1e0b">
      <Terms xmlns="http://schemas.microsoft.com/office/infopath/2007/PartnerControls"/>
    </TaxKeywordTaxHTField>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PMCdoc-213507164-64645</_dlc_DocId>
    <_dlc_DocIdUrl xmlns="d0dfa800-9ef0-44cb-8a12-633e29de1e0b">
      <Url>https://pmc01.sharepoint.com/sites/pmc-ms-cb/_layouts/15/DocIdRedir.aspx?ID=PMCdoc-213507164-64645</Url>
      <Description>PMCdoc-213507164-64645</Description>
    </_dlc_DocIdUrl>
    <lcf76f155ced4ddcb4097134ff3c332f xmlns="631b17cb-7e05-4b62-a9e3-205a319faa4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8A55501-9218-4D03-B4AB-1C93765039A9}">
  <ds:schemaRefs>
    <ds:schemaRef ds:uri="http://schemas.microsoft.com/sharepoint/v3/contenttype/forms"/>
  </ds:schemaRefs>
</ds:datastoreItem>
</file>

<file path=customXml/itemProps2.xml><?xml version="1.0" encoding="utf-8"?>
<ds:datastoreItem xmlns:ds="http://schemas.openxmlformats.org/officeDocument/2006/customXml" ds:itemID="{C7076104-789B-419E-B1F5-10DFA77A6EA9}"/>
</file>

<file path=customXml/itemProps3.xml><?xml version="1.0" encoding="utf-8"?>
<ds:datastoreItem xmlns:ds="http://schemas.openxmlformats.org/officeDocument/2006/customXml" ds:itemID="{FC9244B2-0D0C-4851-B9FD-1A50C085615B}">
  <ds:schemaRefs>
    <ds:schemaRef ds:uri="http://schemas.microsoft.com/office/2006/metadata/properties"/>
    <ds:schemaRef ds:uri="http://schemas.microsoft.com/office/infopath/2007/PartnerControls"/>
    <ds:schemaRef ds:uri="35c4ed8a-af79-46b6-bfac-d65ce1a372e5"/>
    <ds:schemaRef ds:uri="685f9fda-bd71-4433-b331-92feb9553089"/>
  </ds:schemaRefs>
</ds:datastoreItem>
</file>

<file path=customXml/itemProps4.xml><?xml version="1.0" encoding="utf-8"?>
<ds:datastoreItem xmlns:ds="http://schemas.openxmlformats.org/officeDocument/2006/customXml" ds:itemID="{FA3F2904-84FE-4A3E-9384-A3B42AD104CB}">
  <ds:schemaRefs>
    <ds:schemaRef ds:uri="http://schemas.openxmlformats.org/officeDocument/2006/bibliography"/>
  </ds:schemaRefs>
</ds:datastoreItem>
</file>

<file path=customXml/itemProps5.xml><?xml version="1.0" encoding="utf-8"?>
<ds:datastoreItem xmlns:ds="http://schemas.openxmlformats.org/officeDocument/2006/customXml" ds:itemID="{CBE5107B-06B5-4EEF-B26B-F5779584C734}"/>
</file>

<file path=docProps/app.xml><?xml version="1.0" encoding="utf-8"?>
<Properties xmlns="http://schemas.openxmlformats.org/officeDocument/2006/extended-properties" xmlns:vt="http://schemas.openxmlformats.org/officeDocument/2006/docPropsVTypes">
  <Template>Normal.dotm</Template>
  <TotalTime>10</TotalTime>
  <Pages>10</Pages>
  <Words>3325</Words>
  <Characters>18957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Pre-Analysis Plan: Online Wagering</dc:title>
  <dc:creator/>
  <cp:lastModifiedBy>Carnovale, Nick</cp:lastModifiedBy>
  <cp:revision>4</cp:revision>
  <cp:lastPrinted>2020-02-04T22:12:00Z</cp:lastPrinted>
  <dcterms:created xsi:type="dcterms:W3CDTF">2020-12-09T22:58:00Z</dcterms:created>
  <dcterms:modified xsi:type="dcterms:W3CDTF">2020-12-11T00:18:00Z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0x0101009816B95156DCD04D953F50914F23662E</vt:lpwstr>
  </property>
  <property fmtid="{D5CDD505-2E9C-101B-9397-08002B2CF9AE}" pid="3" name="HPRMSecurityLevel">
    <vt:lpwstr>1;#UNCLASSIFIED|9c49a7c7-17c7-412f-8077-62dec89b9196</vt:lpwstr>
  </property>
  <property fmtid="{D5CDD505-2E9C-101B-9397-08002B2CF9AE}" pid="4" name="HPRMSecurityCaveat">
    <vt:lpwstr/>
  </property>
  <property fmtid="{D5CDD505-2E9C-101B-9397-08002B2CF9AE}" pid="5" name="ESearchTags">
    <vt:lpwstr>21;#Election|4090d51f-fccc-4f41-80dd-86270166a8a3</vt:lpwstr>
  </property>
  <property fmtid="{D5CDD505-2E9C-101B-9397-08002B2CF9AE}" pid="6" name="PMC.ESearch.TagGeneratedTime">
    <vt:lpwstr>2020-12-03T16:11:43</vt:lpwstr>
  </property>
  <property fmtid="{D5CDD505-2E9C-101B-9397-08002B2CF9AE}" pid="7" name="SecurityClassification">
    <vt:i4>1</vt:i4>
  </property>
  <property fmtid="{D5CDD505-2E9C-101B-9397-08002B2CF9AE}" pid="8" name="_dlc_DocIdItemGuid">
    <vt:lpwstr>8770d31f-e98d-49a1-a69e-13220600be6f</vt:lpwstr>
  </property>
</Properties>
</file>