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2CF67AD7" w:rsidR="004B4BC0" w:rsidRPr="00BB55FD" w:rsidRDefault="00E74E0D" w:rsidP="00087D4E">
      <w:pPr>
        <w:pStyle w:val="Heading1"/>
        <w:rPr>
          <w:sz w:val="36"/>
          <w:szCs w:val="36"/>
        </w:rPr>
      </w:pPr>
      <w:r w:rsidRPr="00BB55FD">
        <w:rPr>
          <w:sz w:val="36"/>
          <w:szCs w:val="36"/>
        </w:rPr>
        <w:t xml:space="preserve">Pre-analysis plan: </w:t>
      </w:r>
      <w:r w:rsidR="00BB55FD" w:rsidRPr="00BB55FD">
        <w:rPr>
          <w:sz w:val="36"/>
          <w:szCs w:val="36"/>
        </w:rPr>
        <w:t>Increasing participation in the Adult Migrant English Program</w:t>
      </w:r>
      <w:r w:rsidR="00BA1F5B">
        <w:rPr>
          <w:sz w:val="36"/>
          <w:szCs w:val="36"/>
        </w:rPr>
        <w:t xml:space="preserve"> </w:t>
      </w:r>
      <w:r w:rsidR="00D2368C">
        <w:rPr>
          <w:sz w:val="36"/>
          <w:szCs w:val="36"/>
        </w:rPr>
        <w:t xml:space="preserve">–potential </w:t>
      </w:r>
      <w:r w:rsidR="00BA1F5B">
        <w:rPr>
          <w:sz w:val="36"/>
          <w:szCs w:val="36"/>
        </w:rPr>
        <w:t>students</w:t>
      </w:r>
    </w:p>
    <w:p w14:paraId="4D394743" w14:textId="49E964E9" w:rsidR="00E74E0D" w:rsidRDefault="00E74E0D" w:rsidP="00E74E0D">
      <w:pPr>
        <w:pStyle w:val="Heading2"/>
      </w:pPr>
      <w:r w:rsidRPr="00E74E0D">
        <w:t>Policy problem</w:t>
      </w:r>
    </w:p>
    <w:p w14:paraId="31686D3E" w14:textId="709CDFB2" w:rsidR="00FF29CA" w:rsidRDefault="00F445F5" w:rsidP="00F445F5">
      <w:r w:rsidRPr="00803AA9">
        <w:t xml:space="preserve">The Adult Migrant English Program (AMEP) is a </w:t>
      </w:r>
      <w:r w:rsidR="00266156">
        <w:t>government-funded</w:t>
      </w:r>
      <w:r w:rsidRPr="00803AA9">
        <w:t xml:space="preserve"> program for all permanent visa holders and some temporary visa holders who </w:t>
      </w:r>
      <w:r w:rsidR="00B8172B">
        <w:t>have</w:t>
      </w:r>
      <w:r w:rsidR="00BA1F5B">
        <w:t xml:space="preserve"> less than a voca</w:t>
      </w:r>
      <w:r w:rsidRPr="00803AA9">
        <w:t xml:space="preserve">tional level of English. Not all people </w:t>
      </w:r>
      <w:r>
        <w:t>who are eligible for the AMEP</w:t>
      </w:r>
      <w:r w:rsidRPr="00803AA9">
        <w:t xml:space="preserve"> participate in it. </w:t>
      </w:r>
      <w:r w:rsidR="00FE5C6F">
        <w:t>The Department of Home Affairs commissioned BETA to increase participation in the program.</w:t>
      </w:r>
      <w:r w:rsidR="00CA0F8C">
        <w:t xml:space="preserve"> </w:t>
      </w:r>
    </w:p>
    <w:p w14:paraId="5CF171DF" w14:textId="77777777" w:rsidR="00FF29CA" w:rsidRDefault="00FF29CA" w:rsidP="00ED52F3">
      <w:pPr>
        <w:pStyle w:val="Heading2"/>
      </w:pPr>
      <w:r>
        <w:t>Trial aim</w:t>
      </w:r>
    </w:p>
    <w:p w14:paraId="59ABD2F8" w14:textId="1D73C2BD" w:rsidR="00CA0FED" w:rsidRDefault="00CA0F8C" w:rsidP="00BD2601">
      <w:r>
        <w:t xml:space="preserve">This trial aims to </w:t>
      </w:r>
      <w:r w:rsidR="00CA0FED">
        <w:t xml:space="preserve">test the effectiveness of letters and emails in English and home languages for </w:t>
      </w:r>
      <w:r>
        <w:t>increas</w:t>
      </w:r>
      <w:r w:rsidR="00CA0FED">
        <w:t>ing</w:t>
      </w:r>
      <w:r w:rsidR="00AD16C4">
        <w:t xml:space="preserve"> participation among</w:t>
      </w:r>
      <w:r>
        <w:t xml:space="preserve"> eligible people who have never engaged with the </w:t>
      </w:r>
      <w:r w:rsidR="00CA0FED">
        <w:t>AMEP</w:t>
      </w:r>
      <w:r>
        <w:t>.</w:t>
      </w:r>
      <w:r w:rsidR="00FF29CA">
        <w:t xml:space="preserve"> </w:t>
      </w:r>
      <w:r w:rsidR="00CA0FED">
        <w:t>Previously</w:t>
      </w:r>
      <w:r w:rsidR="002E1418">
        <w:t>,</w:t>
      </w:r>
      <w:r w:rsidR="00CA0FED">
        <w:t xml:space="preserve"> </w:t>
      </w:r>
      <w:r w:rsidR="00BD2601">
        <w:t>new migrants had</w:t>
      </w:r>
      <w:r w:rsidR="00CA0FED">
        <w:t xml:space="preserve"> to enrol </w:t>
      </w:r>
      <w:r w:rsidR="00BD2601">
        <w:t xml:space="preserve">in the AMEP within six months of arrival and begin classes within 12 months. New legislation, </w:t>
      </w:r>
      <w:r w:rsidR="00266156">
        <w:t>which took effect in April 2021</w:t>
      </w:r>
      <w:r w:rsidR="00BD2601">
        <w:t>, removed the timeframes for registration for those in Australia on or before 1 October 2020</w:t>
      </w:r>
      <w:r w:rsidR="00266156">
        <w:t>. T</w:t>
      </w:r>
      <w:r w:rsidR="00BD2601">
        <w:t xml:space="preserve">his </w:t>
      </w:r>
      <w:r w:rsidR="002E1418">
        <w:t>provides</w:t>
      </w:r>
      <w:r w:rsidR="00BD2601">
        <w:t xml:space="preserve"> migrants who didn't enrol when they first arrived </w:t>
      </w:r>
      <w:r w:rsidR="002E1418">
        <w:t xml:space="preserve">in Australia </w:t>
      </w:r>
      <w:r w:rsidR="00BD2601">
        <w:t>a second chance to join the AMEP and learn English.</w:t>
      </w:r>
    </w:p>
    <w:p w14:paraId="04828B6B" w14:textId="38D83C25" w:rsidR="00F445F5" w:rsidRPr="004D4731" w:rsidRDefault="00CA0F8C" w:rsidP="00F445F5">
      <w:r>
        <w:t xml:space="preserve">The research will </w:t>
      </w:r>
      <w:r w:rsidR="00ED52F3">
        <w:t xml:space="preserve">focus on </w:t>
      </w:r>
      <w:r>
        <w:t xml:space="preserve">speakers of </w:t>
      </w:r>
      <w:r w:rsidRPr="004D4731">
        <w:t xml:space="preserve">Mandarin, Cantonese, Vietnamese and Arabic </w:t>
      </w:r>
      <w:r>
        <w:t>i</w:t>
      </w:r>
      <w:r w:rsidR="00F910D1">
        <w:t>n four service provider regions which cover</w:t>
      </w:r>
      <w:r>
        <w:t xml:space="preserve"> 85 per cent of AMEP students. </w:t>
      </w:r>
      <w:r w:rsidR="00F445F5" w:rsidRPr="004D4731">
        <w:t>The</w:t>
      </w:r>
      <w:r>
        <w:t>se four language groups self-identified in the 2016 census</w:t>
      </w:r>
      <w:r w:rsidR="00F445F5" w:rsidRPr="004D4731">
        <w:t xml:space="preserve"> </w:t>
      </w:r>
      <w:r>
        <w:t>as having lower levels of English proficiency</w:t>
      </w:r>
      <w:r w:rsidR="006A08F0">
        <w:t>. These languages</w:t>
      </w:r>
      <w:r w:rsidR="00F910D1">
        <w:t xml:space="preserve"> </w:t>
      </w:r>
      <w:r w:rsidR="00F445F5" w:rsidRPr="004D4731">
        <w:t xml:space="preserve">are </w:t>
      </w:r>
      <w:r w:rsidR="00F910D1">
        <w:t>highly</w:t>
      </w:r>
      <w:r w:rsidR="00F445F5" w:rsidRPr="004D4731">
        <w:t xml:space="preserve"> linguistically different to English which is likely to result in it being harder for speakers of these languages to learn English</w:t>
      </w:r>
      <w:r w:rsidR="00443312">
        <w:rPr>
          <w:rStyle w:val="FootnoteReference"/>
        </w:rPr>
        <w:footnoteReference w:id="1"/>
      </w:r>
      <w:r w:rsidR="00F445F5" w:rsidRPr="004D4731">
        <w:t xml:space="preserve">. </w:t>
      </w:r>
    </w:p>
    <w:p w14:paraId="4D54185F" w14:textId="07C58177" w:rsidR="00F445F5" w:rsidRDefault="0073219D" w:rsidP="00F445F5">
      <w:r>
        <w:t>The trial will involve sending letters</w:t>
      </w:r>
      <w:r w:rsidR="002D39F8">
        <w:t xml:space="preserve"> and emails</w:t>
      </w:r>
      <w:r>
        <w:t xml:space="preserve"> to people from the </w:t>
      </w:r>
      <w:r w:rsidRPr="00460AF2">
        <w:t>four</w:t>
      </w:r>
      <w:r>
        <w:t xml:space="preserve"> language groups identified above, who have eligible visas and have never enrolled in the AMEP. </w:t>
      </w:r>
      <w:r w:rsidR="006A08F0">
        <w:t>The messages will be sent in English or participants’ home languages.</w:t>
      </w:r>
    </w:p>
    <w:p w14:paraId="115229A6" w14:textId="2A3C7E6D" w:rsidR="0073219D" w:rsidRPr="00803AA9" w:rsidRDefault="0073219D" w:rsidP="00ED52F3">
      <w:pPr>
        <w:pStyle w:val="Heading2"/>
      </w:pPr>
      <w:r>
        <w:t>Research question</w:t>
      </w:r>
    </w:p>
    <w:p w14:paraId="41F55116" w14:textId="2B047785" w:rsidR="00F445F5" w:rsidRDefault="0073219D" w:rsidP="005F1BAC">
      <w:r>
        <w:t xml:space="preserve">Do </w:t>
      </w:r>
      <w:r w:rsidR="00F445F5" w:rsidRPr="00803AA9">
        <w:t>letters</w:t>
      </w:r>
      <w:r w:rsidR="002D39F8">
        <w:t xml:space="preserve"> and emails</w:t>
      </w:r>
      <w:r w:rsidR="00450413">
        <w:t xml:space="preserve"> in participants’ home</w:t>
      </w:r>
      <w:r w:rsidR="00647B32">
        <w:t xml:space="preserve"> language</w:t>
      </w:r>
      <w:r w:rsidR="00F445F5" w:rsidRPr="00803AA9">
        <w:t xml:space="preserve"> increase participation in the Adult Migrant English Program</w:t>
      </w:r>
      <w:r>
        <w:t xml:space="preserve"> compared with letters </w:t>
      </w:r>
      <w:r w:rsidR="00117462">
        <w:t xml:space="preserve">and emails </w:t>
      </w:r>
      <w:r>
        <w:t>in English</w:t>
      </w:r>
      <w:r w:rsidR="00F445F5" w:rsidRPr="00803AA9">
        <w:t>?</w:t>
      </w:r>
    </w:p>
    <w:p w14:paraId="3D414224" w14:textId="164055A6" w:rsidR="00E74E0D" w:rsidRDefault="00E74E0D" w:rsidP="00E74E0D">
      <w:pPr>
        <w:pStyle w:val="Heading2"/>
      </w:pPr>
      <w:r w:rsidRPr="00E74E0D">
        <w:lastRenderedPageBreak/>
        <w:t xml:space="preserve">Interventions </w:t>
      </w:r>
    </w:p>
    <w:p w14:paraId="0DAFCF24" w14:textId="0A7337D7" w:rsidR="00DE0EFE" w:rsidRDefault="002F2EC2" w:rsidP="00DE0EFE">
      <w:r>
        <w:t>We</w:t>
      </w:r>
      <w:r w:rsidR="00DE0EFE" w:rsidRPr="00803AA9">
        <w:t xml:space="preserve"> will send </w:t>
      </w:r>
      <w:r w:rsidR="00512AAF">
        <w:t>letters and emails</w:t>
      </w:r>
      <w:r w:rsidR="00DE0EFE" w:rsidRPr="00803AA9">
        <w:t xml:space="preserve"> to speakers of </w:t>
      </w:r>
      <w:r w:rsidR="00DE0EFE" w:rsidRPr="00460AF2">
        <w:t>Mandarin, Cantonese</w:t>
      </w:r>
      <w:r w:rsidR="00DE0EFE" w:rsidRPr="00803AA9">
        <w:t xml:space="preserve">, Vietnamese and Arabic who </w:t>
      </w:r>
      <w:r>
        <w:t xml:space="preserve">are eligible for the AMEP and </w:t>
      </w:r>
      <w:r w:rsidR="00DE0EFE" w:rsidRPr="00803AA9">
        <w:t>have never enrolled</w:t>
      </w:r>
      <w:r w:rsidR="008E6D2E">
        <w:t>.</w:t>
      </w:r>
    </w:p>
    <w:p w14:paraId="5C637129" w14:textId="2D2C81F6" w:rsidR="000822E9" w:rsidRDefault="00ED52F3" w:rsidP="002F2EC2">
      <w:r w:rsidRPr="00ED52F3">
        <w:t>The</w:t>
      </w:r>
      <w:r w:rsidR="002F2EC2">
        <w:t xml:space="preserve">re will be one independent variable, </w:t>
      </w:r>
      <w:r>
        <w:t>Language</w:t>
      </w:r>
      <w:r w:rsidRPr="00ED52F3">
        <w:t xml:space="preserve"> - </w:t>
      </w:r>
      <w:r w:rsidR="009F4F03">
        <w:t>p</w:t>
      </w:r>
      <w:r>
        <w:t>articipants will be randomly assigned to receive</w:t>
      </w:r>
      <w:r w:rsidRPr="00803AA9">
        <w:t xml:space="preserve"> letters</w:t>
      </w:r>
      <w:r>
        <w:t xml:space="preserve"> and emails</w:t>
      </w:r>
      <w:r w:rsidRPr="00803AA9">
        <w:t xml:space="preserve"> </w:t>
      </w:r>
      <w:r>
        <w:t>in either</w:t>
      </w:r>
      <w:r w:rsidRPr="00803AA9">
        <w:t xml:space="preserve"> their </w:t>
      </w:r>
      <w:r w:rsidR="00D47864">
        <w:t xml:space="preserve">home </w:t>
      </w:r>
      <w:r w:rsidRPr="00803AA9">
        <w:t>language</w:t>
      </w:r>
      <w:r>
        <w:t xml:space="preserve"> or English</w:t>
      </w:r>
      <w:r w:rsidR="002F2EC2">
        <w:t>.</w:t>
      </w:r>
      <w:r w:rsidRPr="00ED52F3">
        <w:t xml:space="preserve"> </w:t>
      </w:r>
    </w:p>
    <w:p w14:paraId="68F8889B" w14:textId="77777777" w:rsidR="00025AFF" w:rsidRPr="00E74E0D" w:rsidRDefault="00025AFF" w:rsidP="00025AFF">
      <w:pPr>
        <w:pStyle w:val="Heading2"/>
      </w:pPr>
      <w:r>
        <w:t>O</w:t>
      </w:r>
      <w:r w:rsidRPr="00E74E0D">
        <w:t>utcome measures</w:t>
      </w:r>
    </w:p>
    <w:p w14:paraId="219D8823" w14:textId="50C1BD41" w:rsidR="00025AFF" w:rsidRDefault="00025AFF" w:rsidP="00025AFF">
      <w:r>
        <w:t>The primary outcome measure is enrolments in the AMEP</w:t>
      </w:r>
      <w:r w:rsidR="00F17120">
        <w:t>, as measured by registration date</w:t>
      </w:r>
      <w:r>
        <w:t xml:space="preserve">. We will be measuring whether people who receive the letters and emails </w:t>
      </w:r>
      <w:r w:rsidR="00F17120">
        <w:t>register</w:t>
      </w:r>
      <w:r>
        <w:t xml:space="preserve"> </w:t>
      </w:r>
      <w:r w:rsidR="00F17120">
        <w:t>before the end of March 2022</w:t>
      </w:r>
      <w:r>
        <w:t>. T</w:t>
      </w:r>
      <w:r w:rsidR="00CC5355">
        <w:t>he outcome measure</w:t>
      </w:r>
      <w:r>
        <w:t xml:space="preserve"> is binary. Participants either did (1) or did not (0) enrol. </w:t>
      </w:r>
      <w:r w:rsidR="003E0020" w:rsidRPr="003E0020">
        <w:t>From this binary measure we will calculate sample proportions.</w:t>
      </w:r>
    </w:p>
    <w:p w14:paraId="3386579B" w14:textId="3EB5A308" w:rsidR="00CC5355" w:rsidRPr="00E74E0D" w:rsidRDefault="00CC5355" w:rsidP="00025AFF">
      <w:r w:rsidRPr="00CC5355">
        <w:t xml:space="preserve">The secondary outcome will be the proportion of participants who click on the link embedded in the </w:t>
      </w:r>
      <w:r>
        <w:t>email or type the link in from the letter</w:t>
      </w:r>
      <w:r w:rsidRPr="00CC5355">
        <w:t>. We will not have individual-level data for this outcome, but we will compare proportions for each group.</w:t>
      </w:r>
    </w:p>
    <w:p w14:paraId="532AB798" w14:textId="47878AC3" w:rsidR="00ED52F3" w:rsidRDefault="0049139A" w:rsidP="00860C51">
      <w:pPr>
        <w:pStyle w:val="Heading2"/>
      </w:pPr>
      <w:r>
        <w:t>Hypothesi</w:t>
      </w:r>
      <w:r w:rsidR="00ED52F3">
        <w:t>s</w:t>
      </w:r>
    </w:p>
    <w:p w14:paraId="6C2A27D4" w14:textId="5B47EF91" w:rsidR="00025AFF" w:rsidRPr="0049139A" w:rsidRDefault="00DF0640" w:rsidP="00C34D9B">
      <w:r>
        <w:t xml:space="preserve">H1: </w:t>
      </w:r>
      <w:r w:rsidR="0049139A">
        <w:t xml:space="preserve">There will be a higher proportion of enrolments among people who receive </w:t>
      </w:r>
      <w:r w:rsidR="00C82D1B">
        <w:t>the letter/email</w:t>
      </w:r>
      <w:r w:rsidR="0049139A">
        <w:t xml:space="preserve"> in their home language as c</w:t>
      </w:r>
      <w:r w:rsidR="00C82D1B">
        <w:t>ompared with those who receive the letter/email</w:t>
      </w:r>
      <w:r w:rsidR="0049139A">
        <w:t xml:space="preserve"> in English (A1 &gt; A0).</w:t>
      </w:r>
    </w:p>
    <w:p w14:paraId="2253764E" w14:textId="76D6AEE9" w:rsidR="003E0020" w:rsidRPr="003E0020" w:rsidRDefault="003E0020" w:rsidP="00C34D9B">
      <w:pPr>
        <w:rPr>
          <w:rFonts w:cstheme="minorHAnsi"/>
        </w:rPr>
      </w:pPr>
      <w:r>
        <w:rPr>
          <w:rFonts w:cstheme="minorHAnsi"/>
        </w:rPr>
        <w:t>H1 will be assessed using a one-sided test.</w:t>
      </w:r>
    </w:p>
    <w:p w14:paraId="0B9337DF" w14:textId="3189665C" w:rsidR="00E74E0D" w:rsidRDefault="00E74E0D" w:rsidP="00E74E0D">
      <w:pPr>
        <w:pStyle w:val="Heading2"/>
      </w:pPr>
      <w:r w:rsidRPr="00E74E0D">
        <w:t>Sample size and power calculations</w:t>
      </w:r>
    </w:p>
    <w:p w14:paraId="4AB4C021" w14:textId="66573E0D" w:rsidR="009A1B11" w:rsidRDefault="009A1B11" w:rsidP="009A1B11">
      <w:r>
        <w:t>With an availabl</w:t>
      </w:r>
      <w:r w:rsidR="00D91185">
        <w:t>e</w:t>
      </w:r>
      <w:r w:rsidR="004C279A">
        <w:t xml:space="preserve"> sample size of approximately 17</w:t>
      </w:r>
      <w:r>
        <w:t>,000 part</w:t>
      </w:r>
      <w:r w:rsidR="00936488">
        <w:t>icipants, and an estimate of 1.5</w:t>
      </w:r>
      <w:r>
        <w:t xml:space="preserve"> people per </w:t>
      </w:r>
      <w:r w:rsidR="00936488">
        <w:t>cluster</w:t>
      </w:r>
      <w:r>
        <w:t>, the trial will h</w:t>
      </w:r>
      <w:r w:rsidR="00066B6B">
        <w:t xml:space="preserve">ave around </w:t>
      </w:r>
      <w:r w:rsidR="00936488">
        <w:t>11,300</w:t>
      </w:r>
      <w:r>
        <w:t xml:space="preserve"> clusters with an estimated ICC of 0.4. This will give us 90% power to detect a standardised effect size of </w:t>
      </w:r>
      <w:r>
        <w:rPr>
          <w:i/>
        </w:rPr>
        <w:t>d</w:t>
      </w:r>
      <w:r>
        <w:t xml:space="preserve"> = 0.04 with </w:t>
      </w:r>
      <w:r>
        <w:rPr>
          <w:rFonts w:cstheme="minorHAnsi"/>
        </w:rPr>
        <w:t>α</w:t>
      </w:r>
      <w:r>
        <w:t xml:space="preserve"> = 0.05 using a </w:t>
      </w:r>
      <w:r w:rsidR="001F3A78">
        <w:t>one</w:t>
      </w:r>
      <w:r>
        <w:t>-sided test. This is equivalent to approximately 1.5 percentage points difference between groups</w:t>
      </w:r>
      <w:r w:rsidR="00936488">
        <w:t xml:space="preserve"> with the as</w:t>
      </w:r>
      <w:r w:rsidR="00363F7F">
        <w:t>sumption that one</w:t>
      </w:r>
      <w:r w:rsidR="00936488">
        <w:t xml:space="preserve"> per cent of control participants will enrol</w:t>
      </w:r>
      <w:r>
        <w:t>.</w:t>
      </w:r>
    </w:p>
    <w:p w14:paraId="6FBDF4A8" w14:textId="72F59E83" w:rsidR="007A053D" w:rsidRDefault="00B45369" w:rsidP="00D859EB">
      <w:pPr>
        <w:pStyle w:val="Heading2"/>
      </w:pPr>
      <w:r>
        <w:t>Sample selection</w:t>
      </w:r>
      <w:r w:rsidR="00A20AFE">
        <w:t xml:space="preserve"> and exclusion criteria</w:t>
      </w:r>
    </w:p>
    <w:p w14:paraId="1BD21A39" w14:textId="7A1C4FE5" w:rsidR="00F431F4" w:rsidRDefault="003B2E01" w:rsidP="00745A5A">
      <w:pPr>
        <w:pStyle w:val="ListBullet"/>
        <w:numPr>
          <w:ilvl w:val="0"/>
          <w:numId w:val="0"/>
        </w:numPr>
      </w:pPr>
      <w:r>
        <w:t xml:space="preserve">Participants will be </w:t>
      </w:r>
      <w:r w:rsidR="00A20AFE">
        <w:t xml:space="preserve">drawn from </w:t>
      </w:r>
      <w:r w:rsidR="00C7120B">
        <w:t>d</w:t>
      </w:r>
      <w:r w:rsidR="00A20AFE">
        <w:t>atabase</w:t>
      </w:r>
      <w:r w:rsidR="00C7120B">
        <w:t>s</w:t>
      </w:r>
      <w:r w:rsidR="00A20AFE">
        <w:t xml:space="preserve"> owned by the</w:t>
      </w:r>
      <w:r w:rsidR="00DE07F7">
        <w:t xml:space="preserve"> Department of Home Affairs. Participants will be selected based on their</w:t>
      </w:r>
      <w:r w:rsidR="00C7120B">
        <w:t xml:space="preserve"> visa status, indicating </w:t>
      </w:r>
      <w:r w:rsidR="007A2403">
        <w:t xml:space="preserve">their </w:t>
      </w:r>
      <w:r w:rsidR="00C7120B">
        <w:t>potential eligibility, home country</w:t>
      </w:r>
      <w:r w:rsidR="00F765AE">
        <w:t xml:space="preserve">, </w:t>
      </w:r>
      <w:r w:rsidR="00C7120B">
        <w:t>language and their</w:t>
      </w:r>
      <w:r w:rsidR="00DE07F7">
        <w:t xml:space="preserve"> address falling within the four service provider region</w:t>
      </w:r>
      <w:r w:rsidR="00A01430">
        <w:t>s</w:t>
      </w:r>
      <w:r w:rsidR="00C7120B">
        <w:t xml:space="preserve"> in Qld, NSW, the ACT or Victoria. </w:t>
      </w:r>
      <w:r>
        <w:t>Attempts will be made to contact all potential students from the four target language groups</w:t>
      </w:r>
      <w:r w:rsidR="00A20AFE">
        <w:t xml:space="preserve"> in the four service provider regions</w:t>
      </w:r>
      <w:r w:rsidR="00C7120B">
        <w:t xml:space="preserve"> in Qld, NSW, the ACT or Victoria</w:t>
      </w:r>
      <w:r w:rsidR="00374DCF">
        <w:t>, based on their last known address and email address</w:t>
      </w:r>
      <w:r>
        <w:t>.</w:t>
      </w:r>
      <w:r w:rsidR="00402E22">
        <w:t xml:space="preserve"> There is an estimated sample</w:t>
      </w:r>
      <w:r w:rsidR="00622419">
        <w:t xml:space="preserve"> of approximately 17</w:t>
      </w:r>
      <w:r w:rsidR="00402E22">
        <w:t xml:space="preserve">,000 </w:t>
      </w:r>
      <w:r w:rsidR="00116B29">
        <w:t>potential</w:t>
      </w:r>
      <w:r w:rsidR="00402E22">
        <w:t xml:space="preserve"> students covered by the four service provider regions.</w:t>
      </w:r>
    </w:p>
    <w:p w14:paraId="478B19E2" w14:textId="0FBAE97A" w:rsidR="00AD2D68" w:rsidRDefault="00AD2D68" w:rsidP="00AD2D68">
      <w:pPr>
        <w:pStyle w:val="ListBullet"/>
        <w:keepNext/>
        <w:keepLines/>
        <w:numPr>
          <w:ilvl w:val="0"/>
          <w:numId w:val="0"/>
        </w:numPr>
      </w:pPr>
      <w:r>
        <w:lastRenderedPageBreak/>
        <w:t xml:space="preserve">Table </w:t>
      </w:r>
      <w:r w:rsidR="00402E22">
        <w:t>1</w:t>
      </w:r>
      <w:r>
        <w:t xml:space="preserve">. </w:t>
      </w:r>
      <w:r w:rsidRPr="00917B18">
        <w:t xml:space="preserve">Sample </w:t>
      </w:r>
      <w:r>
        <w:t>s</w:t>
      </w:r>
      <w:r w:rsidRPr="00917B18">
        <w:t>izes by home language and provider contract regions</w:t>
      </w:r>
    </w:p>
    <w:tbl>
      <w:tblPr>
        <w:tblW w:w="8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Sample sizes by home lanugage and provder contract regions"/>
        <w:tblDescription w:val="There are 263 Arabic speakers in provider region 1, 58 in provider region 2, 344 in provider region 3, 357 in provider regions 2 and 3 and 60 in provider region 4 for a total of 1082. There are 409 Cantonese speakers in provider region 1, 71 in provider region 2, 483 in provider region 3, 30 in provider regions 2 and 3 and 223 in provider region 4 for a total of 1216. There are 4034 Mandarin speakers in provider region 1, 1036 in provider region 2, 4745 in provider region 3, 220 in provider regions 2 and 3 and 1875 in provider region 4 for a total of 11910. There are 745 Vietnamese speakers in provider region 1, 203 in provider region 2, 661 in provider region 3, 742 in provider regions 2 and 3 and 431 in provider region 4 for a total of 2782. The total number of participants in provider region 1 is 5451, in provider region 2, 1368, in provider region 3 6233, in provider regions 2 and 3 1349 and in provider region 4 2589. The total number of participants in 16990."/>
      </w:tblPr>
      <w:tblGrid>
        <w:gridCol w:w="1476"/>
        <w:gridCol w:w="1132"/>
        <w:gridCol w:w="1133"/>
        <w:gridCol w:w="1133"/>
        <w:gridCol w:w="1133"/>
        <w:gridCol w:w="1133"/>
        <w:gridCol w:w="1133"/>
      </w:tblGrid>
      <w:tr w:rsidR="00DC0D86" w:rsidRPr="00C14302" w14:paraId="4A53B772" w14:textId="77777777" w:rsidTr="001E3082">
        <w:trPr>
          <w:trHeight w:val="699"/>
          <w:tblHeader/>
        </w:trPr>
        <w:tc>
          <w:tcPr>
            <w:tcW w:w="1476" w:type="dxa"/>
            <w:shd w:val="clear" w:color="auto" w:fill="auto"/>
            <w:vAlign w:val="center"/>
          </w:tcPr>
          <w:p w14:paraId="52137846" w14:textId="47FBABA0" w:rsidR="00DC0D86" w:rsidRPr="00C14302" w:rsidRDefault="00DC0D86" w:rsidP="00DC0D86">
            <w:pPr>
              <w:keepNext/>
              <w:keepLines/>
              <w:spacing w:before="0" w:after="0" w:line="240" w:lineRule="auto"/>
              <w:rPr>
                <w:rFonts w:cstheme="minorHAnsi"/>
                <w:b/>
                <w:bCs/>
                <w:color w:val="1F497D"/>
                <w:szCs w:val="22"/>
              </w:rPr>
            </w:pPr>
            <w:bookmarkStart w:id="0" w:name="_GoBack" w:colFirst="0" w:colLast="6"/>
          </w:p>
        </w:tc>
        <w:tc>
          <w:tcPr>
            <w:tcW w:w="1132" w:type="dxa"/>
            <w:shd w:val="clear" w:color="auto" w:fill="auto"/>
            <w:vAlign w:val="center"/>
            <w:hideMark/>
          </w:tcPr>
          <w:p w14:paraId="4FFA07C5" w14:textId="609DEBD6" w:rsidR="00DC0D86" w:rsidRPr="00C14302" w:rsidRDefault="00DC0D86" w:rsidP="00DC0D86">
            <w:pPr>
              <w:keepNext/>
              <w:keepLines/>
              <w:spacing w:before="0" w:after="0" w:line="240" w:lineRule="auto"/>
              <w:rPr>
                <w:rFonts w:cstheme="minorHAnsi"/>
                <w:b/>
                <w:bCs/>
                <w:color w:val="1F497D"/>
                <w:szCs w:val="22"/>
              </w:rPr>
            </w:pPr>
            <w:r>
              <w:rPr>
                <w:rFonts w:cstheme="minorHAnsi"/>
                <w:b/>
                <w:bCs/>
                <w:color w:val="1F497D"/>
                <w:szCs w:val="22"/>
              </w:rPr>
              <w:t>Provider region 1</w:t>
            </w:r>
          </w:p>
        </w:tc>
        <w:tc>
          <w:tcPr>
            <w:tcW w:w="1133" w:type="dxa"/>
            <w:shd w:val="clear" w:color="auto" w:fill="auto"/>
            <w:vAlign w:val="center"/>
            <w:hideMark/>
          </w:tcPr>
          <w:p w14:paraId="4608FF16" w14:textId="3D27A2EA" w:rsidR="00DC0D86" w:rsidRPr="00C14302" w:rsidRDefault="00DC0D86" w:rsidP="00DC0D86">
            <w:pPr>
              <w:keepNext/>
              <w:keepLines/>
              <w:spacing w:before="0" w:after="0" w:line="240" w:lineRule="auto"/>
              <w:rPr>
                <w:rFonts w:cstheme="minorHAnsi"/>
                <w:b/>
                <w:bCs/>
                <w:color w:val="1F497D"/>
                <w:szCs w:val="22"/>
              </w:rPr>
            </w:pPr>
            <w:r>
              <w:rPr>
                <w:rFonts w:cstheme="minorHAnsi"/>
                <w:b/>
                <w:bCs/>
                <w:color w:val="1F497D"/>
                <w:szCs w:val="22"/>
              </w:rPr>
              <w:t>Provider region 2</w:t>
            </w:r>
          </w:p>
        </w:tc>
        <w:tc>
          <w:tcPr>
            <w:tcW w:w="1133" w:type="dxa"/>
            <w:vAlign w:val="center"/>
          </w:tcPr>
          <w:p w14:paraId="5A02C309" w14:textId="1ADDB5DC" w:rsidR="00DC0D86" w:rsidRDefault="00DC0D86" w:rsidP="00DC0D86">
            <w:pPr>
              <w:keepNext/>
              <w:keepLines/>
              <w:spacing w:before="0" w:after="0" w:line="240" w:lineRule="auto"/>
              <w:rPr>
                <w:rFonts w:cstheme="minorHAnsi"/>
                <w:b/>
                <w:bCs/>
                <w:color w:val="1F497D"/>
                <w:szCs w:val="22"/>
              </w:rPr>
            </w:pPr>
            <w:r>
              <w:rPr>
                <w:rFonts w:cstheme="minorHAnsi"/>
                <w:b/>
                <w:bCs/>
                <w:color w:val="1F497D"/>
                <w:szCs w:val="22"/>
              </w:rPr>
              <w:t>Provider region 3</w:t>
            </w:r>
          </w:p>
        </w:tc>
        <w:tc>
          <w:tcPr>
            <w:tcW w:w="1133" w:type="dxa"/>
            <w:shd w:val="clear" w:color="auto" w:fill="auto"/>
            <w:vAlign w:val="center"/>
            <w:hideMark/>
          </w:tcPr>
          <w:p w14:paraId="622EC5C2" w14:textId="6041761E" w:rsidR="00DC0D86" w:rsidRPr="00C14302" w:rsidRDefault="00DC0D86" w:rsidP="00DC0D86">
            <w:pPr>
              <w:keepNext/>
              <w:keepLines/>
              <w:spacing w:before="0" w:after="0" w:line="240" w:lineRule="auto"/>
              <w:rPr>
                <w:rFonts w:cstheme="minorHAnsi"/>
                <w:b/>
                <w:bCs/>
                <w:color w:val="1F497D"/>
                <w:szCs w:val="22"/>
              </w:rPr>
            </w:pPr>
            <w:r>
              <w:rPr>
                <w:rFonts w:cstheme="minorHAnsi"/>
                <w:b/>
                <w:bCs/>
                <w:color w:val="1F497D"/>
                <w:szCs w:val="22"/>
              </w:rPr>
              <w:t>Provider region 2 &amp; 3</w:t>
            </w:r>
          </w:p>
        </w:tc>
        <w:tc>
          <w:tcPr>
            <w:tcW w:w="1133" w:type="dxa"/>
          </w:tcPr>
          <w:p w14:paraId="0F5023E8" w14:textId="3ED301F9" w:rsidR="00DC0D86" w:rsidRDefault="00DC0D86" w:rsidP="00DC0D86">
            <w:pPr>
              <w:keepNext/>
              <w:keepLines/>
              <w:spacing w:before="0" w:after="0" w:line="240" w:lineRule="auto"/>
              <w:jc w:val="center"/>
              <w:rPr>
                <w:rFonts w:cstheme="minorHAnsi"/>
                <w:b/>
                <w:bCs/>
                <w:color w:val="1F497D"/>
                <w:szCs w:val="22"/>
              </w:rPr>
            </w:pPr>
            <w:r>
              <w:rPr>
                <w:rFonts w:cstheme="minorHAnsi"/>
                <w:b/>
                <w:bCs/>
                <w:color w:val="1F497D"/>
                <w:szCs w:val="22"/>
              </w:rPr>
              <w:t>Provider region 4</w:t>
            </w:r>
          </w:p>
        </w:tc>
        <w:tc>
          <w:tcPr>
            <w:tcW w:w="1133" w:type="dxa"/>
            <w:vAlign w:val="center"/>
          </w:tcPr>
          <w:p w14:paraId="4D798798" w14:textId="4626579B" w:rsidR="00DC0D86" w:rsidRPr="00C14302" w:rsidRDefault="00DC0D86" w:rsidP="00DC0D86">
            <w:pPr>
              <w:keepNext/>
              <w:keepLines/>
              <w:spacing w:before="0" w:after="0" w:line="240" w:lineRule="auto"/>
              <w:jc w:val="center"/>
              <w:rPr>
                <w:rFonts w:cstheme="minorHAnsi"/>
                <w:b/>
                <w:bCs/>
                <w:color w:val="1F497D"/>
                <w:szCs w:val="22"/>
              </w:rPr>
            </w:pPr>
            <w:r>
              <w:rPr>
                <w:rFonts w:cstheme="minorHAnsi"/>
                <w:b/>
                <w:bCs/>
                <w:color w:val="1F497D"/>
                <w:szCs w:val="22"/>
              </w:rPr>
              <w:t>TOTAL</w:t>
            </w:r>
          </w:p>
        </w:tc>
      </w:tr>
      <w:bookmarkEnd w:id="0"/>
      <w:tr w:rsidR="00DC0D86" w:rsidRPr="00C14302" w14:paraId="44B497F3" w14:textId="77777777" w:rsidTr="001E3082">
        <w:trPr>
          <w:trHeight w:val="413"/>
          <w:tblHeader/>
        </w:trPr>
        <w:tc>
          <w:tcPr>
            <w:tcW w:w="1476" w:type="dxa"/>
            <w:shd w:val="clear" w:color="auto" w:fill="auto"/>
            <w:vAlign w:val="center"/>
            <w:hideMark/>
          </w:tcPr>
          <w:p w14:paraId="08B17978" w14:textId="5A63EA74" w:rsidR="00DC0D86" w:rsidRPr="00C14302" w:rsidRDefault="00DC0D86" w:rsidP="00DC0D86">
            <w:pPr>
              <w:keepNext/>
              <w:keepLines/>
              <w:spacing w:before="0" w:after="0" w:line="240" w:lineRule="auto"/>
              <w:rPr>
                <w:rFonts w:cstheme="minorHAnsi"/>
                <w:b/>
                <w:bCs/>
                <w:color w:val="1F497D"/>
                <w:szCs w:val="22"/>
              </w:rPr>
            </w:pPr>
            <w:r w:rsidRPr="00C14302">
              <w:rPr>
                <w:rFonts w:cstheme="minorHAnsi"/>
                <w:b/>
                <w:bCs/>
                <w:color w:val="1F497D"/>
                <w:szCs w:val="22"/>
              </w:rPr>
              <w:t>Arabic</w:t>
            </w:r>
          </w:p>
        </w:tc>
        <w:tc>
          <w:tcPr>
            <w:tcW w:w="1132" w:type="dxa"/>
            <w:shd w:val="clear" w:color="auto" w:fill="auto"/>
            <w:vAlign w:val="bottom"/>
          </w:tcPr>
          <w:p w14:paraId="1B8D9709" w14:textId="38554D7F"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263</w:t>
            </w:r>
          </w:p>
        </w:tc>
        <w:tc>
          <w:tcPr>
            <w:tcW w:w="1133" w:type="dxa"/>
            <w:shd w:val="clear" w:color="auto" w:fill="auto"/>
            <w:vAlign w:val="bottom"/>
          </w:tcPr>
          <w:p w14:paraId="21E7EEB7" w14:textId="4D4BB016"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58</w:t>
            </w:r>
          </w:p>
        </w:tc>
        <w:tc>
          <w:tcPr>
            <w:tcW w:w="1133" w:type="dxa"/>
            <w:vAlign w:val="bottom"/>
          </w:tcPr>
          <w:p w14:paraId="254F8A21" w14:textId="28690AB4" w:rsidR="00DC0D86" w:rsidRDefault="00DC0D86" w:rsidP="002974B9">
            <w:pPr>
              <w:keepNext/>
              <w:keepLines/>
              <w:spacing w:before="0" w:after="0" w:line="240" w:lineRule="auto"/>
              <w:jc w:val="right"/>
              <w:rPr>
                <w:rFonts w:cstheme="minorHAnsi"/>
                <w:color w:val="auto"/>
                <w:szCs w:val="22"/>
              </w:rPr>
            </w:pPr>
            <w:r>
              <w:rPr>
                <w:rFonts w:cstheme="minorHAnsi"/>
                <w:color w:val="auto"/>
                <w:szCs w:val="22"/>
              </w:rPr>
              <w:t>344</w:t>
            </w:r>
          </w:p>
        </w:tc>
        <w:tc>
          <w:tcPr>
            <w:tcW w:w="1133" w:type="dxa"/>
            <w:shd w:val="clear" w:color="auto" w:fill="auto"/>
            <w:vAlign w:val="bottom"/>
          </w:tcPr>
          <w:p w14:paraId="59BDB008" w14:textId="2914BAA8"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357</w:t>
            </w:r>
          </w:p>
        </w:tc>
        <w:tc>
          <w:tcPr>
            <w:tcW w:w="1133" w:type="dxa"/>
            <w:vAlign w:val="bottom"/>
          </w:tcPr>
          <w:p w14:paraId="3225C25E" w14:textId="5F6802A1" w:rsidR="00DC0D86" w:rsidRPr="00DC0D86" w:rsidRDefault="00DC0D86" w:rsidP="002974B9">
            <w:pPr>
              <w:keepNext/>
              <w:keepLines/>
              <w:spacing w:before="0" w:after="0" w:line="240" w:lineRule="auto"/>
              <w:jc w:val="right"/>
              <w:rPr>
                <w:rFonts w:cstheme="minorHAnsi"/>
                <w:color w:val="auto"/>
                <w:szCs w:val="22"/>
              </w:rPr>
            </w:pPr>
            <w:r w:rsidRPr="00DC0D86">
              <w:rPr>
                <w:rFonts w:cstheme="minorHAnsi"/>
                <w:color w:val="auto"/>
                <w:szCs w:val="22"/>
              </w:rPr>
              <w:t>60</w:t>
            </w:r>
          </w:p>
        </w:tc>
        <w:tc>
          <w:tcPr>
            <w:tcW w:w="1133" w:type="dxa"/>
            <w:vAlign w:val="bottom"/>
          </w:tcPr>
          <w:p w14:paraId="55E81D30" w14:textId="6EBDFCD5"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1082</w:t>
            </w:r>
          </w:p>
        </w:tc>
      </w:tr>
      <w:tr w:rsidR="00DC0D86" w:rsidRPr="00C14302" w14:paraId="17053956" w14:textId="77777777" w:rsidTr="001E3082">
        <w:trPr>
          <w:trHeight w:val="413"/>
          <w:tblHeader/>
        </w:trPr>
        <w:tc>
          <w:tcPr>
            <w:tcW w:w="1476" w:type="dxa"/>
            <w:shd w:val="clear" w:color="auto" w:fill="auto"/>
            <w:vAlign w:val="center"/>
            <w:hideMark/>
          </w:tcPr>
          <w:p w14:paraId="5F361320" w14:textId="769739EC" w:rsidR="00DC0D86" w:rsidRPr="00C14302" w:rsidRDefault="00DC0D86" w:rsidP="00DC0D86">
            <w:pPr>
              <w:keepNext/>
              <w:keepLines/>
              <w:spacing w:before="0" w:after="0" w:line="240" w:lineRule="auto"/>
              <w:rPr>
                <w:rFonts w:cstheme="minorHAnsi"/>
                <w:b/>
                <w:bCs/>
                <w:color w:val="1F497D"/>
                <w:szCs w:val="22"/>
              </w:rPr>
            </w:pPr>
            <w:r w:rsidRPr="00C14302">
              <w:rPr>
                <w:rFonts w:cstheme="minorHAnsi"/>
                <w:b/>
                <w:bCs/>
                <w:color w:val="1F497D"/>
                <w:szCs w:val="22"/>
              </w:rPr>
              <w:t>Cantonese</w:t>
            </w:r>
          </w:p>
        </w:tc>
        <w:tc>
          <w:tcPr>
            <w:tcW w:w="1132" w:type="dxa"/>
            <w:shd w:val="clear" w:color="auto" w:fill="auto"/>
            <w:vAlign w:val="bottom"/>
          </w:tcPr>
          <w:p w14:paraId="3888A843" w14:textId="08256418"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409</w:t>
            </w:r>
          </w:p>
        </w:tc>
        <w:tc>
          <w:tcPr>
            <w:tcW w:w="1133" w:type="dxa"/>
            <w:shd w:val="clear" w:color="auto" w:fill="auto"/>
            <w:vAlign w:val="bottom"/>
          </w:tcPr>
          <w:p w14:paraId="6DABF2EC" w14:textId="28C06C19"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71</w:t>
            </w:r>
          </w:p>
        </w:tc>
        <w:tc>
          <w:tcPr>
            <w:tcW w:w="1133" w:type="dxa"/>
            <w:vAlign w:val="bottom"/>
          </w:tcPr>
          <w:p w14:paraId="2F97DD18" w14:textId="60CC6724" w:rsidR="00DC0D86" w:rsidRDefault="00DC0D86" w:rsidP="002974B9">
            <w:pPr>
              <w:keepNext/>
              <w:keepLines/>
              <w:spacing w:before="0" w:after="0" w:line="240" w:lineRule="auto"/>
              <w:jc w:val="right"/>
              <w:rPr>
                <w:rFonts w:cstheme="minorHAnsi"/>
                <w:color w:val="auto"/>
                <w:szCs w:val="22"/>
              </w:rPr>
            </w:pPr>
            <w:r>
              <w:rPr>
                <w:rFonts w:cstheme="minorHAnsi"/>
                <w:color w:val="auto"/>
                <w:szCs w:val="22"/>
              </w:rPr>
              <w:t>483</w:t>
            </w:r>
          </w:p>
        </w:tc>
        <w:tc>
          <w:tcPr>
            <w:tcW w:w="1133" w:type="dxa"/>
            <w:shd w:val="clear" w:color="auto" w:fill="auto"/>
            <w:vAlign w:val="bottom"/>
          </w:tcPr>
          <w:p w14:paraId="789326BE" w14:textId="1D980799"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30</w:t>
            </w:r>
          </w:p>
        </w:tc>
        <w:tc>
          <w:tcPr>
            <w:tcW w:w="1133" w:type="dxa"/>
            <w:vAlign w:val="bottom"/>
          </w:tcPr>
          <w:p w14:paraId="5BA8DC37" w14:textId="7E6125D1" w:rsidR="00DC0D86" w:rsidRPr="00DC0D86" w:rsidRDefault="00DC0D86" w:rsidP="002974B9">
            <w:pPr>
              <w:keepNext/>
              <w:keepLines/>
              <w:spacing w:before="0" w:after="0" w:line="240" w:lineRule="auto"/>
              <w:jc w:val="right"/>
              <w:rPr>
                <w:rFonts w:cstheme="minorHAnsi"/>
                <w:color w:val="auto"/>
                <w:szCs w:val="22"/>
              </w:rPr>
            </w:pPr>
            <w:r w:rsidRPr="00DC0D86">
              <w:rPr>
                <w:rFonts w:cstheme="minorHAnsi"/>
                <w:color w:val="auto"/>
                <w:szCs w:val="22"/>
              </w:rPr>
              <w:t>223</w:t>
            </w:r>
          </w:p>
        </w:tc>
        <w:tc>
          <w:tcPr>
            <w:tcW w:w="1133" w:type="dxa"/>
            <w:vAlign w:val="bottom"/>
          </w:tcPr>
          <w:p w14:paraId="45CAFAD3" w14:textId="4BDBD153"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1216</w:t>
            </w:r>
          </w:p>
        </w:tc>
      </w:tr>
      <w:tr w:rsidR="00DC0D86" w:rsidRPr="00C14302" w14:paraId="27595C4C" w14:textId="77777777" w:rsidTr="001E3082">
        <w:trPr>
          <w:trHeight w:val="413"/>
          <w:tblHeader/>
        </w:trPr>
        <w:tc>
          <w:tcPr>
            <w:tcW w:w="1476" w:type="dxa"/>
            <w:shd w:val="clear" w:color="auto" w:fill="auto"/>
            <w:vAlign w:val="center"/>
            <w:hideMark/>
          </w:tcPr>
          <w:p w14:paraId="3E755310" w14:textId="580BA43D" w:rsidR="00DC0D86" w:rsidRPr="00C14302" w:rsidRDefault="00DC0D86" w:rsidP="00DC0D86">
            <w:pPr>
              <w:keepNext/>
              <w:keepLines/>
              <w:spacing w:before="0" w:after="0" w:line="240" w:lineRule="auto"/>
              <w:rPr>
                <w:rFonts w:cstheme="minorHAnsi"/>
                <w:b/>
                <w:bCs/>
                <w:color w:val="1F497D"/>
                <w:szCs w:val="22"/>
              </w:rPr>
            </w:pPr>
            <w:r w:rsidRPr="00C14302">
              <w:rPr>
                <w:rFonts w:cstheme="minorHAnsi"/>
                <w:b/>
                <w:bCs/>
                <w:color w:val="1F497D"/>
                <w:szCs w:val="22"/>
              </w:rPr>
              <w:t>Mandarin</w:t>
            </w:r>
          </w:p>
        </w:tc>
        <w:tc>
          <w:tcPr>
            <w:tcW w:w="1132" w:type="dxa"/>
            <w:shd w:val="clear" w:color="auto" w:fill="auto"/>
            <w:vAlign w:val="bottom"/>
          </w:tcPr>
          <w:p w14:paraId="360056D8" w14:textId="32A18792"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4034</w:t>
            </w:r>
          </w:p>
        </w:tc>
        <w:tc>
          <w:tcPr>
            <w:tcW w:w="1133" w:type="dxa"/>
            <w:shd w:val="clear" w:color="auto" w:fill="auto"/>
            <w:vAlign w:val="bottom"/>
          </w:tcPr>
          <w:p w14:paraId="461061A1" w14:textId="2ECB3D9F"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1036</w:t>
            </w:r>
          </w:p>
        </w:tc>
        <w:tc>
          <w:tcPr>
            <w:tcW w:w="1133" w:type="dxa"/>
            <w:vAlign w:val="bottom"/>
          </w:tcPr>
          <w:p w14:paraId="34A7F32E" w14:textId="1C9DC26C" w:rsidR="00DC0D86" w:rsidRDefault="00DC0D86" w:rsidP="002974B9">
            <w:pPr>
              <w:keepNext/>
              <w:keepLines/>
              <w:spacing w:before="0" w:after="0" w:line="240" w:lineRule="auto"/>
              <w:jc w:val="right"/>
              <w:rPr>
                <w:rFonts w:cstheme="minorHAnsi"/>
                <w:color w:val="auto"/>
                <w:szCs w:val="22"/>
              </w:rPr>
            </w:pPr>
            <w:r>
              <w:rPr>
                <w:rFonts w:cstheme="minorHAnsi"/>
                <w:color w:val="auto"/>
                <w:szCs w:val="22"/>
              </w:rPr>
              <w:t>4745</w:t>
            </w:r>
          </w:p>
        </w:tc>
        <w:tc>
          <w:tcPr>
            <w:tcW w:w="1133" w:type="dxa"/>
            <w:shd w:val="clear" w:color="auto" w:fill="auto"/>
            <w:vAlign w:val="bottom"/>
          </w:tcPr>
          <w:p w14:paraId="7D7E2A10" w14:textId="4A02AA61"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220</w:t>
            </w:r>
          </w:p>
        </w:tc>
        <w:tc>
          <w:tcPr>
            <w:tcW w:w="1133" w:type="dxa"/>
            <w:vAlign w:val="bottom"/>
          </w:tcPr>
          <w:p w14:paraId="7D4B9CD1" w14:textId="052608F0" w:rsidR="00DC0D86" w:rsidRPr="00DC0D86" w:rsidRDefault="00DC0D86" w:rsidP="002974B9">
            <w:pPr>
              <w:keepNext/>
              <w:keepLines/>
              <w:spacing w:before="0" w:after="0" w:line="240" w:lineRule="auto"/>
              <w:jc w:val="right"/>
              <w:rPr>
                <w:rFonts w:cstheme="minorHAnsi"/>
                <w:color w:val="auto"/>
                <w:szCs w:val="22"/>
              </w:rPr>
            </w:pPr>
            <w:r w:rsidRPr="00DC0D86">
              <w:rPr>
                <w:rFonts w:cstheme="minorHAnsi"/>
                <w:color w:val="auto"/>
                <w:szCs w:val="22"/>
              </w:rPr>
              <w:t>1875</w:t>
            </w:r>
          </w:p>
        </w:tc>
        <w:tc>
          <w:tcPr>
            <w:tcW w:w="1133" w:type="dxa"/>
            <w:vAlign w:val="bottom"/>
          </w:tcPr>
          <w:p w14:paraId="39C3CB41" w14:textId="13AE98DC"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11910</w:t>
            </w:r>
          </w:p>
        </w:tc>
      </w:tr>
      <w:tr w:rsidR="00DC0D86" w:rsidRPr="00C14302" w14:paraId="52B8C0EC" w14:textId="77777777" w:rsidTr="001E3082">
        <w:trPr>
          <w:trHeight w:val="413"/>
          <w:tblHeader/>
        </w:trPr>
        <w:tc>
          <w:tcPr>
            <w:tcW w:w="1476" w:type="dxa"/>
            <w:shd w:val="clear" w:color="auto" w:fill="auto"/>
            <w:vAlign w:val="center"/>
            <w:hideMark/>
          </w:tcPr>
          <w:p w14:paraId="2A36A7BA" w14:textId="6F88D979" w:rsidR="00DC0D86" w:rsidRPr="00C14302" w:rsidRDefault="00DC0D86" w:rsidP="00DC0D86">
            <w:pPr>
              <w:keepNext/>
              <w:keepLines/>
              <w:spacing w:before="0" w:after="0" w:line="240" w:lineRule="auto"/>
              <w:rPr>
                <w:rFonts w:cstheme="minorHAnsi"/>
                <w:b/>
                <w:bCs/>
                <w:color w:val="1F497D"/>
                <w:szCs w:val="22"/>
              </w:rPr>
            </w:pPr>
            <w:r w:rsidRPr="00C14302">
              <w:rPr>
                <w:rFonts w:cstheme="minorHAnsi"/>
                <w:b/>
                <w:bCs/>
                <w:color w:val="1F497D"/>
                <w:szCs w:val="22"/>
              </w:rPr>
              <w:t>Vietnamese</w:t>
            </w:r>
          </w:p>
        </w:tc>
        <w:tc>
          <w:tcPr>
            <w:tcW w:w="1132" w:type="dxa"/>
            <w:shd w:val="clear" w:color="auto" w:fill="auto"/>
            <w:vAlign w:val="bottom"/>
          </w:tcPr>
          <w:p w14:paraId="0DCD556D" w14:textId="3B88928A"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745</w:t>
            </w:r>
          </w:p>
        </w:tc>
        <w:tc>
          <w:tcPr>
            <w:tcW w:w="1133" w:type="dxa"/>
            <w:shd w:val="clear" w:color="auto" w:fill="auto"/>
            <w:vAlign w:val="bottom"/>
          </w:tcPr>
          <w:p w14:paraId="1952FBAF" w14:textId="34F6BC11"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203</w:t>
            </w:r>
          </w:p>
        </w:tc>
        <w:tc>
          <w:tcPr>
            <w:tcW w:w="1133" w:type="dxa"/>
            <w:vAlign w:val="bottom"/>
          </w:tcPr>
          <w:p w14:paraId="69B47747" w14:textId="6B3863C0" w:rsidR="00DC0D86" w:rsidRDefault="00DC0D86" w:rsidP="002974B9">
            <w:pPr>
              <w:keepNext/>
              <w:keepLines/>
              <w:spacing w:before="0" w:after="0" w:line="240" w:lineRule="auto"/>
              <w:jc w:val="right"/>
              <w:rPr>
                <w:rFonts w:cstheme="minorHAnsi"/>
                <w:color w:val="auto"/>
                <w:szCs w:val="22"/>
              </w:rPr>
            </w:pPr>
            <w:r>
              <w:rPr>
                <w:rFonts w:cstheme="minorHAnsi"/>
                <w:color w:val="auto"/>
                <w:szCs w:val="22"/>
              </w:rPr>
              <w:t>661</w:t>
            </w:r>
          </w:p>
        </w:tc>
        <w:tc>
          <w:tcPr>
            <w:tcW w:w="1133" w:type="dxa"/>
            <w:shd w:val="clear" w:color="auto" w:fill="auto"/>
            <w:vAlign w:val="bottom"/>
          </w:tcPr>
          <w:p w14:paraId="1F8E2E2F" w14:textId="60B380FF" w:rsidR="00DC0D86" w:rsidRPr="00C14302" w:rsidRDefault="00DC0D86" w:rsidP="002974B9">
            <w:pPr>
              <w:keepNext/>
              <w:keepLines/>
              <w:spacing w:before="0" w:after="0" w:line="240" w:lineRule="auto"/>
              <w:jc w:val="right"/>
              <w:rPr>
                <w:rFonts w:cstheme="minorHAnsi"/>
                <w:color w:val="auto"/>
                <w:szCs w:val="22"/>
              </w:rPr>
            </w:pPr>
            <w:r>
              <w:rPr>
                <w:rFonts w:cstheme="minorHAnsi"/>
                <w:color w:val="auto"/>
                <w:szCs w:val="22"/>
              </w:rPr>
              <w:t>742</w:t>
            </w:r>
          </w:p>
        </w:tc>
        <w:tc>
          <w:tcPr>
            <w:tcW w:w="1133" w:type="dxa"/>
            <w:vAlign w:val="bottom"/>
          </w:tcPr>
          <w:p w14:paraId="616CD3F3" w14:textId="094B038C" w:rsidR="00DC0D86" w:rsidRPr="00DC0D86" w:rsidRDefault="00DC0D86" w:rsidP="002974B9">
            <w:pPr>
              <w:keepNext/>
              <w:keepLines/>
              <w:spacing w:before="0" w:after="0" w:line="240" w:lineRule="auto"/>
              <w:jc w:val="right"/>
              <w:rPr>
                <w:rFonts w:cstheme="minorHAnsi"/>
                <w:color w:val="auto"/>
                <w:szCs w:val="22"/>
              </w:rPr>
            </w:pPr>
            <w:r w:rsidRPr="00DC0D86">
              <w:rPr>
                <w:rFonts w:cstheme="minorHAnsi"/>
                <w:color w:val="auto"/>
                <w:szCs w:val="22"/>
              </w:rPr>
              <w:t>431</w:t>
            </w:r>
          </w:p>
        </w:tc>
        <w:tc>
          <w:tcPr>
            <w:tcW w:w="1133" w:type="dxa"/>
            <w:vAlign w:val="bottom"/>
          </w:tcPr>
          <w:p w14:paraId="7461459E" w14:textId="65CF60F6"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2782</w:t>
            </w:r>
          </w:p>
        </w:tc>
      </w:tr>
      <w:tr w:rsidR="00DC0D86" w:rsidRPr="00C14302" w14:paraId="29F8C6F7" w14:textId="77777777" w:rsidTr="001E3082">
        <w:trPr>
          <w:trHeight w:val="413"/>
          <w:tblHeader/>
        </w:trPr>
        <w:tc>
          <w:tcPr>
            <w:tcW w:w="1476" w:type="dxa"/>
            <w:shd w:val="clear" w:color="000000" w:fill="BDD6EE"/>
            <w:vAlign w:val="center"/>
            <w:hideMark/>
          </w:tcPr>
          <w:p w14:paraId="14CE07C3" w14:textId="20E9E735" w:rsidR="00DC0D86" w:rsidRPr="00C14302" w:rsidRDefault="00DC0D86" w:rsidP="00DC0D86">
            <w:pPr>
              <w:keepNext/>
              <w:keepLines/>
              <w:spacing w:before="0" w:after="0" w:line="240" w:lineRule="auto"/>
              <w:rPr>
                <w:rFonts w:cstheme="minorHAnsi"/>
                <w:b/>
                <w:bCs/>
                <w:color w:val="1F497D"/>
                <w:szCs w:val="22"/>
              </w:rPr>
            </w:pPr>
            <w:r w:rsidRPr="00C14302">
              <w:rPr>
                <w:rFonts w:cstheme="minorHAnsi"/>
                <w:b/>
                <w:bCs/>
                <w:color w:val="1F497D"/>
                <w:szCs w:val="22"/>
              </w:rPr>
              <w:t>Total</w:t>
            </w:r>
          </w:p>
        </w:tc>
        <w:tc>
          <w:tcPr>
            <w:tcW w:w="1132" w:type="dxa"/>
            <w:shd w:val="clear" w:color="000000" w:fill="BDD6EE"/>
            <w:vAlign w:val="bottom"/>
          </w:tcPr>
          <w:p w14:paraId="3F0C7824" w14:textId="1663B703"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5451</w:t>
            </w:r>
          </w:p>
        </w:tc>
        <w:tc>
          <w:tcPr>
            <w:tcW w:w="1133" w:type="dxa"/>
            <w:shd w:val="clear" w:color="000000" w:fill="BDD6EE"/>
            <w:vAlign w:val="bottom"/>
          </w:tcPr>
          <w:p w14:paraId="5C69CEAC" w14:textId="06833D22"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1368</w:t>
            </w:r>
          </w:p>
        </w:tc>
        <w:tc>
          <w:tcPr>
            <w:tcW w:w="1133" w:type="dxa"/>
            <w:shd w:val="clear" w:color="000000" w:fill="BDD6EE"/>
            <w:vAlign w:val="bottom"/>
          </w:tcPr>
          <w:p w14:paraId="73567A60" w14:textId="6D57B7A1" w:rsidR="00DC0D86" w:rsidRDefault="00DC0D86" w:rsidP="00DC0D86">
            <w:pPr>
              <w:keepNext/>
              <w:keepLines/>
              <w:spacing w:before="0" w:after="0" w:line="240" w:lineRule="auto"/>
              <w:jc w:val="right"/>
              <w:rPr>
                <w:rFonts w:cstheme="minorHAnsi"/>
                <w:b/>
                <w:color w:val="auto"/>
                <w:szCs w:val="22"/>
              </w:rPr>
            </w:pPr>
            <w:r>
              <w:rPr>
                <w:rFonts w:cstheme="minorHAnsi"/>
                <w:b/>
                <w:color w:val="auto"/>
                <w:szCs w:val="22"/>
              </w:rPr>
              <w:t>6233</w:t>
            </w:r>
          </w:p>
        </w:tc>
        <w:tc>
          <w:tcPr>
            <w:tcW w:w="1133" w:type="dxa"/>
            <w:shd w:val="clear" w:color="000000" w:fill="BDD6EE"/>
            <w:vAlign w:val="bottom"/>
          </w:tcPr>
          <w:p w14:paraId="622A9544" w14:textId="38A538AA"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1349</w:t>
            </w:r>
          </w:p>
        </w:tc>
        <w:tc>
          <w:tcPr>
            <w:tcW w:w="1133" w:type="dxa"/>
            <w:shd w:val="clear" w:color="000000" w:fill="BDD6EE"/>
            <w:vAlign w:val="bottom"/>
          </w:tcPr>
          <w:p w14:paraId="07E4A1B5" w14:textId="0AD8FFAF"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2589</w:t>
            </w:r>
          </w:p>
        </w:tc>
        <w:tc>
          <w:tcPr>
            <w:tcW w:w="1133" w:type="dxa"/>
            <w:shd w:val="clear" w:color="000000" w:fill="BDD6EE"/>
            <w:vAlign w:val="bottom"/>
          </w:tcPr>
          <w:p w14:paraId="110C8FE4" w14:textId="134D95B7" w:rsidR="00DC0D86" w:rsidRPr="002D11CF" w:rsidRDefault="00DC0D86" w:rsidP="00DC0D86">
            <w:pPr>
              <w:keepNext/>
              <w:keepLines/>
              <w:spacing w:before="0" w:after="0" w:line="240" w:lineRule="auto"/>
              <w:jc w:val="right"/>
              <w:rPr>
                <w:rFonts w:cstheme="minorHAnsi"/>
                <w:b/>
                <w:color w:val="auto"/>
                <w:szCs w:val="22"/>
              </w:rPr>
            </w:pPr>
            <w:r>
              <w:rPr>
                <w:rFonts w:cstheme="minorHAnsi"/>
                <w:b/>
                <w:color w:val="auto"/>
                <w:szCs w:val="22"/>
              </w:rPr>
              <w:t>16990</w:t>
            </w:r>
          </w:p>
        </w:tc>
      </w:tr>
    </w:tbl>
    <w:p w14:paraId="57245688" w14:textId="278487B8" w:rsidR="00F431F4" w:rsidRDefault="001129B4" w:rsidP="00D859EB">
      <w:pPr>
        <w:pStyle w:val="Heading2"/>
      </w:pPr>
      <w:r>
        <w:t>Randomisation</w:t>
      </w:r>
    </w:p>
    <w:p w14:paraId="281883F6" w14:textId="4D9BE49C" w:rsidR="00F431F4" w:rsidRDefault="00F431F4" w:rsidP="00F431F4">
      <w:r>
        <w:t xml:space="preserve">Potential students will be randomised </w:t>
      </w:r>
      <w:r w:rsidR="000E5252">
        <w:t xml:space="preserve">at the </w:t>
      </w:r>
      <w:r w:rsidR="009F09C0">
        <w:t>cluster</w:t>
      </w:r>
      <w:r w:rsidR="000E5252">
        <w:t xml:space="preserve"> level</w:t>
      </w:r>
      <w:r w:rsidR="009F09C0">
        <w:t>. Clusters will be constructed</w:t>
      </w:r>
      <w:r w:rsidR="000E5252">
        <w:t xml:space="preserve"> so people </w:t>
      </w:r>
      <w:r w:rsidR="00356F73">
        <w:t>at</w:t>
      </w:r>
      <w:r w:rsidR="000E5252">
        <w:t xml:space="preserve"> the same </w:t>
      </w:r>
      <w:r w:rsidR="00356F73">
        <w:t>addresses</w:t>
      </w:r>
      <w:r w:rsidR="000E5252">
        <w:t xml:space="preserve"> are in the same treatment group</w:t>
      </w:r>
      <w:r w:rsidR="00885213">
        <w:t xml:space="preserve"> (clustered)</w:t>
      </w:r>
      <w:r w:rsidR="000E5252">
        <w:t xml:space="preserve">. </w:t>
      </w:r>
      <w:r w:rsidR="00356F73">
        <w:t xml:space="preserve">To match free text address fields, we will use a ‘fuzzy’ matching strategy, matching similar addresses into clusters. This yields clusters largely comprised of individuals at the same individual addresses, but does cluster some similar addresses together. For example, different units in the same apartment block may be clustered together, or houses on the same street. </w:t>
      </w:r>
      <w:r w:rsidR="009F09C0">
        <w:t xml:space="preserve">Participants without an address will be clustered on email address. This means that people using the same email address will receive the same intervention. </w:t>
      </w:r>
      <w:r w:rsidR="00466F0E">
        <w:t>We will stratify by</w:t>
      </w:r>
      <w:r>
        <w:t xml:space="preserve"> </w:t>
      </w:r>
      <w:r w:rsidR="00EB21D5">
        <w:t>service provider region</w:t>
      </w:r>
      <w:r w:rsidR="00767D07">
        <w:t xml:space="preserve"> and</w:t>
      </w:r>
      <w:r w:rsidR="009F09C0">
        <w:t xml:space="preserve"> language </w:t>
      </w:r>
      <w:r w:rsidR="00885213">
        <w:t>to ensure balance</w:t>
      </w:r>
      <w:r w:rsidR="00466F0E">
        <w:t>.</w:t>
      </w:r>
      <w:r>
        <w:t xml:space="preserve"> </w:t>
      </w:r>
    </w:p>
    <w:p w14:paraId="69FC1F4F" w14:textId="3E737E60" w:rsidR="00F9205A" w:rsidRDefault="00F9205A" w:rsidP="00D859EB">
      <w:pPr>
        <w:pStyle w:val="Heading2"/>
      </w:pPr>
      <w:r>
        <w:t>Trial threats</w:t>
      </w:r>
    </w:p>
    <w:p w14:paraId="236CFA3B" w14:textId="64A3E70C" w:rsidR="007110B7" w:rsidRDefault="007110B7" w:rsidP="007110B7">
      <w:r>
        <w:t>Blinding: Individuals enrolled in the trial will be aware of the messages they receive, but unaware they are involved in a trial.</w:t>
      </w:r>
    </w:p>
    <w:p w14:paraId="71D8EF24" w14:textId="09A3FBD1" w:rsidR="00E34A03" w:rsidRDefault="00E34A03" w:rsidP="00E34A03">
      <w:proofErr w:type="spellStart"/>
      <w:r>
        <w:t>Spillovers</w:t>
      </w:r>
      <w:proofErr w:type="spellEnd"/>
      <w:r>
        <w:t xml:space="preserve">: </w:t>
      </w:r>
      <w:r w:rsidR="00AF00CA">
        <w:t xml:space="preserve">Randomisation will occur at </w:t>
      </w:r>
      <w:r w:rsidR="00813444">
        <w:t>a ‘fuzzy’ address</w:t>
      </w:r>
      <w:r w:rsidR="00AF00CA">
        <w:t xml:space="preserve"> level </w:t>
      </w:r>
      <w:r w:rsidR="00813444">
        <w:t xml:space="preserve">(to account for errors in address data) </w:t>
      </w:r>
      <w:r w:rsidR="00AF00CA">
        <w:t xml:space="preserve">to avoid </w:t>
      </w:r>
      <w:proofErr w:type="spellStart"/>
      <w:r w:rsidR="00AF00CA">
        <w:t>spillovers</w:t>
      </w:r>
      <w:proofErr w:type="spellEnd"/>
      <w:r w:rsidR="00AF00CA">
        <w:t xml:space="preserve"> of p</w:t>
      </w:r>
      <w:r>
        <w:t xml:space="preserve">eople in the same household </w:t>
      </w:r>
      <w:r w:rsidR="002A7C9B">
        <w:t xml:space="preserve">being </w:t>
      </w:r>
      <w:r w:rsidR="00813444">
        <w:t xml:space="preserve">in </w:t>
      </w:r>
      <w:r w:rsidR="002A7C9B">
        <w:t>a different treatment group</w:t>
      </w:r>
      <w:r w:rsidR="00AF00CA">
        <w:t>. However, other friends or f</w:t>
      </w:r>
      <w:r>
        <w:t xml:space="preserve">amily could </w:t>
      </w:r>
      <w:r w:rsidR="00BC2FF2">
        <w:t>be in a different treatment group and share their letters/emails</w:t>
      </w:r>
      <w:r w:rsidR="00AF00CA">
        <w:t xml:space="preserve"> with each other</w:t>
      </w:r>
      <w:r>
        <w:t>.</w:t>
      </w:r>
      <w:r w:rsidR="00813444" w:rsidRPr="00813444">
        <w:t xml:space="preserve"> </w:t>
      </w:r>
      <w:r w:rsidR="00813444">
        <w:t xml:space="preserve">We expect that this will not be a common occurrence and will have a negligible impact on our treatment effect estimates.  </w:t>
      </w:r>
    </w:p>
    <w:p w14:paraId="3CAE5351" w14:textId="41B0E9B5" w:rsidR="00C1198B" w:rsidRDefault="00455D1D" w:rsidP="007110B7">
      <w:r>
        <w:t xml:space="preserve">Attrition/missing data: Letters </w:t>
      </w:r>
      <w:r w:rsidR="00C1198B">
        <w:t xml:space="preserve">and emails </w:t>
      </w:r>
      <w:r>
        <w:t>will be sent to the address</w:t>
      </w:r>
      <w:r w:rsidR="00C1198B">
        <w:t xml:space="preserve">es and email </w:t>
      </w:r>
      <w:r w:rsidR="00F765AE">
        <w:t xml:space="preserve">addresses last </w:t>
      </w:r>
      <w:r>
        <w:t xml:space="preserve">given </w:t>
      </w:r>
      <w:r w:rsidR="00F765AE">
        <w:t xml:space="preserve">to the department </w:t>
      </w:r>
      <w:r>
        <w:t>by</w:t>
      </w:r>
      <w:r w:rsidR="007A2403">
        <w:t xml:space="preserve"> potentially</w:t>
      </w:r>
      <w:r>
        <w:t xml:space="preserve"> eligible visa holders. People may have moved since then </w:t>
      </w:r>
      <w:r w:rsidR="00C1198B">
        <w:t>making</w:t>
      </w:r>
      <w:r w:rsidR="00757045">
        <w:t xml:space="preserve"> some</w:t>
      </w:r>
      <w:r>
        <w:t xml:space="preserve"> letters </w:t>
      </w:r>
      <w:r w:rsidR="00C1198B">
        <w:t>un</w:t>
      </w:r>
      <w:r>
        <w:t>likely to reach their intended targets.</w:t>
      </w:r>
      <w:r w:rsidR="00757045">
        <w:t xml:space="preserve"> </w:t>
      </w:r>
      <w:r w:rsidR="00C1198B">
        <w:t xml:space="preserve">For this reason emails are also being used as people will be less likely to change their email address. </w:t>
      </w:r>
    </w:p>
    <w:p w14:paraId="48E1FA69" w14:textId="3B029634" w:rsidR="00E34A03" w:rsidRDefault="00757045" w:rsidP="007110B7">
      <w:r>
        <w:t xml:space="preserve">Letters </w:t>
      </w:r>
      <w:r w:rsidR="00C1198B">
        <w:t xml:space="preserve">and emails </w:t>
      </w:r>
      <w:r>
        <w:t xml:space="preserve">may also be sent to people who already speak </w:t>
      </w:r>
      <w:r w:rsidR="00086380">
        <w:t xml:space="preserve">vocational </w:t>
      </w:r>
      <w:r>
        <w:t xml:space="preserve">English and are not eligible for the AMEP. </w:t>
      </w:r>
      <w:r w:rsidR="00D947F7">
        <w:t xml:space="preserve">Any letters sent back as Return to Sender or </w:t>
      </w:r>
      <w:r w:rsidR="00D947F7">
        <w:lastRenderedPageBreak/>
        <w:t>emails that bounce back as undelivered will be taken out of the sample and not analysed.</w:t>
      </w:r>
    </w:p>
    <w:p w14:paraId="179691E0" w14:textId="52DBF11C" w:rsidR="00E74E0D" w:rsidRPr="00E74E0D" w:rsidRDefault="008C3A54" w:rsidP="00E74E0D">
      <w:pPr>
        <w:pStyle w:val="Heading2"/>
      </w:pPr>
      <w:r>
        <w:t>Method of a</w:t>
      </w:r>
      <w:r w:rsidR="00E74E0D" w:rsidRPr="00E74E0D">
        <w:t>nalysis</w:t>
      </w:r>
    </w:p>
    <w:p w14:paraId="566BE005" w14:textId="79BD7242" w:rsidR="008931AB" w:rsidRDefault="008931AB" w:rsidP="008931AB">
      <w:pPr>
        <w:rPr>
          <w:lang w:val="en-US"/>
        </w:rPr>
      </w:pPr>
      <w:r w:rsidRPr="00D040A6">
        <w:rPr>
          <w:lang w:val="en-US"/>
        </w:rPr>
        <w:t>For</w:t>
      </w:r>
      <w:r>
        <w:rPr>
          <w:lang w:val="en-US"/>
        </w:rPr>
        <w:t xml:space="preserve"> </w:t>
      </w:r>
      <w:r w:rsidR="00512719">
        <w:rPr>
          <w:lang w:val="en-US"/>
        </w:rPr>
        <w:t>the</w:t>
      </w:r>
      <w:r w:rsidRPr="00D040A6">
        <w:rPr>
          <w:lang w:val="en-US"/>
        </w:rPr>
        <w:t xml:space="preserve"> </w:t>
      </w:r>
      <w:r>
        <w:rPr>
          <w:lang w:val="en-US"/>
        </w:rPr>
        <w:t>primary</w:t>
      </w:r>
      <w:r w:rsidR="00512719">
        <w:rPr>
          <w:lang w:val="en-US"/>
        </w:rPr>
        <w:t xml:space="preserve"> outcome measure</w:t>
      </w:r>
      <w:r w:rsidRPr="00D040A6">
        <w:rPr>
          <w:lang w:val="en-US"/>
        </w:rPr>
        <w:t xml:space="preserve">, we will </w:t>
      </w:r>
      <w:r>
        <w:rPr>
          <w:lang w:val="en-US"/>
        </w:rPr>
        <w:t xml:space="preserve">estimate treatment effects using Ordinary Least Squares (OLS) regression with standard errors </w:t>
      </w:r>
      <w:r w:rsidR="00AA0FC8">
        <w:rPr>
          <w:lang w:val="en-US"/>
        </w:rPr>
        <w:t xml:space="preserve">(CR2) </w:t>
      </w:r>
      <w:r>
        <w:rPr>
          <w:lang w:val="en-US"/>
        </w:rPr>
        <w:t xml:space="preserve">clustered using the following specification: </w:t>
      </w:r>
    </w:p>
    <w:p w14:paraId="799F0410" w14:textId="74EB1AD3" w:rsidR="005C1A8B" w:rsidRDefault="005C1A8B" w:rsidP="005C1A8B">
      <w:pPr>
        <w:rPr>
          <w:lang w:val="en-US"/>
        </w:rPr>
      </w:pPr>
      <m:oMathPara>
        <m:oMath>
          <m:r>
            <w:rPr>
              <w:rFonts w:ascii="Cambria Math" w:hAnsi="Cambria Math"/>
              <w:lang w:val="en-US"/>
            </w:rPr>
            <m:t xml:space="preserve">Y= α+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r>
            <w:rPr>
              <w:rFonts w:ascii="Cambria Math" w:hAnsi="Cambria Math"/>
              <w:lang w:val="en-US"/>
            </w:rPr>
            <m:t xml:space="preserve">A+ </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1</m:t>
              </m:r>
            </m:sub>
          </m:sSub>
          <m:r>
            <w:rPr>
              <w:rFonts w:ascii="Cambria Math" w:hAnsi="Cambria Math"/>
              <w:lang w:val="en-US"/>
            </w:rPr>
            <m:t xml:space="preserve">X+ </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2</m:t>
              </m:r>
            </m:sub>
          </m:sSub>
          <m:r>
            <w:rPr>
              <w:rFonts w:ascii="Cambria Math" w:hAnsi="Cambria Math"/>
              <w:lang w:val="en-US"/>
            </w:rPr>
            <m:t>X*A+v+w</m:t>
          </m:r>
        </m:oMath>
      </m:oMathPara>
    </w:p>
    <w:p w14:paraId="646BCABA" w14:textId="6B1A7B91" w:rsidR="005C1A8B" w:rsidRDefault="005C1A8B" w:rsidP="005C1A8B">
      <w:pPr>
        <w:rPr>
          <w:lang w:val="en-US"/>
        </w:rPr>
      </w:pPr>
      <w:r>
        <w:rPr>
          <w:lang w:val="en-US"/>
        </w:rPr>
        <w:t xml:space="preserve">Where </w:t>
      </w:r>
      <w:r>
        <w:rPr>
          <w:i/>
          <w:lang w:val="en-US"/>
        </w:rPr>
        <w:t xml:space="preserve">Y </w:t>
      </w:r>
      <w:r>
        <w:rPr>
          <w:lang w:val="en-US"/>
        </w:rPr>
        <w:t xml:space="preserve">is a binary variable indicating whether the student enrolled. </w:t>
      </w:r>
      <w:r>
        <w:rPr>
          <w:i/>
          <w:lang w:val="en-US"/>
        </w:rPr>
        <w:t>A</w:t>
      </w:r>
      <w:r w:rsidRPr="00D040A6">
        <w:rPr>
          <w:lang w:val="en-US"/>
        </w:rPr>
        <w:t xml:space="preserve"> indicates whether </w:t>
      </w:r>
      <w:r>
        <w:rPr>
          <w:lang w:val="en-US"/>
        </w:rPr>
        <w:t xml:space="preserve">the cluster </w:t>
      </w:r>
      <w:r w:rsidRPr="00D040A6">
        <w:rPr>
          <w:lang w:val="en-US"/>
        </w:rPr>
        <w:t xml:space="preserve">is </w:t>
      </w:r>
      <w:r>
        <w:rPr>
          <w:lang w:val="en-US"/>
        </w:rPr>
        <w:t>allocated to the</w:t>
      </w:r>
      <w:r w:rsidRPr="00D040A6">
        <w:rPr>
          <w:lang w:val="en-US"/>
        </w:rPr>
        <w:t xml:space="preserve"> </w:t>
      </w:r>
      <w:r>
        <w:rPr>
          <w:lang w:val="en-US"/>
        </w:rPr>
        <w:t>home language</w:t>
      </w:r>
      <w:r w:rsidRPr="00D040A6">
        <w:rPr>
          <w:lang w:val="en-US"/>
        </w:rPr>
        <w:t xml:space="preserve"> or </w:t>
      </w:r>
      <w:r>
        <w:rPr>
          <w:lang w:val="en-US"/>
        </w:rPr>
        <w:t xml:space="preserve">English language </w:t>
      </w:r>
      <w:r w:rsidRPr="00D040A6">
        <w:rPr>
          <w:lang w:val="en-US"/>
        </w:rPr>
        <w:t>group</w:t>
      </w:r>
      <w:r>
        <w:rPr>
          <w:lang w:val="en-US"/>
        </w:rPr>
        <w:t>,</w:t>
      </w:r>
      <w:r w:rsidRPr="006368E0">
        <w:rPr>
          <w:i/>
          <w:lang w:val="en-US"/>
        </w:rPr>
        <w:t xml:space="preserve"> </w:t>
      </w:r>
      <w:r w:rsidRPr="00D55204">
        <w:rPr>
          <w:i/>
          <w:lang w:val="en-US"/>
        </w:rPr>
        <w:t>X</w:t>
      </w:r>
      <w:r w:rsidRPr="00D040A6">
        <w:rPr>
          <w:lang w:val="en-US"/>
        </w:rPr>
        <w:t xml:space="preserve"> indicates </w:t>
      </w:r>
      <w:r w:rsidR="00DD6841">
        <w:rPr>
          <w:lang w:val="en-US"/>
        </w:rPr>
        <w:t>a vector of block indicators</w:t>
      </w:r>
      <w:r>
        <w:rPr>
          <w:lang w:val="en-US"/>
        </w:rPr>
        <w:t xml:space="preserve">, </w:t>
      </w:r>
      <w:r w:rsidRPr="008C1B20">
        <w:rPr>
          <w:i/>
          <w:lang w:val="en-US"/>
        </w:rPr>
        <w:t>X</w:t>
      </w:r>
      <w:r w:rsidRPr="008C1B20">
        <w:rPr>
          <w:i/>
          <w:vertAlign w:val="subscript"/>
          <w:lang w:val="en-US"/>
        </w:rPr>
        <w:t xml:space="preserve"> </w:t>
      </w:r>
      <w:r w:rsidRPr="008C1B20">
        <w:rPr>
          <w:i/>
          <w:lang w:val="en-US"/>
        </w:rPr>
        <w:t xml:space="preserve">* </w:t>
      </w:r>
      <w:r>
        <w:rPr>
          <w:i/>
          <w:lang w:val="en-US"/>
        </w:rPr>
        <w:t>A</w:t>
      </w:r>
      <w:r>
        <w:rPr>
          <w:i/>
          <w:vertAlign w:val="subscript"/>
          <w:lang w:val="en-US"/>
        </w:rPr>
        <w:t xml:space="preserve"> </w:t>
      </w:r>
      <w:r>
        <w:rPr>
          <w:lang w:val="en-US"/>
        </w:rPr>
        <w:t xml:space="preserve">is the interaction of </w:t>
      </w:r>
      <w:r w:rsidR="00DD6841">
        <w:rPr>
          <w:lang w:val="en-US"/>
        </w:rPr>
        <w:t>this vector</w:t>
      </w:r>
      <w:r>
        <w:rPr>
          <w:lang w:val="en-US"/>
        </w:rPr>
        <w:t xml:space="preserve"> with the treatment indicator, </w:t>
      </w:r>
      <w:r w:rsidRPr="00606124">
        <w:rPr>
          <w:i/>
          <w:lang w:val="en-US"/>
        </w:rPr>
        <w:t>v</w:t>
      </w:r>
      <w:r w:rsidRPr="00D040A6">
        <w:rPr>
          <w:lang w:val="en-US"/>
        </w:rPr>
        <w:t xml:space="preserve"> </w:t>
      </w:r>
      <w:r>
        <w:rPr>
          <w:lang w:val="en-US"/>
        </w:rPr>
        <w:t>is a</w:t>
      </w:r>
      <w:r w:rsidRPr="00D040A6">
        <w:rPr>
          <w:lang w:val="en-US"/>
        </w:rPr>
        <w:t xml:space="preserve"> </w:t>
      </w:r>
      <w:r>
        <w:rPr>
          <w:lang w:val="en-US"/>
        </w:rPr>
        <w:t>cluster-level</w:t>
      </w:r>
      <w:r w:rsidRPr="00D040A6">
        <w:rPr>
          <w:lang w:val="en-US"/>
        </w:rPr>
        <w:t xml:space="preserve"> error term and ω is the </w:t>
      </w:r>
      <w:r>
        <w:rPr>
          <w:lang w:val="en-US"/>
        </w:rPr>
        <w:t>individual-</w:t>
      </w:r>
      <w:r w:rsidRPr="00D040A6">
        <w:rPr>
          <w:lang w:val="en-US"/>
        </w:rPr>
        <w:t xml:space="preserve">level error term. </w:t>
      </w:r>
    </w:p>
    <w:p w14:paraId="164D3796" w14:textId="77777777" w:rsidR="005C1A8B" w:rsidRDefault="005C1A8B" w:rsidP="005C1A8B">
      <w:pPr>
        <w:rPr>
          <w:lang w:val="en-US"/>
        </w:rPr>
      </w:pPr>
      <w:r>
        <w:rPr>
          <w:lang w:val="en-US"/>
        </w:rPr>
        <w:t>We will not adjust p-values for multiple comparisons. W</w:t>
      </w:r>
      <w:r w:rsidRPr="00D040A6">
        <w:rPr>
          <w:lang w:val="en-US"/>
        </w:rPr>
        <w:t>e will conduct logistic regression as a robustness check for</w:t>
      </w:r>
      <w:r>
        <w:rPr>
          <w:lang w:val="en-US"/>
        </w:rPr>
        <w:t xml:space="preserve"> our primary OLS specification and report average marginal effects.</w:t>
      </w:r>
    </w:p>
    <w:p w14:paraId="07D8ADC0" w14:textId="2C1187F9" w:rsidR="00441B62" w:rsidRPr="00441B62" w:rsidRDefault="00441B62" w:rsidP="00441B62">
      <w:pPr>
        <w:pStyle w:val="Heading2"/>
      </w:pPr>
      <w:r w:rsidRPr="00441B62">
        <w:t>Exploratory and subgroup analyses</w:t>
      </w:r>
    </w:p>
    <w:p w14:paraId="000067FD" w14:textId="48453C12" w:rsidR="00441B62" w:rsidRDefault="00441B62" w:rsidP="00441B62">
      <w:pPr>
        <w:pStyle w:val="ListBullet"/>
        <w:numPr>
          <w:ilvl w:val="0"/>
          <w:numId w:val="0"/>
        </w:numPr>
      </w:pPr>
      <w:r>
        <w:t xml:space="preserve">We may conduct exploratory analyses of outcomes at the </w:t>
      </w:r>
      <w:r w:rsidR="00AF6B89">
        <w:t>cluster</w:t>
      </w:r>
      <w:r>
        <w:t xml:space="preserve"> level to determine whether the behaviour of one person influences the behaviour of other household members.</w:t>
      </w:r>
      <w:r w:rsidR="00767D07" w:rsidRPr="00767D07">
        <w:t xml:space="preserve"> </w:t>
      </w:r>
      <w:r w:rsidR="00767D07">
        <w:t>We may also explore differences between groups that opened the email and those that did not.</w:t>
      </w:r>
    </w:p>
    <w:p w14:paraId="2AA20CBC" w14:textId="40EBAFCC" w:rsidR="00441B62" w:rsidRDefault="00441B62" w:rsidP="00441B62">
      <w:pPr>
        <w:pStyle w:val="ListBullet"/>
        <w:numPr>
          <w:ilvl w:val="0"/>
          <w:numId w:val="0"/>
        </w:numPr>
      </w:pPr>
      <w:r>
        <w:t>There are a number of subgroup</w:t>
      </w:r>
      <w:r w:rsidR="00C266C1">
        <w:t>s</w:t>
      </w:r>
      <w:r>
        <w:t xml:space="preserve"> that we may investigate: language group, location, gender, age, </w:t>
      </w:r>
      <w:r w:rsidR="00AF6B89">
        <w:t>visa category and status</w:t>
      </w:r>
      <w:r>
        <w:t xml:space="preserve">, </w:t>
      </w:r>
      <w:r w:rsidR="00AF6B89">
        <w:t>country of birth.</w:t>
      </w:r>
    </w:p>
    <w:p w14:paraId="6363EE39" w14:textId="71069233" w:rsidR="00E74E0D" w:rsidRPr="00E74E0D" w:rsidRDefault="00E74E0D" w:rsidP="00E74E0D">
      <w:pPr>
        <w:pStyle w:val="Heading2"/>
      </w:pPr>
      <w:r w:rsidRPr="00E74E0D">
        <w:t>Pre-analysis plan commitments</w:t>
      </w:r>
    </w:p>
    <w:p w14:paraId="0BB6F659" w14:textId="33424770" w:rsidR="00E74E0D" w:rsidRPr="00E74E0D" w:rsidRDefault="00E74E0D" w:rsidP="009D458F">
      <w:pPr>
        <w:pStyle w:val="ListBullet"/>
        <w:numPr>
          <w:ilvl w:val="0"/>
          <w:numId w:val="0"/>
        </w:numPr>
        <w:ind w:left="357" w:hanging="357"/>
      </w:pPr>
      <w:r w:rsidRPr="00E74E0D">
        <w:t>No trial data have been collected/no analysis h</w:t>
      </w:r>
      <w:r w:rsidR="009D458F">
        <w:t xml:space="preserve">as been undertaken prior to the </w:t>
      </w:r>
      <w:r w:rsidRPr="00E74E0D">
        <w:t>completion of thi</w:t>
      </w:r>
      <w:r w:rsidR="009D458F">
        <w:t>s pre-analysis plan.</w:t>
      </w:r>
    </w:p>
    <w:p w14:paraId="4668E661" w14:textId="29622422" w:rsidR="00E74E0D" w:rsidRDefault="00E74E0D" w:rsidP="009D458F">
      <w:pPr>
        <w:pStyle w:val="ListBullet"/>
        <w:numPr>
          <w:ilvl w:val="0"/>
          <w:numId w:val="0"/>
        </w:numPr>
        <w:ind w:left="357" w:hanging="357"/>
      </w:pPr>
      <w:r w:rsidRPr="00E74E0D">
        <w:t>We will be transparent about, and provide justification for, any deviations (addition</w:t>
      </w:r>
      <w:r w:rsidR="009D458F">
        <w:t>s or omissions) from this plan.</w:t>
      </w: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FEDD" w14:textId="77777777" w:rsidR="00D142D3" w:rsidRDefault="00D142D3">
      <w:r>
        <w:separator/>
      </w:r>
    </w:p>
  </w:endnote>
  <w:endnote w:type="continuationSeparator" w:id="0">
    <w:p w14:paraId="46942970" w14:textId="77777777" w:rsidR="00D142D3" w:rsidRDefault="00D1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2FBE" w14:textId="77777777" w:rsidR="00D142D3" w:rsidRDefault="00D142D3">
      <w:r>
        <w:separator/>
      </w:r>
    </w:p>
  </w:footnote>
  <w:footnote w:type="continuationSeparator" w:id="0">
    <w:p w14:paraId="2827872B" w14:textId="77777777" w:rsidR="00D142D3" w:rsidRDefault="00D142D3">
      <w:r>
        <w:continuationSeparator/>
      </w:r>
    </w:p>
  </w:footnote>
  <w:footnote w:id="1">
    <w:p w14:paraId="28EB4516" w14:textId="15979DA8" w:rsidR="00443312" w:rsidRDefault="00443312">
      <w:pPr>
        <w:pStyle w:val="FootnoteText"/>
      </w:pPr>
      <w:r>
        <w:rPr>
          <w:rStyle w:val="FootnoteReference"/>
        </w:rPr>
        <w:footnoteRef/>
      </w:r>
      <w:r>
        <w:t xml:space="preserve"> </w:t>
      </w:r>
      <w:r w:rsidRPr="00443312">
        <w:rPr>
          <w:color w:val="000000"/>
          <w:sz w:val="16"/>
          <w:szCs w:val="16"/>
        </w:rPr>
        <w:t>Chiswick, B. R., &amp; Miller, P. W. (2005). Linguistic distance: A quantitative measure of the distance between English and other languages. Journal of Multilingual and Multicultural Development, 26(1),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BF1D77"/>
    <w:multiLevelType w:val="hybridMultilevel"/>
    <w:tmpl w:val="724415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417151"/>
    <w:multiLevelType w:val="hybridMultilevel"/>
    <w:tmpl w:val="78ACBA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2266"/>
    <w:rsid w:val="00005785"/>
    <w:rsid w:val="00006876"/>
    <w:rsid w:val="000079AD"/>
    <w:rsid w:val="00007D1F"/>
    <w:rsid w:val="00010D84"/>
    <w:rsid w:val="00010F15"/>
    <w:rsid w:val="00011CE3"/>
    <w:rsid w:val="0001467E"/>
    <w:rsid w:val="000176B5"/>
    <w:rsid w:val="00022E9C"/>
    <w:rsid w:val="00024EF0"/>
    <w:rsid w:val="00025631"/>
    <w:rsid w:val="00025AFF"/>
    <w:rsid w:val="00027B26"/>
    <w:rsid w:val="00030705"/>
    <w:rsid w:val="000320EF"/>
    <w:rsid w:val="00032861"/>
    <w:rsid w:val="00032B77"/>
    <w:rsid w:val="00037F3D"/>
    <w:rsid w:val="00042285"/>
    <w:rsid w:val="00043256"/>
    <w:rsid w:val="00045A89"/>
    <w:rsid w:val="00046F8E"/>
    <w:rsid w:val="00047524"/>
    <w:rsid w:val="0005040E"/>
    <w:rsid w:val="0005087D"/>
    <w:rsid w:val="00050A50"/>
    <w:rsid w:val="00050F9E"/>
    <w:rsid w:val="000547EF"/>
    <w:rsid w:val="00055744"/>
    <w:rsid w:val="00056004"/>
    <w:rsid w:val="0006075A"/>
    <w:rsid w:val="00061C84"/>
    <w:rsid w:val="00062484"/>
    <w:rsid w:val="00063129"/>
    <w:rsid w:val="00064EE9"/>
    <w:rsid w:val="00065022"/>
    <w:rsid w:val="00065A5E"/>
    <w:rsid w:val="00066B6B"/>
    <w:rsid w:val="00070681"/>
    <w:rsid w:val="0007097B"/>
    <w:rsid w:val="00070F67"/>
    <w:rsid w:val="00072DA5"/>
    <w:rsid w:val="00080A09"/>
    <w:rsid w:val="00081CEB"/>
    <w:rsid w:val="000822E9"/>
    <w:rsid w:val="00083082"/>
    <w:rsid w:val="00083F36"/>
    <w:rsid w:val="00086380"/>
    <w:rsid w:val="00086D9F"/>
    <w:rsid w:val="00087B2C"/>
    <w:rsid w:val="00087D4E"/>
    <w:rsid w:val="00087DBD"/>
    <w:rsid w:val="00090718"/>
    <w:rsid w:val="00091B4E"/>
    <w:rsid w:val="00091CD7"/>
    <w:rsid w:val="00093DD5"/>
    <w:rsid w:val="00094B14"/>
    <w:rsid w:val="000A03DD"/>
    <w:rsid w:val="000A1A09"/>
    <w:rsid w:val="000A291E"/>
    <w:rsid w:val="000A47A8"/>
    <w:rsid w:val="000A48B2"/>
    <w:rsid w:val="000A688D"/>
    <w:rsid w:val="000A73FB"/>
    <w:rsid w:val="000B0129"/>
    <w:rsid w:val="000B218A"/>
    <w:rsid w:val="000B406F"/>
    <w:rsid w:val="000B4BD4"/>
    <w:rsid w:val="000C014D"/>
    <w:rsid w:val="000C11F6"/>
    <w:rsid w:val="000C29B4"/>
    <w:rsid w:val="000C5CD8"/>
    <w:rsid w:val="000C6012"/>
    <w:rsid w:val="000C7A69"/>
    <w:rsid w:val="000D1158"/>
    <w:rsid w:val="000D4703"/>
    <w:rsid w:val="000E12D4"/>
    <w:rsid w:val="000E39EF"/>
    <w:rsid w:val="000E51CE"/>
    <w:rsid w:val="000E5252"/>
    <w:rsid w:val="000E5BBA"/>
    <w:rsid w:val="000E620E"/>
    <w:rsid w:val="000F2063"/>
    <w:rsid w:val="000F2EF9"/>
    <w:rsid w:val="000F3D28"/>
    <w:rsid w:val="000F63C4"/>
    <w:rsid w:val="000F7463"/>
    <w:rsid w:val="00100200"/>
    <w:rsid w:val="0010263D"/>
    <w:rsid w:val="00102824"/>
    <w:rsid w:val="0010300A"/>
    <w:rsid w:val="0010535A"/>
    <w:rsid w:val="00105D77"/>
    <w:rsid w:val="001068B3"/>
    <w:rsid w:val="001129B4"/>
    <w:rsid w:val="001131F0"/>
    <w:rsid w:val="001139C7"/>
    <w:rsid w:val="00114EBC"/>
    <w:rsid w:val="00116B29"/>
    <w:rsid w:val="00117462"/>
    <w:rsid w:val="001221CB"/>
    <w:rsid w:val="001239B3"/>
    <w:rsid w:val="0012427E"/>
    <w:rsid w:val="001247E0"/>
    <w:rsid w:val="001252F6"/>
    <w:rsid w:val="0012552B"/>
    <w:rsid w:val="00126750"/>
    <w:rsid w:val="001271A1"/>
    <w:rsid w:val="00127341"/>
    <w:rsid w:val="00131C0F"/>
    <w:rsid w:val="001325BF"/>
    <w:rsid w:val="00132F0D"/>
    <w:rsid w:val="00133713"/>
    <w:rsid w:val="00135B7E"/>
    <w:rsid w:val="00140FC9"/>
    <w:rsid w:val="001413C5"/>
    <w:rsid w:val="0014231B"/>
    <w:rsid w:val="00142956"/>
    <w:rsid w:val="00142D10"/>
    <w:rsid w:val="001432B0"/>
    <w:rsid w:val="00144868"/>
    <w:rsid w:val="001452BC"/>
    <w:rsid w:val="00150727"/>
    <w:rsid w:val="00150D2A"/>
    <w:rsid w:val="00150E25"/>
    <w:rsid w:val="00150EA9"/>
    <w:rsid w:val="00151650"/>
    <w:rsid w:val="00155B98"/>
    <w:rsid w:val="001562DC"/>
    <w:rsid w:val="00157001"/>
    <w:rsid w:val="00157709"/>
    <w:rsid w:val="00160B66"/>
    <w:rsid w:val="00160E91"/>
    <w:rsid w:val="00165626"/>
    <w:rsid w:val="00166272"/>
    <w:rsid w:val="001671D2"/>
    <w:rsid w:val="00167CF4"/>
    <w:rsid w:val="0017071D"/>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1A3C"/>
    <w:rsid w:val="001B385A"/>
    <w:rsid w:val="001B3904"/>
    <w:rsid w:val="001B3AEC"/>
    <w:rsid w:val="001B3E8D"/>
    <w:rsid w:val="001B5259"/>
    <w:rsid w:val="001B53B8"/>
    <w:rsid w:val="001B60D4"/>
    <w:rsid w:val="001B6F28"/>
    <w:rsid w:val="001C4F4F"/>
    <w:rsid w:val="001C6BA1"/>
    <w:rsid w:val="001C6F22"/>
    <w:rsid w:val="001D141C"/>
    <w:rsid w:val="001D16CF"/>
    <w:rsid w:val="001D2904"/>
    <w:rsid w:val="001D652D"/>
    <w:rsid w:val="001D693F"/>
    <w:rsid w:val="001D6EDF"/>
    <w:rsid w:val="001D6F9E"/>
    <w:rsid w:val="001E3082"/>
    <w:rsid w:val="001E38FB"/>
    <w:rsid w:val="001E52C2"/>
    <w:rsid w:val="001E6A27"/>
    <w:rsid w:val="001F0BE1"/>
    <w:rsid w:val="001F101A"/>
    <w:rsid w:val="001F24EF"/>
    <w:rsid w:val="001F3A78"/>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819"/>
    <w:rsid w:val="00225C97"/>
    <w:rsid w:val="00230E6B"/>
    <w:rsid w:val="00232B97"/>
    <w:rsid w:val="0023328E"/>
    <w:rsid w:val="0023523A"/>
    <w:rsid w:val="002357E5"/>
    <w:rsid w:val="00236CA0"/>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6156"/>
    <w:rsid w:val="002672F1"/>
    <w:rsid w:val="00271414"/>
    <w:rsid w:val="00271922"/>
    <w:rsid w:val="00273412"/>
    <w:rsid w:val="0027373F"/>
    <w:rsid w:val="00274ACF"/>
    <w:rsid w:val="00277388"/>
    <w:rsid w:val="00277B07"/>
    <w:rsid w:val="00277C8F"/>
    <w:rsid w:val="0028159B"/>
    <w:rsid w:val="00282671"/>
    <w:rsid w:val="00282861"/>
    <w:rsid w:val="002843E2"/>
    <w:rsid w:val="00286133"/>
    <w:rsid w:val="00287BAA"/>
    <w:rsid w:val="0029180D"/>
    <w:rsid w:val="00293489"/>
    <w:rsid w:val="00295B30"/>
    <w:rsid w:val="00296F5E"/>
    <w:rsid w:val="002974B9"/>
    <w:rsid w:val="002A30F0"/>
    <w:rsid w:val="002A381B"/>
    <w:rsid w:val="002A38A4"/>
    <w:rsid w:val="002A47A0"/>
    <w:rsid w:val="002A6DF5"/>
    <w:rsid w:val="002A7C9B"/>
    <w:rsid w:val="002B312E"/>
    <w:rsid w:val="002B6406"/>
    <w:rsid w:val="002B6809"/>
    <w:rsid w:val="002C4231"/>
    <w:rsid w:val="002C7080"/>
    <w:rsid w:val="002D00B0"/>
    <w:rsid w:val="002D11CF"/>
    <w:rsid w:val="002D2364"/>
    <w:rsid w:val="002D2E16"/>
    <w:rsid w:val="002D39F8"/>
    <w:rsid w:val="002D6050"/>
    <w:rsid w:val="002D638F"/>
    <w:rsid w:val="002D6E3E"/>
    <w:rsid w:val="002E1418"/>
    <w:rsid w:val="002E21D6"/>
    <w:rsid w:val="002E45F0"/>
    <w:rsid w:val="002E7778"/>
    <w:rsid w:val="002F2EC2"/>
    <w:rsid w:val="00304669"/>
    <w:rsid w:val="003049B3"/>
    <w:rsid w:val="00304B3E"/>
    <w:rsid w:val="00304D97"/>
    <w:rsid w:val="0031180A"/>
    <w:rsid w:val="00313127"/>
    <w:rsid w:val="00313304"/>
    <w:rsid w:val="003155F4"/>
    <w:rsid w:val="003168FC"/>
    <w:rsid w:val="00320309"/>
    <w:rsid w:val="00321CFE"/>
    <w:rsid w:val="00321D1E"/>
    <w:rsid w:val="0032530E"/>
    <w:rsid w:val="00325A61"/>
    <w:rsid w:val="00326976"/>
    <w:rsid w:val="003279E4"/>
    <w:rsid w:val="003311D7"/>
    <w:rsid w:val="0033174C"/>
    <w:rsid w:val="00332B8B"/>
    <w:rsid w:val="003330C0"/>
    <w:rsid w:val="0033521E"/>
    <w:rsid w:val="003364C7"/>
    <w:rsid w:val="00337CA2"/>
    <w:rsid w:val="003404A4"/>
    <w:rsid w:val="003418E4"/>
    <w:rsid w:val="00345EF2"/>
    <w:rsid w:val="00346843"/>
    <w:rsid w:val="00347104"/>
    <w:rsid w:val="00350852"/>
    <w:rsid w:val="0035096E"/>
    <w:rsid w:val="0035129C"/>
    <w:rsid w:val="0035219F"/>
    <w:rsid w:val="00355D01"/>
    <w:rsid w:val="00356F73"/>
    <w:rsid w:val="00360B81"/>
    <w:rsid w:val="00363F7F"/>
    <w:rsid w:val="00364D1A"/>
    <w:rsid w:val="00365E99"/>
    <w:rsid w:val="00366283"/>
    <w:rsid w:val="0036777E"/>
    <w:rsid w:val="0036794F"/>
    <w:rsid w:val="003701FA"/>
    <w:rsid w:val="00372A26"/>
    <w:rsid w:val="00372EC7"/>
    <w:rsid w:val="0037484C"/>
    <w:rsid w:val="003749CD"/>
    <w:rsid w:val="00374A6C"/>
    <w:rsid w:val="00374DCF"/>
    <w:rsid w:val="00382718"/>
    <w:rsid w:val="00382B3B"/>
    <w:rsid w:val="00385ED2"/>
    <w:rsid w:val="003866D6"/>
    <w:rsid w:val="0038714A"/>
    <w:rsid w:val="0038770F"/>
    <w:rsid w:val="00391F86"/>
    <w:rsid w:val="003923FB"/>
    <w:rsid w:val="00392F9C"/>
    <w:rsid w:val="003931C7"/>
    <w:rsid w:val="00393F00"/>
    <w:rsid w:val="003945C0"/>
    <w:rsid w:val="003A25A7"/>
    <w:rsid w:val="003A5094"/>
    <w:rsid w:val="003A566F"/>
    <w:rsid w:val="003B2E01"/>
    <w:rsid w:val="003B460A"/>
    <w:rsid w:val="003B52CE"/>
    <w:rsid w:val="003B535C"/>
    <w:rsid w:val="003B5F0C"/>
    <w:rsid w:val="003C2120"/>
    <w:rsid w:val="003C47C0"/>
    <w:rsid w:val="003C4BB1"/>
    <w:rsid w:val="003C63A3"/>
    <w:rsid w:val="003C676B"/>
    <w:rsid w:val="003D030E"/>
    <w:rsid w:val="003D040D"/>
    <w:rsid w:val="003D1F49"/>
    <w:rsid w:val="003D2061"/>
    <w:rsid w:val="003D543B"/>
    <w:rsid w:val="003D6AE7"/>
    <w:rsid w:val="003D7E3D"/>
    <w:rsid w:val="003E0020"/>
    <w:rsid w:val="003E02C5"/>
    <w:rsid w:val="003E1FE3"/>
    <w:rsid w:val="003E32A7"/>
    <w:rsid w:val="003E5200"/>
    <w:rsid w:val="003E6A9F"/>
    <w:rsid w:val="003E74AE"/>
    <w:rsid w:val="003F1A33"/>
    <w:rsid w:val="003F3072"/>
    <w:rsid w:val="003F31E6"/>
    <w:rsid w:val="00401057"/>
    <w:rsid w:val="004024E4"/>
    <w:rsid w:val="00402E22"/>
    <w:rsid w:val="0040413B"/>
    <w:rsid w:val="004061B4"/>
    <w:rsid w:val="00406289"/>
    <w:rsid w:val="00406578"/>
    <w:rsid w:val="004074EF"/>
    <w:rsid w:val="004102C3"/>
    <w:rsid w:val="0041307C"/>
    <w:rsid w:val="00413699"/>
    <w:rsid w:val="004167B4"/>
    <w:rsid w:val="004167BC"/>
    <w:rsid w:val="0042032D"/>
    <w:rsid w:val="004225DC"/>
    <w:rsid w:val="00423A41"/>
    <w:rsid w:val="00425FBA"/>
    <w:rsid w:val="00427C7D"/>
    <w:rsid w:val="00430D7E"/>
    <w:rsid w:val="00432332"/>
    <w:rsid w:val="00432368"/>
    <w:rsid w:val="00433B04"/>
    <w:rsid w:val="0043784D"/>
    <w:rsid w:val="00437D96"/>
    <w:rsid w:val="00440256"/>
    <w:rsid w:val="00440E22"/>
    <w:rsid w:val="00441B62"/>
    <w:rsid w:val="00443312"/>
    <w:rsid w:val="0044547D"/>
    <w:rsid w:val="00446F93"/>
    <w:rsid w:val="00450413"/>
    <w:rsid w:val="00451A74"/>
    <w:rsid w:val="004552AB"/>
    <w:rsid w:val="004553FF"/>
    <w:rsid w:val="00455D1D"/>
    <w:rsid w:val="0045622C"/>
    <w:rsid w:val="00460AF2"/>
    <w:rsid w:val="00464B51"/>
    <w:rsid w:val="00464FB1"/>
    <w:rsid w:val="00466F0E"/>
    <w:rsid w:val="00467185"/>
    <w:rsid w:val="00467736"/>
    <w:rsid w:val="0047050C"/>
    <w:rsid w:val="00472A45"/>
    <w:rsid w:val="00473930"/>
    <w:rsid w:val="00474D25"/>
    <w:rsid w:val="004750DB"/>
    <w:rsid w:val="00480F21"/>
    <w:rsid w:val="0048108E"/>
    <w:rsid w:val="004813C1"/>
    <w:rsid w:val="004821BA"/>
    <w:rsid w:val="0048537F"/>
    <w:rsid w:val="004874E5"/>
    <w:rsid w:val="00487885"/>
    <w:rsid w:val="00490A65"/>
    <w:rsid w:val="0049116C"/>
    <w:rsid w:val="0049139A"/>
    <w:rsid w:val="00491968"/>
    <w:rsid w:val="004930C9"/>
    <w:rsid w:val="00493F62"/>
    <w:rsid w:val="00494832"/>
    <w:rsid w:val="004957C2"/>
    <w:rsid w:val="00495AF1"/>
    <w:rsid w:val="00497A89"/>
    <w:rsid w:val="004A0CC0"/>
    <w:rsid w:val="004A4CED"/>
    <w:rsid w:val="004A4D74"/>
    <w:rsid w:val="004A6BE6"/>
    <w:rsid w:val="004B047F"/>
    <w:rsid w:val="004B0828"/>
    <w:rsid w:val="004B3304"/>
    <w:rsid w:val="004B35D6"/>
    <w:rsid w:val="004B3DF1"/>
    <w:rsid w:val="004B4409"/>
    <w:rsid w:val="004B4BC0"/>
    <w:rsid w:val="004B5555"/>
    <w:rsid w:val="004C0484"/>
    <w:rsid w:val="004C259B"/>
    <w:rsid w:val="004C279A"/>
    <w:rsid w:val="004C777E"/>
    <w:rsid w:val="004C78BE"/>
    <w:rsid w:val="004D0C54"/>
    <w:rsid w:val="004D16A4"/>
    <w:rsid w:val="004E4631"/>
    <w:rsid w:val="004E512B"/>
    <w:rsid w:val="004E6682"/>
    <w:rsid w:val="004E6D8A"/>
    <w:rsid w:val="004F0411"/>
    <w:rsid w:val="004F15EF"/>
    <w:rsid w:val="004F22FE"/>
    <w:rsid w:val="004F4B70"/>
    <w:rsid w:val="004F774D"/>
    <w:rsid w:val="005013B0"/>
    <w:rsid w:val="005015E4"/>
    <w:rsid w:val="005017A6"/>
    <w:rsid w:val="0050291D"/>
    <w:rsid w:val="005064CD"/>
    <w:rsid w:val="00506C00"/>
    <w:rsid w:val="00507A8D"/>
    <w:rsid w:val="00511016"/>
    <w:rsid w:val="00512719"/>
    <w:rsid w:val="00512AAF"/>
    <w:rsid w:val="005159B3"/>
    <w:rsid w:val="00522C03"/>
    <w:rsid w:val="00523110"/>
    <w:rsid w:val="00525EA4"/>
    <w:rsid w:val="005276B7"/>
    <w:rsid w:val="0052791F"/>
    <w:rsid w:val="00532CFF"/>
    <w:rsid w:val="00534D3D"/>
    <w:rsid w:val="00536880"/>
    <w:rsid w:val="005408DA"/>
    <w:rsid w:val="00540AD0"/>
    <w:rsid w:val="00543A76"/>
    <w:rsid w:val="00547738"/>
    <w:rsid w:val="005522F3"/>
    <w:rsid w:val="005523D1"/>
    <w:rsid w:val="0055532E"/>
    <w:rsid w:val="00555BC3"/>
    <w:rsid w:val="00557C8E"/>
    <w:rsid w:val="00561B2B"/>
    <w:rsid w:val="0056357E"/>
    <w:rsid w:val="00564952"/>
    <w:rsid w:val="0056645F"/>
    <w:rsid w:val="005666CE"/>
    <w:rsid w:val="00571AB1"/>
    <w:rsid w:val="00571CF9"/>
    <w:rsid w:val="00577E1C"/>
    <w:rsid w:val="00580DB1"/>
    <w:rsid w:val="005814AC"/>
    <w:rsid w:val="00582A29"/>
    <w:rsid w:val="00584676"/>
    <w:rsid w:val="00584923"/>
    <w:rsid w:val="005854B7"/>
    <w:rsid w:val="00587AB1"/>
    <w:rsid w:val="0059070B"/>
    <w:rsid w:val="0059283C"/>
    <w:rsid w:val="00594CFC"/>
    <w:rsid w:val="00595082"/>
    <w:rsid w:val="00597DBE"/>
    <w:rsid w:val="005A0D95"/>
    <w:rsid w:val="005A224B"/>
    <w:rsid w:val="005A5EAE"/>
    <w:rsid w:val="005B1225"/>
    <w:rsid w:val="005B17D8"/>
    <w:rsid w:val="005B1D82"/>
    <w:rsid w:val="005B4077"/>
    <w:rsid w:val="005B65E5"/>
    <w:rsid w:val="005C1A8B"/>
    <w:rsid w:val="005C28B0"/>
    <w:rsid w:val="005C2F01"/>
    <w:rsid w:val="005C5F3C"/>
    <w:rsid w:val="005D01BE"/>
    <w:rsid w:val="005D1177"/>
    <w:rsid w:val="005D1D13"/>
    <w:rsid w:val="005D254A"/>
    <w:rsid w:val="005D5460"/>
    <w:rsid w:val="005E08CD"/>
    <w:rsid w:val="005E37E8"/>
    <w:rsid w:val="005E74C5"/>
    <w:rsid w:val="005F1BAC"/>
    <w:rsid w:val="005F219D"/>
    <w:rsid w:val="005F2437"/>
    <w:rsid w:val="005F24A2"/>
    <w:rsid w:val="005F2F91"/>
    <w:rsid w:val="005F318A"/>
    <w:rsid w:val="005F7710"/>
    <w:rsid w:val="006004F7"/>
    <w:rsid w:val="00603261"/>
    <w:rsid w:val="0060326B"/>
    <w:rsid w:val="00607597"/>
    <w:rsid w:val="00610F93"/>
    <w:rsid w:val="006127CC"/>
    <w:rsid w:val="00613C61"/>
    <w:rsid w:val="00614661"/>
    <w:rsid w:val="00622419"/>
    <w:rsid w:val="006243C6"/>
    <w:rsid w:val="006273BC"/>
    <w:rsid w:val="00632009"/>
    <w:rsid w:val="00632D70"/>
    <w:rsid w:val="00633CF1"/>
    <w:rsid w:val="00635A6C"/>
    <w:rsid w:val="006368E0"/>
    <w:rsid w:val="00637091"/>
    <w:rsid w:val="00642839"/>
    <w:rsid w:val="006457F8"/>
    <w:rsid w:val="00645CCB"/>
    <w:rsid w:val="0064700E"/>
    <w:rsid w:val="006472A3"/>
    <w:rsid w:val="006474E0"/>
    <w:rsid w:val="006478CB"/>
    <w:rsid w:val="00647B32"/>
    <w:rsid w:val="00650B88"/>
    <w:rsid w:val="00652C58"/>
    <w:rsid w:val="006530EF"/>
    <w:rsid w:val="006554DD"/>
    <w:rsid w:val="00660951"/>
    <w:rsid w:val="00663375"/>
    <w:rsid w:val="006636E2"/>
    <w:rsid w:val="00664357"/>
    <w:rsid w:val="00664C4E"/>
    <w:rsid w:val="00666273"/>
    <w:rsid w:val="00667FA9"/>
    <w:rsid w:val="0067233D"/>
    <w:rsid w:val="00672B2E"/>
    <w:rsid w:val="006745AE"/>
    <w:rsid w:val="00675F39"/>
    <w:rsid w:val="00676870"/>
    <w:rsid w:val="00676AF3"/>
    <w:rsid w:val="00677895"/>
    <w:rsid w:val="00677BEF"/>
    <w:rsid w:val="006814A3"/>
    <w:rsid w:val="00682428"/>
    <w:rsid w:val="00682AFC"/>
    <w:rsid w:val="00683344"/>
    <w:rsid w:val="00684FC9"/>
    <w:rsid w:val="0069072B"/>
    <w:rsid w:val="0069174B"/>
    <w:rsid w:val="00693340"/>
    <w:rsid w:val="00694909"/>
    <w:rsid w:val="006A04C7"/>
    <w:rsid w:val="006A08F0"/>
    <w:rsid w:val="006A4287"/>
    <w:rsid w:val="006B05E3"/>
    <w:rsid w:val="006B09BC"/>
    <w:rsid w:val="006B6D5D"/>
    <w:rsid w:val="006B7B5A"/>
    <w:rsid w:val="006C0801"/>
    <w:rsid w:val="006C0C2C"/>
    <w:rsid w:val="006C1EAA"/>
    <w:rsid w:val="006C216F"/>
    <w:rsid w:val="006C45D4"/>
    <w:rsid w:val="006C490E"/>
    <w:rsid w:val="006C7E4B"/>
    <w:rsid w:val="006D11BD"/>
    <w:rsid w:val="006D2042"/>
    <w:rsid w:val="006D66E3"/>
    <w:rsid w:val="006D75BA"/>
    <w:rsid w:val="006D7855"/>
    <w:rsid w:val="006E010C"/>
    <w:rsid w:val="006E1003"/>
    <w:rsid w:val="006E16BF"/>
    <w:rsid w:val="006E18F0"/>
    <w:rsid w:val="006E2C89"/>
    <w:rsid w:val="006E38AF"/>
    <w:rsid w:val="006E4F93"/>
    <w:rsid w:val="006F10FE"/>
    <w:rsid w:val="006F1174"/>
    <w:rsid w:val="006F773D"/>
    <w:rsid w:val="00700135"/>
    <w:rsid w:val="0070212F"/>
    <w:rsid w:val="007034D5"/>
    <w:rsid w:val="00704C40"/>
    <w:rsid w:val="00705180"/>
    <w:rsid w:val="00710A39"/>
    <w:rsid w:val="007110B7"/>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19D"/>
    <w:rsid w:val="00732608"/>
    <w:rsid w:val="00733251"/>
    <w:rsid w:val="00734083"/>
    <w:rsid w:val="00736DCA"/>
    <w:rsid w:val="0074196D"/>
    <w:rsid w:val="00745A5A"/>
    <w:rsid w:val="00745C47"/>
    <w:rsid w:val="00745E49"/>
    <w:rsid w:val="00747EC9"/>
    <w:rsid w:val="0075003D"/>
    <w:rsid w:val="00751D97"/>
    <w:rsid w:val="00752C55"/>
    <w:rsid w:val="007562D4"/>
    <w:rsid w:val="00757045"/>
    <w:rsid w:val="007573FA"/>
    <w:rsid w:val="00757EF9"/>
    <w:rsid w:val="00761DBF"/>
    <w:rsid w:val="00761FCF"/>
    <w:rsid w:val="00765503"/>
    <w:rsid w:val="00767B7E"/>
    <w:rsid w:val="00767D07"/>
    <w:rsid w:val="007705E9"/>
    <w:rsid w:val="007712A8"/>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053D"/>
    <w:rsid w:val="007A1013"/>
    <w:rsid w:val="007A235B"/>
    <w:rsid w:val="007A2403"/>
    <w:rsid w:val="007A4CA9"/>
    <w:rsid w:val="007A60B4"/>
    <w:rsid w:val="007A7D19"/>
    <w:rsid w:val="007A7EC2"/>
    <w:rsid w:val="007B042D"/>
    <w:rsid w:val="007B05BB"/>
    <w:rsid w:val="007B511F"/>
    <w:rsid w:val="007B6E0A"/>
    <w:rsid w:val="007B764C"/>
    <w:rsid w:val="007C118A"/>
    <w:rsid w:val="007C636F"/>
    <w:rsid w:val="007D007A"/>
    <w:rsid w:val="007D0FC7"/>
    <w:rsid w:val="007D39EB"/>
    <w:rsid w:val="007E4DA2"/>
    <w:rsid w:val="007E7319"/>
    <w:rsid w:val="007E74E1"/>
    <w:rsid w:val="007E77A8"/>
    <w:rsid w:val="007F10F7"/>
    <w:rsid w:val="007F491C"/>
    <w:rsid w:val="00800D07"/>
    <w:rsid w:val="008025F3"/>
    <w:rsid w:val="00803BF8"/>
    <w:rsid w:val="008061C9"/>
    <w:rsid w:val="008066D8"/>
    <w:rsid w:val="008074BB"/>
    <w:rsid w:val="00811A18"/>
    <w:rsid w:val="008121AF"/>
    <w:rsid w:val="00812E18"/>
    <w:rsid w:val="00813444"/>
    <w:rsid w:val="00813711"/>
    <w:rsid w:val="00821E64"/>
    <w:rsid w:val="00822760"/>
    <w:rsid w:val="008243B5"/>
    <w:rsid w:val="008253C4"/>
    <w:rsid w:val="008263C2"/>
    <w:rsid w:val="008307DB"/>
    <w:rsid w:val="00831A7E"/>
    <w:rsid w:val="008323EE"/>
    <w:rsid w:val="00833398"/>
    <w:rsid w:val="008345D6"/>
    <w:rsid w:val="00835D9D"/>
    <w:rsid w:val="00835FC9"/>
    <w:rsid w:val="008368F8"/>
    <w:rsid w:val="008370E3"/>
    <w:rsid w:val="008418FA"/>
    <w:rsid w:val="00842959"/>
    <w:rsid w:val="00843390"/>
    <w:rsid w:val="00845DF8"/>
    <w:rsid w:val="0085235A"/>
    <w:rsid w:val="00854138"/>
    <w:rsid w:val="00854410"/>
    <w:rsid w:val="008544DF"/>
    <w:rsid w:val="008602B6"/>
    <w:rsid w:val="00860AAD"/>
    <w:rsid w:val="00860C51"/>
    <w:rsid w:val="00861AA6"/>
    <w:rsid w:val="008708F3"/>
    <w:rsid w:val="00871354"/>
    <w:rsid w:val="00873611"/>
    <w:rsid w:val="00873C8F"/>
    <w:rsid w:val="008745FE"/>
    <w:rsid w:val="00874FB3"/>
    <w:rsid w:val="00877F7C"/>
    <w:rsid w:val="00880BE3"/>
    <w:rsid w:val="00881359"/>
    <w:rsid w:val="00882093"/>
    <w:rsid w:val="00882588"/>
    <w:rsid w:val="00884ADE"/>
    <w:rsid w:val="00885213"/>
    <w:rsid w:val="008856CF"/>
    <w:rsid w:val="00885864"/>
    <w:rsid w:val="00890A1D"/>
    <w:rsid w:val="008931AB"/>
    <w:rsid w:val="0089383B"/>
    <w:rsid w:val="0089534B"/>
    <w:rsid w:val="0089616F"/>
    <w:rsid w:val="00897548"/>
    <w:rsid w:val="008A0232"/>
    <w:rsid w:val="008A572F"/>
    <w:rsid w:val="008B0470"/>
    <w:rsid w:val="008B05E7"/>
    <w:rsid w:val="008B06C5"/>
    <w:rsid w:val="008B164E"/>
    <w:rsid w:val="008B21BC"/>
    <w:rsid w:val="008B4F06"/>
    <w:rsid w:val="008B502A"/>
    <w:rsid w:val="008B57D8"/>
    <w:rsid w:val="008B65CF"/>
    <w:rsid w:val="008B7A65"/>
    <w:rsid w:val="008C1219"/>
    <w:rsid w:val="008C123E"/>
    <w:rsid w:val="008C137D"/>
    <w:rsid w:val="008C1B20"/>
    <w:rsid w:val="008C22DD"/>
    <w:rsid w:val="008C3A54"/>
    <w:rsid w:val="008C3DFD"/>
    <w:rsid w:val="008C3ED0"/>
    <w:rsid w:val="008C5DA5"/>
    <w:rsid w:val="008C5E94"/>
    <w:rsid w:val="008D07BD"/>
    <w:rsid w:val="008D196A"/>
    <w:rsid w:val="008D27BC"/>
    <w:rsid w:val="008E25D7"/>
    <w:rsid w:val="008E3EF2"/>
    <w:rsid w:val="008E4DE7"/>
    <w:rsid w:val="008E51C9"/>
    <w:rsid w:val="008E5BEB"/>
    <w:rsid w:val="008E6306"/>
    <w:rsid w:val="008E6D2E"/>
    <w:rsid w:val="008F6355"/>
    <w:rsid w:val="008F68F7"/>
    <w:rsid w:val="009005A6"/>
    <w:rsid w:val="009006CF"/>
    <w:rsid w:val="00900C71"/>
    <w:rsid w:val="00902A1C"/>
    <w:rsid w:val="009030E3"/>
    <w:rsid w:val="009037B6"/>
    <w:rsid w:val="00906149"/>
    <w:rsid w:val="00906CBE"/>
    <w:rsid w:val="00910024"/>
    <w:rsid w:val="00910384"/>
    <w:rsid w:val="0091643D"/>
    <w:rsid w:val="00916E33"/>
    <w:rsid w:val="0092093B"/>
    <w:rsid w:val="00923205"/>
    <w:rsid w:val="00924F77"/>
    <w:rsid w:val="00930669"/>
    <w:rsid w:val="00932C33"/>
    <w:rsid w:val="00936488"/>
    <w:rsid w:val="00937C63"/>
    <w:rsid w:val="00940E7F"/>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869D3"/>
    <w:rsid w:val="009900F0"/>
    <w:rsid w:val="00990B9B"/>
    <w:rsid w:val="00991370"/>
    <w:rsid w:val="00991769"/>
    <w:rsid w:val="00991ACA"/>
    <w:rsid w:val="009928B5"/>
    <w:rsid w:val="00993236"/>
    <w:rsid w:val="009932FC"/>
    <w:rsid w:val="00993D8C"/>
    <w:rsid w:val="00994E3D"/>
    <w:rsid w:val="009A02CB"/>
    <w:rsid w:val="009A1B11"/>
    <w:rsid w:val="009A297E"/>
    <w:rsid w:val="009A6127"/>
    <w:rsid w:val="009B0CC1"/>
    <w:rsid w:val="009B1BC4"/>
    <w:rsid w:val="009B69F0"/>
    <w:rsid w:val="009B713C"/>
    <w:rsid w:val="009C0F18"/>
    <w:rsid w:val="009C12C6"/>
    <w:rsid w:val="009C2555"/>
    <w:rsid w:val="009C309C"/>
    <w:rsid w:val="009C705A"/>
    <w:rsid w:val="009C7778"/>
    <w:rsid w:val="009C7EE6"/>
    <w:rsid w:val="009D06AE"/>
    <w:rsid w:val="009D09E2"/>
    <w:rsid w:val="009D1E42"/>
    <w:rsid w:val="009D282B"/>
    <w:rsid w:val="009D458F"/>
    <w:rsid w:val="009D7148"/>
    <w:rsid w:val="009E02FD"/>
    <w:rsid w:val="009E0981"/>
    <w:rsid w:val="009E0A66"/>
    <w:rsid w:val="009E10F3"/>
    <w:rsid w:val="009E4C74"/>
    <w:rsid w:val="009E56CC"/>
    <w:rsid w:val="009E59F1"/>
    <w:rsid w:val="009E62B6"/>
    <w:rsid w:val="009F09C0"/>
    <w:rsid w:val="009F0A1A"/>
    <w:rsid w:val="009F26CA"/>
    <w:rsid w:val="009F35DA"/>
    <w:rsid w:val="009F4034"/>
    <w:rsid w:val="009F43D0"/>
    <w:rsid w:val="009F4F03"/>
    <w:rsid w:val="00A000F0"/>
    <w:rsid w:val="00A00568"/>
    <w:rsid w:val="00A00884"/>
    <w:rsid w:val="00A00EEB"/>
    <w:rsid w:val="00A01430"/>
    <w:rsid w:val="00A020CE"/>
    <w:rsid w:val="00A02F62"/>
    <w:rsid w:val="00A02FA3"/>
    <w:rsid w:val="00A030C3"/>
    <w:rsid w:val="00A04803"/>
    <w:rsid w:val="00A10147"/>
    <w:rsid w:val="00A10EDE"/>
    <w:rsid w:val="00A10F27"/>
    <w:rsid w:val="00A11331"/>
    <w:rsid w:val="00A12348"/>
    <w:rsid w:val="00A131E6"/>
    <w:rsid w:val="00A13843"/>
    <w:rsid w:val="00A146A5"/>
    <w:rsid w:val="00A16FB8"/>
    <w:rsid w:val="00A17466"/>
    <w:rsid w:val="00A204B3"/>
    <w:rsid w:val="00A20576"/>
    <w:rsid w:val="00A20AFE"/>
    <w:rsid w:val="00A21593"/>
    <w:rsid w:val="00A221F7"/>
    <w:rsid w:val="00A22C21"/>
    <w:rsid w:val="00A2604E"/>
    <w:rsid w:val="00A31CCE"/>
    <w:rsid w:val="00A33B15"/>
    <w:rsid w:val="00A33C95"/>
    <w:rsid w:val="00A34FF3"/>
    <w:rsid w:val="00A35351"/>
    <w:rsid w:val="00A361C7"/>
    <w:rsid w:val="00A36723"/>
    <w:rsid w:val="00A43140"/>
    <w:rsid w:val="00A46DF5"/>
    <w:rsid w:val="00A47BC9"/>
    <w:rsid w:val="00A5149A"/>
    <w:rsid w:val="00A53650"/>
    <w:rsid w:val="00A53C15"/>
    <w:rsid w:val="00A53E51"/>
    <w:rsid w:val="00A57183"/>
    <w:rsid w:val="00A60693"/>
    <w:rsid w:val="00A6196D"/>
    <w:rsid w:val="00A619C0"/>
    <w:rsid w:val="00A61ADF"/>
    <w:rsid w:val="00A62012"/>
    <w:rsid w:val="00A624CB"/>
    <w:rsid w:val="00A62AC0"/>
    <w:rsid w:val="00A647D4"/>
    <w:rsid w:val="00A7267D"/>
    <w:rsid w:val="00A72A6B"/>
    <w:rsid w:val="00A73E78"/>
    <w:rsid w:val="00A75118"/>
    <w:rsid w:val="00A75303"/>
    <w:rsid w:val="00A76BD2"/>
    <w:rsid w:val="00A8267D"/>
    <w:rsid w:val="00A82E14"/>
    <w:rsid w:val="00A8688E"/>
    <w:rsid w:val="00A8722B"/>
    <w:rsid w:val="00A901E9"/>
    <w:rsid w:val="00A917B6"/>
    <w:rsid w:val="00A91831"/>
    <w:rsid w:val="00A91B3B"/>
    <w:rsid w:val="00A936E2"/>
    <w:rsid w:val="00A93B4F"/>
    <w:rsid w:val="00A94F7A"/>
    <w:rsid w:val="00A95D3B"/>
    <w:rsid w:val="00A97341"/>
    <w:rsid w:val="00AA0081"/>
    <w:rsid w:val="00AA0FC8"/>
    <w:rsid w:val="00AA3B8E"/>
    <w:rsid w:val="00AA4E4D"/>
    <w:rsid w:val="00AA5E38"/>
    <w:rsid w:val="00AB09ED"/>
    <w:rsid w:val="00AB3DC0"/>
    <w:rsid w:val="00AB4CBB"/>
    <w:rsid w:val="00AC125E"/>
    <w:rsid w:val="00AC1B42"/>
    <w:rsid w:val="00AC4082"/>
    <w:rsid w:val="00AC45DF"/>
    <w:rsid w:val="00AC474D"/>
    <w:rsid w:val="00AC4DFD"/>
    <w:rsid w:val="00AC4F47"/>
    <w:rsid w:val="00AC5663"/>
    <w:rsid w:val="00AC58FD"/>
    <w:rsid w:val="00AD0F6D"/>
    <w:rsid w:val="00AD1166"/>
    <w:rsid w:val="00AD16C4"/>
    <w:rsid w:val="00AD19D2"/>
    <w:rsid w:val="00AD1A96"/>
    <w:rsid w:val="00AD2D68"/>
    <w:rsid w:val="00AD3042"/>
    <w:rsid w:val="00AD793A"/>
    <w:rsid w:val="00AE0120"/>
    <w:rsid w:val="00AE3038"/>
    <w:rsid w:val="00AE3D4A"/>
    <w:rsid w:val="00AE4767"/>
    <w:rsid w:val="00AE5956"/>
    <w:rsid w:val="00AE619F"/>
    <w:rsid w:val="00AE7A88"/>
    <w:rsid w:val="00AF00CA"/>
    <w:rsid w:val="00AF060F"/>
    <w:rsid w:val="00AF13D2"/>
    <w:rsid w:val="00AF26A2"/>
    <w:rsid w:val="00AF2A56"/>
    <w:rsid w:val="00AF47D2"/>
    <w:rsid w:val="00AF51D1"/>
    <w:rsid w:val="00AF63AB"/>
    <w:rsid w:val="00AF6B89"/>
    <w:rsid w:val="00B01784"/>
    <w:rsid w:val="00B0388B"/>
    <w:rsid w:val="00B03BEE"/>
    <w:rsid w:val="00B0517E"/>
    <w:rsid w:val="00B05611"/>
    <w:rsid w:val="00B06D31"/>
    <w:rsid w:val="00B11314"/>
    <w:rsid w:val="00B113E3"/>
    <w:rsid w:val="00B1156A"/>
    <w:rsid w:val="00B138E3"/>
    <w:rsid w:val="00B13FB5"/>
    <w:rsid w:val="00B178FA"/>
    <w:rsid w:val="00B17D8E"/>
    <w:rsid w:val="00B2039C"/>
    <w:rsid w:val="00B207C3"/>
    <w:rsid w:val="00B21443"/>
    <w:rsid w:val="00B22468"/>
    <w:rsid w:val="00B22EFE"/>
    <w:rsid w:val="00B23267"/>
    <w:rsid w:val="00B23906"/>
    <w:rsid w:val="00B23F96"/>
    <w:rsid w:val="00B257BF"/>
    <w:rsid w:val="00B27149"/>
    <w:rsid w:val="00B34BB7"/>
    <w:rsid w:val="00B35B4D"/>
    <w:rsid w:val="00B362F0"/>
    <w:rsid w:val="00B36652"/>
    <w:rsid w:val="00B425AB"/>
    <w:rsid w:val="00B45279"/>
    <w:rsid w:val="00B45369"/>
    <w:rsid w:val="00B47090"/>
    <w:rsid w:val="00B532D1"/>
    <w:rsid w:val="00B57925"/>
    <w:rsid w:val="00B601BB"/>
    <w:rsid w:val="00B602A5"/>
    <w:rsid w:val="00B61E3E"/>
    <w:rsid w:val="00B6432A"/>
    <w:rsid w:val="00B677AE"/>
    <w:rsid w:val="00B67A79"/>
    <w:rsid w:val="00B72335"/>
    <w:rsid w:val="00B72D62"/>
    <w:rsid w:val="00B741A1"/>
    <w:rsid w:val="00B763BB"/>
    <w:rsid w:val="00B767AF"/>
    <w:rsid w:val="00B80511"/>
    <w:rsid w:val="00B80798"/>
    <w:rsid w:val="00B80876"/>
    <w:rsid w:val="00B8172B"/>
    <w:rsid w:val="00B82C3C"/>
    <w:rsid w:val="00B82DE6"/>
    <w:rsid w:val="00B831CD"/>
    <w:rsid w:val="00B846F6"/>
    <w:rsid w:val="00B85329"/>
    <w:rsid w:val="00B85699"/>
    <w:rsid w:val="00B85A5C"/>
    <w:rsid w:val="00B91B73"/>
    <w:rsid w:val="00B91B9D"/>
    <w:rsid w:val="00B9424D"/>
    <w:rsid w:val="00B94E28"/>
    <w:rsid w:val="00BA1B0A"/>
    <w:rsid w:val="00BA1B71"/>
    <w:rsid w:val="00BA1F5B"/>
    <w:rsid w:val="00BA3176"/>
    <w:rsid w:val="00BA5E20"/>
    <w:rsid w:val="00BA607C"/>
    <w:rsid w:val="00BA6734"/>
    <w:rsid w:val="00BB3E2A"/>
    <w:rsid w:val="00BB48A7"/>
    <w:rsid w:val="00BB55FD"/>
    <w:rsid w:val="00BB6328"/>
    <w:rsid w:val="00BB7121"/>
    <w:rsid w:val="00BC0479"/>
    <w:rsid w:val="00BC1651"/>
    <w:rsid w:val="00BC16F5"/>
    <w:rsid w:val="00BC18FF"/>
    <w:rsid w:val="00BC287D"/>
    <w:rsid w:val="00BC2A38"/>
    <w:rsid w:val="00BC2FF2"/>
    <w:rsid w:val="00BC406F"/>
    <w:rsid w:val="00BC46EB"/>
    <w:rsid w:val="00BC57FE"/>
    <w:rsid w:val="00BC643B"/>
    <w:rsid w:val="00BD2601"/>
    <w:rsid w:val="00BD2A41"/>
    <w:rsid w:val="00BD32E5"/>
    <w:rsid w:val="00BD36C4"/>
    <w:rsid w:val="00BD4BC6"/>
    <w:rsid w:val="00BD6E1A"/>
    <w:rsid w:val="00BD79DE"/>
    <w:rsid w:val="00BD7D10"/>
    <w:rsid w:val="00BE0BB1"/>
    <w:rsid w:val="00BE1095"/>
    <w:rsid w:val="00BE150A"/>
    <w:rsid w:val="00BE6767"/>
    <w:rsid w:val="00BE686C"/>
    <w:rsid w:val="00BE78EC"/>
    <w:rsid w:val="00BF3A04"/>
    <w:rsid w:val="00BF46EE"/>
    <w:rsid w:val="00BF646E"/>
    <w:rsid w:val="00C02937"/>
    <w:rsid w:val="00C0613C"/>
    <w:rsid w:val="00C07A8F"/>
    <w:rsid w:val="00C10D05"/>
    <w:rsid w:val="00C1198B"/>
    <w:rsid w:val="00C13970"/>
    <w:rsid w:val="00C13DF9"/>
    <w:rsid w:val="00C14FBA"/>
    <w:rsid w:val="00C15484"/>
    <w:rsid w:val="00C15EA1"/>
    <w:rsid w:val="00C174DB"/>
    <w:rsid w:val="00C17A8E"/>
    <w:rsid w:val="00C2378F"/>
    <w:rsid w:val="00C23CD0"/>
    <w:rsid w:val="00C24F70"/>
    <w:rsid w:val="00C25615"/>
    <w:rsid w:val="00C25DC2"/>
    <w:rsid w:val="00C266C1"/>
    <w:rsid w:val="00C26A06"/>
    <w:rsid w:val="00C30A77"/>
    <w:rsid w:val="00C32310"/>
    <w:rsid w:val="00C33479"/>
    <w:rsid w:val="00C33F74"/>
    <w:rsid w:val="00C34D9B"/>
    <w:rsid w:val="00C36D3E"/>
    <w:rsid w:val="00C40ED2"/>
    <w:rsid w:val="00C41F10"/>
    <w:rsid w:val="00C432DD"/>
    <w:rsid w:val="00C4423A"/>
    <w:rsid w:val="00C501FE"/>
    <w:rsid w:val="00C56957"/>
    <w:rsid w:val="00C5784B"/>
    <w:rsid w:val="00C639FF"/>
    <w:rsid w:val="00C63CB4"/>
    <w:rsid w:val="00C6442A"/>
    <w:rsid w:val="00C64D15"/>
    <w:rsid w:val="00C66088"/>
    <w:rsid w:val="00C6766C"/>
    <w:rsid w:val="00C67C4C"/>
    <w:rsid w:val="00C7120B"/>
    <w:rsid w:val="00C71F99"/>
    <w:rsid w:val="00C73756"/>
    <w:rsid w:val="00C74B5D"/>
    <w:rsid w:val="00C74F74"/>
    <w:rsid w:val="00C7554B"/>
    <w:rsid w:val="00C80951"/>
    <w:rsid w:val="00C8205E"/>
    <w:rsid w:val="00C8223A"/>
    <w:rsid w:val="00C82D1B"/>
    <w:rsid w:val="00C82EB5"/>
    <w:rsid w:val="00C85D24"/>
    <w:rsid w:val="00C86786"/>
    <w:rsid w:val="00C87966"/>
    <w:rsid w:val="00C902DE"/>
    <w:rsid w:val="00C916AE"/>
    <w:rsid w:val="00C93AAA"/>
    <w:rsid w:val="00C95FCD"/>
    <w:rsid w:val="00C97188"/>
    <w:rsid w:val="00CA0639"/>
    <w:rsid w:val="00CA0F8C"/>
    <w:rsid w:val="00CA0FED"/>
    <w:rsid w:val="00CA11D0"/>
    <w:rsid w:val="00CA2E02"/>
    <w:rsid w:val="00CA583A"/>
    <w:rsid w:val="00CA5EC6"/>
    <w:rsid w:val="00CB5744"/>
    <w:rsid w:val="00CB59AD"/>
    <w:rsid w:val="00CB7022"/>
    <w:rsid w:val="00CB7BC5"/>
    <w:rsid w:val="00CC141E"/>
    <w:rsid w:val="00CC5355"/>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621E"/>
    <w:rsid w:val="00CF7625"/>
    <w:rsid w:val="00D00BC7"/>
    <w:rsid w:val="00D00DE9"/>
    <w:rsid w:val="00D0506A"/>
    <w:rsid w:val="00D07945"/>
    <w:rsid w:val="00D10FA1"/>
    <w:rsid w:val="00D11FBE"/>
    <w:rsid w:val="00D1289C"/>
    <w:rsid w:val="00D142D3"/>
    <w:rsid w:val="00D1666F"/>
    <w:rsid w:val="00D2071A"/>
    <w:rsid w:val="00D22F44"/>
    <w:rsid w:val="00D2368C"/>
    <w:rsid w:val="00D25177"/>
    <w:rsid w:val="00D30F73"/>
    <w:rsid w:val="00D30F97"/>
    <w:rsid w:val="00D313A0"/>
    <w:rsid w:val="00D32125"/>
    <w:rsid w:val="00D36FE0"/>
    <w:rsid w:val="00D40799"/>
    <w:rsid w:val="00D41A06"/>
    <w:rsid w:val="00D42ABF"/>
    <w:rsid w:val="00D42F40"/>
    <w:rsid w:val="00D45B67"/>
    <w:rsid w:val="00D47864"/>
    <w:rsid w:val="00D5034A"/>
    <w:rsid w:val="00D51F49"/>
    <w:rsid w:val="00D55EE8"/>
    <w:rsid w:val="00D562CB"/>
    <w:rsid w:val="00D569D1"/>
    <w:rsid w:val="00D56AD8"/>
    <w:rsid w:val="00D56C05"/>
    <w:rsid w:val="00D5785A"/>
    <w:rsid w:val="00D61384"/>
    <w:rsid w:val="00D63293"/>
    <w:rsid w:val="00D6375F"/>
    <w:rsid w:val="00D64C48"/>
    <w:rsid w:val="00D6680B"/>
    <w:rsid w:val="00D72F4F"/>
    <w:rsid w:val="00D731C4"/>
    <w:rsid w:val="00D74EB4"/>
    <w:rsid w:val="00D801FC"/>
    <w:rsid w:val="00D859EB"/>
    <w:rsid w:val="00D85BE0"/>
    <w:rsid w:val="00D87FD7"/>
    <w:rsid w:val="00D91185"/>
    <w:rsid w:val="00D91466"/>
    <w:rsid w:val="00D915ED"/>
    <w:rsid w:val="00D91DE4"/>
    <w:rsid w:val="00D92300"/>
    <w:rsid w:val="00D947F7"/>
    <w:rsid w:val="00D94AFC"/>
    <w:rsid w:val="00D950E6"/>
    <w:rsid w:val="00D97047"/>
    <w:rsid w:val="00D9750C"/>
    <w:rsid w:val="00DA3619"/>
    <w:rsid w:val="00DA4FDA"/>
    <w:rsid w:val="00DB0B88"/>
    <w:rsid w:val="00DB1652"/>
    <w:rsid w:val="00DB5773"/>
    <w:rsid w:val="00DB58A6"/>
    <w:rsid w:val="00DB6B99"/>
    <w:rsid w:val="00DC001A"/>
    <w:rsid w:val="00DC0D86"/>
    <w:rsid w:val="00DC1236"/>
    <w:rsid w:val="00DC49F6"/>
    <w:rsid w:val="00DD22BB"/>
    <w:rsid w:val="00DD4F44"/>
    <w:rsid w:val="00DD6841"/>
    <w:rsid w:val="00DD686C"/>
    <w:rsid w:val="00DD7E0C"/>
    <w:rsid w:val="00DE07F7"/>
    <w:rsid w:val="00DE09A9"/>
    <w:rsid w:val="00DE0EFE"/>
    <w:rsid w:val="00DE2AC3"/>
    <w:rsid w:val="00DE2E40"/>
    <w:rsid w:val="00DE3598"/>
    <w:rsid w:val="00DE3FBD"/>
    <w:rsid w:val="00DE43F5"/>
    <w:rsid w:val="00DE65FB"/>
    <w:rsid w:val="00DF0640"/>
    <w:rsid w:val="00DF234F"/>
    <w:rsid w:val="00DF420A"/>
    <w:rsid w:val="00E02472"/>
    <w:rsid w:val="00E041F0"/>
    <w:rsid w:val="00E11984"/>
    <w:rsid w:val="00E128D8"/>
    <w:rsid w:val="00E130C3"/>
    <w:rsid w:val="00E17EDF"/>
    <w:rsid w:val="00E2082D"/>
    <w:rsid w:val="00E221E2"/>
    <w:rsid w:val="00E226E7"/>
    <w:rsid w:val="00E2330D"/>
    <w:rsid w:val="00E24303"/>
    <w:rsid w:val="00E25F70"/>
    <w:rsid w:val="00E27A16"/>
    <w:rsid w:val="00E320C4"/>
    <w:rsid w:val="00E34A03"/>
    <w:rsid w:val="00E40F7B"/>
    <w:rsid w:val="00E43E48"/>
    <w:rsid w:val="00E46D60"/>
    <w:rsid w:val="00E47C33"/>
    <w:rsid w:val="00E47F58"/>
    <w:rsid w:val="00E54BFC"/>
    <w:rsid w:val="00E55248"/>
    <w:rsid w:val="00E56D9D"/>
    <w:rsid w:val="00E60E2E"/>
    <w:rsid w:val="00E71A2D"/>
    <w:rsid w:val="00E72FB3"/>
    <w:rsid w:val="00E74A73"/>
    <w:rsid w:val="00E74E0D"/>
    <w:rsid w:val="00E823C1"/>
    <w:rsid w:val="00E82DB7"/>
    <w:rsid w:val="00E83C85"/>
    <w:rsid w:val="00E8579C"/>
    <w:rsid w:val="00E85FEA"/>
    <w:rsid w:val="00E865FE"/>
    <w:rsid w:val="00E91408"/>
    <w:rsid w:val="00E91759"/>
    <w:rsid w:val="00E9654B"/>
    <w:rsid w:val="00EA13E4"/>
    <w:rsid w:val="00EA18DB"/>
    <w:rsid w:val="00EA2FBA"/>
    <w:rsid w:val="00EA3DAD"/>
    <w:rsid w:val="00EA4DC5"/>
    <w:rsid w:val="00EA5664"/>
    <w:rsid w:val="00EA66DF"/>
    <w:rsid w:val="00EA6ADC"/>
    <w:rsid w:val="00EB13A7"/>
    <w:rsid w:val="00EB14DF"/>
    <w:rsid w:val="00EB1A4D"/>
    <w:rsid w:val="00EB21D5"/>
    <w:rsid w:val="00EB3A07"/>
    <w:rsid w:val="00EB5539"/>
    <w:rsid w:val="00EC3F31"/>
    <w:rsid w:val="00EC52E7"/>
    <w:rsid w:val="00EC7E0E"/>
    <w:rsid w:val="00ED219A"/>
    <w:rsid w:val="00ED3698"/>
    <w:rsid w:val="00ED4794"/>
    <w:rsid w:val="00ED52F3"/>
    <w:rsid w:val="00ED7B59"/>
    <w:rsid w:val="00EE265C"/>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17120"/>
    <w:rsid w:val="00F202CA"/>
    <w:rsid w:val="00F21DB4"/>
    <w:rsid w:val="00F223A7"/>
    <w:rsid w:val="00F26A64"/>
    <w:rsid w:val="00F334CB"/>
    <w:rsid w:val="00F3495A"/>
    <w:rsid w:val="00F34E2C"/>
    <w:rsid w:val="00F3528B"/>
    <w:rsid w:val="00F370BC"/>
    <w:rsid w:val="00F37143"/>
    <w:rsid w:val="00F40A0C"/>
    <w:rsid w:val="00F41E50"/>
    <w:rsid w:val="00F431F4"/>
    <w:rsid w:val="00F445F5"/>
    <w:rsid w:val="00F50562"/>
    <w:rsid w:val="00F50A92"/>
    <w:rsid w:val="00F50B0B"/>
    <w:rsid w:val="00F50D01"/>
    <w:rsid w:val="00F56BC1"/>
    <w:rsid w:val="00F618C4"/>
    <w:rsid w:val="00F65774"/>
    <w:rsid w:val="00F65A34"/>
    <w:rsid w:val="00F65F4C"/>
    <w:rsid w:val="00F71126"/>
    <w:rsid w:val="00F71A60"/>
    <w:rsid w:val="00F71F14"/>
    <w:rsid w:val="00F725DA"/>
    <w:rsid w:val="00F7536E"/>
    <w:rsid w:val="00F75652"/>
    <w:rsid w:val="00F76137"/>
    <w:rsid w:val="00F76175"/>
    <w:rsid w:val="00F765AE"/>
    <w:rsid w:val="00F7782D"/>
    <w:rsid w:val="00F8084C"/>
    <w:rsid w:val="00F8168B"/>
    <w:rsid w:val="00F81CF2"/>
    <w:rsid w:val="00F81F93"/>
    <w:rsid w:val="00F857D1"/>
    <w:rsid w:val="00F86FD9"/>
    <w:rsid w:val="00F87540"/>
    <w:rsid w:val="00F910D1"/>
    <w:rsid w:val="00F91DCC"/>
    <w:rsid w:val="00F9205A"/>
    <w:rsid w:val="00F9323F"/>
    <w:rsid w:val="00F943FE"/>
    <w:rsid w:val="00F954D8"/>
    <w:rsid w:val="00F95814"/>
    <w:rsid w:val="00F95CE9"/>
    <w:rsid w:val="00F96F53"/>
    <w:rsid w:val="00F97100"/>
    <w:rsid w:val="00FA01D9"/>
    <w:rsid w:val="00FA7538"/>
    <w:rsid w:val="00FB00FC"/>
    <w:rsid w:val="00FB0401"/>
    <w:rsid w:val="00FB2AAD"/>
    <w:rsid w:val="00FC1DFB"/>
    <w:rsid w:val="00FC1EF2"/>
    <w:rsid w:val="00FC3343"/>
    <w:rsid w:val="00FC33BA"/>
    <w:rsid w:val="00FC35AB"/>
    <w:rsid w:val="00FC6134"/>
    <w:rsid w:val="00FC654D"/>
    <w:rsid w:val="00FC77CF"/>
    <w:rsid w:val="00FD0555"/>
    <w:rsid w:val="00FD06F5"/>
    <w:rsid w:val="00FD5961"/>
    <w:rsid w:val="00FD6B8B"/>
    <w:rsid w:val="00FE22B1"/>
    <w:rsid w:val="00FE3EFA"/>
    <w:rsid w:val="00FE4738"/>
    <w:rsid w:val="00FE5C56"/>
    <w:rsid w:val="00FE5C6F"/>
    <w:rsid w:val="00FE5E20"/>
    <w:rsid w:val="00FE7AAC"/>
    <w:rsid w:val="00FE7B06"/>
    <w:rsid w:val="00FE7E98"/>
    <w:rsid w:val="00FF0505"/>
    <w:rsid w:val="00FF06BC"/>
    <w:rsid w:val="00FF20AC"/>
    <w:rsid w:val="00FF29CA"/>
    <w:rsid w:val="00FF3801"/>
    <w:rsid w:val="00FF3A27"/>
    <w:rsid w:val="00FF3B27"/>
    <w:rsid w:val="00FF4E8D"/>
    <w:rsid w:val="00FF5CFA"/>
    <w:rsid w:val="00FF7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A6F5EF9"/>
  <w15:docId w15:val="{34974FFD-ED14-4653-AB9E-F095049B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3"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styleId="NormalWeb">
    <w:name w:val="Normal (Web)"/>
    <w:basedOn w:val="Normal"/>
    <w:uiPriority w:val="99"/>
    <w:semiHidden/>
    <w:unhideWhenUsed/>
    <w:rsid w:val="00B2039C"/>
    <w:pPr>
      <w:spacing w:before="100" w:beforeAutospacing="1" w:after="100" w:afterAutospacing="1" w:line="240" w:lineRule="auto"/>
    </w:pPr>
    <w:rPr>
      <w:rFonts w:ascii="Times New Roman" w:eastAsiaTheme="minorEastAsia" w:hAnsi="Times New Roman"/>
      <w:color w:val="auto"/>
      <w:sz w:val="24"/>
    </w:rPr>
  </w:style>
  <w:style w:type="paragraph" w:styleId="Revision">
    <w:name w:val="Revision"/>
    <w:hidden/>
    <w:uiPriority w:val="99"/>
    <w:semiHidden/>
    <w:rsid w:val="003E0020"/>
    <w:rPr>
      <w:rFonts w:asciiTheme="minorHAnsi" w:hAnsiTheme="minorHAnsi"/>
      <w:color w:val="3F3F3F" w:themeColor="text1"/>
      <w:sz w:val="22"/>
      <w:szCs w:val="24"/>
    </w:rPr>
  </w:style>
  <w:style w:type="character" w:styleId="PlaceholderText">
    <w:name w:val="Placeholder Text"/>
    <w:basedOn w:val="DefaultParagraphFont"/>
    <w:uiPriority w:val="99"/>
    <w:semiHidden/>
    <w:rsid w:val="00613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028">
      <w:bodyDiv w:val="1"/>
      <w:marLeft w:val="0"/>
      <w:marRight w:val="0"/>
      <w:marTop w:val="0"/>
      <w:marBottom w:val="0"/>
      <w:divBdr>
        <w:top w:val="none" w:sz="0" w:space="0" w:color="auto"/>
        <w:left w:val="none" w:sz="0" w:space="0" w:color="auto"/>
        <w:bottom w:val="none" w:sz="0" w:space="0" w:color="auto"/>
        <w:right w:val="none" w:sz="0" w:space="0" w:color="auto"/>
      </w:divBdr>
    </w:div>
    <w:div w:id="69736785">
      <w:bodyDiv w:val="1"/>
      <w:marLeft w:val="0"/>
      <w:marRight w:val="0"/>
      <w:marTop w:val="0"/>
      <w:marBottom w:val="0"/>
      <w:divBdr>
        <w:top w:val="none" w:sz="0" w:space="0" w:color="auto"/>
        <w:left w:val="none" w:sz="0" w:space="0" w:color="auto"/>
        <w:bottom w:val="none" w:sz="0" w:space="0" w:color="auto"/>
        <w:right w:val="none" w:sz="0" w:space="0" w:color="auto"/>
      </w:divBdr>
    </w:div>
    <w:div w:id="131556226">
      <w:bodyDiv w:val="1"/>
      <w:marLeft w:val="0"/>
      <w:marRight w:val="0"/>
      <w:marTop w:val="0"/>
      <w:marBottom w:val="0"/>
      <w:divBdr>
        <w:top w:val="none" w:sz="0" w:space="0" w:color="auto"/>
        <w:left w:val="none" w:sz="0" w:space="0" w:color="auto"/>
        <w:bottom w:val="none" w:sz="0" w:space="0" w:color="auto"/>
        <w:right w:val="none" w:sz="0" w:space="0" w:color="auto"/>
      </w:divBdr>
    </w:div>
    <w:div w:id="66089446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956910248">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DOC21-363581</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PMCdoc-213507164-64461</_dlc_DocId>
    <_dlc_DocIdUrl xmlns="d0dfa800-9ef0-44cb-8a12-633e29de1e0b">
      <Url>https://pmc01.sharepoint.com/sites/pmc-ms-cb/_layouts/15/DocIdRedir.aspx?ID=PMCdoc-213507164-64461</Url>
      <Description>PMCdoc-213507164-64461</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7DFCBF-7820-49A9-94A9-D9FB05B45FC7}"/>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FC9244B2-0D0C-4851-B9FD-1A50C08561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6ABB776C-F148-42F9-B3E4-DE5930E2792A}">
  <ds:schemaRefs>
    <ds:schemaRef ds:uri="http://schemas.openxmlformats.org/officeDocument/2006/bibliography"/>
  </ds:schemaRefs>
</ds:datastoreItem>
</file>

<file path=customXml/itemProps5.xml><?xml version="1.0" encoding="utf-8"?>
<ds:datastoreItem xmlns:ds="http://schemas.openxmlformats.org/officeDocument/2006/customXml" ds:itemID="{29F3AD50-CC6C-44F8-858B-69BE2CFAFDF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6759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Increasing participation in the Adult Migrant English Program –potential students</dc:title>
  <dc:creator>Anton, Charis</dc:creator>
  <cp:lastModifiedBy>Cameron, Suzana</cp:lastModifiedBy>
  <cp:revision>3</cp:revision>
  <dcterms:created xsi:type="dcterms:W3CDTF">2021-12-14T21:50:00Z</dcterms:created>
  <dcterms:modified xsi:type="dcterms:W3CDTF">2021-12-21T03:27:00Z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2021-12-21T14:32:14</vt:lpwstr>
  </property>
  <property fmtid="{D5CDD505-2E9C-101B-9397-08002B2CF9AE}" pid="7" name="SecurityClassification">
    <vt:i4>1</vt:i4>
  </property>
  <property fmtid="{D5CDD505-2E9C-101B-9397-08002B2CF9AE}" pid="8" name="_dlc_DocIdItemGuid">
    <vt:lpwstr>1b8f8939-07f5-4bd3-91ab-a894ad6a6d47</vt:lpwstr>
  </property>
</Properties>
</file>