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F4D3F" w14:textId="77777777" w:rsidR="005002BE" w:rsidRDefault="005002BE" w:rsidP="001551FF">
      <w:pPr>
        <w:pStyle w:val="Heading1"/>
      </w:pPr>
      <w:r>
        <w:t>Pre-analysis plan</w:t>
      </w:r>
    </w:p>
    <w:p w14:paraId="5B6351A9" w14:textId="3924BE64" w:rsidR="005002BE" w:rsidRDefault="005002BE" w:rsidP="005002BE">
      <w:pPr>
        <w:pStyle w:val="Heading2"/>
      </w:pPr>
      <w:r w:rsidRPr="005002BE">
        <w:t>Effective use of SMS: improving government confirmation processes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6536"/>
      </w:tblGrid>
      <w:tr w:rsidR="005679D4" w14:paraId="56B8EA30" w14:textId="77777777" w:rsidTr="00F17BAA">
        <w:tc>
          <w:tcPr>
            <w:tcW w:w="2480" w:type="dxa"/>
          </w:tcPr>
          <w:p w14:paraId="38CD1E73" w14:textId="5ACF9FBC" w:rsidR="005679D4" w:rsidRDefault="005679D4" w:rsidP="001A0875">
            <w:pPr>
              <w:rPr>
                <w:b/>
              </w:rPr>
            </w:pPr>
            <w:r w:rsidRPr="001A0875">
              <w:rPr>
                <w:b/>
              </w:rPr>
              <w:t>Title:</w:t>
            </w:r>
            <w:r w:rsidRPr="001A0875">
              <w:t xml:space="preserve"> </w:t>
            </w:r>
            <w:r w:rsidRPr="001A0875">
              <w:tab/>
            </w:r>
            <w:r>
              <w:tab/>
            </w:r>
          </w:p>
        </w:tc>
        <w:tc>
          <w:tcPr>
            <w:tcW w:w="6536" w:type="dxa"/>
          </w:tcPr>
          <w:p w14:paraId="3015FDDE" w14:textId="30EFB0C2" w:rsidR="005679D4" w:rsidRDefault="005002BE" w:rsidP="001A0875">
            <w:pPr>
              <w:rPr>
                <w:b/>
              </w:rPr>
            </w:pPr>
            <w:r w:rsidRPr="005002BE">
              <w:t xml:space="preserve">Effective use of SMS: improving government confirmation processes </w:t>
            </w:r>
          </w:p>
        </w:tc>
      </w:tr>
      <w:tr w:rsidR="005679D4" w14:paraId="141C89C3" w14:textId="77777777" w:rsidTr="00F17BAA">
        <w:tc>
          <w:tcPr>
            <w:tcW w:w="2480" w:type="dxa"/>
          </w:tcPr>
          <w:p w14:paraId="0EFD2AA7" w14:textId="7F2F6426" w:rsidR="005679D4" w:rsidRDefault="005679D4" w:rsidP="001A0875">
            <w:pPr>
              <w:rPr>
                <w:b/>
              </w:rPr>
            </w:pPr>
            <w:r w:rsidRPr="001A0875">
              <w:rPr>
                <w:b/>
              </w:rPr>
              <w:t>Country:</w:t>
            </w:r>
          </w:p>
        </w:tc>
        <w:tc>
          <w:tcPr>
            <w:tcW w:w="6536" w:type="dxa"/>
          </w:tcPr>
          <w:p w14:paraId="1D3C94EE" w14:textId="47C67632" w:rsidR="005679D4" w:rsidRPr="001A0875" w:rsidRDefault="00AE1FF2" w:rsidP="005679D4">
            <w:r>
              <w:t>Australia</w:t>
            </w:r>
          </w:p>
          <w:p w14:paraId="2159FBC5" w14:textId="77777777" w:rsidR="005679D4" w:rsidRDefault="005679D4" w:rsidP="001A0875">
            <w:pPr>
              <w:rPr>
                <w:b/>
              </w:rPr>
            </w:pPr>
          </w:p>
        </w:tc>
      </w:tr>
      <w:tr w:rsidR="005679D4" w14:paraId="7D39D70E" w14:textId="77777777" w:rsidTr="00F17BAA">
        <w:tc>
          <w:tcPr>
            <w:tcW w:w="2480" w:type="dxa"/>
          </w:tcPr>
          <w:p w14:paraId="25DDC579" w14:textId="11D16FBD" w:rsidR="005679D4" w:rsidRDefault="005679D4" w:rsidP="001A0875">
            <w:pPr>
              <w:rPr>
                <w:b/>
              </w:rPr>
            </w:pPr>
            <w:r w:rsidRPr="001A0875">
              <w:rPr>
                <w:b/>
              </w:rPr>
              <w:t>Additional key words:</w:t>
            </w:r>
          </w:p>
        </w:tc>
        <w:tc>
          <w:tcPr>
            <w:tcW w:w="6536" w:type="dxa"/>
          </w:tcPr>
          <w:p w14:paraId="6BFBDC07" w14:textId="48C9E298" w:rsidR="005679D4" w:rsidRPr="001A0875" w:rsidRDefault="004E5250" w:rsidP="005679D4">
            <w:r>
              <w:t>Government, communication, SMS</w:t>
            </w:r>
            <w:r w:rsidR="00F27369">
              <w:t>, administration</w:t>
            </w:r>
          </w:p>
          <w:p w14:paraId="47ED7F4F" w14:textId="77777777" w:rsidR="005679D4" w:rsidRDefault="005679D4" w:rsidP="001A0875">
            <w:pPr>
              <w:rPr>
                <w:b/>
              </w:rPr>
            </w:pPr>
          </w:p>
        </w:tc>
      </w:tr>
      <w:tr w:rsidR="005679D4" w14:paraId="6355C6B2" w14:textId="77777777" w:rsidTr="00F17BAA">
        <w:tc>
          <w:tcPr>
            <w:tcW w:w="2480" w:type="dxa"/>
          </w:tcPr>
          <w:p w14:paraId="2EFC40BA" w14:textId="1AEF978F" w:rsidR="005679D4" w:rsidRDefault="005679D4" w:rsidP="001A0875">
            <w:pPr>
              <w:rPr>
                <w:b/>
              </w:rPr>
            </w:pPr>
            <w:r w:rsidRPr="001A0875">
              <w:rPr>
                <w:b/>
              </w:rPr>
              <w:t>JEL Code(s):</w:t>
            </w:r>
          </w:p>
        </w:tc>
        <w:tc>
          <w:tcPr>
            <w:tcW w:w="6536" w:type="dxa"/>
          </w:tcPr>
          <w:p w14:paraId="1E4BF72A" w14:textId="340C2AC6" w:rsidR="005679D4" w:rsidRPr="00F946C7" w:rsidRDefault="00F27369" w:rsidP="005002BE">
            <w:r>
              <w:t xml:space="preserve">M – </w:t>
            </w:r>
            <w:r w:rsidR="00F946C7">
              <w:t>Business</w:t>
            </w:r>
            <w:r>
              <w:t xml:space="preserve"> administration and business economics</w:t>
            </w:r>
            <w:r w:rsidR="00B61383">
              <w:t xml:space="preserve"> </w:t>
            </w:r>
          </w:p>
        </w:tc>
      </w:tr>
      <w:tr w:rsidR="005679D4" w14:paraId="607AEF59" w14:textId="77777777" w:rsidTr="00F17BAA">
        <w:tc>
          <w:tcPr>
            <w:tcW w:w="2480" w:type="dxa"/>
          </w:tcPr>
          <w:p w14:paraId="6CB47C98" w14:textId="62B4CCC6" w:rsidR="005679D4" w:rsidRDefault="005679D4" w:rsidP="001A0875">
            <w:pPr>
              <w:rPr>
                <w:b/>
              </w:rPr>
            </w:pPr>
            <w:r w:rsidRPr="001A0875">
              <w:rPr>
                <w:b/>
              </w:rPr>
              <w:t>Abstract:</w:t>
            </w:r>
          </w:p>
        </w:tc>
        <w:tc>
          <w:tcPr>
            <w:tcW w:w="6536" w:type="dxa"/>
          </w:tcPr>
          <w:p w14:paraId="371445F4" w14:textId="6F6B2D5E" w:rsidR="00A51F90" w:rsidRDefault="00A51F90" w:rsidP="00A51F90">
            <w:r>
              <w:t>If a parent/s feels that their Child Support Assessment (an assessment to determine the amount of child support to be paid / received) has not taken into account a special circumstance, they can apply for a Change of Assessment (CoA). This is done by lodging a form with the</w:t>
            </w:r>
            <w:r w:rsidR="005002BE">
              <w:t xml:space="preserve"> Australian Government</w:t>
            </w:r>
            <w:r>
              <w:t xml:space="preserve"> </w:t>
            </w:r>
            <w:r w:rsidRPr="001466AC">
              <w:t>Department of Human Services’ (</w:t>
            </w:r>
            <w:r w:rsidR="005002BE">
              <w:t>Human Services</w:t>
            </w:r>
            <w:r w:rsidRPr="001466AC">
              <w:t>) Child Support team</w:t>
            </w:r>
            <w:r>
              <w:t>.</w:t>
            </w:r>
          </w:p>
          <w:p w14:paraId="1FCC7D0F" w14:textId="4CBC31F5" w:rsidR="00A51F90" w:rsidRDefault="00A51F90" w:rsidP="00A51F90">
            <w:r>
              <w:t xml:space="preserve">BETA will work with the </w:t>
            </w:r>
            <w:r w:rsidR="005002BE">
              <w:t>Human Services’ Behavioural</w:t>
            </w:r>
            <w:r>
              <w:t xml:space="preserve"> Insights </w:t>
            </w:r>
            <w:r w:rsidR="005002BE">
              <w:t>Team</w:t>
            </w:r>
            <w:r>
              <w:t xml:space="preserve"> and Child Support team to test the efficacy of SMS communication aimed at reducing inbound calls relating to checking on the progress of the </w:t>
            </w:r>
            <w:r w:rsidRPr="00FC4433">
              <w:t>Change of Assessment</w:t>
            </w:r>
            <w:r>
              <w:t xml:space="preserve"> form. </w:t>
            </w:r>
          </w:p>
          <w:p w14:paraId="631CBC91" w14:textId="50CDEBE9" w:rsidR="005679D4" w:rsidRDefault="00A51F90" w:rsidP="00F17BAA">
            <w:pPr>
              <w:rPr>
                <w:b/>
              </w:rPr>
            </w:pPr>
            <w:r>
              <w:t>This project will tap into the concept of increasing information between clients and service providers.</w:t>
            </w:r>
          </w:p>
        </w:tc>
      </w:tr>
      <w:tr w:rsidR="005679D4" w14:paraId="01CCC655" w14:textId="77777777" w:rsidTr="00F17BAA">
        <w:tc>
          <w:tcPr>
            <w:tcW w:w="2480" w:type="dxa"/>
          </w:tcPr>
          <w:p w14:paraId="673D2004" w14:textId="2CC2D671" w:rsidR="005679D4" w:rsidRDefault="005679D4" w:rsidP="001A0875">
            <w:pPr>
              <w:rPr>
                <w:b/>
              </w:rPr>
            </w:pPr>
            <w:r w:rsidRPr="001A0875">
              <w:rPr>
                <w:b/>
              </w:rPr>
              <w:t>Trial Start date:</w:t>
            </w:r>
          </w:p>
        </w:tc>
        <w:tc>
          <w:tcPr>
            <w:tcW w:w="6536" w:type="dxa"/>
          </w:tcPr>
          <w:p w14:paraId="2F022EDE" w14:textId="6F55FC5A" w:rsidR="005679D4" w:rsidRDefault="00E466E1" w:rsidP="001A0875">
            <w:pPr>
              <w:rPr>
                <w:b/>
              </w:rPr>
            </w:pPr>
            <w:r>
              <w:t>Thursday, 02 March 2017</w:t>
            </w:r>
          </w:p>
        </w:tc>
      </w:tr>
      <w:tr w:rsidR="005679D4" w14:paraId="74DEEAB8" w14:textId="77777777" w:rsidTr="00F17BAA">
        <w:tc>
          <w:tcPr>
            <w:tcW w:w="2480" w:type="dxa"/>
          </w:tcPr>
          <w:p w14:paraId="27E14987" w14:textId="40A52048" w:rsidR="005679D4" w:rsidRDefault="005679D4" w:rsidP="001A0875">
            <w:pPr>
              <w:rPr>
                <w:b/>
              </w:rPr>
            </w:pPr>
            <w:r w:rsidRPr="001A0875">
              <w:rPr>
                <w:b/>
              </w:rPr>
              <w:t>Intervention Start date:</w:t>
            </w:r>
          </w:p>
        </w:tc>
        <w:tc>
          <w:tcPr>
            <w:tcW w:w="6536" w:type="dxa"/>
          </w:tcPr>
          <w:p w14:paraId="08CE7EB0" w14:textId="47B1C02C" w:rsidR="005679D4" w:rsidRDefault="00E466E1" w:rsidP="001A0875">
            <w:pPr>
              <w:rPr>
                <w:b/>
              </w:rPr>
            </w:pPr>
            <w:r>
              <w:t>Thursday, 02 March 2017</w:t>
            </w:r>
          </w:p>
        </w:tc>
      </w:tr>
      <w:tr w:rsidR="005679D4" w14:paraId="5C9F8961" w14:textId="77777777" w:rsidTr="00F17BAA">
        <w:trPr>
          <w:trHeight w:val="570"/>
        </w:trPr>
        <w:tc>
          <w:tcPr>
            <w:tcW w:w="2480" w:type="dxa"/>
          </w:tcPr>
          <w:p w14:paraId="26DF8B4F" w14:textId="438BAFAE" w:rsidR="005679D4" w:rsidRDefault="005679D4" w:rsidP="001A0875">
            <w:pPr>
              <w:rPr>
                <w:b/>
              </w:rPr>
            </w:pPr>
            <w:r w:rsidRPr="001A0875">
              <w:rPr>
                <w:b/>
              </w:rPr>
              <w:t>Trial End Date:</w:t>
            </w:r>
          </w:p>
        </w:tc>
        <w:tc>
          <w:tcPr>
            <w:tcW w:w="6536" w:type="dxa"/>
          </w:tcPr>
          <w:p w14:paraId="11E3523A" w14:textId="77777777" w:rsidR="005679D4" w:rsidRDefault="00EC7464" w:rsidP="005679D4">
            <w:r>
              <w:t>Thursday 13 April 2017</w:t>
            </w:r>
            <w:r w:rsidR="00AA7D30">
              <w:t xml:space="preserve"> – end of active intervention period</w:t>
            </w:r>
          </w:p>
          <w:p w14:paraId="68F00FEB" w14:textId="192FFAA0" w:rsidR="00AA7D30" w:rsidRDefault="00AA7D30" w:rsidP="005679D4">
            <w:pPr>
              <w:rPr>
                <w:b/>
              </w:rPr>
            </w:pPr>
            <w:r>
              <w:t>Data will be collected until all assessment forms are allocated to a decision-maker. This may be 30 June 2017.</w:t>
            </w:r>
          </w:p>
        </w:tc>
      </w:tr>
      <w:tr w:rsidR="005679D4" w14:paraId="50F68180" w14:textId="77777777" w:rsidTr="00F17BAA">
        <w:trPr>
          <w:trHeight w:val="330"/>
        </w:trPr>
        <w:tc>
          <w:tcPr>
            <w:tcW w:w="2480" w:type="dxa"/>
          </w:tcPr>
          <w:p w14:paraId="2E884BEF" w14:textId="61E1A72C" w:rsidR="005679D4" w:rsidRPr="001A0875" w:rsidRDefault="005679D4" w:rsidP="005002BE">
            <w:pPr>
              <w:rPr>
                <w:b/>
              </w:rPr>
            </w:pPr>
            <w:r w:rsidRPr="001A0875">
              <w:rPr>
                <w:b/>
              </w:rPr>
              <w:t>Outcome:</w:t>
            </w:r>
          </w:p>
        </w:tc>
        <w:tc>
          <w:tcPr>
            <w:tcW w:w="6536" w:type="dxa"/>
          </w:tcPr>
          <w:p w14:paraId="03C52F93" w14:textId="77777777" w:rsidR="00C52BF2" w:rsidRDefault="00C52BF2" w:rsidP="00C52BF2">
            <w:r>
              <w:t>Primary: Number of telephone calls to Child Support area</w:t>
            </w:r>
          </w:p>
          <w:p w14:paraId="3DD5DFC6" w14:textId="501D7D1F" w:rsidR="005679D4" w:rsidRPr="001A0875" w:rsidRDefault="00C52BF2" w:rsidP="00C52BF2">
            <w:r>
              <w:t>Secondary: Time between form lodgement and telephone call to Child Support area regarding C</w:t>
            </w:r>
            <w:r w:rsidR="009C5725">
              <w:t xml:space="preserve">hange </w:t>
            </w:r>
            <w:r>
              <w:t>o</w:t>
            </w:r>
            <w:r w:rsidR="009C5725">
              <w:t xml:space="preserve">f </w:t>
            </w:r>
            <w:r>
              <w:t>A</w:t>
            </w:r>
            <w:r w:rsidR="009C5725">
              <w:t>ssessment</w:t>
            </w:r>
            <w:r>
              <w:t xml:space="preserve"> form</w:t>
            </w:r>
          </w:p>
        </w:tc>
      </w:tr>
      <w:tr w:rsidR="00F17BAA" w14:paraId="63223BFD" w14:textId="77777777" w:rsidTr="00E745FA">
        <w:trPr>
          <w:trHeight w:val="185"/>
        </w:trPr>
        <w:tc>
          <w:tcPr>
            <w:tcW w:w="2480" w:type="dxa"/>
          </w:tcPr>
          <w:p w14:paraId="49099FC7" w14:textId="3978CD19" w:rsidR="00F17BAA" w:rsidRDefault="00F17BAA" w:rsidP="005002BE">
            <w:pPr>
              <w:rPr>
                <w:b/>
              </w:rPr>
            </w:pPr>
            <w:r w:rsidRPr="001A0875">
              <w:rPr>
                <w:b/>
              </w:rPr>
              <w:t>Intervention:</w:t>
            </w:r>
            <w:r w:rsidRPr="001A0875">
              <w:t xml:space="preserve">  </w:t>
            </w:r>
          </w:p>
        </w:tc>
        <w:tc>
          <w:tcPr>
            <w:tcW w:w="6536" w:type="dxa"/>
          </w:tcPr>
          <w:p w14:paraId="11436FBC" w14:textId="25CBE102" w:rsidR="00F17BAA" w:rsidRDefault="00F17BAA" w:rsidP="005002BE">
            <w:r>
              <w:t>Informational SMS regarding Change of Assessment process  for parents who have lodged a Change of Assessment form</w:t>
            </w:r>
          </w:p>
        </w:tc>
      </w:tr>
      <w:tr w:rsidR="00F17BAA" w14:paraId="6ED99757" w14:textId="77777777" w:rsidTr="00E745FA">
        <w:trPr>
          <w:trHeight w:val="300"/>
        </w:trPr>
        <w:tc>
          <w:tcPr>
            <w:tcW w:w="2480" w:type="dxa"/>
          </w:tcPr>
          <w:p w14:paraId="098D5AA1" w14:textId="76DB4A33" w:rsidR="00F17BAA" w:rsidRDefault="00F17BAA" w:rsidP="005002BE">
            <w:pPr>
              <w:rPr>
                <w:b/>
              </w:rPr>
            </w:pPr>
            <w:r w:rsidRPr="001A0875">
              <w:rPr>
                <w:b/>
              </w:rPr>
              <w:t>Experimental Design):</w:t>
            </w:r>
          </w:p>
        </w:tc>
        <w:tc>
          <w:tcPr>
            <w:tcW w:w="6536" w:type="dxa"/>
          </w:tcPr>
          <w:p w14:paraId="47EEF60B" w14:textId="77777777" w:rsidR="00F17BAA" w:rsidRDefault="00F17BAA" w:rsidP="00D63404">
            <w:r>
              <w:t xml:space="preserve">2-arm Randomised Controlled Trial. </w:t>
            </w:r>
          </w:p>
          <w:p w14:paraId="3561E2A2" w14:textId="77777777" w:rsidR="00F17BAA" w:rsidRDefault="00F17BAA" w:rsidP="00D63404">
            <w:r>
              <w:t>Approximately 2,400 parents are expected to lodge a Change of Assessment form during a 6-week period, and all will be part of this trial. Parents will be randomised into either intervention or control condition.</w:t>
            </w:r>
          </w:p>
          <w:p w14:paraId="0EDA7C27" w14:textId="07402424" w:rsidR="00F17BAA" w:rsidRDefault="00F17BAA" w:rsidP="001A0875">
            <w:r>
              <w:t>Data (number of telephone calls to Child Support area) will be collected daily until all parents in the trial have been allocated to a decision-maker.</w:t>
            </w:r>
          </w:p>
        </w:tc>
      </w:tr>
      <w:tr w:rsidR="00F17BAA" w14:paraId="44575165" w14:textId="77777777" w:rsidTr="00E745FA">
        <w:trPr>
          <w:trHeight w:val="330"/>
        </w:trPr>
        <w:tc>
          <w:tcPr>
            <w:tcW w:w="2480" w:type="dxa"/>
          </w:tcPr>
          <w:p w14:paraId="42C18EE6" w14:textId="173F6A3C" w:rsidR="00F17BAA" w:rsidRDefault="00F17BAA" w:rsidP="005002BE">
            <w:pPr>
              <w:rPr>
                <w:b/>
              </w:rPr>
            </w:pPr>
            <w:r w:rsidRPr="001A0875">
              <w:rPr>
                <w:b/>
              </w:rPr>
              <w:t>Randomi</w:t>
            </w:r>
            <w:r>
              <w:rPr>
                <w:b/>
              </w:rPr>
              <w:t>s</w:t>
            </w:r>
            <w:r w:rsidRPr="001A0875">
              <w:rPr>
                <w:b/>
              </w:rPr>
              <w:t>ation Method:</w:t>
            </w:r>
          </w:p>
        </w:tc>
        <w:tc>
          <w:tcPr>
            <w:tcW w:w="6536" w:type="dxa"/>
          </w:tcPr>
          <w:p w14:paraId="1693EF7D" w14:textId="5EE43622" w:rsidR="00F17BAA" w:rsidRDefault="00F17BAA" w:rsidP="005606C5">
            <w:r>
              <w:t>Simple randomisation using the final digit of a randomly allocated client number</w:t>
            </w:r>
          </w:p>
        </w:tc>
      </w:tr>
      <w:tr w:rsidR="00F17BAA" w14:paraId="7EB51731" w14:textId="77777777" w:rsidTr="00E745FA">
        <w:trPr>
          <w:trHeight w:val="285"/>
        </w:trPr>
        <w:tc>
          <w:tcPr>
            <w:tcW w:w="2480" w:type="dxa"/>
          </w:tcPr>
          <w:p w14:paraId="65CE0BF0" w14:textId="57EC171C" w:rsidR="00F17BAA" w:rsidRDefault="00F17BAA" w:rsidP="005002BE">
            <w:pPr>
              <w:rPr>
                <w:b/>
              </w:rPr>
            </w:pPr>
            <w:r w:rsidRPr="001A0875">
              <w:rPr>
                <w:b/>
              </w:rPr>
              <w:t>Randomi</w:t>
            </w:r>
            <w:r>
              <w:rPr>
                <w:b/>
              </w:rPr>
              <w:t>s</w:t>
            </w:r>
            <w:r w:rsidRPr="001A0875">
              <w:rPr>
                <w:b/>
              </w:rPr>
              <w:t>ation Unit:</w:t>
            </w:r>
          </w:p>
        </w:tc>
        <w:tc>
          <w:tcPr>
            <w:tcW w:w="6536" w:type="dxa"/>
          </w:tcPr>
          <w:p w14:paraId="2CACDD5E" w14:textId="66E234BD" w:rsidR="00F17BAA" w:rsidRDefault="00F17BAA" w:rsidP="00D63404">
            <w:pPr>
              <w:ind w:left="34"/>
            </w:pPr>
            <w:r>
              <w:t>Individual</w:t>
            </w:r>
          </w:p>
        </w:tc>
      </w:tr>
      <w:tr w:rsidR="00F17BAA" w14:paraId="6B30A014" w14:textId="77777777" w:rsidTr="00E745FA">
        <w:trPr>
          <w:trHeight w:val="360"/>
        </w:trPr>
        <w:tc>
          <w:tcPr>
            <w:tcW w:w="2480" w:type="dxa"/>
          </w:tcPr>
          <w:p w14:paraId="20F12573" w14:textId="131641EF" w:rsidR="00F17BAA" w:rsidRDefault="00F17BAA" w:rsidP="005002BE">
            <w:pPr>
              <w:rPr>
                <w:b/>
              </w:rPr>
            </w:pPr>
            <w:r w:rsidRPr="001A0875">
              <w:rPr>
                <w:b/>
              </w:rPr>
              <w:t>Planned Number of Clusters:</w:t>
            </w:r>
          </w:p>
        </w:tc>
        <w:tc>
          <w:tcPr>
            <w:tcW w:w="6536" w:type="dxa"/>
          </w:tcPr>
          <w:p w14:paraId="5E367B9A" w14:textId="0954B9F0" w:rsidR="00F17BAA" w:rsidRDefault="00F17BAA" w:rsidP="001A0875">
            <w:r>
              <w:t>2,400</w:t>
            </w:r>
          </w:p>
        </w:tc>
      </w:tr>
      <w:tr w:rsidR="00F17BAA" w14:paraId="113D3C0B" w14:textId="77777777" w:rsidTr="00E745FA">
        <w:trPr>
          <w:trHeight w:val="630"/>
        </w:trPr>
        <w:tc>
          <w:tcPr>
            <w:tcW w:w="2480" w:type="dxa"/>
          </w:tcPr>
          <w:p w14:paraId="1DEABA42" w14:textId="3BA70FCF" w:rsidR="00F17BAA" w:rsidRDefault="00F17BAA" w:rsidP="005679D4">
            <w:r w:rsidRPr="001A0875">
              <w:rPr>
                <w:b/>
              </w:rPr>
              <w:t>Planned Number of Observations:</w:t>
            </w:r>
            <w:r w:rsidRPr="001A0875">
              <w:t xml:space="preserve">  </w:t>
            </w:r>
          </w:p>
          <w:p w14:paraId="08B89357" w14:textId="126DEB5B" w:rsidR="00F17BAA" w:rsidRDefault="00F17BAA" w:rsidP="005002BE">
            <w:pPr>
              <w:rPr>
                <w:b/>
              </w:rPr>
            </w:pPr>
          </w:p>
        </w:tc>
        <w:tc>
          <w:tcPr>
            <w:tcW w:w="6536" w:type="dxa"/>
          </w:tcPr>
          <w:p w14:paraId="5CAE498D" w14:textId="77777777" w:rsidR="00F17BAA" w:rsidRPr="001A0875" w:rsidRDefault="00F17BAA" w:rsidP="00F0064F">
            <w:pPr>
              <w:ind w:left="34"/>
            </w:pPr>
            <w:r>
              <w:t>2,400</w:t>
            </w:r>
          </w:p>
          <w:p w14:paraId="2BF92CED" w14:textId="25488C0D" w:rsidR="00F17BAA" w:rsidRDefault="00F17BAA" w:rsidP="001A0875"/>
        </w:tc>
      </w:tr>
      <w:tr w:rsidR="00F17BAA" w14:paraId="05C050AD" w14:textId="77777777" w:rsidTr="00E745FA">
        <w:trPr>
          <w:trHeight w:val="270"/>
        </w:trPr>
        <w:tc>
          <w:tcPr>
            <w:tcW w:w="2480" w:type="dxa"/>
          </w:tcPr>
          <w:p w14:paraId="6B31A2CA" w14:textId="1BC6FB65" w:rsidR="00F17BAA" w:rsidRDefault="00F17BAA" w:rsidP="005679D4">
            <w:r w:rsidRPr="001A0875">
              <w:rPr>
                <w:b/>
              </w:rPr>
              <w:t>Sample size (or number of clusters) by treatment arms:</w:t>
            </w:r>
            <w:r w:rsidRPr="001A0875">
              <w:tab/>
            </w:r>
          </w:p>
          <w:p w14:paraId="210AE474" w14:textId="2ED2DBEE" w:rsidR="00F17BAA" w:rsidRDefault="00F17BAA" w:rsidP="001A0875">
            <w:pPr>
              <w:rPr>
                <w:b/>
              </w:rPr>
            </w:pPr>
          </w:p>
        </w:tc>
        <w:tc>
          <w:tcPr>
            <w:tcW w:w="6536" w:type="dxa"/>
          </w:tcPr>
          <w:p w14:paraId="11865C6F" w14:textId="77777777" w:rsidR="00F17BAA" w:rsidRPr="001A0875" w:rsidRDefault="00F17BAA" w:rsidP="00F0064F">
            <w:pPr>
              <w:ind w:left="34"/>
            </w:pPr>
            <w:r>
              <w:t>Approximately 1,200 individual participants anticipated in treatment and control conditions</w:t>
            </w:r>
          </w:p>
          <w:p w14:paraId="39EAF4DB" w14:textId="6A94C6AB" w:rsidR="00F17BAA" w:rsidRPr="001A0875" w:rsidRDefault="00F17BAA" w:rsidP="008040EF"/>
        </w:tc>
      </w:tr>
      <w:tr w:rsidR="00F17BAA" w14:paraId="1D7C3B6C" w14:textId="77777777" w:rsidTr="00E745FA">
        <w:trPr>
          <w:trHeight w:val="245"/>
        </w:trPr>
        <w:tc>
          <w:tcPr>
            <w:tcW w:w="2480" w:type="dxa"/>
          </w:tcPr>
          <w:p w14:paraId="238E213B" w14:textId="6BFB1E51" w:rsidR="00F17BAA" w:rsidRDefault="00F17BAA" w:rsidP="001A0875">
            <w:pPr>
              <w:rPr>
                <w:b/>
              </w:rPr>
            </w:pPr>
            <w:r>
              <w:rPr>
                <w:b/>
              </w:rPr>
              <w:t xml:space="preserve">Power calculation- </w:t>
            </w:r>
            <w:r w:rsidRPr="001A0875">
              <w:rPr>
                <w:b/>
              </w:rPr>
              <w:t>Minimum Detectable Effect Size for Main Outcomes</w:t>
            </w:r>
            <w:r>
              <w:t>:</w:t>
            </w:r>
          </w:p>
        </w:tc>
        <w:tc>
          <w:tcPr>
            <w:tcW w:w="6536" w:type="dxa"/>
          </w:tcPr>
          <w:p w14:paraId="50D489C8" w14:textId="77777777" w:rsidR="00F17BAA" w:rsidRPr="00E06744" w:rsidRDefault="00F17BAA" w:rsidP="00E06744">
            <w:pPr>
              <w:spacing w:after="200" w:line="276" w:lineRule="auto"/>
              <w:contextualSpacing/>
              <w:rPr>
                <w:b/>
              </w:rPr>
            </w:pPr>
            <w:r>
              <w:t>A two proportion power calculation gives a sample size of 1222 per group at 80% power and a significance level of 0.05, expecting a 5% change in the primary outcome.</w:t>
            </w:r>
          </w:p>
          <w:p w14:paraId="1E9D8ECE" w14:textId="04B6B120" w:rsidR="00F17BAA" w:rsidRDefault="00F17BAA" w:rsidP="001A0875"/>
        </w:tc>
      </w:tr>
      <w:tr w:rsidR="00F17BAA" w14:paraId="4B707D57" w14:textId="77777777" w:rsidTr="00E745FA">
        <w:trPr>
          <w:trHeight w:val="285"/>
        </w:trPr>
        <w:tc>
          <w:tcPr>
            <w:tcW w:w="2480" w:type="dxa"/>
          </w:tcPr>
          <w:p w14:paraId="63EA2665" w14:textId="15FB7D1A" w:rsidR="00F17BAA" w:rsidRDefault="00F17BAA" w:rsidP="001A0875">
            <w:pPr>
              <w:rPr>
                <w:b/>
              </w:rPr>
            </w:pPr>
            <w:r w:rsidRPr="001A0875">
              <w:rPr>
                <w:b/>
              </w:rPr>
              <w:t>Outcome Tables:</w:t>
            </w:r>
          </w:p>
        </w:tc>
        <w:tc>
          <w:tcPr>
            <w:tcW w:w="6536" w:type="dxa"/>
          </w:tcPr>
          <w:tbl>
            <w:tblPr>
              <w:tblStyle w:val="TableGrid"/>
              <w:tblW w:w="3156" w:type="pct"/>
              <w:tblLook w:val="04A0" w:firstRow="1" w:lastRow="0" w:firstColumn="1" w:lastColumn="0" w:noHBand="0" w:noVBand="1"/>
            </w:tblPr>
            <w:tblGrid>
              <w:gridCol w:w="1442"/>
              <w:gridCol w:w="1361"/>
              <w:gridCol w:w="1180"/>
            </w:tblGrid>
            <w:tr w:rsidR="00F17BAA" w:rsidRPr="001A3A27" w14:paraId="56BF08AD" w14:textId="77777777" w:rsidTr="00A04ACB">
              <w:tc>
                <w:tcPr>
                  <w:tcW w:w="1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9CAE72" w14:textId="77777777" w:rsidR="00F17BAA" w:rsidRPr="001A3A27" w:rsidRDefault="00F17BAA" w:rsidP="00F81C4E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Outcome</w:t>
                  </w:r>
                </w:p>
              </w:tc>
              <w:tc>
                <w:tcPr>
                  <w:tcW w:w="3173" w:type="pct"/>
                  <w:gridSpan w:val="2"/>
                </w:tcPr>
                <w:p w14:paraId="2FDD4579" w14:textId="77777777" w:rsidR="00F17BAA" w:rsidRPr="001A3A27" w:rsidRDefault="00F17BAA" w:rsidP="00F81C4E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Experimental condition</w:t>
                  </w:r>
                </w:p>
              </w:tc>
            </w:tr>
            <w:tr w:rsidR="00F17BAA" w:rsidRPr="001A3A27" w14:paraId="036B4FB2" w14:textId="77777777" w:rsidTr="00A04ACB">
              <w:tc>
                <w:tcPr>
                  <w:tcW w:w="1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BCA6E4" w14:textId="77777777" w:rsidR="00F17BAA" w:rsidRPr="001A3A27" w:rsidRDefault="00F17BAA" w:rsidP="00F81C4E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75" w:type="pct"/>
                </w:tcPr>
                <w:p w14:paraId="555B750F" w14:textId="77777777" w:rsidR="00F17BAA" w:rsidRPr="001A3A27" w:rsidRDefault="00F17BAA" w:rsidP="00F81C4E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Intervention</w:t>
                  </w:r>
                </w:p>
              </w:tc>
              <w:tc>
                <w:tcPr>
                  <w:tcW w:w="1498" w:type="pct"/>
                </w:tcPr>
                <w:p w14:paraId="30A6A095" w14:textId="77777777" w:rsidR="00F17BAA" w:rsidRPr="001A3A27" w:rsidRDefault="00F17BAA" w:rsidP="00F81C4E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Control</w:t>
                  </w:r>
                </w:p>
              </w:tc>
            </w:tr>
            <w:tr w:rsidR="00F17BAA" w:rsidRPr="001A3A27" w14:paraId="2AC117A8" w14:textId="77777777" w:rsidTr="00A04ACB">
              <w:tc>
                <w:tcPr>
                  <w:tcW w:w="1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DD11CA" w14:textId="77777777" w:rsidR="00F17BAA" w:rsidRPr="001A3A27" w:rsidRDefault="00F17BAA" w:rsidP="00A04ACB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Overall number of telephone calls to Child Support Agency</w:t>
                  </w:r>
                </w:p>
              </w:tc>
              <w:tc>
                <w:tcPr>
                  <w:tcW w:w="1675" w:type="pct"/>
                  <w:shd w:val="clear" w:color="auto" w:fill="auto"/>
                </w:tcPr>
                <w:p w14:paraId="2A006014" w14:textId="77777777" w:rsidR="00F17BAA" w:rsidRPr="001A0875" w:rsidRDefault="00F17BAA" w:rsidP="00A04ACB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D3876">
                    <w:rPr>
                      <w:rFonts w:cstheme="minorHAnsi"/>
                      <w:b/>
                      <w:sz w:val="20"/>
                      <w:szCs w:val="20"/>
                    </w:rPr>
                    <w:t>#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of calls from treatment group</w:t>
                  </w:r>
                </w:p>
              </w:tc>
              <w:tc>
                <w:tcPr>
                  <w:tcW w:w="1498" w:type="pct"/>
                </w:tcPr>
                <w:p w14:paraId="6B72B61B" w14:textId="77777777" w:rsidR="00F17BAA" w:rsidRPr="001A0875" w:rsidRDefault="00F17BAA" w:rsidP="00A04ACB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D3876">
                    <w:rPr>
                      <w:rFonts w:cstheme="minorHAnsi"/>
                      <w:b/>
                      <w:sz w:val="20"/>
                      <w:szCs w:val="20"/>
                    </w:rPr>
                    <w:t>#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of calls from control group</w:t>
                  </w:r>
                </w:p>
              </w:tc>
            </w:tr>
          </w:tbl>
          <w:p w14:paraId="4CB54699" w14:textId="77777777" w:rsidR="00F17BAA" w:rsidRDefault="00F17BAA" w:rsidP="001A0875"/>
          <w:tbl>
            <w:tblPr>
              <w:tblStyle w:val="TableGrid"/>
              <w:tblW w:w="3156" w:type="pct"/>
              <w:tblLook w:val="04A0" w:firstRow="1" w:lastRow="0" w:firstColumn="1" w:lastColumn="0" w:noHBand="0" w:noVBand="1"/>
            </w:tblPr>
            <w:tblGrid>
              <w:gridCol w:w="1394"/>
              <w:gridCol w:w="1361"/>
              <w:gridCol w:w="1228"/>
            </w:tblGrid>
            <w:tr w:rsidR="00F17BAA" w:rsidRPr="001A3A27" w14:paraId="78795325" w14:textId="77777777" w:rsidTr="00281C72">
              <w:tc>
                <w:tcPr>
                  <w:tcW w:w="2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6228C2" w14:textId="77777777" w:rsidR="00F17BAA" w:rsidRPr="001A3A27" w:rsidRDefault="00F17BAA" w:rsidP="00281C7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Outcome</w:t>
                  </w:r>
                </w:p>
              </w:tc>
              <w:tc>
                <w:tcPr>
                  <w:tcW w:w="2943" w:type="pct"/>
                  <w:gridSpan w:val="2"/>
                </w:tcPr>
                <w:p w14:paraId="0DC277C4" w14:textId="77777777" w:rsidR="00F17BAA" w:rsidRPr="001A3A27" w:rsidRDefault="00F17BAA" w:rsidP="00281C7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Experimental condition</w:t>
                  </w:r>
                </w:p>
              </w:tc>
            </w:tr>
            <w:tr w:rsidR="00F17BAA" w:rsidRPr="001A3A27" w14:paraId="78818F94" w14:textId="77777777" w:rsidTr="00281C72">
              <w:tc>
                <w:tcPr>
                  <w:tcW w:w="2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77B471" w14:textId="77777777" w:rsidR="00F17BAA" w:rsidRPr="001A3A27" w:rsidRDefault="00F17BAA" w:rsidP="00281C7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73" w:type="pct"/>
                </w:tcPr>
                <w:p w14:paraId="48523296" w14:textId="77777777" w:rsidR="00F17BAA" w:rsidRPr="001A3A27" w:rsidRDefault="00F17BAA" w:rsidP="00281C7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Intervention</w:t>
                  </w:r>
                </w:p>
              </w:tc>
              <w:tc>
                <w:tcPr>
                  <w:tcW w:w="1470" w:type="pct"/>
                </w:tcPr>
                <w:p w14:paraId="146B6EAD" w14:textId="77777777" w:rsidR="00F17BAA" w:rsidRPr="001A3A27" w:rsidRDefault="00F17BAA" w:rsidP="00281C7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Control</w:t>
                  </w:r>
                </w:p>
              </w:tc>
            </w:tr>
            <w:tr w:rsidR="00F17BAA" w:rsidRPr="001A3A27" w14:paraId="0CEFB641" w14:textId="77777777" w:rsidTr="00281C72">
              <w:tc>
                <w:tcPr>
                  <w:tcW w:w="2057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D6E0B77" w14:textId="77777777" w:rsidR="00F17BAA" w:rsidRPr="001A3A27" w:rsidRDefault="00F17BAA" w:rsidP="00281C72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Time from lodgement of form until call to Child Support Agency</w:t>
                  </w:r>
                </w:p>
              </w:tc>
              <w:tc>
                <w:tcPr>
                  <w:tcW w:w="1473" w:type="pct"/>
                  <w:shd w:val="clear" w:color="auto" w:fill="auto"/>
                </w:tcPr>
                <w:p w14:paraId="21BAA0E2" w14:textId="77777777" w:rsidR="00F17BAA" w:rsidRPr="001A0875" w:rsidRDefault="00F17BAA" w:rsidP="00281C7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Average time in days from lodgement to first call for treatment group</w:t>
                  </w:r>
                </w:p>
              </w:tc>
              <w:tc>
                <w:tcPr>
                  <w:tcW w:w="1470" w:type="pct"/>
                </w:tcPr>
                <w:p w14:paraId="0FBAD0FA" w14:textId="77777777" w:rsidR="00F17BAA" w:rsidRPr="001A0875" w:rsidRDefault="00F17BAA" w:rsidP="00C91CC5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Average time in days from lodgement to first call for control group</w:t>
                  </w:r>
                </w:p>
              </w:tc>
            </w:tr>
          </w:tbl>
          <w:p w14:paraId="28CFEAD4" w14:textId="632F8E43" w:rsidR="00F17BAA" w:rsidRDefault="00F17BAA" w:rsidP="001A0875"/>
        </w:tc>
      </w:tr>
    </w:tbl>
    <w:p w14:paraId="0CC7DC7D" w14:textId="1BDE882B" w:rsidR="001A0875" w:rsidRPr="001A0875" w:rsidRDefault="001A0875" w:rsidP="001A0875">
      <w:bookmarkStart w:id="0" w:name="_GoBack"/>
      <w:bookmarkEnd w:id="0"/>
      <w:r>
        <w:tab/>
      </w:r>
      <w:r>
        <w:tab/>
      </w:r>
    </w:p>
    <w:p w14:paraId="20447CDA" w14:textId="70D92BF1" w:rsidR="001A0875" w:rsidRPr="001A0875" w:rsidRDefault="001A0875" w:rsidP="005679D4">
      <w:r w:rsidRPr="001A0875">
        <w:tab/>
      </w:r>
      <w:r>
        <w:tab/>
      </w:r>
      <w:r>
        <w:tab/>
      </w:r>
    </w:p>
    <w:p w14:paraId="7FF9DC43" w14:textId="69BB5B56" w:rsidR="001A0875" w:rsidRPr="001A0875" w:rsidRDefault="001A0875" w:rsidP="005679D4">
      <w:pPr>
        <w:ind w:left="2880" w:hanging="2880"/>
      </w:pPr>
      <w:r w:rsidRPr="001A0875">
        <w:tab/>
      </w:r>
    </w:p>
    <w:p w14:paraId="2F83FBA3" w14:textId="6905D44A" w:rsidR="001A0875" w:rsidRPr="001A0875" w:rsidRDefault="001A0875" w:rsidP="001A0875">
      <w:pPr>
        <w:ind w:left="2880" w:hanging="2880"/>
      </w:pPr>
      <w:r>
        <w:rPr>
          <w:b/>
        </w:rPr>
        <w:lastRenderedPageBreak/>
        <w:tab/>
      </w:r>
    </w:p>
    <w:p w14:paraId="6058B9E3" w14:textId="77777777" w:rsidR="0008612F" w:rsidRPr="0008612F" w:rsidRDefault="0008612F" w:rsidP="0008612F">
      <w:pPr>
        <w:rPr>
          <w:color w:val="1B2A39" w:themeColor="text2"/>
          <w:sz w:val="24"/>
          <w:szCs w:val="24"/>
        </w:rPr>
      </w:pPr>
    </w:p>
    <w:p w14:paraId="4ABFF13A" w14:textId="77777777" w:rsidR="00A85C72" w:rsidRPr="001A0875" w:rsidRDefault="00A85C72" w:rsidP="00882BD1">
      <w:pPr>
        <w:rPr>
          <w:rFonts w:asciiTheme="minorHAnsi" w:hAnsiTheme="minorHAnsi"/>
          <w:color w:val="1B2A39" w:themeColor="text2"/>
          <w:sz w:val="22"/>
          <w:szCs w:val="22"/>
        </w:rPr>
      </w:pPr>
    </w:p>
    <w:sectPr w:rsidR="00A85C72" w:rsidRPr="001A087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E22C8" w14:textId="77777777" w:rsidR="00C76920" w:rsidRDefault="00C76920" w:rsidP="00DB6807">
      <w:r>
        <w:separator/>
      </w:r>
    </w:p>
    <w:p w14:paraId="0D993D95" w14:textId="77777777" w:rsidR="00C76920" w:rsidRDefault="00C76920" w:rsidP="00DB6807"/>
  </w:endnote>
  <w:endnote w:type="continuationSeparator" w:id="0">
    <w:p w14:paraId="7D698EA8" w14:textId="77777777" w:rsidR="00C76920" w:rsidRDefault="00C76920" w:rsidP="00DB6807">
      <w:r>
        <w:continuationSeparator/>
      </w:r>
    </w:p>
    <w:p w14:paraId="5592C04F" w14:textId="77777777" w:rsidR="00C76920" w:rsidRDefault="00C76920" w:rsidP="00DB6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D013F" w14:textId="77777777" w:rsidR="00C76920" w:rsidRDefault="00C76920" w:rsidP="00893C3E">
    <w:pPr>
      <w:pStyle w:val="Footer"/>
      <w:spacing w:after="0"/>
      <w:jc w:val="right"/>
    </w:pPr>
    <w:r w:rsidRPr="007F5EAE">
      <w:rPr>
        <w:noProof/>
      </w:rPr>
      <w:drawing>
        <wp:anchor distT="0" distB="0" distL="114300" distR="114300" simplePos="0" relativeHeight="251660288" behindDoc="0" locked="0" layoutInCell="1" allowOverlap="1" wp14:anchorId="44CE9233" wp14:editId="43CB9315">
          <wp:simplePos x="0" y="0"/>
          <wp:positionH relativeFrom="column">
            <wp:posOffset>-584200</wp:posOffset>
          </wp:positionH>
          <wp:positionV relativeFrom="paragraph">
            <wp:posOffset>-235509</wp:posOffset>
          </wp:positionV>
          <wp:extent cx="607162" cy="607162"/>
          <wp:effectExtent l="0" t="0" r="2540" b="254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162" cy="607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65D53" wp14:editId="01C72B0C">
              <wp:simplePos x="0" y="0"/>
              <wp:positionH relativeFrom="column">
                <wp:posOffset>-914400</wp:posOffset>
              </wp:positionH>
              <wp:positionV relativeFrom="paragraph">
                <wp:posOffset>64135</wp:posOffset>
              </wp:positionV>
              <wp:extent cx="7560000" cy="540000"/>
              <wp:effectExtent l="0" t="0" r="317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540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CB226E" w14:textId="330ADD91" w:rsidR="00C76920" w:rsidRPr="00FF619A" w:rsidRDefault="005002BE" w:rsidP="00F11685">
                          <w:pPr>
                            <w:spacing w:after="0"/>
                            <w:ind w:right="567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5002BE">
                            <w:rPr>
                              <w:color w:val="FFFFFF" w:themeColor="background1"/>
                            </w:rPr>
                            <w:t xml:space="preserve">Effective use of SMS: improving government confirmation processes </w:t>
                          </w:r>
                          <w:r w:rsidR="00C76920" w:rsidRPr="00FF619A">
                            <w:rPr>
                              <w:color w:val="FFFFFF" w:themeColor="background1"/>
                            </w:rPr>
                            <w:t>|</w:t>
                          </w:r>
                          <w:r w:rsidR="00C76920" w:rsidRPr="00FF619A">
                            <w:rPr>
                              <w:color w:val="FFFFFF" w:themeColor="background1"/>
                            </w:rPr>
                            <w:t> </w:t>
                          </w:r>
                          <w:r w:rsidR="00C76920" w:rsidRPr="00FF619A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76920" w:rsidRPr="00FF619A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="00C76920" w:rsidRPr="00FF619A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F17BA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="00C76920" w:rsidRPr="00FF619A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D65D53" id="Rectangle 5" o:spid="_x0000_s1026" style="position:absolute;left:0;text-align:left;margin-left:-1in;margin-top:5.05pt;width:595.3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" fillcolor="#1b2a39 [3215]" stroked="f" strokeweight="2pt">
              <v:textbox>
                <w:txbxContent>
                  <w:p w14:paraId="50CB226E" w14:textId="330ADD91" w:rsidR="00C76920" w:rsidRPr="00FF619A" w:rsidRDefault="005002BE" w:rsidP="00F11685">
                    <w:pPr>
                      <w:spacing w:after="0"/>
                      <w:ind w:right="567"/>
                      <w:jc w:val="right"/>
                      <w:rPr>
                        <w:color w:val="FFFFFF" w:themeColor="background1"/>
                      </w:rPr>
                    </w:pPr>
                    <w:r w:rsidRPr="005002BE">
                      <w:rPr>
                        <w:color w:val="FFFFFF" w:themeColor="background1"/>
                      </w:rPr>
                      <w:t xml:space="preserve">Effective use of SMS: improving government confirmation processes </w:t>
                    </w:r>
                    <w:r w:rsidR="00C76920" w:rsidRPr="00FF619A">
                      <w:rPr>
                        <w:color w:val="FFFFFF" w:themeColor="background1"/>
                      </w:rPr>
                      <w:t>|</w:t>
                    </w:r>
                    <w:r w:rsidR="00C76920" w:rsidRPr="00FF619A">
                      <w:rPr>
                        <w:color w:val="FFFFFF" w:themeColor="background1"/>
                      </w:rPr>
                      <w:t> </w:t>
                    </w:r>
                    <w:r w:rsidR="00C76920" w:rsidRPr="00FF619A">
                      <w:rPr>
                        <w:color w:val="FFFFFF" w:themeColor="background1"/>
                      </w:rPr>
                      <w:fldChar w:fldCharType="begin"/>
                    </w:r>
                    <w:r w:rsidR="00C76920" w:rsidRPr="00FF619A"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 w:rsidR="00C76920" w:rsidRPr="00FF619A">
                      <w:rPr>
                        <w:color w:val="FFFFFF" w:themeColor="background1"/>
                      </w:rPr>
                      <w:fldChar w:fldCharType="separate"/>
                    </w:r>
                    <w:r w:rsidR="00F17BAA">
                      <w:rPr>
                        <w:noProof/>
                        <w:color w:val="FFFFFF" w:themeColor="background1"/>
                      </w:rPr>
                      <w:t>1</w:t>
                    </w:r>
                    <w:r w:rsidR="00C76920" w:rsidRPr="00FF619A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363CC" w14:textId="77777777" w:rsidR="00C76920" w:rsidRDefault="00C76920" w:rsidP="00DB6807">
      <w:r>
        <w:separator/>
      </w:r>
    </w:p>
    <w:p w14:paraId="1F08323F" w14:textId="77777777" w:rsidR="00C76920" w:rsidRDefault="00C76920" w:rsidP="00DB6807"/>
  </w:footnote>
  <w:footnote w:type="continuationSeparator" w:id="0">
    <w:p w14:paraId="77FBC7BC" w14:textId="77777777" w:rsidR="00C76920" w:rsidRDefault="00C76920" w:rsidP="00DB6807">
      <w:r>
        <w:continuationSeparator/>
      </w:r>
    </w:p>
    <w:p w14:paraId="112A5E8D" w14:textId="77777777" w:rsidR="00C76920" w:rsidRDefault="00C76920" w:rsidP="00DB68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2A64A79"/>
    <w:multiLevelType w:val="hybridMultilevel"/>
    <w:tmpl w:val="6D9A0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111B"/>
    <w:multiLevelType w:val="hybridMultilevel"/>
    <w:tmpl w:val="6D9A0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6EDB"/>
    <w:multiLevelType w:val="hybridMultilevel"/>
    <w:tmpl w:val="482E6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D72AB"/>
    <w:multiLevelType w:val="hybridMultilevel"/>
    <w:tmpl w:val="90B270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27E20"/>
    <w:multiLevelType w:val="hybridMultilevel"/>
    <w:tmpl w:val="BA5E5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6035"/>
    <w:multiLevelType w:val="hybridMultilevel"/>
    <w:tmpl w:val="2EE80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21BB1"/>
    <w:multiLevelType w:val="hybridMultilevel"/>
    <w:tmpl w:val="33E09E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A37526"/>
    <w:multiLevelType w:val="hybridMultilevel"/>
    <w:tmpl w:val="238AB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61190"/>
    <w:multiLevelType w:val="hybridMultilevel"/>
    <w:tmpl w:val="CDCEE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1534C"/>
    <w:multiLevelType w:val="hybridMultilevel"/>
    <w:tmpl w:val="A90A84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094629"/>
    <w:multiLevelType w:val="hybridMultilevel"/>
    <w:tmpl w:val="A3E03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A4CF8"/>
    <w:multiLevelType w:val="hybridMultilevel"/>
    <w:tmpl w:val="03A896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16AB1"/>
    <w:multiLevelType w:val="hybridMultilevel"/>
    <w:tmpl w:val="C8608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84DA1"/>
    <w:multiLevelType w:val="hybridMultilevel"/>
    <w:tmpl w:val="B5EE1B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13C5"/>
    <w:multiLevelType w:val="hybridMultilevel"/>
    <w:tmpl w:val="20408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45D5A"/>
    <w:multiLevelType w:val="hybridMultilevel"/>
    <w:tmpl w:val="029ECB62"/>
    <w:lvl w:ilvl="0" w:tplc="0C09000F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D7624E46">
      <w:start w:val="2"/>
      <w:numFmt w:val="bullet"/>
      <w:lvlText w:val="-"/>
      <w:lvlJc w:val="left"/>
      <w:pPr>
        <w:ind w:left="1721" w:hanging="360"/>
      </w:pPr>
      <w:rPr>
        <w:rFonts w:ascii="Century Gothic" w:eastAsia="Times New Roman" w:hAnsi="Century Gothic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441" w:hanging="180"/>
      </w:pPr>
    </w:lvl>
    <w:lvl w:ilvl="3" w:tplc="0C09000F" w:tentative="1">
      <w:start w:val="1"/>
      <w:numFmt w:val="decimal"/>
      <w:lvlText w:val="%4."/>
      <w:lvlJc w:val="left"/>
      <w:pPr>
        <w:ind w:left="3161" w:hanging="360"/>
      </w:pPr>
    </w:lvl>
    <w:lvl w:ilvl="4" w:tplc="0C090019" w:tentative="1">
      <w:start w:val="1"/>
      <w:numFmt w:val="lowerLetter"/>
      <w:lvlText w:val="%5."/>
      <w:lvlJc w:val="left"/>
      <w:pPr>
        <w:ind w:left="3881" w:hanging="360"/>
      </w:pPr>
    </w:lvl>
    <w:lvl w:ilvl="5" w:tplc="0C09001B" w:tentative="1">
      <w:start w:val="1"/>
      <w:numFmt w:val="lowerRoman"/>
      <w:lvlText w:val="%6."/>
      <w:lvlJc w:val="right"/>
      <w:pPr>
        <w:ind w:left="4601" w:hanging="180"/>
      </w:pPr>
    </w:lvl>
    <w:lvl w:ilvl="6" w:tplc="0C09000F" w:tentative="1">
      <w:start w:val="1"/>
      <w:numFmt w:val="decimal"/>
      <w:lvlText w:val="%7."/>
      <w:lvlJc w:val="left"/>
      <w:pPr>
        <w:ind w:left="5321" w:hanging="360"/>
      </w:pPr>
    </w:lvl>
    <w:lvl w:ilvl="7" w:tplc="0C090019" w:tentative="1">
      <w:start w:val="1"/>
      <w:numFmt w:val="lowerLetter"/>
      <w:lvlText w:val="%8."/>
      <w:lvlJc w:val="left"/>
      <w:pPr>
        <w:ind w:left="6041" w:hanging="360"/>
      </w:pPr>
    </w:lvl>
    <w:lvl w:ilvl="8" w:tplc="0C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37835846"/>
    <w:multiLevelType w:val="hybridMultilevel"/>
    <w:tmpl w:val="6A605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768AC"/>
    <w:multiLevelType w:val="hybridMultilevel"/>
    <w:tmpl w:val="9D741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8217D"/>
    <w:multiLevelType w:val="hybridMultilevel"/>
    <w:tmpl w:val="FC5E6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23EB5"/>
    <w:multiLevelType w:val="hybridMultilevel"/>
    <w:tmpl w:val="D2DCEFEA"/>
    <w:lvl w:ilvl="0" w:tplc="C6D80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87379" w:themeColor="accent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B35C0"/>
    <w:multiLevelType w:val="hybridMultilevel"/>
    <w:tmpl w:val="1D64F186"/>
    <w:lvl w:ilvl="0" w:tplc="093ED44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A5A9E"/>
    <w:multiLevelType w:val="hybridMultilevel"/>
    <w:tmpl w:val="3580E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8399A"/>
    <w:multiLevelType w:val="hybridMultilevel"/>
    <w:tmpl w:val="11C65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7599"/>
    <w:multiLevelType w:val="hybridMultilevel"/>
    <w:tmpl w:val="47D290BE"/>
    <w:lvl w:ilvl="0" w:tplc="D7624E46">
      <w:start w:val="2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8593D6E"/>
    <w:multiLevelType w:val="hybridMultilevel"/>
    <w:tmpl w:val="DE04EC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9582B"/>
    <w:multiLevelType w:val="hybridMultilevel"/>
    <w:tmpl w:val="DFF07C14"/>
    <w:lvl w:ilvl="0" w:tplc="3DF41458">
      <w:start w:val="1"/>
      <w:numFmt w:val="bullet"/>
      <w:pStyle w:val="Lis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B31F5"/>
    <w:multiLevelType w:val="hybridMultilevel"/>
    <w:tmpl w:val="9B187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362C4"/>
    <w:multiLevelType w:val="hybridMultilevel"/>
    <w:tmpl w:val="F9AAA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106C"/>
    <w:multiLevelType w:val="hybridMultilevel"/>
    <w:tmpl w:val="6F8AA306"/>
    <w:lvl w:ilvl="0" w:tplc="2ACC366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0A3C69"/>
    <w:multiLevelType w:val="hybridMultilevel"/>
    <w:tmpl w:val="2A241526"/>
    <w:lvl w:ilvl="0" w:tplc="986E5BD8">
      <w:start w:val="1"/>
      <w:numFmt w:val="bullet"/>
      <w:pStyle w:val="bullet"/>
      <w:lvlText w:val=""/>
      <w:lvlJc w:val="left"/>
      <w:pPr>
        <w:ind w:left="1431" w:hanging="360"/>
      </w:pPr>
      <w:rPr>
        <w:rFonts w:ascii="Symbol" w:hAnsi="Symbol" w:hint="default"/>
        <w:color w:val="087379" w:themeColor="accent4"/>
      </w:rPr>
    </w:lvl>
    <w:lvl w:ilvl="1" w:tplc="0C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0" w15:restartNumberingAfterBreak="0">
    <w:nsid w:val="69A76C3A"/>
    <w:multiLevelType w:val="hybridMultilevel"/>
    <w:tmpl w:val="5AD867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A34D02"/>
    <w:multiLevelType w:val="hybridMultilevel"/>
    <w:tmpl w:val="BD480C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9"/>
  </w:num>
  <w:num w:numId="5">
    <w:abstractNumId w:val="31"/>
  </w:num>
  <w:num w:numId="6">
    <w:abstractNumId w:val="3"/>
  </w:num>
  <w:num w:numId="7">
    <w:abstractNumId w:val="10"/>
  </w:num>
  <w:num w:numId="8">
    <w:abstractNumId w:val="6"/>
  </w:num>
  <w:num w:numId="9">
    <w:abstractNumId w:val="14"/>
  </w:num>
  <w:num w:numId="10">
    <w:abstractNumId w:val="5"/>
  </w:num>
  <w:num w:numId="11">
    <w:abstractNumId w:val="26"/>
  </w:num>
  <w:num w:numId="12">
    <w:abstractNumId w:val="21"/>
  </w:num>
  <w:num w:numId="13">
    <w:abstractNumId w:val="15"/>
  </w:num>
  <w:num w:numId="14">
    <w:abstractNumId w:val="0"/>
  </w:num>
  <w:num w:numId="15">
    <w:abstractNumId w:val="1"/>
  </w:num>
  <w:num w:numId="16">
    <w:abstractNumId w:val="24"/>
  </w:num>
  <w:num w:numId="17">
    <w:abstractNumId w:val="11"/>
  </w:num>
  <w:num w:numId="18">
    <w:abstractNumId w:val="2"/>
  </w:num>
  <w:num w:numId="19">
    <w:abstractNumId w:val="25"/>
  </w:num>
  <w:num w:numId="20">
    <w:abstractNumId w:val="13"/>
  </w:num>
  <w:num w:numId="21">
    <w:abstractNumId w:val="28"/>
  </w:num>
  <w:num w:numId="22">
    <w:abstractNumId w:val="30"/>
  </w:num>
  <w:num w:numId="23">
    <w:abstractNumId w:val="16"/>
  </w:num>
  <w:num w:numId="24">
    <w:abstractNumId w:val="22"/>
  </w:num>
  <w:num w:numId="25">
    <w:abstractNumId w:val="18"/>
  </w:num>
  <w:num w:numId="26">
    <w:abstractNumId w:val="19"/>
  </w:num>
  <w:num w:numId="27">
    <w:abstractNumId w:val="29"/>
  </w:num>
  <w:num w:numId="28">
    <w:abstractNumId w:val="4"/>
  </w:num>
  <w:num w:numId="29">
    <w:abstractNumId w:val="20"/>
  </w:num>
  <w:num w:numId="30">
    <w:abstractNumId w:val="8"/>
  </w:num>
  <w:num w:numId="31">
    <w:abstractNumId w:val="1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70"/>
    <w:rsid w:val="00017F4E"/>
    <w:rsid w:val="0002358B"/>
    <w:rsid w:val="00046FB9"/>
    <w:rsid w:val="000648AE"/>
    <w:rsid w:val="0006611D"/>
    <w:rsid w:val="00082DE6"/>
    <w:rsid w:val="0008612F"/>
    <w:rsid w:val="00086337"/>
    <w:rsid w:val="00090A1A"/>
    <w:rsid w:val="000A2597"/>
    <w:rsid w:val="000A2B6C"/>
    <w:rsid w:val="000A6652"/>
    <w:rsid w:val="000B2193"/>
    <w:rsid w:val="000B700F"/>
    <w:rsid w:val="000D02EA"/>
    <w:rsid w:val="000D1766"/>
    <w:rsid w:val="000D5B74"/>
    <w:rsid w:val="000D6817"/>
    <w:rsid w:val="000E4BFD"/>
    <w:rsid w:val="00115822"/>
    <w:rsid w:val="00143B1D"/>
    <w:rsid w:val="00145C97"/>
    <w:rsid w:val="00146B9B"/>
    <w:rsid w:val="00151E5F"/>
    <w:rsid w:val="00153E44"/>
    <w:rsid w:val="00164801"/>
    <w:rsid w:val="001927E7"/>
    <w:rsid w:val="001A0875"/>
    <w:rsid w:val="001B05A2"/>
    <w:rsid w:val="001B78A9"/>
    <w:rsid w:val="001C4877"/>
    <w:rsid w:val="001D0C5B"/>
    <w:rsid w:val="001E4B4A"/>
    <w:rsid w:val="001F4ABB"/>
    <w:rsid w:val="00226225"/>
    <w:rsid w:val="00231052"/>
    <w:rsid w:val="00233E52"/>
    <w:rsid w:val="0023590F"/>
    <w:rsid w:val="00256270"/>
    <w:rsid w:val="00257E3F"/>
    <w:rsid w:val="00281D85"/>
    <w:rsid w:val="002C05D3"/>
    <w:rsid w:val="002D316F"/>
    <w:rsid w:val="002D5BED"/>
    <w:rsid w:val="002E114C"/>
    <w:rsid w:val="00314922"/>
    <w:rsid w:val="0032771C"/>
    <w:rsid w:val="003333A6"/>
    <w:rsid w:val="00336139"/>
    <w:rsid w:val="00340B56"/>
    <w:rsid w:val="00345FEC"/>
    <w:rsid w:val="003776F3"/>
    <w:rsid w:val="003777C8"/>
    <w:rsid w:val="00380E1F"/>
    <w:rsid w:val="003920CD"/>
    <w:rsid w:val="003B072F"/>
    <w:rsid w:val="003B154D"/>
    <w:rsid w:val="003D0731"/>
    <w:rsid w:val="003D3E63"/>
    <w:rsid w:val="003F3045"/>
    <w:rsid w:val="003F68AA"/>
    <w:rsid w:val="004025AB"/>
    <w:rsid w:val="00421110"/>
    <w:rsid w:val="004268F9"/>
    <w:rsid w:val="00472BF9"/>
    <w:rsid w:val="00475298"/>
    <w:rsid w:val="00482B2E"/>
    <w:rsid w:val="00495179"/>
    <w:rsid w:val="00495CB7"/>
    <w:rsid w:val="004C278A"/>
    <w:rsid w:val="004C75C5"/>
    <w:rsid w:val="004D0115"/>
    <w:rsid w:val="004E127D"/>
    <w:rsid w:val="004E2583"/>
    <w:rsid w:val="004E4493"/>
    <w:rsid w:val="004E5250"/>
    <w:rsid w:val="004E6D80"/>
    <w:rsid w:val="005002BE"/>
    <w:rsid w:val="00501D57"/>
    <w:rsid w:val="005030D8"/>
    <w:rsid w:val="005138D9"/>
    <w:rsid w:val="0054159C"/>
    <w:rsid w:val="00542DE9"/>
    <w:rsid w:val="00552BA6"/>
    <w:rsid w:val="005606C5"/>
    <w:rsid w:val="00561F76"/>
    <w:rsid w:val="00564B80"/>
    <w:rsid w:val="00565C6B"/>
    <w:rsid w:val="005673EC"/>
    <w:rsid w:val="005679D4"/>
    <w:rsid w:val="00573169"/>
    <w:rsid w:val="0057533D"/>
    <w:rsid w:val="00590D76"/>
    <w:rsid w:val="00597F8F"/>
    <w:rsid w:val="005B68E9"/>
    <w:rsid w:val="005F2486"/>
    <w:rsid w:val="006032D0"/>
    <w:rsid w:val="006168ED"/>
    <w:rsid w:val="00654176"/>
    <w:rsid w:val="006609E3"/>
    <w:rsid w:val="006649B9"/>
    <w:rsid w:val="006A1FC9"/>
    <w:rsid w:val="006C46E1"/>
    <w:rsid w:val="006D33F1"/>
    <w:rsid w:val="006D57C9"/>
    <w:rsid w:val="006D6686"/>
    <w:rsid w:val="006E10A6"/>
    <w:rsid w:val="00713A35"/>
    <w:rsid w:val="007343DB"/>
    <w:rsid w:val="00766CED"/>
    <w:rsid w:val="00772CC1"/>
    <w:rsid w:val="0078223C"/>
    <w:rsid w:val="00782A64"/>
    <w:rsid w:val="007A380C"/>
    <w:rsid w:val="007F10E0"/>
    <w:rsid w:val="007F3C63"/>
    <w:rsid w:val="007F5EAE"/>
    <w:rsid w:val="008040EF"/>
    <w:rsid w:val="00813E4D"/>
    <w:rsid w:val="00825B1B"/>
    <w:rsid w:val="008264EA"/>
    <w:rsid w:val="008278DE"/>
    <w:rsid w:val="00834584"/>
    <w:rsid w:val="00842081"/>
    <w:rsid w:val="0086069B"/>
    <w:rsid w:val="008619B7"/>
    <w:rsid w:val="00862FF9"/>
    <w:rsid w:val="00870C94"/>
    <w:rsid w:val="008770C2"/>
    <w:rsid w:val="00882328"/>
    <w:rsid w:val="00882BD1"/>
    <w:rsid w:val="00893C3E"/>
    <w:rsid w:val="008A3035"/>
    <w:rsid w:val="008B26D2"/>
    <w:rsid w:val="008B5FC2"/>
    <w:rsid w:val="008C6E5E"/>
    <w:rsid w:val="008D2BDD"/>
    <w:rsid w:val="008D53C3"/>
    <w:rsid w:val="008F083B"/>
    <w:rsid w:val="008F0865"/>
    <w:rsid w:val="00904E5E"/>
    <w:rsid w:val="00921139"/>
    <w:rsid w:val="00954303"/>
    <w:rsid w:val="00955738"/>
    <w:rsid w:val="0096249F"/>
    <w:rsid w:val="00972A6A"/>
    <w:rsid w:val="00972C8F"/>
    <w:rsid w:val="00975653"/>
    <w:rsid w:val="009775EB"/>
    <w:rsid w:val="00983C13"/>
    <w:rsid w:val="009B50DE"/>
    <w:rsid w:val="009C3842"/>
    <w:rsid w:val="009C427C"/>
    <w:rsid w:val="009C5725"/>
    <w:rsid w:val="009F51B8"/>
    <w:rsid w:val="00A04ACB"/>
    <w:rsid w:val="00A05B3B"/>
    <w:rsid w:val="00A25084"/>
    <w:rsid w:val="00A51F90"/>
    <w:rsid w:val="00A72CB0"/>
    <w:rsid w:val="00A85C72"/>
    <w:rsid w:val="00A87B89"/>
    <w:rsid w:val="00A924BA"/>
    <w:rsid w:val="00AA2F5E"/>
    <w:rsid w:val="00AA730A"/>
    <w:rsid w:val="00AA7D30"/>
    <w:rsid w:val="00AC17F3"/>
    <w:rsid w:val="00AC1844"/>
    <w:rsid w:val="00AC189B"/>
    <w:rsid w:val="00AD26BB"/>
    <w:rsid w:val="00AD408C"/>
    <w:rsid w:val="00AE1FF2"/>
    <w:rsid w:val="00AE7FEC"/>
    <w:rsid w:val="00AF1B09"/>
    <w:rsid w:val="00AF2D4D"/>
    <w:rsid w:val="00AF4830"/>
    <w:rsid w:val="00B05AA4"/>
    <w:rsid w:val="00B1236C"/>
    <w:rsid w:val="00B25BC3"/>
    <w:rsid w:val="00B514A3"/>
    <w:rsid w:val="00B606DE"/>
    <w:rsid w:val="00B61383"/>
    <w:rsid w:val="00B63531"/>
    <w:rsid w:val="00B66F3A"/>
    <w:rsid w:val="00B6723A"/>
    <w:rsid w:val="00B70A17"/>
    <w:rsid w:val="00B7428F"/>
    <w:rsid w:val="00BA2D12"/>
    <w:rsid w:val="00BC71C6"/>
    <w:rsid w:val="00C02278"/>
    <w:rsid w:val="00C10295"/>
    <w:rsid w:val="00C10401"/>
    <w:rsid w:val="00C13DE1"/>
    <w:rsid w:val="00C157F9"/>
    <w:rsid w:val="00C21A2B"/>
    <w:rsid w:val="00C265D1"/>
    <w:rsid w:val="00C40114"/>
    <w:rsid w:val="00C4062E"/>
    <w:rsid w:val="00C42778"/>
    <w:rsid w:val="00C43250"/>
    <w:rsid w:val="00C52BF2"/>
    <w:rsid w:val="00C60053"/>
    <w:rsid w:val="00C6065D"/>
    <w:rsid w:val="00C64972"/>
    <w:rsid w:val="00C67871"/>
    <w:rsid w:val="00C76920"/>
    <w:rsid w:val="00C91CC5"/>
    <w:rsid w:val="00CA4401"/>
    <w:rsid w:val="00CC5ACD"/>
    <w:rsid w:val="00CD47BC"/>
    <w:rsid w:val="00CF4B7A"/>
    <w:rsid w:val="00CF55D9"/>
    <w:rsid w:val="00D011B0"/>
    <w:rsid w:val="00D10ED7"/>
    <w:rsid w:val="00D13B05"/>
    <w:rsid w:val="00D263B2"/>
    <w:rsid w:val="00D365F5"/>
    <w:rsid w:val="00D63404"/>
    <w:rsid w:val="00D74569"/>
    <w:rsid w:val="00D76FE2"/>
    <w:rsid w:val="00D938D9"/>
    <w:rsid w:val="00D947B7"/>
    <w:rsid w:val="00D97938"/>
    <w:rsid w:val="00DB6807"/>
    <w:rsid w:val="00DC15DF"/>
    <w:rsid w:val="00DC5B60"/>
    <w:rsid w:val="00DD39F5"/>
    <w:rsid w:val="00DE4028"/>
    <w:rsid w:val="00E06744"/>
    <w:rsid w:val="00E106CE"/>
    <w:rsid w:val="00E161CC"/>
    <w:rsid w:val="00E466E1"/>
    <w:rsid w:val="00E4794B"/>
    <w:rsid w:val="00E54C8C"/>
    <w:rsid w:val="00E75297"/>
    <w:rsid w:val="00E80367"/>
    <w:rsid w:val="00E95376"/>
    <w:rsid w:val="00E97929"/>
    <w:rsid w:val="00EC4F40"/>
    <w:rsid w:val="00EC7464"/>
    <w:rsid w:val="00F0064F"/>
    <w:rsid w:val="00F01E02"/>
    <w:rsid w:val="00F11685"/>
    <w:rsid w:val="00F17BAA"/>
    <w:rsid w:val="00F27369"/>
    <w:rsid w:val="00F32ED3"/>
    <w:rsid w:val="00F332A1"/>
    <w:rsid w:val="00F5395A"/>
    <w:rsid w:val="00F759A4"/>
    <w:rsid w:val="00F946C7"/>
    <w:rsid w:val="00FA3AC7"/>
    <w:rsid w:val="00FB035D"/>
    <w:rsid w:val="00FB42C8"/>
    <w:rsid w:val="00FB7D56"/>
    <w:rsid w:val="00FC7234"/>
    <w:rsid w:val="00FD0EEB"/>
    <w:rsid w:val="00FD1023"/>
    <w:rsid w:val="00FF619A"/>
    <w:rsid w:val="00FF6A3B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9F38E"/>
  <w15:docId w15:val="{0C6DC86D-95C5-46B6-BA99-3607B8B2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807"/>
    <w:pPr>
      <w:spacing w:after="240" w:line="288" w:lineRule="auto"/>
    </w:pPr>
    <w:rPr>
      <w:rFonts w:ascii="Arial" w:eastAsia="Times New Roman" w:hAnsi="Arial" w:cs="Arial"/>
      <w:color w:val="595959" w:themeColor="text1" w:themeTint="A6"/>
      <w:sz w:val="21"/>
      <w:szCs w:val="21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871"/>
    <w:pPr>
      <w:widowControl w:val="0"/>
      <w:spacing w:before="480"/>
      <w:outlineLvl w:val="0"/>
    </w:pPr>
    <w:rPr>
      <w:b/>
      <w:bCs/>
      <w:noProof/>
      <w:color w:val="1B2A39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328"/>
    <w:pPr>
      <w:keepNext/>
      <w:keepLines/>
      <w:spacing w:before="360" w:after="120"/>
      <w:outlineLvl w:val="1"/>
    </w:pPr>
    <w:rPr>
      <w:rFonts w:eastAsiaTheme="majorEastAsia"/>
      <w:b/>
      <w:bCs/>
      <w:noProof/>
      <w:color w:val="087379" w:themeColor="accent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7C9"/>
    <w:pPr>
      <w:keepNext/>
      <w:keepLines/>
      <w:spacing w:before="360" w:after="120"/>
      <w:outlineLvl w:val="2"/>
    </w:pPr>
    <w:rPr>
      <w:rFonts w:eastAsiaTheme="majorEastAsia"/>
      <w:b/>
      <w:bCs/>
      <w:noProof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57C9"/>
    <w:pPr>
      <w:keepNext/>
      <w:keepLines/>
      <w:spacing w:before="360" w:after="120"/>
      <w:outlineLvl w:val="3"/>
    </w:pPr>
    <w:rPr>
      <w:rFonts w:eastAsiaTheme="majorEastAsia"/>
      <w:b/>
      <w:bCs/>
      <w:i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6807"/>
    <w:pPr>
      <w:spacing w:after="12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67871"/>
    <w:rPr>
      <w:rFonts w:ascii="Arial" w:eastAsia="Times New Roman" w:hAnsi="Arial" w:cs="Arial"/>
      <w:b/>
      <w:bCs/>
      <w:noProof/>
      <w:color w:val="1B2A39" w:themeColor="text2"/>
      <w:sz w:val="32"/>
      <w:szCs w:val="2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B50D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0D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B50D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0DE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C7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2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23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23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2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34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8B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72CC1"/>
    <w:pPr>
      <w:tabs>
        <w:tab w:val="left" w:pos="993"/>
        <w:tab w:val="right" w:leader="dot" w:pos="9016"/>
      </w:tabs>
      <w:spacing w:before="240" w:after="100" w:line="276" w:lineRule="auto"/>
      <w:ind w:left="284" w:hanging="284"/>
    </w:pPr>
    <w:rPr>
      <w:rFonts w:eastAsiaTheme="minorHAnsi"/>
      <w:noProof/>
      <w:color w:val="087379" w:themeColor="accent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B42C8"/>
    <w:rPr>
      <w:color w:val="006397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7B89"/>
    <w:pPr>
      <w:pBdr>
        <w:bottom w:val="single" w:sz="8" w:space="4" w:color="E7B204" w:themeColor="accent1"/>
      </w:pBdr>
      <w:spacing w:after="300" w:line="240" w:lineRule="auto"/>
      <w:contextualSpacing/>
    </w:pPr>
    <w:rPr>
      <w:rFonts w:eastAsiaTheme="majorEastAsia"/>
      <w:b/>
      <w:noProof/>
      <w:color w:val="087379" w:themeColor="accent4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87B89"/>
    <w:rPr>
      <w:rFonts w:ascii="Arial" w:eastAsiaTheme="majorEastAsia" w:hAnsi="Arial" w:cs="Arial"/>
      <w:b/>
      <w:noProof/>
      <w:color w:val="087379" w:themeColor="accent4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82328"/>
    <w:rPr>
      <w:rFonts w:ascii="Arial" w:eastAsiaTheme="majorEastAsia" w:hAnsi="Arial" w:cs="Arial"/>
      <w:b/>
      <w:bCs/>
      <w:noProof/>
      <w:color w:val="087379" w:themeColor="accent4"/>
      <w:sz w:val="24"/>
      <w:szCs w:val="24"/>
      <w:lang w:eastAsia="en-AU"/>
    </w:rPr>
  </w:style>
  <w:style w:type="paragraph" w:styleId="ListBullet">
    <w:name w:val="List Bullet"/>
    <w:basedOn w:val="Normal"/>
    <w:unhideWhenUsed/>
    <w:rsid w:val="00870C94"/>
    <w:pPr>
      <w:numPr>
        <w:numId w:val="19"/>
      </w:numPr>
      <w:spacing w:after="84" w:line="220" w:lineRule="atLeast"/>
    </w:pPr>
    <w:rPr>
      <w:color w:val="747378"/>
      <w:sz w:val="19"/>
      <w:lang w:eastAsia="en-US"/>
      <w14:textFill>
        <w14:solidFill>
          <w14:srgbClr w14:val="747378">
            <w14:lumMod w14:val="65000"/>
            <w14:lumOff w14:val="35000"/>
          </w14:srgbClr>
        </w14:solidFill>
      </w14:textFill>
    </w:rPr>
  </w:style>
  <w:style w:type="paragraph" w:styleId="TOC2">
    <w:name w:val="toc 2"/>
    <w:basedOn w:val="Normal"/>
    <w:next w:val="Normal"/>
    <w:autoRedefine/>
    <w:uiPriority w:val="39"/>
    <w:unhideWhenUsed/>
    <w:rsid w:val="001B78A9"/>
    <w:pPr>
      <w:spacing w:after="100"/>
      <w:ind w:left="240"/>
    </w:pPr>
  </w:style>
  <w:style w:type="paragraph" w:customStyle="1" w:styleId="bullet">
    <w:name w:val="bullet"/>
    <w:basedOn w:val="ListParagraph"/>
    <w:link w:val="bulletChar"/>
    <w:qFormat/>
    <w:rsid w:val="00772CC1"/>
    <w:pPr>
      <w:numPr>
        <w:numId w:val="27"/>
      </w:numPr>
      <w:ind w:left="641" w:hanging="357"/>
    </w:pPr>
    <w:rPr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6D57C9"/>
    <w:rPr>
      <w:rFonts w:ascii="Arial" w:eastAsiaTheme="majorEastAsia" w:hAnsi="Arial" w:cs="Arial"/>
      <w:b/>
      <w:bCs/>
      <w:noProof/>
      <w:color w:val="595959" w:themeColor="text1" w:themeTint="A6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6807"/>
    <w:rPr>
      <w:rFonts w:ascii="Arial" w:eastAsia="Times New Roman" w:hAnsi="Arial" w:cs="Arial"/>
      <w:color w:val="595959" w:themeColor="text1" w:themeTint="A6"/>
      <w:lang w:eastAsia="en-AU"/>
    </w:rPr>
  </w:style>
  <w:style w:type="character" w:customStyle="1" w:styleId="bulletChar">
    <w:name w:val="bullet Char"/>
    <w:basedOn w:val="ListParagraphChar"/>
    <w:link w:val="bullet"/>
    <w:rsid w:val="00772CC1"/>
    <w:rPr>
      <w:rFonts w:ascii="Arial" w:eastAsia="Times New Roman" w:hAnsi="Arial" w:cs="Arial"/>
      <w:noProof/>
      <w:color w:val="595959" w:themeColor="text1" w:themeTint="A6"/>
      <w:sz w:val="21"/>
      <w:szCs w:val="21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772CC1"/>
    <w:pPr>
      <w:spacing w:after="100"/>
      <w:ind w:left="420"/>
    </w:pPr>
  </w:style>
  <w:style w:type="paragraph" w:customStyle="1" w:styleId="Normalwhite">
    <w:name w:val="Normal white"/>
    <w:basedOn w:val="Normal"/>
    <w:link w:val="NormalwhiteChar"/>
    <w:qFormat/>
    <w:rsid w:val="003D0731"/>
    <w:pPr>
      <w:spacing w:after="0" w:line="240" w:lineRule="auto"/>
    </w:pPr>
    <w:rPr>
      <w:b/>
      <w:noProof/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uiPriority w:val="9"/>
    <w:rsid w:val="006D57C9"/>
    <w:rPr>
      <w:rFonts w:ascii="Arial" w:eastAsiaTheme="majorEastAsia" w:hAnsi="Arial" w:cs="Arial"/>
      <w:b/>
      <w:bCs/>
      <w:iCs/>
      <w:noProof/>
      <w:color w:val="595959" w:themeColor="text1" w:themeTint="A6"/>
      <w:sz w:val="21"/>
      <w:szCs w:val="21"/>
      <w:lang w:eastAsia="en-AU"/>
    </w:rPr>
  </w:style>
  <w:style w:type="character" w:customStyle="1" w:styleId="NormalwhiteChar">
    <w:name w:val="Normal white Char"/>
    <w:basedOn w:val="DefaultParagraphFont"/>
    <w:link w:val="Normalwhite"/>
    <w:rsid w:val="003D0731"/>
    <w:rPr>
      <w:rFonts w:ascii="Arial" w:eastAsia="Times New Roman" w:hAnsi="Arial" w:cs="Arial"/>
      <w:b/>
      <w:noProof/>
      <w:color w:val="FFFFFF" w:themeColor="background1"/>
      <w:sz w:val="21"/>
      <w:szCs w:val="2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53E44"/>
    <w:rPr>
      <w:color w:val="A2206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M&amp;C">
      <a:dk1>
        <a:sysClr val="windowText" lastClr="000000"/>
      </a:dk1>
      <a:lt1>
        <a:sysClr val="window" lastClr="FFFFFF"/>
      </a:lt1>
      <a:dk2>
        <a:srgbClr val="1B2A39"/>
      </a:dk2>
      <a:lt2>
        <a:srgbClr val="E8EAEC"/>
      </a:lt2>
      <a:accent1>
        <a:srgbClr val="E7B204"/>
      </a:accent1>
      <a:accent2>
        <a:srgbClr val="8E744B"/>
      </a:accent2>
      <a:accent3>
        <a:srgbClr val="409CA9"/>
      </a:accent3>
      <a:accent4>
        <a:srgbClr val="087379"/>
      </a:accent4>
      <a:accent5>
        <a:srgbClr val="522B4A"/>
      </a:accent5>
      <a:accent6>
        <a:srgbClr val="9E2232"/>
      </a:accent6>
      <a:hlink>
        <a:srgbClr val="006397"/>
      </a:hlink>
      <a:folHlink>
        <a:srgbClr val="A2206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fa800-9ef0-44cb-8a12-633e29de1e0b">
      <Value>1</Value>
    </TaxCatchAll>
    <ShareHubID xmlns="e771ab56-0c5d-40e7-b080-2686d2b89623">DOC17-453190</ShareHubID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PMCdoc-213507164-64380</_dlc_DocId>
    <_dlc_DocIdUrl xmlns="d0dfa800-9ef0-44cb-8a12-633e29de1e0b">
      <Url>https://pmc01.sharepoint.com/sites/pmc-ms-cb/_layouts/15/DocIdRedir.aspx?ID=PMCdoc-213507164-64380</Url>
      <Description>PMCdoc-213507164-64380</Description>
    </_dlc_DocIdUrl>
    <lcf76f155ced4ddcb4097134ff3c332f xmlns="631b17cb-7e05-4b62-a9e3-205a319faa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6B95156DCD04D953F50914F23662E" ma:contentTypeVersion="26" ma:contentTypeDescription="Create a new document." ma:contentTypeScope="" ma:versionID="9b5c10c07c411b4bd1de0bd71909b3bf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631b17cb-7e05-4b62-a9e3-205a319faa46" targetNamespace="http://schemas.microsoft.com/office/2006/metadata/properties" ma:root="true" ma:fieldsID="61d04d7efde089c9098b02c2be8c002d" ns1:_="" ns2:_="" ns3:_="" ns4:_="">
    <xsd:import namespace="http://schemas.microsoft.com/sharepoint/v3"/>
    <xsd:import namespace="d0dfa800-9ef0-44cb-8a12-633e29de1e0b"/>
    <xsd:import namespace="e771ab56-0c5d-40e7-b080-2686d2b89623"/>
    <xsd:import namespace="631b17cb-7e05-4b62-a9e3-205a319faa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17cb-7e05-4b62-a9e3-205a319f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802129-445A-47EB-8853-829191C429F8}"/>
</file>

<file path=customXml/itemProps2.xml><?xml version="1.0" encoding="utf-8"?>
<ds:datastoreItem xmlns:ds="http://schemas.openxmlformats.org/officeDocument/2006/customXml" ds:itemID="{18D8B4F0-6792-40D7-9785-C5B049CF48F0}"/>
</file>

<file path=customXml/itemProps3.xml><?xml version="1.0" encoding="utf-8"?>
<ds:datastoreItem xmlns:ds="http://schemas.openxmlformats.org/officeDocument/2006/customXml" ds:itemID="{69E869F8-35AA-4C35-9908-0154E04226FE}"/>
</file>

<file path=customXml/itemProps4.xml><?xml version="1.0" encoding="utf-8"?>
<ds:datastoreItem xmlns:ds="http://schemas.openxmlformats.org/officeDocument/2006/customXml" ds:itemID="{82C7F256-60EB-4CE3-9DEF-9D42520F1A83}"/>
</file>

<file path=customXml/itemProps5.xml><?xml version="1.0" encoding="utf-8"?>
<ds:datastoreItem xmlns:ds="http://schemas.openxmlformats.org/officeDocument/2006/customXml" ds:itemID="{F72053B3-6F54-4D91-AAD3-8A0C513307B0}"/>
</file>

<file path=docProps/app.xml><?xml version="1.0" encoding="utf-8"?>
<Properties xmlns="http://schemas.openxmlformats.org/officeDocument/2006/extended-properties" xmlns:vt="http://schemas.openxmlformats.org/officeDocument/2006/docPropsVTypes">
  <Template>3F6C07F8</Template>
  <TotalTime>2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Phil</dc:creator>
  <cp:lastModifiedBy>Turenko, Andrei</cp:lastModifiedBy>
  <cp:revision>4</cp:revision>
  <cp:lastPrinted>2016-08-01T02:41:00Z</cp:lastPrinted>
  <dcterms:created xsi:type="dcterms:W3CDTF">2017-12-08T00:29:00Z</dcterms:created>
  <dcterms:modified xsi:type="dcterms:W3CDTF">2017-12-09T05:04:00Z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0x0101009816B95156DCD04D953F50914F23662E</vt:lpwstr>
  </property>
  <property fmtid="{D5CDD505-2E9C-101B-9397-08002B2CF9AE}" pid="3" name="_dlc_DocIdItemGuid">
    <vt:lpwstr>0d2e6f9f-425e-463e-a078-7a4fe8a2af40</vt:lpwstr>
  </property>
  <property fmtid="{D5CDD505-2E9C-101B-9397-08002B2CF9AE}" pid="4" name="HPRMSecurityLevel">
    <vt:lpwstr>1;#UNCLASSIFIED|9c49a7c7-17c7-412f-8077-62dec89b9196</vt:lpwstr>
  </property>
  <property fmtid="{D5CDD505-2E9C-101B-9397-08002B2CF9AE}" pid="5" name="HPRMSecurityCaveat">
    <vt:lpwstr/>
  </property>
  <property fmtid="{D5CDD505-2E9C-101B-9397-08002B2CF9AE}" pid="6" name="SecurityClassification">
    <vt:i4>1</vt:i4>
  </property>
</Properties>
</file>