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55F16" w14:textId="3441CC4C" w:rsidR="00580C91" w:rsidRPr="00865DC0" w:rsidRDefault="00580C91" w:rsidP="00042C2E">
      <w:pPr>
        <w:pStyle w:val="Heading1"/>
      </w:pPr>
      <w:r w:rsidRPr="00865DC0">
        <w:t xml:space="preserve">Pre-Analysis Plan </w:t>
      </w:r>
    </w:p>
    <w:p w14:paraId="1814269E" w14:textId="0F16303D" w:rsidR="004B4BC0" w:rsidRPr="00865DC0" w:rsidRDefault="00580C91" w:rsidP="00042C2E">
      <w:pPr>
        <w:pStyle w:val="Heading1"/>
        <w:rPr>
          <w:sz w:val="48"/>
        </w:rPr>
      </w:pPr>
      <w:bookmarkStart w:id="0" w:name="_GoBack"/>
      <w:r w:rsidRPr="00865DC0">
        <w:rPr>
          <w:sz w:val="48"/>
        </w:rPr>
        <w:t>Part 1: A new review screen</w:t>
      </w:r>
    </w:p>
    <w:bookmarkEnd w:id="0"/>
    <w:p w14:paraId="3142B2DD" w14:textId="78E3B8E4" w:rsidR="00865DC0" w:rsidRDefault="00865DC0" w:rsidP="00865DC0">
      <w:pPr>
        <w:pStyle w:val="Heading2"/>
      </w:pPr>
      <w:r w:rsidRPr="00E74E0D">
        <w:t xml:space="preserve">Policy </w:t>
      </w:r>
      <w:r w:rsidRPr="00865DC0">
        <w:t>problem</w:t>
      </w:r>
    </w:p>
    <w:p w14:paraId="66D4856D" w14:textId="77777777" w:rsidR="00865DC0" w:rsidRDefault="00865DC0" w:rsidP="00865DC0">
      <w:r w:rsidRPr="003259E8">
        <w:t xml:space="preserve">The </w:t>
      </w:r>
      <w:r>
        <w:t>Personal Property Securities Register (</w:t>
      </w:r>
      <w:r w:rsidRPr="003259E8">
        <w:t>PPSR</w:t>
      </w:r>
      <w:r>
        <w:t>)</w:t>
      </w:r>
      <w:r w:rsidRPr="003259E8">
        <w:t xml:space="preserve"> </w:t>
      </w:r>
      <w:r>
        <w:t>allows</w:t>
      </w:r>
      <w:r w:rsidRPr="003259E8">
        <w:t xml:space="preserve"> businesses to safeguard their security interests (money owed to them); helps businesses make informed purchasing decisions by letting them know whether the asset they are purchasing has outstanding financial obligations tied to it; and facilitates secure lending to businesses by financiers. Businesses can register on the PPSR by completing an online form hosted by the Australian Financial Security Authority (AFSA). Businesses need to get key elements of the registration exactly right. Even a small mistake may render the registration invalid, exposing the business to greater financial risk.</w:t>
      </w:r>
    </w:p>
    <w:p w14:paraId="020F88D5" w14:textId="5FEBC9AF" w:rsidR="00865DC0" w:rsidRDefault="00865DC0" w:rsidP="00865DC0">
      <w:pPr>
        <w:pStyle w:val="Heading2"/>
      </w:pPr>
      <w:r>
        <w:t>Research aims</w:t>
      </w:r>
    </w:p>
    <w:p w14:paraId="29010BE0" w14:textId="77777777" w:rsidR="00865DC0" w:rsidRDefault="00865DC0" w:rsidP="00865DC0">
      <w:r>
        <w:t>This trial aims to test whether changes to the PPSR registration’s review process can improve the usability and accuracy of registrations.</w:t>
      </w:r>
    </w:p>
    <w:p w14:paraId="28316892" w14:textId="77777777" w:rsidR="00865DC0" w:rsidRDefault="00865DC0" w:rsidP="00865DC0">
      <w:r>
        <w:t xml:space="preserve">Specifically, we are looking </w:t>
      </w:r>
      <w:proofErr w:type="gramStart"/>
      <w:r>
        <w:t>to</w:t>
      </w:r>
      <w:proofErr w:type="gramEnd"/>
      <w:r>
        <w:t>:</w:t>
      </w:r>
    </w:p>
    <w:p w14:paraId="0A856B81" w14:textId="77777777" w:rsidR="00865DC0" w:rsidRDefault="00865DC0" w:rsidP="00865DC0">
      <w:pPr>
        <w:pStyle w:val="ListParagraph"/>
        <w:numPr>
          <w:ilvl w:val="0"/>
          <w:numId w:val="25"/>
        </w:numPr>
        <w:spacing w:before="120" w:after="120" w:line="320" w:lineRule="atLeast"/>
      </w:pPr>
      <w:r>
        <w:t>test whether a more involved review process will help users make fewer errors, and,</w:t>
      </w:r>
    </w:p>
    <w:p w14:paraId="3B79EBC3" w14:textId="77777777" w:rsidR="00865DC0" w:rsidRDefault="00865DC0" w:rsidP="00865DC0">
      <w:pPr>
        <w:pStyle w:val="ListParagraph"/>
        <w:numPr>
          <w:ilvl w:val="0"/>
          <w:numId w:val="25"/>
        </w:numPr>
        <w:spacing w:before="120" w:after="120" w:line="320" w:lineRule="atLeast"/>
      </w:pPr>
      <w:proofErr w:type="gramStart"/>
      <w:r>
        <w:t>examine</w:t>
      </w:r>
      <w:proofErr w:type="gramEnd"/>
      <w:r>
        <w:t xml:space="preserve"> the impact the revised review screen had on user experience.</w:t>
      </w:r>
    </w:p>
    <w:p w14:paraId="4F565EA5" w14:textId="77777777" w:rsidR="00865DC0" w:rsidRDefault="00865DC0" w:rsidP="00865DC0">
      <w:pPr>
        <w:pStyle w:val="Heading2"/>
      </w:pPr>
      <w:r>
        <w:t>Interventions</w:t>
      </w:r>
    </w:p>
    <w:p w14:paraId="3F79D2BB" w14:textId="77777777" w:rsidR="00865DC0" w:rsidRDefault="00865DC0" w:rsidP="00865DC0">
      <w:pPr>
        <w:pStyle w:val="Heading3"/>
      </w:pPr>
      <w:r>
        <w:t>Review Process</w:t>
      </w:r>
    </w:p>
    <w:p w14:paraId="3F963443" w14:textId="77777777" w:rsidR="00865DC0" w:rsidRDefault="00865DC0" w:rsidP="00865DC0">
      <w:r>
        <w:t xml:space="preserve">The intervention is a ‘review process’ (the process) shown to the user at the end of a PPSR registration, just before they submit the form. The process is comprised of a ‘review point’ pop-up and a redesigned ‘review screen’: </w:t>
      </w:r>
    </w:p>
    <w:p w14:paraId="005FD080" w14:textId="77777777" w:rsidR="00865DC0" w:rsidRDefault="00865DC0" w:rsidP="00865DC0">
      <w:pPr>
        <w:pStyle w:val="ListParagraph"/>
        <w:numPr>
          <w:ilvl w:val="0"/>
          <w:numId w:val="26"/>
        </w:numPr>
        <w:spacing w:before="120" w:after="120" w:line="320" w:lineRule="atLeast"/>
      </w:pPr>
      <w:r>
        <w:t>The review point requires users to confirm they understand:</w:t>
      </w:r>
    </w:p>
    <w:p w14:paraId="76CE7006" w14:textId="77777777" w:rsidR="00865DC0" w:rsidRDefault="00865DC0" w:rsidP="00865DC0">
      <w:pPr>
        <w:pStyle w:val="ListParagraph"/>
        <w:numPr>
          <w:ilvl w:val="1"/>
          <w:numId w:val="26"/>
        </w:numPr>
        <w:spacing w:before="120" w:after="120" w:line="320" w:lineRule="atLeast"/>
      </w:pPr>
      <w:r>
        <w:t xml:space="preserve">the importance of getting the form right, and </w:t>
      </w:r>
    </w:p>
    <w:p w14:paraId="68AC98DB" w14:textId="77777777" w:rsidR="00865DC0" w:rsidRDefault="00865DC0" w:rsidP="00865DC0">
      <w:pPr>
        <w:pStyle w:val="ListParagraph"/>
        <w:numPr>
          <w:ilvl w:val="1"/>
          <w:numId w:val="26"/>
        </w:numPr>
        <w:spacing w:before="120" w:after="120" w:line="320" w:lineRule="atLeast"/>
      </w:pPr>
      <w:proofErr w:type="gramStart"/>
      <w:r>
        <w:t>they</w:t>
      </w:r>
      <w:proofErr w:type="gramEnd"/>
      <w:r>
        <w:t xml:space="preserve"> now have an opportunity to review the form.</w:t>
      </w:r>
    </w:p>
    <w:p w14:paraId="4070E964" w14:textId="77777777" w:rsidR="00865DC0" w:rsidRDefault="00865DC0" w:rsidP="00865DC0">
      <w:pPr>
        <w:pStyle w:val="ListParagraph"/>
        <w:numPr>
          <w:ilvl w:val="0"/>
          <w:numId w:val="26"/>
        </w:numPr>
        <w:spacing w:before="120" w:after="120" w:line="320" w:lineRule="atLeast"/>
      </w:pPr>
      <w:r>
        <w:t>On the actual review screen, registrants will need to confirm the Secured Party Group, the Grantor and the Collateral information is correct, or choose to update this information.</w:t>
      </w:r>
    </w:p>
    <w:p w14:paraId="46B68761" w14:textId="77777777" w:rsidR="00865DC0" w:rsidRDefault="00865DC0" w:rsidP="00865DC0">
      <w:pPr>
        <w:pStyle w:val="Heading2"/>
      </w:pPr>
      <w:r>
        <w:lastRenderedPageBreak/>
        <w:t>Primary o</w:t>
      </w:r>
      <w:r w:rsidRPr="00E74E0D">
        <w:t>utcome measures</w:t>
      </w:r>
    </w:p>
    <w:p w14:paraId="63747D36" w14:textId="77777777" w:rsidR="00865DC0" w:rsidRDefault="00865DC0" w:rsidP="00865DC0">
      <w:pPr>
        <w:pStyle w:val="Heading3"/>
      </w:pPr>
      <w:r>
        <w:t>Primary Outcome 1: Registration accuracy</w:t>
      </w:r>
    </w:p>
    <w:p w14:paraId="06F46CD1" w14:textId="77777777" w:rsidR="00865DC0" w:rsidRDefault="00865DC0" w:rsidP="00865DC0">
      <w:r>
        <w:t>We will measure accuracy using a proxy. We will estimate the accuracy of the registration by cross-referencing key registration information relating to the ‘Grantor Identifier’ with the Australian Business Register (ABR) and the Australian Securities Investment Commission (ASIC) databases. This is a binary measure; we will class observations either as ‘correct’ or ‘incorrect’.</w:t>
      </w:r>
    </w:p>
    <w:p w14:paraId="69FF4C7D" w14:textId="77777777" w:rsidR="00865DC0" w:rsidRDefault="00865DC0" w:rsidP="00865DC0">
      <w:r>
        <w:t xml:space="preserve">In most cases, the Secured Party Group or SPG (the party making the registration) must provide information about the other party in the transaction- the Grantor. Information that ‘identifies’ the grantor is referred to as an ‘identifier’. This identifier can be an Australian Business Number (ABN), Australian Company Number (ACN), or one of other available identifier. The registrant must follow specific </w:t>
      </w:r>
      <w:hyperlink r:id="rId8" w:history="1">
        <w:r w:rsidRPr="00392397">
          <w:rPr>
            <w:rStyle w:val="Hyperlink"/>
          </w:rPr>
          <w:t>hierarchy of correct identifiers</w:t>
        </w:r>
      </w:hyperlink>
      <w:r>
        <w:t xml:space="preserve"> (i.e. if an organisation has multiple identifiers (e.g. ABN and ACN), the registrant must choose what identifier to use).</w:t>
      </w:r>
    </w:p>
    <w:p w14:paraId="02264AF4" w14:textId="77777777" w:rsidR="00865DC0" w:rsidRDefault="00865DC0" w:rsidP="00865DC0">
      <w:r>
        <w:t>If at any point, cross-referencing the entity with ASIC and ABR databases shows that the wrong level or type of identifier was used, the registration will be deemed to be incorrect.</w:t>
      </w:r>
    </w:p>
    <w:p w14:paraId="12162991" w14:textId="77777777" w:rsidR="00865DC0" w:rsidRDefault="00865DC0" w:rsidP="00865DC0">
      <w:r>
        <w:t xml:space="preserve">In cases where we cannot explicitly determine that a registration is incorrect by way of the Grantor Identifier, we will assume it is correct. Multiple grantors may be included within a single registration, so all grantor information must be correct in order for the registration to be valid. </w:t>
      </w:r>
    </w:p>
    <w:p w14:paraId="7745589F" w14:textId="77777777" w:rsidR="00865DC0" w:rsidRDefault="00865DC0" w:rsidP="00865DC0">
      <w:r>
        <w:t xml:space="preserve">If the grantor is the same as the registered Secured Party Group (SPG), the registration </w:t>
      </w:r>
      <w:proofErr w:type="gramStart"/>
      <w:r>
        <w:t>will be classified</w:t>
      </w:r>
      <w:proofErr w:type="gramEnd"/>
      <w:r>
        <w:t xml:space="preserve"> as inaccurate, even where the data entered correctly matches the ABR/ASIC data. This is a common and known error, and it is not possible for a valid registration to contain the same grantor and SPG.</w:t>
      </w:r>
    </w:p>
    <w:p w14:paraId="3A65BE67" w14:textId="77777777" w:rsidR="00865DC0" w:rsidRDefault="00865DC0" w:rsidP="00865DC0">
      <w:pPr>
        <w:pStyle w:val="Heading3"/>
      </w:pPr>
      <w:r>
        <w:t xml:space="preserve">Primary Outcome 2: </w:t>
      </w:r>
      <w:r w:rsidRPr="006C1EA4">
        <w:t>Changes made after review point</w:t>
      </w:r>
    </w:p>
    <w:p w14:paraId="6C464BF5" w14:textId="77777777" w:rsidR="00865DC0" w:rsidRPr="006C1EA4" w:rsidRDefault="00865DC0" w:rsidP="00865DC0">
      <w:r>
        <w:t>We will examine whether or not users make changes to the form after the encounter the review point. AFSA will collect this data. We will treat this as a binary variable (made changes / did not make changes).</w:t>
      </w:r>
    </w:p>
    <w:p w14:paraId="5FDCEE56" w14:textId="77777777" w:rsidR="00865DC0" w:rsidRDefault="00865DC0" w:rsidP="00865DC0">
      <w:pPr>
        <w:pStyle w:val="Heading2"/>
      </w:pPr>
      <w:r>
        <w:t>Secondary Outcome Measures</w:t>
      </w:r>
    </w:p>
    <w:p w14:paraId="39B04EA8" w14:textId="6EEDC8DA" w:rsidR="00865DC0" w:rsidRDefault="00865DC0" w:rsidP="00865DC0">
      <w:pPr>
        <w:pStyle w:val="Heading3"/>
      </w:pPr>
      <w:r>
        <w:t>Ease of use – survey questions</w:t>
      </w:r>
    </w:p>
    <w:p w14:paraId="41C66120" w14:textId="77777777" w:rsidR="00865DC0" w:rsidRDefault="00865DC0" w:rsidP="00865DC0">
      <w:r>
        <w:t xml:space="preserve">We will conduct a four-question survey at the end of form. </w:t>
      </w:r>
      <w:r w:rsidRPr="00283E5B">
        <w:t>We will only use results from the first</w:t>
      </w:r>
      <w:r>
        <w:t xml:space="preserve"> (</w:t>
      </w:r>
      <w:r>
        <w:rPr>
          <w:i/>
        </w:rPr>
        <w:t>How did you find the registration process?)</w:t>
      </w:r>
      <w:r w:rsidRPr="00283E5B">
        <w:t xml:space="preserve"> </w:t>
      </w:r>
      <w:r>
        <w:t>and fourth (</w:t>
      </w:r>
      <w:r>
        <w:rPr>
          <w:i/>
        </w:rPr>
        <w:t>How helpful did you find the review screen?</w:t>
      </w:r>
      <w:r>
        <w:t>)</w:t>
      </w:r>
      <w:r w:rsidRPr="00283E5B">
        <w:t xml:space="preserve"> question to inform this outcome measure, and it will be treated as a continuous variable for the purposes of our analysis.</w:t>
      </w:r>
    </w:p>
    <w:p w14:paraId="7288EDA0" w14:textId="77777777" w:rsidR="00865DC0" w:rsidRPr="00865DC0" w:rsidRDefault="00865DC0" w:rsidP="00865DC0">
      <w:pPr>
        <w:pStyle w:val="Heading3"/>
      </w:pPr>
      <w:r w:rsidRPr="00865DC0">
        <w:t xml:space="preserve">Time taken </w:t>
      </w:r>
    </w:p>
    <w:p w14:paraId="0A110DA3" w14:textId="77777777" w:rsidR="00865DC0" w:rsidRDefault="00865DC0" w:rsidP="00865DC0">
      <w:r>
        <w:t>We will measure the amount of time taken by participants after the first point at which they reach the review screen until they submit the registration. We will also measure the time spent on the review screen itself.</w:t>
      </w:r>
    </w:p>
    <w:p w14:paraId="4B44D917" w14:textId="45712A03" w:rsidR="00865DC0" w:rsidRDefault="00865DC0" w:rsidP="00865DC0">
      <w:pPr>
        <w:pStyle w:val="Heading3"/>
      </w:pPr>
      <w:r>
        <w:lastRenderedPageBreak/>
        <w:t>Navigation b</w:t>
      </w:r>
      <w:r w:rsidRPr="003C024B">
        <w:t xml:space="preserve">ack and </w:t>
      </w:r>
      <w:r>
        <w:t>f</w:t>
      </w:r>
      <w:r w:rsidRPr="003C024B">
        <w:t>orth</w:t>
      </w:r>
    </w:p>
    <w:p w14:paraId="2B492E02" w14:textId="77777777" w:rsidR="00865DC0" w:rsidRPr="003C024B" w:rsidRDefault="00865DC0" w:rsidP="00865DC0">
      <w:r w:rsidRPr="003C024B">
        <w:t xml:space="preserve">We will examine the number of movements back and forth between the review page and other parts of the form after users </w:t>
      </w:r>
      <w:proofErr w:type="gramStart"/>
      <w:r w:rsidRPr="003C024B">
        <w:t>are exposed</w:t>
      </w:r>
      <w:proofErr w:type="gramEnd"/>
      <w:r w:rsidRPr="003C024B">
        <w:t xml:space="preserve"> to the review screen.</w:t>
      </w:r>
    </w:p>
    <w:p w14:paraId="3176D6B9" w14:textId="77777777" w:rsidR="00865DC0" w:rsidRDefault="00865DC0" w:rsidP="00865DC0">
      <w:pPr>
        <w:pStyle w:val="Heading2"/>
      </w:pPr>
      <w:r>
        <w:t>H</w:t>
      </w:r>
      <w:r w:rsidRPr="00E74E0D">
        <w:t>ypotheses</w:t>
      </w:r>
    </w:p>
    <w:p w14:paraId="37184270" w14:textId="77777777" w:rsidR="00865DC0" w:rsidRPr="00A339C7" w:rsidRDefault="00865DC0" w:rsidP="00865DC0">
      <w:pPr>
        <w:pStyle w:val="Heading3"/>
      </w:pPr>
      <w:r>
        <w:t>Primary Hypotheses</w:t>
      </w:r>
    </w:p>
    <w:p w14:paraId="38B98440" w14:textId="1EB028E6" w:rsidR="00865DC0" w:rsidRDefault="00865DC0" w:rsidP="00865DC0">
      <w:r>
        <w:t xml:space="preserve">In registrations where users see the </w:t>
      </w:r>
      <w:r w:rsidRPr="00C56F35">
        <w:rPr>
          <w:b/>
        </w:rPr>
        <w:t>new review</w:t>
      </w:r>
      <w:r>
        <w:rPr>
          <w:b/>
        </w:rPr>
        <w:t xml:space="preserve"> process</w:t>
      </w:r>
      <w:r>
        <w:t>:</w:t>
      </w:r>
    </w:p>
    <w:p w14:paraId="671DC90F" w14:textId="7BD0944A" w:rsidR="00A947DD" w:rsidRDefault="00A947DD" w:rsidP="00A947DD">
      <w:pPr>
        <w:ind w:left="720" w:hanging="720"/>
      </w:pPr>
      <w:r>
        <w:rPr>
          <w:b/>
        </w:rPr>
        <w:t xml:space="preserve">H1. </w:t>
      </w:r>
      <w:r>
        <w:rPr>
          <w:b/>
        </w:rPr>
        <w:tab/>
      </w:r>
      <w:r>
        <w:t xml:space="preserve">Registrations will have </w:t>
      </w:r>
      <w:r>
        <w:rPr>
          <w:b/>
        </w:rPr>
        <w:t>lower error rates</w:t>
      </w:r>
      <w:r>
        <w:t xml:space="preserve"> in the grantor identifier section than those in the control group (</w:t>
      </w:r>
      <w:r>
        <w:rPr>
          <w:b/>
        </w:rPr>
        <w:t>one-tailed</w:t>
      </w:r>
      <w:r>
        <w:t>).</w:t>
      </w:r>
    </w:p>
    <w:p w14:paraId="6C59D4C1" w14:textId="61E77A4E" w:rsidR="00A947DD" w:rsidRDefault="00A947DD" w:rsidP="00A947DD">
      <w:pPr>
        <w:ind w:left="720" w:hanging="720"/>
      </w:pPr>
      <w:r>
        <w:rPr>
          <w:b/>
        </w:rPr>
        <w:t xml:space="preserve">H2. </w:t>
      </w:r>
      <w:r>
        <w:rPr>
          <w:b/>
        </w:rPr>
        <w:tab/>
      </w:r>
      <w:r>
        <w:t xml:space="preserve">A </w:t>
      </w:r>
      <w:r>
        <w:rPr>
          <w:b/>
        </w:rPr>
        <w:t xml:space="preserve">greater proportion of users will make changes </w:t>
      </w:r>
      <w:r>
        <w:t>to their registration before submitting, than those in the control group (</w:t>
      </w:r>
      <w:r w:rsidRPr="003162B9">
        <w:rPr>
          <w:b/>
        </w:rPr>
        <w:t>one-tailed</w:t>
      </w:r>
      <w:r>
        <w:t>).</w:t>
      </w:r>
    </w:p>
    <w:p w14:paraId="2B20D265" w14:textId="06A9D339" w:rsidR="00865DC0" w:rsidRDefault="00865DC0" w:rsidP="00865DC0">
      <w:pPr>
        <w:pStyle w:val="Heading3"/>
      </w:pPr>
      <w:r>
        <w:t>Secondary Hypotheses</w:t>
      </w:r>
    </w:p>
    <w:p w14:paraId="3C18D992" w14:textId="1762EBB4" w:rsidR="00A947DD" w:rsidRDefault="00A947DD" w:rsidP="00A947DD">
      <w:pPr>
        <w:ind w:left="720" w:hanging="720"/>
      </w:pPr>
      <w:r>
        <w:rPr>
          <w:b/>
        </w:rPr>
        <w:t xml:space="preserve">H3a. </w:t>
      </w:r>
      <w:r>
        <w:rPr>
          <w:b/>
        </w:rPr>
        <w:tab/>
      </w:r>
      <w:r>
        <w:t xml:space="preserve">There will be a difference in the self-reported ease of use of the </w:t>
      </w:r>
      <w:r>
        <w:rPr>
          <w:b/>
        </w:rPr>
        <w:t>review screen</w:t>
      </w:r>
      <w:r w:rsidRPr="00A947DD">
        <w:t>,</w:t>
      </w:r>
      <w:r>
        <w:t xml:space="preserve"> when compared to the control group (</w:t>
      </w:r>
      <w:r>
        <w:rPr>
          <w:b/>
        </w:rPr>
        <w:t>two-tailed</w:t>
      </w:r>
      <w:r>
        <w:t>).</w:t>
      </w:r>
    </w:p>
    <w:p w14:paraId="77E1EB05" w14:textId="52D663ED" w:rsidR="00A947DD" w:rsidRDefault="00A947DD" w:rsidP="00A947DD">
      <w:pPr>
        <w:ind w:left="720" w:hanging="720"/>
      </w:pPr>
      <w:r>
        <w:rPr>
          <w:b/>
        </w:rPr>
        <w:t xml:space="preserve">H3b. </w:t>
      </w:r>
      <w:r>
        <w:rPr>
          <w:b/>
        </w:rPr>
        <w:tab/>
      </w:r>
      <w:r>
        <w:t xml:space="preserve">There will be a difference in the self-reported ease of use of the </w:t>
      </w:r>
      <w:r>
        <w:rPr>
          <w:b/>
        </w:rPr>
        <w:t>registration process</w:t>
      </w:r>
      <w:r>
        <w:t xml:space="preserve"> as a whole, when compared to the control group (</w:t>
      </w:r>
      <w:r w:rsidRPr="00434D25">
        <w:rPr>
          <w:b/>
        </w:rPr>
        <w:t>two-tailed</w:t>
      </w:r>
      <w:r>
        <w:t>).</w:t>
      </w:r>
    </w:p>
    <w:p w14:paraId="2E69B8B9" w14:textId="52156032" w:rsidR="00A947DD" w:rsidRDefault="00A947DD" w:rsidP="00A947DD">
      <w:pPr>
        <w:ind w:left="720" w:hanging="720"/>
      </w:pPr>
      <w:r>
        <w:rPr>
          <w:b/>
        </w:rPr>
        <w:t xml:space="preserve">H4a. </w:t>
      </w:r>
      <w:r>
        <w:rPr>
          <w:b/>
        </w:rPr>
        <w:tab/>
      </w:r>
      <w:r>
        <w:t xml:space="preserve">There will be a </w:t>
      </w:r>
      <w:r w:rsidRPr="00A947DD">
        <w:rPr>
          <w:b/>
        </w:rPr>
        <w:t>greater time</w:t>
      </w:r>
      <w:r>
        <w:t xml:space="preserve"> between seeing the review point and submitting the registration than those in the control group (</w:t>
      </w:r>
      <w:r>
        <w:rPr>
          <w:b/>
        </w:rPr>
        <w:t>one</w:t>
      </w:r>
      <w:r w:rsidRPr="00434D25">
        <w:rPr>
          <w:b/>
        </w:rPr>
        <w:t>-tailed</w:t>
      </w:r>
      <w:r>
        <w:t>).</w:t>
      </w:r>
    </w:p>
    <w:p w14:paraId="1039B4EF" w14:textId="5B275383" w:rsidR="00A947DD" w:rsidRPr="00A947DD" w:rsidRDefault="00A947DD" w:rsidP="00A947DD">
      <w:pPr>
        <w:ind w:left="720" w:hanging="720"/>
      </w:pPr>
      <w:r>
        <w:rPr>
          <w:b/>
        </w:rPr>
        <w:t xml:space="preserve">H4b. </w:t>
      </w:r>
      <w:r>
        <w:rPr>
          <w:b/>
        </w:rPr>
        <w:tab/>
      </w:r>
      <w:r>
        <w:t>Users will spend more time on the review point and review screen than in the control group (</w:t>
      </w:r>
      <w:r>
        <w:rPr>
          <w:b/>
        </w:rPr>
        <w:t>one</w:t>
      </w:r>
      <w:r w:rsidRPr="00434D25">
        <w:rPr>
          <w:b/>
        </w:rPr>
        <w:t>-tailed</w:t>
      </w:r>
      <w:r>
        <w:t>).</w:t>
      </w:r>
    </w:p>
    <w:p w14:paraId="2333F786" w14:textId="77777777" w:rsidR="00865DC0" w:rsidRDefault="00865DC0" w:rsidP="00865DC0">
      <w:pPr>
        <w:pStyle w:val="Heading2"/>
      </w:pPr>
      <w:r w:rsidRPr="00E74E0D">
        <w:t xml:space="preserve">Sample </w:t>
      </w:r>
      <w:r>
        <w:t>characteristics</w:t>
      </w:r>
    </w:p>
    <w:p w14:paraId="1BAB9D15" w14:textId="77777777" w:rsidR="00865DC0" w:rsidRDefault="00865DC0" w:rsidP="00865DC0">
      <w:r>
        <w:t xml:space="preserve">Trial participants will be PPSR account holders who create a registration during the duration of our trial. </w:t>
      </w:r>
    </w:p>
    <w:p w14:paraId="21B5FA75" w14:textId="77777777" w:rsidR="00865DC0" w:rsidRDefault="00865DC0" w:rsidP="00865DC0">
      <w:r>
        <w:t>We will exclude accounts that have ever created more than 10 registrations within a single month from the sample. All registration made by new accounts will be included.</w:t>
      </w:r>
      <w:r w:rsidDel="00364796">
        <w:t xml:space="preserve"> </w:t>
      </w:r>
    </w:p>
    <w:p w14:paraId="5D562D73" w14:textId="77777777" w:rsidR="00865DC0" w:rsidRDefault="00865DC0" w:rsidP="00865DC0">
      <w:pPr>
        <w:pStyle w:val="Heading2"/>
      </w:pPr>
      <w:r w:rsidRPr="00E74E0D">
        <w:t>Trial design</w:t>
      </w:r>
    </w:p>
    <w:p w14:paraId="4E1A718A" w14:textId="77777777" w:rsidR="00865DC0" w:rsidRDefault="00865DC0" w:rsidP="00865DC0">
      <w:r>
        <w:t xml:space="preserve">This trial is a field experiment in the form of a two arm randomised controlled trial. </w:t>
      </w:r>
    </w:p>
    <w:p w14:paraId="67829006" w14:textId="77777777" w:rsidR="00865DC0" w:rsidRDefault="00865DC0" w:rsidP="00865DC0">
      <w:r>
        <w:t xml:space="preserve">We are interested in registrations, however, because individual accounts can create more than one than one </w:t>
      </w:r>
      <w:proofErr w:type="gramStart"/>
      <w:r>
        <w:t>registration,</w:t>
      </w:r>
      <w:proofErr w:type="gramEnd"/>
      <w:r>
        <w:t xml:space="preserve"> the trial will be randomised (clustered) at the account level. </w:t>
      </w:r>
    </w:p>
    <w:p w14:paraId="16DC2EAB" w14:textId="77777777" w:rsidR="00865DC0" w:rsidRDefault="00865DC0" w:rsidP="00865DC0">
      <w:r>
        <w:t xml:space="preserve">Randomisation </w:t>
      </w:r>
      <w:proofErr w:type="gramStart"/>
      <w:r>
        <w:t>will be conducted</w:t>
      </w:r>
      <w:proofErr w:type="gramEnd"/>
      <w:r>
        <w:t xml:space="preserve"> on a rolling basis by AFSA as registrations are created. Accounts </w:t>
      </w:r>
      <w:proofErr w:type="gramStart"/>
      <w:r>
        <w:t>will be assigned</w:t>
      </w:r>
      <w:proofErr w:type="gramEnd"/>
      <w:r>
        <w:t xml:space="preserve"> to treatment or control in a 1:1 ratio. </w:t>
      </w:r>
    </w:p>
    <w:p w14:paraId="17F70C99" w14:textId="77777777" w:rsidR="00865DC0" w:rsidRDefault="00865DC0" w:rsidP="00865DC0">
      <w:r w:rsidRPr="00FE15EF">
        <w:t>The trial will remain in the field for up to fourteen weeks. At the conclusion of the trial, we will be left with forms that are complete (submitted), and ‘pending’ (forms that were not submitted but that were saved by users being partially complete). Pending forms will not contribute to our outcomes.</w:t>
      </w:r>
    </w:p>
    <w:p w14:paraId="7BAAFF14" w14:textId="77777777" w:rsidR="00865DC0" w:rsidRDefault="00865DC0" w:rsidP="00865DC0">
      <w:pPr>
        <w:pStyle w:val="Heading2"/>
      </w:pPr>
      <w:r>
        <w:lastRenderedPageBreak/>
        <w:t>P</w:t>
      </w:r>
      <w:r w:rsidRPr="00E74E0D">
        <w:t>ower calculations</w:t>
      </w:r>
    </w:p>
    <w:p w14:paraId="6A0896A1" w14:textId="77777777" w:rsidR="00865DC0" w:rsidRPr="00283E5B" w:rsidRDefault="00865DC0" w:rsidP="00865DC0">
      <w:r>
        <w:t xml:space="preserve">Based on historical data and using a conservative ICC estimate of 0.2, a sample size of around </w:t>
      </w:r>
      <w:r w:rsidRPr="00AE5190">
        <w:t>4,970 registrations would allow for a minimum detectable effect size of about 3.5 percentage</w:t>
      </w:r>
      <w:r>
        <w:t xml:space="preserve"> point</w:t>
      </w:r>
      <w:r w:rsidRPr="00283E5B">
        <w:t xml:space="preserve"> change at a base accuracy rate of </w:t>
      </w:r>
      <w:r>
        <w:t>6</w:t>
      </w:r>
      <w:r w:rsidRPr="00283E5B">
        <w:t xml:space="preserve">0%. </w:t>
      </w:r>
    </w:p>
    <w:p w14:paraId="66877BC6" w14:textId="77777777" w:rsidR="00865DC0" w:rsidRDefault="00865DC0" w:rsidP="00865DC0">
      <w:r>
        <w:t>The above calculation assumes</w:t>
      </w:r>
      <w:r w:rsidRPr="00283E5B">
        <w:t xml:space="preserve"> conventional </w:t>
      </w:r>
      <w:r>
        <w:t>power</w:t>
      </w:r>
      <w:r w:rsidRPr="00283E5B">
        <w:t xml:space="preserve"> of 0.8</w:t>
      </w:r>
      <w:r>
        <w:t xml:space="preserve">, but deviates from convention to </w:t>
      </w:r>
      <w:r w:rsidRPr="00283E5B">
        <w:t>an alpha of 0.</w:t>
      </w:r>
      <w:r>
        <w:t xml:space="preserve">1. </w:t>
      </w:r>
      <w:r w:rsidRPr="00D763A7">
        <w:t xml:space="preserve">We believe the risks associated with </w:t>
      </w:r>
      <w:r>
        <w:t xml:space="preserve">making a Type I error are small, therefore </w:t>
      </w:r>
      <w:r w:rsidRPr="00D763A7">
        <w:t xml:space="preserve">we have opted to increase alpha in order to achieve a reasonable level of statistical power.  </w:t>
      </w:r>
    </w:p>
    <w:p w14:paraId="76A43A3C" w14:textId="77777777" w:rsidR="00865DC0" w:rsidRDefault="00865DC0" w:rsidP="00865DC0">
      <w:pPr>
        <w:pStyle w:val="Heading2"/>
      </w:pPr>
      <w:r>
        <w:t>Method of a</w:t>
      </w:r>
      <w:r w:rsidRPr="00E74E0D">
        <w:t>nalysis</w:t>
      </w:r>
    </w:p>
    <w:p w14:paraId="155B11CD" w14:textId="77777777" w:rsidR="00865DC0" w:rsidRPr="002158C7" w:rsidRDefault="00865DC0" w:rsidP="00865DC0">
      <w:pPr>
        <w:pStyle w:val="Heading3"/>
      </w:pPr>
      <w:r>
        <w:t>Primary and secondary analysis</w:t>
      </w:r>
    </w:p>
    <w:p w14:paraId="61C69EA4" w14:textId="77777777" w:rsidR="00865DC0" w:rsidRDefault="00865DC0" w:rsidP="00865DC0">
      <w:pPr>
        <w:spacing w:after="240"/>
      </w:pPr>
      <w:r>
        <w:t xml:space="preserve">We will use ordinary least squares (OLS) regression to estimate the effects of our intervention. For all hypotheses, effect estimates, confidence intervals and </w:t>
      </w:r>
      <w:r>
        <w:rPr>
          <w:i/>
        </w:rPr>
        <w:t>p-</w:t>
      </w:r>
      <w:r>
        <w:t xml:space="preserve">values </w:t>
      </w:r>
      <w:proofErr w:type="gramStart"/>
      <w:r>
        <w:t>will be derived</w:t>
      </w:r>
      <w:proofErr w:type="gramEnd"/>
      <w:r>
        <w:t xml:space="preserve"> from the following model:</w:t>
      </w:r>
    </w:p>
    <w:p w14:paraId="1BC0EA1F" w14:textId="77777777" w:rsidR="00865DC0" w:rsidRPr="00BF74D2" w:rsidRDefault="00A77374" w:rsidP="00865DC0">
      <w:pPr>
        <w:pStyle w:val="ListParagraph"/>
        <w:spacing w:after="240" w:line="360" w:lineRule="auto"/>
        <w:ind w:left="0"/>
        <w:jc w:val="center"/>
        <w:rPr>
          <w:rFonts w:ascii="Verdana" w:hAnsi="Verdana"/>
        </w:rPr>
      </w:pPr>
      <m:oMathPara>
        <m:oMath>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=α+</m:t>
          </m:r>
          <m:r>
            <w:rPr>
              <w:rFonts w:ascii="Cambria Math" w:hAnsi="Cambria Math"/>
              <w:color w:val="3F3F3F"/>
            </w:rPr>
            <m:t>τ</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 β</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+γ</m:t>
          </m:r>
          <m:sSub>
            <m:sSubPr>
              <m:ctrlPr>
                <w:rPr>
                  <w:rFonts w:ascii="Cambria Math" w:hAnsi="Cambria Math"/>
                  <w:i/>
                </w:rPr>
              </m:ctrlPr>
            </m:sSubPr>
            <m:e>
              <m:r>
                <w:rPr>
                  <w:rFonts w:ascii="Cambria Math" w:hAnsi="Cambria Math"/>
                </w:rPr>
                <m:t>x</m:t>
              </m:r>
            </m:e>
            <m:sub>
              <m:r>
                <w:rPr>
                  <w:rFonts w:ascii="Cambria Math" w:hAnsi="Cambria Math"/>
                </w:rPr>
                <m:t>i</m:t>
              </m:r>
            </m:sub>
          </m:sSub>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eastAsiaTheme="minorHAnsi" w:hAnsi="Cambria Math" w:cstheme="minorBidi"/>
                  <w:i/>
                  <w:color w:val="3F3F3F"/>
                  <w:szCs w:val="22"/>
                  <w:lang w:eastAsia="en-US"/>
                </w:rPr>
              </m:ctrlPr>
            </m:sSubPr>
            <m:e>
              <m:r>
                <w:rPr>
                  <w:rFonts w:ascii="Cambria Math" w:eastAsiaTheme="minorHAnsi" w:hAnsi="Cambria Math" w:cstheme="minorBidi"/>
                  <w:color w:val="3F3F3F"/>
                  <w:szCs w:val="22"/>
                  <w:lang w:eastAsia="en-US"/>
                </w:rPr>
                <m:t>v</m:t>
              </m:r>
            </m:e>
            <m:sub>
              <m:r>
                <w:rPr>
                  <w:rFonts w:ascii="Cambria Math" w:eastAsiaTheme="minorHAnsi" w:hAnsi="Cambria Math" w:cstheme="minorBidi"/>
                  <w:color w:val="3F3F3F"/>
                  <w:szCs w:val="22"/>
                  <w:lang w:eastAsia="en-US"/>
                </w:rPr>
                <m:t>j</m:t>
              </m:r>
            </m:sub>
          </m:sSub>
          <m:r>
            <w:rPr>
              <w:rFonts w:ascii="Cambria Math" w:hAnsi="Cambria Math"/>
              <w:color w:val="3F3F3F"/>
            </w:rPr>
            <m:t xml:space="preserve">+ </m:t>
          </m:r>
          <m:sSub>
            <m:sSubPr>
              <m:ctrlPr>
                <w:rPr>
                  <w:rFonts w:ascii="Cambria Math" w:hAnsi="Cambria Math"/>
                  <w:i/>
                  <w:color w:val="3F3F3F"/>
                </w:rPr>
              </m:ctrlPr>
            </m:sSubPr>
            <m:e>
              <m:r>
                <w:rPr>
                  <w:rFonts w:ascii="Cambria Math" w:hAnsi="Cambria Math"/>
                  <w:color w:val="3F3F3F"/>
                </w:rPr>
                <m:t>ω</m:t>
              </m:r>
            </m:e>
            <m:sub>
              <m:r>
                <w:rPr>
                  <w:rFonts w:ascii="Cambria Math" w:hAnsi="Cambria Math"/>
                  <w:color w:val="3F3F3F"/>
                </w:rPr>
                <m:t>ij</m:t>
              </m:r>
            </m:sub>
          </m:sSub>
        </m:oMath>
      </m:oMathPara>
    </w:p>
    <w:p w14:paraId="52E27A5B" w14:textId="77777777" w:rsidR="00865DC0" w:rsidRDefault="00865DC0" w:rsidP="00865DC0">
      <w:r w:rsidRPr="00283E5B">
        <w:t xml:space="preserve">Where </w:t>
      </w:r>
      <w:r w:rsidRPr="00283E5B">
        <w:rPr>
          <w:i/>
        </w:rPr>
        <w:t>Y</w:t>
      </w:r>
      <w:r w:rsidRPr="00283E5B">
        <w:t xml:space="preserve"> is one of</w:t>
      </w:r>
      <w:r>
        <w:t xml:space="preserve"> our pre-registered primary or secondary outcomes,</w:t>
      </w:r>
      <w:r w:rsidRPr="00283E5B">
        <w:t xml:space="preserve"> </w:t>
      </w:r>
      <m:oMath>
        <m:r>
          <w:rPr>
            <w:rFonts w:ascii="Cambria Math" w:hAnsi="Cambria Math"/>
          </w:rPr>
          <m:t>α</m:t>
        </m:r>
      </m:oMath>
      <w:r>
        <w:rPr>
          <w:rFonts w:cstheme="minorHAnsi"/>
        </w:rPr>
        <w:t xml:space="preserve"> is the intercept,</w:t>
      </w:r>
      <w:r w:rsidRPr="00283E5B">
        <w:rPr>
          <w:i/>
        </w:rPr>
        <w:t xml:space="preserve"> </w:t>
      </w:r>
      <m:oMath>
        <m:sSub>
          <m:sSubPr>
            <m:ctrlPr>
              <w:rPr>
                <w:rFonts w:ascii="Cambria Math" w:eastAsiaTheme="minorHAnsi" w:hAnsi="Cambria Math"/>
                <w:i/>
              </w:rPr>
            </m:ctrlPr>
          </m:sSubPr>
          <m:e>
            <m:r>
              <w:rPr>
                <w:rFonts w:ascii="Cambria Math" w:hAnsi="Cambria Math"/>
              </w:rPr>
              <m:t>T</m:t>
            </m:r>
          </m:e>
          <m:sub>
            <m:r>
              <w:rPr>
                <w:rFonts w:ascii="Cambria Math" w:hAnsi="Cambria Math"/>
              </w:rPr>
              <m:t>i</m:t>
            </m:r>
          </m:sub>
        </m:sSub>
      </m:oMath>
      <w:r w:rsidRPr="00283E5B">
        <w:t xml:space="preserve"> </w:t>
      </w:r>
      <w:r>
        <w:t>is an indicator for</w:t>
      </w:r>
      <w:r w:rsidRPr="002D26B1">
        <w:t xml:space="preserve"> treatment </w:t>
      </w:r>
      <w:r>
        <w:t>group membership</w:t>
      </w:r>
      <w:r w:rsidRPr="00283E5B">
        <w:t xml:space="preserve">, </w:t>
      </w:r>
      <m:oMath>
        <m:sSub>
          <m:sSubPr>
            <m:ctrlPr>
              <w:rPr>
                <w:rFonts w:ascii="Cambria Math" w:eastAsiaTheme="minorHAnsi" w:hAnsi="Cambria Math"/>
                <w:i/>
              </w:rPr>
            </m:ctrlPr>
          </m:sSubPr>
          <m:e>
            <m:r>
              <w:rPr>
                <w:rFonts w:ascii="Cambria Math" w:hAnsi="Cambria Math"/>
              </w:rPr>
              <m:t>x</m:t>
            </m:r>
          </m:e>
          <m:sub>
            <m:r>
              <w:rPr>
                <w:rFonts w:ascii="Cambria Math" w:hAnsi="Cambria Math"/>
              </w:rPr>
              <m:t>i</m:t>
            </m:r>
          </m:sub>
        </m:sSub>
      </m:oMath>
      <w:r w:rsidRPr="002D26B1">
        <w:t xml:space="preserve"> is a mean</w:t>
      </w:r>
      <w:r w:rsidRPr="002D26B1">
        <w:noBreakHyphen/>
        <w:t>centred</w:t>
      </w:r>
      <w:r>
        <w:t xml:space="preserve"> covariate (see below), </w:t>
      </w:r>
      <m:oMath>
        <m:sSub>
          <m:sSubPr>
            <m:ctrlPr>
              <w:rPr>
                <w:rFonts w:ascii="Cambria Math" w:eastAsiaTheme="minorHAnsi" w:hAnsi="Cambria Math" w:cstheme="minorBidi"/>
                <w:i/>
                <w:szCs w:val="22"/>
                <w:lang w:eastAsia="en-US"/>
              </w:rPr>
            </m:ctrlPr>
          </m:sSubPr>
          <m:e>
            <m:r>
              <w:rPr>
                <w:rFonts w:ascii="Cambria Math" w:hAnsi="Cambria Math"/>
              </w:rPr>
              <m:t>x</m:t>
            </m:r>
          </m:e>
          <m:sub>
            <m:r>
              <w:rPr>
                <w:rFonts w:ascii="Cambria Math" w:hAnsi="Cambria Math"/>
              </w:rPr>
              <m:t>i</m:t>
            </m:r>
          </m:sub>
        </m:sSub>
        <m:sSub>
          <m:sSubPr>
            <m:ctrlPr>
              <w:rPr>
                <w:rFonts w:ascii="Cambria Math" w:eastAsiaTheme="minorHAnsi" w:hAnsi="Cambria Math" w:cstheme="minorBidi"/>
                <w:i/>
                <w:szCs w:val="22"/>
                <w:lang w:eastAsia="en-US"/>
              </w:rPr>
            </m:ctrlPr>
          </m:sSubPr>
          <m:e>
            <m:r>
              <w:rPr>
                <w:rFonts w:ascii="Cambria Math" w:hAnsi="Cambria Math"/>
              </w:rPr>
              <m:t>T</m:t>
            </m:r>
          </m:e>
          <m:sub>
            <m:r>
              <w:rPr>
                <w:rFonts w:ascii="Cambria Math" w:hAnsi="Cambria Math"/>
              </w:rPr>
              <m:t>i</m:t>
            </m:r>
          </m:sub>
        </m:sSub>
        <m:r>
          <w:rPr>
            <w:rFonts w:ascii="Cambria Math" w:eastAsiaTheme="minorHAnsi" w:hAnsi="Cambria Math" w:cstheme="minorBidi"/>
            <w:szCs w:val="22"/>
            <w:lang w:eastAsia="en-US"/>
          </w:rPr>
          <m:t xml:space="preserve"> </m:t>
        </m:r>
      </m:oMath>
      <w:r>
        <w:t>is the interaction between the treatment indicator and the mean-centred covariate,</w:t>
      </w:r>
      <w:r w:rsidRPr="002D26B1">
        <w:t xml:space="preserve"> </w:t>
      </w:r>
      <m:oMath>
        <m:r>
          <w:rPr>
            <w:rFonts w:ascii="Cambria Math" w:eastAsiaTheme="minorHAnsi" w:hAnsi="Cambria Math"/>
          </w:rPr>
          <m:t>v</m:t>
        </m:r>
      </m:oMath>
      <w:r w:rsidRPr="002D26B1">
        <w:t xml:space="preserve"> </w:t>
      </w:r>
      <w:r>
        <w:t>is</w:t>
      </w:r>
      <w:r w:rsidRPr="002D26B1">
        <w:t xml:space="preserve"> the error for each </w:t>
      </w:r>
      <w:r>
        <w:t>cluster (account)</w:t>
      </w:r>
      <w:r w:rsidRPr="002D26B1">
        <w:rPr>
          <w:i/>
        </w:rPr>
        <w:t xml:space="preserve"> j</w:t>
      </w:r>
      <w:r>
        <w:rPr>
          <w:i/>
        </w:rPr>
        <w:t>,</w:t>
      </w:r>
      <w:r w:rsidRPr="002D26B1">
        <w:t xml:space="preserve"> and </w:t>
      </w:r>
      <m:oMath>
        <m:r>
          <w:rPr>
            <w:rFonts w:ascii="Cambria Math" w:hAnsi="Cambria Math"/>
          </w:rPr>
          <m:t>ω</m:t>
        </m:r>
      </m:oMath>
      <w:r w:rsidRPr="002D26B1">
        <w:t xml:space="preserve"> is </w:t>
      </w:r>
      <w:r>
        <w:t>the registration level error term.</w:t>
      </w:r>
    </w:p>
    <w:p w14:paraId="557CDFC1" w14:textId="77777777" w:rsidR="00865DC0" w:rsidRDefault="00865DC0" w:rsidP="00865DC0">
      <w:r>
        <w:t>Standard errors will be CR2 cluster robust with a degrees of freedom adjustment</w:t>
      </w:r>
      <w:r w:rsidRPr="00F92DAA">
        <w:t xml:space="preserve"> </w:t>
      </w:r>
      <w:r>
        <w:t>(</w:t>
      </w:r>
      <w:proofErr w:type="spellStart"/>
      <w:r>
        <w:t>Pustejovsky</w:t>
      </w:r>
      <w:proofErr w:type="spellEnd"/>
      <w:r>
        <w:t xml:space="preserve"> and Tipton, </w:t>
      </w:r>
      <w:r w:rsidRPr="00F92DAA">
        <w:t>2018)</w:t>
      </w:r>
      <w:r>
        <w:t xml:space="preserve">. </w:t>
      </w:r>
    </w:p>
    <w:p w14:paraId="32A0E221" w14:textId="77777777" w:rsidR="00865DC0" w:rsidRDefault="00865DC0" w:rsidP="00865DC0">
      <w:pPr>
        <w:pStyle w:val="Heading3"/>
      </w:pPr>
      <w:r>
        <w:t>Covariates</w:t>
      </w:r>
    </w:p>
    <w:p w14:paraId="610FDEDB" w14:textId="77777777" w:rsidR="00865DC0" w:rsidRDefault="00865DC0" w:rsidP="00865DC0">
      <w:pPr>
        <w:rPr>
          <w:lang w:eastAsia="en-US"/>
        </w:rPr>
      </w:pPr>
      <w:r>
        <w:t xml:space="preserve">All models will include one covariate - the number of registrations each account previously created. This is included as a proxy measure for experience. We anticipate higher rates of previous registrations means an account is more experienced and therefore less likely to make a mistake. This covariate will be mean centred and </w:t>
      </w:r>
      <w:r>
        <w:rPr>
          <w:lang w:eastAsia="en-US"/>
        </w:rPr>
        <w:t xml:space="preserve">interacted with the treatment indicator as per Lin (2013). </w:t>
      </w:r>
    </w:p>
    <w:p w14:paraId="38E573B7" w14:textId="77777777" w:rsidR="00865DC0" w:rsidRDefault="00865DC0" w:rsidP="00865DC0">
      <w:pPr>
        <w:pStyle w:val="Heading3"/>
      </w:pPr>
      <w:r>
        <w:t>Missing Data</w:t>
      </w:r>
    </w:p>
    <w:p w14:paraId="55950C7F" w14:textId="77777777" w:rsidR="00865DC0" w:rsidRDefault="00865DC0" w:rsidP="00865DC0">
      <w:r>
        <w:t xml:space="preserve">Registrations with critical information not entered will be treated as </w:t>
      </w:r>
      <w:proofErr w:type="gramStart"/>
      <w:r>
        <w:t>missing,</w:t>
      </w:r>
      <w:proofErr w:type="gramEnd"/>
      <w:r>
        <w:t xml:space="preserve"> however, we do not expect this to be widespread in registry entries. The survey is optional, so we </w:t>
      </w:r>
      <w:r w:rsidRPr="00BB6E71">
        <w:t>expect to have at least some missing data in our dataset.</w:t>
      </w:r>
    </w:p>
    <w:p w14:paraId="520D35E2" w14:textId="77777777" w:rsidR="00865DC0" w:rsidRDefault="00865DC0" w:rsidP="00865DC0">
      <w:r>
        <w:t xml:space="preserve">Registrations that are incomplete by the time the trial is closed </w:t>
      </w:r>
      <w:proofErr w:type="gramStart"/>
      <w:r>
        <w:t>will be treated</w:t>
      </w:r>
      <w:proofErr w:type="gramEnd"/>
      <w:r>
        <w:t xml:space="preserve"> as missing. Where data is missing for a specific </w:t>
      </w:r>
      <w:proofErr w:type="gramStart"/>
      <w:r>
        <w:t>outcome</w:t>
      </w:r>
      <w:proofErr w:type="gramEnd"/>
      <w:r>
        <w:t xml:space="preserve"> we will exclude that record for the corresponding analysis.</w:t>
      </w:r>
    </w:p>
    <w:p w14:paraId="5FD8FF75" w14:textId="77777777" w:rsidR="00865DC0" w:rsidRPr="00E74E0D" w:rsidRDefault="00865DC0" w:rsidP="00865DC0">
      <w:pPr>
        <w:pStyle w:val="Heading2"/>
      </w:pPr>
      <w:r w:rsidRPr="00E74E0D">
        <w:t>Pre-analysis plan commitments</w:t>
      </w:r>
    </w:p>
    <w:p w14:paraId="22CD1BF9" w14:textId="77777777" w:rsidR="00865DC0" w:rsidRDefault="00865DC0" w:rsidP="00865DC0">
      <w:r>
        <w:t>We have two standard commitments:</w:t>
      </w:r>
    </w:p>
    <w:p w14:paraId="31B6EB96" w14:textId="77777777" w:rsidR="00865DC0" w:rsidRPr="00E74E0D" w:rsidRDefault="00865DC0" w:rsidP="00865DC0">
      <w:pPr>
        <w:pStyle w:val="ListBullet"/>
        <w:numPr>
          <w:ilvl w:val="0"/>
          <w:numId w:val="24"/>
        </w:numPr>
        <w:spacing w:before="120" w:after="120" w:line="320" w:lineRule="atLeast"/>
        <w:ind w:left="357" w:hanging="357"/>
        <w:contextualSpacing w:val="0"/>
      </w:pPr>
      <w:r w:rsidRPr="00E74E0D">
        <w:lastRenderedPageBreak/>
        <w:t>‘No trial data have been collected/no analysis has been undertaken prior to the completion of this pre-analysis plan.’</w:t>
      </w:r>
    </w:p>
    <w:p w14:paraId="5178A1F2" w14:textId="77777777" w:rsidR="00865DC0" w:rsidRDefault="00865DC0" w:rsidP="00865DC0">
      <w:pPr>
        <w:pStyle w:val="ListBullet"/>
        <w:numPr>
          <w:ilvl w:val="0"/>
          <w:numId w:val="24"/>
        </w:numPr>
        <w:spacing w:before="120" w:after="120" w:line="320" w:lineRule="atLeast"/>
        <w:ind w:left="357" w:hanging="357"/>
        <w:contextualSpacing w:val="0"/>
      </w:pPr>
      <w:r w:rsidRPr="00E74E0D">
        <w:tab/>
        <w:t>‘We will be transparent about, and provide justification for, any deviations (additions or omissions) from this plan.’</w:t>
      </w:r>
    </w:p>
    <w:p w14:paraId="1BE9B38F" w14:textId="77777777" w:rsidR="00865DC0" w:rsidRDefault="00865DC0" w:rsidP="00865DC0"/>
    <w:p w14:paraId="6F9A24FA" w14:textId="77777777" w:rsidR="00865DC0" w:rsidRDefault="00865DC0" w:rsidP="00865DC0">
      <w:pPr>
        <w:spacing w:after="0" w:line="240" w:lineRule="auto"/>
      </w:pPr>
    </w:p>
    <w:p w14:paraId="10B2FCC0" w14:textId="77777777" w:rsidR="00EC2748" w:rsidRPr="00EE6403" w:rsidRDefault="00EC2748" w:rsidP="00865DC0"/>
    <w:sectPr w:rsidR="00EC2748" w:rsidRPr="00EE6403" w:rsidSect="006624E3">
      <w:headerReference w:type="even" r:id="rId9"/>
      <w:headerReference w:type="default" r:id="rId10"/>
      <w:footerReference w:type="even" r:id="rId11"/>
      <w:footerReference w:type="default" r:id="rId12"/>
      <w:headerReference w:type="first" r:id="rId13"/>
      <w:footerReference w:type="first" r:id="rId14"/>
      <w:pgSz w:w="11906" w:h="16838" w:code="9"/>
      <w:pgMar w:top="2041" w:right="2381" w:bottom="1247" w:left="1247"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613DA" w14:textId="77777777" w:rsidR="00A77374" w:rsidRDefault="00A77374">
      <w:r>
        <w:separator/>
      </w:r>
    </w:p>
  </w:endnote>
  <w:endnote w:type="continuationSeparator" w:id="0">
    <w:p w14:paraId="48651E76" w14:textId="77777777" w:rsidR="00A77374" w:rsidRDefault="00A7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DF1BA" w14:textId="77777777" w:rsidR="00AD6C82" w:rsidRDefault="00AD6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B2477" w14:textId="77777777" w:rsidR="00EC2748" w:rsidRDefault="00EC2748" w:rsidP="00EC2748">
    <w:pPr>
      <w:pBdr>
        <w:bottom w:val="single" w:sz="24" w:space="12" w:color="20B9A3" w:themeColor="accent1"/>
      </w:pBdr>
      <w:tabs>
        <w:tab w:val="right" w:pos="9940"/>
      </w:tabs>
      <w:spacing w:after="0" w:line="240" w:lineRule="auto"/>
      <w:ind w:right="-1661"/>
      <w:rPr>
        <w:rFonts w:ascii="Helvetica" w:hAnsi="Helvetica"/>
        <w:sz w:val="14"/>
      </w:rPr>
    </w:pPr>
  </w:p>
  <w:p w14:paraId="4F62D234" w14:textId="77777777" w:rsidR="00EC2748" w:rsidRDefault="00EC2748" w:rsidP="00EC2748">
    <w:pPr>
      <w:pBdr>
        <w:bottom w:val="single" w:sz="24" w:space="12" w:color="20B9A3" w:themeColor="accent1"/>
      </w:pBdr>
      <w:tabs>
        <w:tab w:val="right" w:pos="9940"/>
      </w:tabs>
      <w:spacing w:after="0" w:line="240" w:lineRule="auto"/>
      <w:ind w:right="-1661"/>
      <w:rPr>
        <w:rFonts w:ascii="Helvetica" w:hAnsi="Helvetica"/>
        <w:sz w:val="14"/>
      </w:rPr>
    </w:pPr>
  </w:p>
  <w:p w14:paraId="1D270117" w14:textId="29922CF3" w:rsidR="00EC2748" w:rsidRPr="00EC2748" w:rsidRDefault="00EC2748" w:rsidP="00EC2748">
    <w:pPr>
      <w:pBdr>
        <w:bottom w:val="single" w:sz="24" w:space="12" w:color="20B9A3" w:themeColor="accent1"/>
      </w:pBdr>
      <w:tabs>
        <w:tab w:val="right" w:pos="9940"/>
      </w:tabs>
      <w:spacing w:after="0" w:line="240" w:lineRule="auto"/>
      <w:ind w:right="-1661"/>
      <w:rPr>
        <w:rFonts w:ascii="Helvetica" w:hAnsi="Helvetica"/>
        <w:sz w:val="14"/>
      </w:rPr>
    </w:pPr>
    <w:r w:rsidRPr="00EC2748">
      <w:rPr>
        <w:rFonts w:ascii="Helvetica" w:hAnsi="Helvetica"/>
        <w:sz w:val="14"/>
      </w:rPr>
      <w:t xml:space="preserve">Behavioural Economics Team of the Australian Government </w:t>
    </w:r>
    <w:r w:rsidRPr="00EC2748">
      <w:rPr>
        <w:rFonts w:ascii="Helvetica" w:hAnsi="Helvetica"/>
        <w:sz w:val="14"/>
      </w:rPr>
      <w:tab/>
    </w:r>
    <w:r w:rsidRPr="00EC2748">
      <w:rPr>
        <w:rFonts w:ascii="Helvetica" w:hAnsi="Helvetica"/>
        <w:sz w:val="14"/>
      </w:rPr>
      <w:fldChar w:fldCharType="begin"/>
    </w:r>
    <w:r w:rsidRPr="00EC2748">
      <w:rPr>
        <w:rFonts w:ascii="Helvetica" w:hAnsi="Helvetica"/>
        <w:sz w:val="14"/>
      </w:rPr>
      <w:instrText xml:space="preserve"> PAGE   \* MERGEFORMAT </w:instrText>
    </w:r>
    <w:r w:rsidRPr="00EC2748">
      <w:rPr>
        <w:rFonts w:ascii="Helvetica" w:hAnsi="Helvetica"/>
        <w:sz w:val="14"/>
      </w:rPr>
      <w:fldChar w:fldCharType="separate"/>
    </w:r>
    <w:r w:rsidR="00E47FA7">
      <w:rPr>
        <w:rFonts w:ascii="Helvetica" w:hAnsi="Helvetica"/>
        <w:noProof/>
        <w:sz w:val="14"/>
      </w:rPr>
      <w:t>5</w:t>
    </w:r>
    <w:r w:rsidRPr="00EC2748">
      <w:rPr>
        <w:rFonts w:ascii="Helvetica" w:hAnsi="Helvetica"/>
        <w:noProof/>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E4F83" w14:textId="77777777" w:rsidR="006624E3" w:rsidRDefault="006624E3" w:rsidP="006624E3">
    <w:pPr>
      <w:pBdr>
        <w:bottom w:val="single" w:sz="24" w:space="12" w:color="20B9A3" w:themeColor="accent1"/>
      </w:pBdr>
      <w:tabs>
        <w:tab w:val="right" w:pos="9940"/>
      </w:tabs>
      <w:spacing w:after="0" w:line="240" w:lineRule="auto"/>
      <w:ind w:right="-1661"/>
      <w:rPr>
        <w:rFonts w:ascii="Helvetica" w:hAnsi="Helvetica"/>
        <w:sz w:val="14"/>
      </w:rPr>
    </w:pPr>
  </w:p>
  <w:p w14:paraId="563D27FD" w14:textId="77777777" w:rsidR="006624E3" w:rsidRDefault="006624E3" w:rsidP="006624E3">
    <w:pPr>
      <w:pBdr>
        <w:bottom w:val="single" w:sz="24" w:space="12" w:color="20B9A3" w:themeColor="accent1"/>
      </w:pBdr>
      <w:tabs>
        <w:tab w:val="right" w:pos="9940"/>
      </w:tabs>
      <w:spacing w:after="0" w:line="240" w:lineRule="auto"/>
      <w:ind w:right="-1661"/>
      <w:rPr>
        <w:rFonts w:ascii="Helvetica" w:hAnsi="Helvetica"/>
        <w:sz w:val="14"/>
      </w:rPr>
    </w:pPr>
  </w:p>
  <w:p w14:paraId="0333E5C3" w14:textId="196C84B4" w:rsidR="006624E3" w:rsidRDefault="006624E3" w:rsidP="006624E3">
    <w:pPr>
      <w:pBdr>
        <w:bottom w:val="single" w:sz="24" w:space="12" w:color="20B9A3" w:themeColor="accent1"/>
      </w:pBdr>
      <w:tabs>
        <w:tab w:val="right" w:pos="9940"/>
      </w:tabs>
      <w:spacing w:after="0" w:line="240" w:lineRule="auto"/>
      <w:ind w:right="-1661"/>
    </w:pPr>
    <w:r w:rsidRPr="006624E3">
      <w:rPr>
        <w:rFonts w:ascii="Helvetica" w:hAnsi="Helvetica"/>
        <w:sz w:val="14"/>
      </w:rPr>
      <w:t xml:space="preserve">Behavioural Economics Team of the Australian Government </w:t>
    </w:r>
    <w:r w:rsidRPr="006624E3">
      <w:rPr>
        <w:rFonts w:ascii="Helvetica" w:hAnsi="Helvetica"/>
        <w:sz w:val="14"/>
      </w:rPr>
      <w:tab/>
    </w:r>
    <w:r w:rsidRPr="006624E3">
      <w:rPr>
        <w:rFonts w:ascii="Helvetica" w:hAnsi="Helvetica"/>
        <w:sz w:val="14"/>
      </w:rPr>
      <w:fldChar w:fldCharType="begin"/>
    </w:r>
    <w:r w:rsidRPr="006624E3">
      <w:rPr>
        <w:rFonts w:ascii="Helvetica" w:hAnsi="Helvetica"/>
        <w:sz w:val="14"/>
      </w:rPr>
      <w:instrText xml:space="preserve"> PAGE   \* MERGEFORMAT </w:instrText>
    </w:r>
    <w:r w:rsidRPr="006624E3">
      <w:rPr>
        <w:rFonts w:ascii="Helvetica" w:hAnsi="Helvetica"/>
        <w:sz w:val="14"/>
      </w:rPr>
      <w:fldChar w:fldCharType="separate"/>
    </w:r>
    <w:r w:rsidR="00E47FA7">
      <w:rPr>
        <w:rFonts w:ascii="Helvetica" w:hAnsi="Helvetica"/>
        <w:noProof/>
        <w:sz w:val="14"/>
      </w:rPr>
      <w:t>1</w:t>
    </w:r>
    <w:r w:rsidRPr="006624E3">
      <w:rPr>
        <w:rFonts w:ascii="Helvetica" w:hAnsi="Helvetica"/>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F5C80" w14:textId="77777777" w:rsidR="00A77374" w:rsidRDefault="00A77374">
      <w:r>
        <w:separator/>
      </w:r>
    </w:p>
  </w:footnote>
  <w:footnote w:type="continuationSeparator" w:id="0">
    <w:p w14:paraId="59F9E050" w14:textId="77777777" w:rsidR="00A77374" w:rsidRDefault="00A77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0E591" w14:textId="77777777" w:rsidR="00AD6C82" w:rsidRDefault="00AD6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75F41" w14:textId="77777777" w:rsidR="006624E3" w:rsidRDefault="006624E3" w:rsidP="00F202CA">
    <w:pPr>
      <w:pStyle w:val="Header"/>
    </w:pPr>
  </w:p>
  <w:p w14:paraId="4E6E1788" w14:textId="77777777" w:rsidR="006624E3" w:rsidRDefault="006624E3" w:rsidP="00F202CA">
    <w:pPr>
      <w:pStyle w:val="Header"/>
    </w:pPr>
  </w:p>
  <w:p w14:paraId="7089A1DB" w14:textId="79C84945" w:rsidR="00F202CA" w:rsidRPr="00F202CA" w:rsidRDefault="00865DC0" w:rsidP="00F202CA">
    <w:pPr>
      <w:pStyle w:val="Header"/>
    </w:pPr>
    <w:r>
      <w:t>Pre-Analysis Plan – Part 1: A new review screen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E63E9" w14:textId="77777777" w:rsidR="006624E3" w:rsidRDefault="006624E3">
    <w:pPr>
      <w:pStyle w:val="Header"/>
    </w:pPr>
    <w:r w:rsidRPr="001D1E1A">
      <w:rPr>
        <w:noProof/>
      </w:rPr>
      <w:drawing>
        <wp:anchor distT="0" distB="0" distL="114300" distR="114300" simplePos="0" relativeHeight="251659264" behindDoc="1" locked="0" layoutInCell="1" allowOverlap="1" wp14:anchorId="35316406" wp14:editId="0F7284DC">
          <wp:simplePos x="0" y="0"/>
          <wp:positionH relativeFrom="page">
            <wp:posOffset>26197</wp:posOffset>
          </wp:positionH>
          <wp:positionV relativeFrom="page">
            <wp:posOffset>17780</wp:posOffset>
          </wp:positionV>
          <wp:extent cx="7513200" cy="928800"/>
          <wp:effectExtent l="0" t="0" r="0" b="5080"/>
          <wp:wrapNone/>
          <wp:docPr id="5" name="Picture 5" descr="Australian Government arms, Dept of Prime Minister and Cabinet and BETA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13200" cy="92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E456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F614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FAD8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9830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A487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EEC6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D200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2A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8CE6C05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D9034F"/>
    <w:multiLevelType w:val="multilevel"/>
    <w:tmpl w:val="0C3CB0B6"/>
    <w:lvl w:ilvl="0">
      <w:numFmt w:val="decimal"/>
      <w:lvlText w:val="Appendix %1."/>
      <w:lvlJc w:val="left"/>
      <w:pPr>
        <w:ind w:left="720" w:hanging="720"/>
      </w:pPr>
      <w:rPr>
        <w:rFonts w:ascii="Helvetica" w:hAnsi="Helvetica" w:hint="default"/>
        <w:b w:val="0"/>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0" w15:restartNumberingAfterBreak="0">
    <w:nsid w:val="168B1A28"/>
    <w:multiLevelType w:val="hybridMultilevel"/>
    <w:tmpl w:val="596617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D22123"/>
    <w:multiLevelType w:val="multilevel"/>
    <w:tmpl w:val="B606776A"/>
    <w:lvl w:ilvl="0">
      <w:numFmt w:val="decimal"/>
      <w:suff w:val="nothing"/>
      <w:lvlText w:val="Appendix %1 -"/>
      <w:lvlJc w:val="left"/>
      <w:pPr>
        <w:ind w:left="1134" w:hanging="1134"/>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2" w15:restartNumberingAfterBreak="0">
    <w:nsid w:val="17461FE5"/>
    <w:multiLevelType w:val="hybridMultilevel"/>
    <w:tmpl w:val="17081296"/>
    <w:lvl w:ilvl="0" w:tplc="87FC2FB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F261B8"/>
    <w:multiLevelType w:val="multilevel"/>
    <w:tmpl w:val="54C697D8"/>
    <w:lvl w:ilvl="0">
      <w:start w:val="1"/>
      <w:numFmt w:val="decimal"/>
      <w:suff w:val="nothing"/>
      <w:lvlText w:val="Appendix %1 -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9A92AAD"/>
    <w:multiLevelType w:val="multilevel"/>
    <w:tmpl w:val="84484120"/>
    <w:lvl w:ilvl="0">
      <w:numFmt w:val="decimal"/>
      <w:lvlText w:val="Appendix %1 -"/>
      <w:lvlJc w:val="left"/>
      <w:pPr>
        <w:ind w:left="851" w:hanging="851"/>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5" w15:restartNumberingAfterBreak="0">
    <w:nsid w:val="1B525CF2"/>
    <w:multiLevelType w:val="multilevel"/>
    <w:tmpl w:val="F1586810"/>
    <w:lvl w:ilvl="0">
      <w:numFmt w:val="decimal"/>
      <w:lvlText w:val="Appendix %1."/>
      <w:lvlJc w:val="left"/>
      <w:pPr>
        <w:ind w:left="720" w:hanging="720"/>
      </w:pPr>
      <w:rPr>
        <w:rFonts w:ascii="Helvetica" w:hAnsi="Helvetica" w:hint="default"/>
        <w:b w:val="0"/>
        <w:i w:val="0"/>
        <w:color w:val="20B9A3"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6" w15:restartNumberingAfterBreak="0">
    <w:nsid w:val="1F984C4E"/>
    <w:multiLevelType w:val="hybridMultilevel"/>
    <w:tmpl w:val="11B6DC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6A3667"/>
    <w:multiLevelType w:val="hybridMultilevel"/>
    <w:tmpl w:val="6080920A"/>
    <w:lvl w:ilvl="0" w:tplc="580C23F2">
      <w:start w:val="1"/>
      <w:numFmt w:val="decimal"/>
      <w:pStyle w:val="HeadingTable"/>
      <w:lvlText w:val="Table %1."/>
      <w:lvlJc w:val="left"/>
      <w:pPr>
        <w:ind w:left="360" w:hanging="360"/>
      </w:pPr>
      <w:rPr>
        <w:rFonts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305AC8"/>
    <w:multiLevelType w:val="hybridMultilevel"/>
    <w:tmpl w:val="D076C3B4"/>
    <w:lvl w:ilvl="0" w:tplc="7DCED05C">
      <w:start w:val="1"/>
      <w:numFmt w:val="bullet"/>
      <w:pStyle w:val="EmphasisPane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92069F"/>
    <w:multiLevelType w:val="multilevel"/>
    <w:tmpl w:val="28FC9A1E"/>
    <w:lvl w:ilvl="0">
      <w:start w:val="1"/>
      <w:numFmt w:val="bullet"/>
      <w:lvlText w:val="•"/>
      <w:lvlJc w:val="left"/>
      <w:pPr>
        <w:ind w:left="360" w:hanging="360"/>
      </w:pPr>
      <w:rPr>
        <w:rFonts w:ascii="Helvetica" w:hAnsi="Helvetica" w:hint="default"/>
      </w:rPr>
    </w:lvl>
    <w:lvl w:ilvl="1">
      <w:start w:val="1"/>
      <w:numFmt w:val="bullet"/>
      <w:pStyle w:val="ListBullet2"/>
      <w:lvlText w:val="–"/>
      <w:lvlJc w:val="left"/>
      <w:pPr>
        <w:ind w:left="720" w:hanging="360"/>
      </w:pPr>
      <w:rPr>
        <w:rFonts w:ascii="Helvetica" w:hAnsi="Helvetica" w:hint="default"/>
      </w:rPr>
    </w:lvl>
    <w:lvl w:ilvl="2">
      <w:start w:val="1"/>
      <w:numFmt w:val="bullet"/>
      <w:pStyle w:val="ListBullet3"/>
      <w:lvlText w:val="•"/>
      <w:lvlJc w:val="left"/>
      <w:pPr>
        <w:ind w:left="1080" w:hanging="360"/>
      </w:pPr>
      <w:rPr>
        <w:rFonts w:ascii="Helvetica" w:hAnsi="Helvetica" w:hint="default"/>
      </w:rPr>
    </w:lvl>
    <w:lvl w:ilvl="3">
      <w:start w:val="1"/>
      <w:numFmt w:val="bullet"/>
      <w:lvlText w:val="–"/>
      <w:lvlJc w:val="left"/>
      <w:pPr>
        <w:ind w:left="1440" w:hanging="360"/>
      </w:pPr>
      <w:rPr>
        <w:rFonts w:ascii="Helvetica" w:hAnsi="Helvetica"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6087F50"/>
    <w:multiLevelType w:val="multilevel"/>
    <w:tmpl w:val="3D2081FC"/>
    <w:lvl w:ilvl="0">
      <w:numFmt w:val="decimal"/>
      <w:pStyle w:val="AppendixHeading"/>
      <w:suff w:val="nothing"/>
      <w:lvlText w:val="Appendix %1 - "/>
      <w:lvlJc w:val="left"/>
      <w:pPr>
        <w:ind w:left="1134" w:hanging="1134"/>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pStyle w:val="Heading6"/>
      <w:lvlText w:val="%6)"/>
      <w:lvlJc w:val="left"/>
      <w:pPr>
        <w:ind w:left="1872" w:hanging="432"/>
      </w:pPr>
      <w:rPr>
        <w:rFonts w:hint="default"/>
      </w:rPr>
    </w:lvl>
    <w:lvl w:ilvl="6">
      <w:start w:val="1"/>
      <w:numFmt w:val="lowerRoman"/>
      <w:pStyle w:val="Heading7"/>
      <w:lvlText w:val="%7)"/>
      <w:lvlJc w:val="right"/>
      <w:pPr>
        <w:ind w:left="2016" w:hanging="288"/>
      </w:pPr>
      <w:rPr>
        <w:rFonts w:hint="default"/>
      </w:rPr>
    </w:lvl>
    <w:lvl w:ilvl="7">
      <w:start w:val="1"/>
      <w:numFmt w:val="lowerLetter"/>
      <w:pStyle w:val="Heading8"/>
      <w:lvlText w:val="%8."/>
      <w:lvlJc w:val="left"/>
      <w:pPr>
        <w:ind w:left="2160" w:hanging="432"/>
      </w:pPr>
      <w:rPr>
        <w:rFonts w:hint="default"/>
      </w:rPr>
    </w:lvl>
    <w:lvl w:ilvl="8">
      <w:start w:val="1"/>
      <w:numFmt w:val="lowerRoman"/>
      <w:pStyle w:val="Heading9"/>
      <w:lvlText w:val="%9."/>
      <w:lvlJc w:val="right"/>
      <w:pPr>
        <w:ind w:left="2304" w:hanging="144"/>
      </w:pPr>
      <w:rPr>
        <w:rFonts w:hint="default"/>
      </w:rPr>
    </w:lvl>
  </w:abstractNum>
  <w:abstractNum w:abstractNumId="21" w15:restartNumberingAfterBreak="0">
    <w:nsid w:val="436A7891"/>
    <w:multiLevelType w:val="multilevel"/>
    <w:tmpl w:val="29482E1C"/>
    <w:lvl w:ilvl="0">
      <w:start w:val="1"/>
      <w:numFmt w:val="decimal"/>
      <w:pStyle w:val="FigureHeading"/>
      <w:lvlText w:val="Figure %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2B47E44"/>
    <w:multiLevelType w:val="multilevel"/>
    <w:tmpl w:val="47E0E20E"/>
    <w:lvl w:ilvl="0">
      <w:numFmt w:val="decimal"/>
      <w:lvlText w:val="Appendix %1 -"/>
      <w:lvlJc w:val="left"/>
      <w:pPr>
        <w:ind w:left="720" w:hanging="720"/>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23" w15:restartNumberingAfterBreak="0">
    <w:nsid w:val="5A9C6C6B"/>
    <w:multiLevelType w:val="multilevel"/>
    <w:tmpl w:val="3258E068"/>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Helvetica" w:hAnsi="Helvetica" w:hint="default"/>
      </w:rPr>
    </w:lvl>
  </w:abstractNum>
  <w:abstractNum w:abstractNumId="24" w15:restartNumberingAfterBreak="0">
    <w:nsid w:val="65011EE3"/>
    <w:multiLevelType w:val="multilevel"/>
    <w:tmpl w:val="3E0CB6BE"/>
    <w:lvl w:ilvl="0">
      <w:numFmt w:val="decimal"/>
      <w:lvlText w:val="Appendix %1."/>
      <w:lvlJc w:val="left"/>
      <w:pPr>
        <w:ind w:left="720" w:hanging="720"/>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25" w15:restartNumberingAfterBreak="0">
    <w:nsid w:val="7FD27E35"/>
    <w:multiLevelType w:val="multilevel"/>
    <w:tmpl w:val="10F25FEC"/>
    <w:lvl w:ilvl="0">
      <w:start w:val="1"/>
      <w:numFmt w:val="decimal"/>
      <w:lvlText w:val="Appendix %1."/>
      <w:lvlJc w:val="left"/>
      <w:pPr>
        <w:ind w:left="720" w:firstLine="0"/>
      </w:pPr>
      <w:rPr>
        <w:rFonts w:ascii="Helvetica" w:hAnsi="Helvetica" w:hint="default"/>
        <w:b w:val="0"/>
        <w:i w:val="0"/>
        <w:color w:val="20B9A3"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num w:numId="1">
    <w:abstractNumId w:val="19"/>
  </w:num>
  <w:num w:numId="2">
    <w:abstractNumId w:val="23"/>
  </w:num>
  <w:num w:numId="3">
    <w:abstractNumId w:val="21"/>
  </w:num>
  <w:num w:numId="4">
    <w:abstractNumId w:val="13"/>
  </w:num>
  <w:num w:numId="5">
    <w:abstractNumId w:val="7"/>
  </w:num>
  <w:num w:numId="6">
    <w:abstractNumId w:val="6"/>
  </w:num>
  <w:num w:numId="7">
    <w:abstractNumId w:val="3"/>
  </w:num>
  <w:num w:numId="8">
    <w:abstractNumId w:val="2"/>
  </w:num>
  <w:num w:numId="9">
    <w:abstractNumId w:val="0"/>
  </w:num>
  <w:num w:numId="10">
    <w:abstractNumId w:val="1"/>
  </w:num>
  <w:num w:numId="11">
    <w:abstractNumId w:val="4"/>
  </w:num>
  <w:num w:numId="12">
    <w:abstractNumId w:val="5"/>
  </w:num>
  <w:num w:numId="13">
    <w:abstractNumId w:val="20"/>
  </w:num>
  <w:num w:numId="14">
    <w:abstractNumId w:val="25"/>
  </w:num>
  <w:num w:numId="15">
    <w:abstractNumId w:val="15"/>
  </w:num>
  <w:num w:numId="16">
    <w:abstractNumId w:val="9"/>
  </w:num>
  <w:num w:numId="17">
    <w:abstractNumId w:val="24"/>
  </w:num>
  <w:num w:numId="18">
    <w:abstractNumId w:val="22"/>
  </w:num>
  <w:num w:numId="19">
    <w:abstractNumId w:val="14"/>
  </w:num>
  <w:num w:numId="20">
    <w:abstractNumId w:val="11"/>
  </w:num>
  <w:num w:numId="21">
    <w:abstractNumId w:val="17"/>
  </w:num>
  <w:num w:numId="22">
    <w:abstractNumId w:val="18"/>
  </w:num>
  <w:num w:numId="23">
    <w:abstractNumId w:val="12"/>
  </w:num>
  <w:num w:numId="24">
    <w:abstractNumId w:val="8"/>
  </w:num>
  <w:num w:numId="25">
    <w:abstractNumId w:val="16"/>
  </w:num>
  <w:num w:numId="2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926"/>
    <w:rsid w:val="00005785"/>
    <w:rsid w:val="00006876"/>
    <w:rsid w:val="000079AD"/>
    <w:rsid w:val="00007D1F"/>
    <w:rsid w:val="00010D84"/>
    <w:rsid w:val="00010F15"/>
    <w:rsid w:val="00011CE3"/>
    <w:rsid w:val="00011FC0"/>
    <w:rsid w:val="000131D0"/>
    <w:rsid w:val="000176B5"/>
    <w:rsid w:val="0001771B"/>
    <w:rsid w:val="00022E9C"/>
    <w:rsid w:val="000249CC"/>
    <w:rsid w:val="00024EF0"/>
    <w:rsid w:val="00025631"/>
    <w:rsid w:val="00027B26"/>
    <w:rsid w:val="00030705"/>
    <w:rsid w:val="00032861"/>
    <w:rsid w:val="00032B77"/>
    <w:rsid w:val="00033BCE"/>
    <w:rsid w:val="00037F3D"/>
    <w:rsid w:val="00042285"/>
    <w:rsid w:val="00042C2E"/>
    <w:rsid w:val="00043256"/>
    <w:rsid w:val="00045A89"/>
    <w:rsid w:val="0004635E"/>
    <w:rsid w:val="00046F8E"/>
    <w:rsid w:val="00047261"/>
    <w:rsid w:val="00047524"/>
    <w:rsid w:val="0005040E"/>
    <w:rsid w:val="0005087D"/>
    <w:rsid w:val="00050F9E"/>
    <w:rsid w:val="00051761"/>
    <w:rsid w:val="000547EF"/>
    <w:rsid w:val="00056004"/>
    <w:rsid w:val="00057CFE"/>
    <w:rsid w:val="0006075A"/>
    <w:rsid w:val="00061C84"/>
    <w:rsid w:val="00062484"/>
    <w:rsid w:val="00063129"/>
    <w:rsid w:val="0006489E"/>
    <w:rsid w:val="00064EE9"/>
    <w:rsid w:val="00065022"/>
    <w:rsid w:val="00065088"/>
    <w:rsid w:val="00065A5E"/>
    <w:rsid w:val="00070681"/>
    <w:rsid w:val="0007097B"/>
    <w:rsid w:val="00070F67"/>
    <w:rsid w:val="00072DA5"/>
    <w:rsid w:val="00075E45"/>
    <w:rsid w:val="00080A09"/>
    <w:rsid w:val="00081366"/>
    <w:rsid w:val="0008174B"/>
    <w:rsid w:val="00081CEB"/>
    <w:rsid w:val="00082C85"/>
    <w:rsid w:val="00083082"/>
    <w:rsid w:val="00083F36"/>
    <w:rsid w:val="00086D9F"/>
    <w:rsid w:val="00087B2C"/>
    <w:rsid w:val="00087D4E"/>
    <w:rsid w:val="00087DBD"/>
    <w:rsid w:val="00090718"/>
    <w:rsid w:val="00091B4E"/>
    <w:rsid w:val="00091CD7"/>
    <w:rsid w:val="00093DD5"/>
    <w:rsid w:val="00095DE6"/>
    <w:rsid w:val="000A03DD"/>
    <w:rsid w:val="000A1193"/>
    <w:rsid w:val="000A1A09"/>
    <w:rsid w:val="000A1B0D"/>
    <w:rsid w:val="000A2F09"/>
    <w:rsid w:val="000A47A8"/>
    <w:rsid w:val="000A48B2"/>
    <w:rsid w:val="000A4C19"/>
    <w:rsid w:val="000A73FB"/>
    <w:rsid w:val="000B0129"/>
    <w:rsid w:val="000B218A"/>
    <w:rsid w:val="000B2372"/>
    <w:rsid w:val="000B39C7"/>
    <w:rsid w:val="000C014D"/>
    <w:rsid w:val="000C29B4"/>
    <w:rsid w:val="000C49B2"/>
    <w:rsid w:val="000C5CD8"/>
    <w:rsid w:val="000C7A69"/>
    <w:rsid w:val="000D1158"/>
    <w:rsid w:val="000D4703"/>
    <w:rsid w:val="000E12D4"/>
    <w:rsid w:val="000E39EF"/>
    <w:rsid w:val="000E51CE"/>
    <w:rsid w:val="000E620E"/>
    <w:rsid w:val="000F2063"/>
    <w:rsid w:val="000F3D28"/>
    <w:rsid w:val="000F63C4"/>
    <w:rsid w:val="000F7463"/>
    <w:rsid w:val="000F762E"/>
    <w:rsid w:val="000F7B8A"/>
    <w:rsid w:val="00100200"/>
    <w:rsid w:val="0010263D"/>
    <w:rsid w:val="00102824"/>
    <w:rsid w:val="0010300A"/>
    <w:rsid w:val="001131F0"/>
    <w:rsid w:val="001139C7"/>
    <w:rsid w:val="00114EBC"/>
    <w:rsid w:val="0012073F"/>
    <w:rsid w:val="001239B3"/>
    <w:rsid w:val="0012427E"/>
    <w:rsid w:val="001247E0"/>
    <w:rsid w:val="001252F6"/>
    <w:rsid w:val="00126750"/>
    <w:rsid w:val="001271A1"/>
    <w:rsid w:val="00131C0F"/>
    <w:rsid w:val="001325BF"/>
    <w:rsid w:val="00132F0D"/>
    <w:rsid w:val="00133713"/>
    <w:rsid w:val="00133A4A"/>
    <w:rsid w:val="00135B7E"/>
    <w:rsid w:val="00137FDB"/>
    <w:rsid w:val="00140FC9"/>
    <w:rsid w:val="001413C5"/>
    <w:rsid w:val="0014231B"/>
    <w:rsid w:val="00142956"/>
    <w:rsid w:val="00142D10"/>
    <w:rsid w:val="001432B0"/>
    <w:rsid w:val="00144868"/>
    <w:rsid w:val="001452BC"/>
    <w:rsid w:val="00150D2A"/>
    <w:rsid w:val="00150E25"/>
    <w:rsid w:val="00150EA9"/>
    <w:rsid w:val="001512BB"/>
    <w:rsid w:val="00151650"/>
    <w:rsid w:val="001540CB"/>
    <w:rsid w:val="00155968"/>
    <w:rsid w:val="00155B98"/>
    <w:rsid w:val="00157001"/>
    <w:rsid w:val="00157709"/>
    <w:rsid w:val="00160B66"/>
    <w:rsid w:val="00160E91"/>
    <w:rsid w:val="00165626"/>
    <w:rsid w:val="00166272"/>
    <w:rsid w:val="001671D2"/>
    <w:rsid w:val="00167CF4"/>
    <w:rsid w:val="00170BE9"/>
    <w:rsid w:val="0017147C"/>
    <w:rsid w:val="0017194E"/>
    <w:rsid w:val="0017249B"/>
    <w:rsid w:val="001727A4"/>
    <w:rsid w:val="00176148"/>
    <w:rsid w:val="00177EC4"/>
    <w:rsid w:val="00181533"/>
    <w:rsid w:val="001824C8"/>
    <w:rsid w:val="00182698"/>
    <w:rsid w:val="001864FD"/>
    <w:rsid w:val="00191A5D"/>
    <w:rsid w:val="001936A7"/>
    <w:rsid w:val="001943DD"/>
    <w:rsid w:val="001959C4"/>
    <w:rsid w:val="00196BAC"/>
    <w:rsid w:val="001A009A"/>
    <w:rsid w:val="001A0BF0"/>
    <w:rsid w:val="001A13F6"/>
    <w:rsid w:val="001A2D78"/>
    <w:rsid w:val="001A61C4"/>
    <w:rsid w:val="001A7249"/>
    <w:rsid w:val="001B1EA0"/>
    <w:rsid w:val="001B385A"/>
    <w:rsid w:val="001B3904"/>
    <w:rsid w:val="001B3AEC"/>
    <w:rsid w:val="001B3E8D"/>
    <w:rsid w:val="001B5259"/>
    <w:rsid w:val="001B53B8"/>
    <w:rsid w:val="001B60D4"/>
    <w:rsid w:val="001B6F28"/>
    <w:rsid w:val="001C12DB"/>
    <w:rsid w:val="001C35DA"/>
    <w:rsid w:val="001C38BA"/>
    <w:rsid w:val="001C4F4F"/>
    <w:rsid w:val="001C6BA1"/>
    <w:rsid w:val="001C6F22"/>
    <w:rsid w:val="001D141C"/>
    <w:rsid w:val="001D2904"/>
    <w:rsid w:val="001D38E8"/>
    <w:rsid w:val="001D652D"/>
    <w:rsid w:val="001D693F"/>
    <w:rsid w:val="001D6EDF"/>
    <w:rsid w:val="001D6F9E"/>
    <w:rsid w:val="001E38FB"/>
    <w:rsid w:val="001E52C2"/>
    <w:rsid w:val="001E6A27"/>
    <w:rsid w:val="001F0BE1"/>
    <w:rsid w:val="001F101A"/>
    <w:rsid w:val="001F24EF"/>
    <w:rsid w:val="001F56C7"/>
    <w:rsid w:val="001F7838"/>
    <w:rsid w:val="00203039"/>
    <w:rsid w:val="00203A42"/>
    <w:rsid w:val="00204B17"/>
    <w:rsid w:val="002069D2"/>
    <w:rsid w:val="002111E1"/>
    <w:rsid w:val="00211DA2"/>
    <w:rsid w:val="00213210"/>
    <w:rsid w:val="00213693"/>
    <w:rsid w:val="00215137"/>
    <w:rsid w:val="00215479"/>
    <w:rsid w:val="00215CCB"/>
    <w:rsid w:val="00216CF5"/>
    <w:rsid w:val="0022037B"/>
    <w:rsid w:val="00222C8D"/>
    <w:rsid w:val="002256A8"/>
    <w:rsid w:val="00225A61"/>
    <w:rsid w:val="00226D96"/>
    <w:rsid w:val="00230261"/>
    <w:rsid w:val="00230E6B"/>
    <w:rsid w:val="002320BC"/>
    <w:rsid w:val="00232B97"/>
    <w:rsid w:val="00233077"/>
    <w:rsid w:val="0023523A"/>
    <w:rsid w:val="0023757C"/>
    <w:rsid w:val="00237C47"/>
    <w:rsid w:val="002402E4"/>
    <w:rsid w:val="002421A0"/>
    <w:rsid w:val="00242B98"/>
    <w:rsid w:val="002445A1"/>
    <w:rsid w:val="00246FE6"/>
    <w:rsid w:val="002470E3"/>
    <w:rsid w:val="00251695"/>
    <w:rsid w:val="0025207D"/>
    <w:rsid w:val="002535AE"/>
    <w:rsid w:val="00254DE9"/>
    <w:rsid w:val="00257A66"/>
    <w:rsid w:val="002602FC"/>
    <w:rsid w:val="002615D3"/>
    <w:rsid w:val="0026268A"/>
    <w:rsid w:val="00262845"/>
    <w:rsid w:val="00263335"/>
    <w:rsid w:val="00265941"/>
    <w:rsid w:val="002672F1"/>
    <w:rsid w:val="00271414"/>
    <w:rsid w:val="00271922"/>
    <w:rsid w:val="00273412"/>
    <w:rsid w:val="0027373F"/>
    <w:rsid w:val="00274ACF"/>
    <w:rsid w:val="00277388"/>
    <w:rsid w:val="00277C8F"/>
    <w:rsid w:val="0028159B"/>
    <w:rsid w:val="002818FA"/>
    <w:rsid w:val="00282671"/>
    <w:rsid w:val="00282861"/>
    <w:rsid w:val="002843E2"/>
    <w:rsid w:val="002876D5"/>
    <w:rsid w:val="00287BAA"/>
    <w:rsid w:val="0029180D"/>
    <w:rsid w:val="00293489"/>
    <w:rsid w:val="00295B30"/>
    <w:rsid w:val="00296F5E"/>
    <w:rsid w:val="00297A8D"/>
    <w:rsid w:val="002A30F0"/>
    <w:rsid w:val="002A38A4"/>
    <w:rsid w:val="002A6DF5"/>
    <w:rsid w:val="002B2858"/>
    <w:rsid w:val="002B50E6"/>
    <w:rsid w:val="002B6406"/>
    <w:rsid w:val="002B6809"/>
    <w:rsid w:val="002C3771"/>
    <w:rsid w:val="002C4231"/>
    <w:rsid w:val="002C44DD"/>
    <w:rsid w:val="002C7080"/>
    <w:rsid w:val="002C76BF"/>
    <w:rsid w:val="002D00B0"/>
    <w:rsid w:val="002D2364"/>
    <w:rsid w:val="002D2E16"/>
    <w:rsid w:val="002D6050"/>
    <w:rsid w:val="002D6E3E"/>
    <w:rsid w:val="002E21D6"/>
    <w:rsid w:val="002E45F0"/>
    <w:rsid w:val="002E7778"/>
    <w:rsid w:val="002F680D"/>
    <w:rsid w:val="00304011"/>
    <w:rsid w:val="00304B3E"/>
    <w:rsid w:val="00304D97"/>
    <w:rsid w:val="0031180A"/>
    <w:rsid w:val="003122C7"/>
    <w:rsid w:val="0031246D"/>
    <w:rsid w:val="00313127"/>
    <w:rsid w:val="00313304"/>
    <w:rsid w:val="003155F4"/>
    <w:rsid w:val="003158EE"/>
    <w:rsid w:val="00320309"/>
    <w:rsid w:val="003213A1"/>
    <w:rsid w:val="00321D1E"/>
    <w:rsid w:val="00324FDC"/>
    <w:rsid w:val="0032530E"/>
    <w:rsid w:val="00325A61"/>
    <w:rsid w:val="00326976"/>
    <w:rsid w:val="00326B01"/>
    <w:rsid w:val="003279E4"/>
    <w:rsid w:val="00330274"/>
    <w:rsid w:val="003311D7"/>
    <w:rsid w:val="00332B8B"/>
    <w:rsid w:val="0033319B"/>
    <w:rsid w:val="0033521E"/>
    <w:rsid w:val="003364C7"/>
    <w:rsid w:val="00337CA2"/>
    <w:rsid w:val="003402FB"/>
    <w:rsid w:val="003404A4"/>
    <w:rsid w:val="003418E4"/>
    <w:rsid w:val="00343179"/>
    <w:rsid w:val="00346843"/>
    <w:rsid w:val="00347104"/>
    <w:rsid w:val="00347B06"/>
    <w:rsid w:val="00350852"/>
    <w:rsid w:val="0035096E"/>
    <w:rsid w:val="00350FC0"/>
    <w:rsid w:val="0035129C"/>
    <w:rsid w:val="0035219F"/>
    <w:rsid w:val="00355D01"/>
    <w:rsid w:val="003566B0"/>
    <w:rsid w:val="00360B81"/>
    <w:rsid w:val="00366283"/>
    <w:rsid w:val="0036777E"/>
    <w:rsid w:val="003701FA"/>
    <w:rsid w:val="0037271A"/>
    <w:rsid w:val="00372A26"/>
    <w:rsid w:val="00372EC7"/>
    <w:rsid w:val="003733DE"/>
    <w:rsid w:val="0037484C"/>
    <w:rsid w:val="003749CD"/>
    <w:rsid w:val="00374A6C"/>
    <w:rsid w:val="0038045A"/>
    <w:rsid w:val="003816C8"/>
    <w:rsid w:val="00382718"/>
    <w:rsid w:val="00382B3B"/>
    <w:rsid w:val="00385ED2"/>
    <w:rsid w:val="003866D6"/>
    <w:rsid w:val="0038714A"/>
    <w:rsid w:val="00391F86"/>
    <w:rsid w:val="003923FB"/>
    <w:rsid w:val="003931C7"/>
    <w:rsid w:val="00393F00"/>
    <w:rsid w:val="003945C0"/>
    <w:rsid w:val="003A25A7"/>
    <w:rsid w:val="003A6EB9"/>
    <w:rsid w:val="003B21AD"/>
    <w:rsid w:val="003B28CC"/>
    <w:rsid w:val="003B499C"/>
    <w:rsid w:val="003B4EE0"/>
    <w:rsid w:val="003B52CE"/>
    <w:rsid w:val="003B535C"/>
    <w:rsid w:val="003B5F0C"/>
    <w:rsid w:val="003C2120"/>
    <w:rsid w:val="003C47C0"/>
    <w:rsid w:val="003C4BB1"/>
    <w:rsid w:val="003C63A3"/>
    <w:rsid w:val="003D030E"/>
    <w:rsid w:val="003D040D"/>
    <w:rsid w:val="003D1F49"/>
    <w:rsid w:val="003D2061"/>
    <w:rsid w:val="003D543B"/>
    <w:rsid w:val="003D6AE7"/>
    <w:rsid w:val="003D7E3D"/>
    <w:rsid w:val="003E02C5"/>
    <w:rsid w:val="003E1FE3"/>
    <w:rsid w:val="003E24F1"/>
    <w:rsid w:val="003E32A7"/>
    <w:rsid w:val="003E6102"/>
    <w:rsid w:val="003E74AE"/>
    <w:rsid w:val="003F1A33"/>
    <w:rsid w:val="003F3072"/>
    <w:rsid w:val="003F31E6"/>
    <w:rsid w:val="004004C3"/>
    <w:rsid w:val="00401057"/>
    <w:rsid w:val="0040207C"/>
    <w:rsid w:val="004024E4"/>
    <w:rsid w:val="004061B4"/>
    <w:rsid w:val="00406289"/>
    <w:rsid w:val="00406578"/>
    <w:rsid w:val="004074EF"/>
    <w:rsid w:val="004078CC"/>
    <w:rsid w:val="00407BF1"/>
    <w:rsid w:val="004102C3"/>
    <w:rsid w:val="0041307C"/>
    <w:rsid w:val="00413699"/>
    <w:rsid w:val="00413BCF"/>
    <w:rsid w:val="004167B4"/>
    <w:rsid w:val="004167BC"/>
    <w:rsid w:val="00416D8E"/>
    <w:rsid w:val="0042032D"/>
    <w:rsid w:val="004225DC"/>
    <w:rsid w:val="00423A41"/>
    <w:rsid w:val="00425FBA"/>
    <w:rsid w:val="00427C7D"/>
    <w:rsid w:val="00430D7E"/>
    <w:rsid w:val="00432332"/>
    <w:rsid w:val="00432368"/>
    <w:rsid w:val="00433B04"/>
    <w:rsid w:val="00436F73"/>
    <w:rsid w:val="0043784D"/>
    <w:rsid w:val="00440256"/>
    <w:rsid w:val="00440E22"/>
    <w:rsid w:val="0044547D"/>
    <w:rsid w:val="00446F93"/>
    <w:rsid w:val="00447220"/>
    <w:rsid w:val="00451A74"/>
    <w:rsid w:val="004533A1"/>
    <w:rsid w:val="004552AB"/>
    <w:rsid w:val="004553FF"/>
    <w:rsid w:val="0045622C"/>
    <w:rsid w:val="00464B51"/>
    <w:rsid w:val="00464FB1"/>
    <w:rsid w:val="00466320"/>
    <w:rsid w:val="00467185"/>
    <w:rsid w:val="00467736"/>
    <w:rsid w:val="0047050C"/>
    <w:rsid w:val="00472272"/>
    <w:rsid w:val="00472A45"/>
    <w:rsid w:val="00473540"/>
    <w:rsid w:val="00473930"/>
    <w:rsid w:val="00474D25"/>
    <w:rsid w:val="004750DB"/>
    <w:rsid w:val="004750FB"/>
    <w:rsid w:val="0047649C"/>
    <w:rsid w:val="00480F21"/>
    <w:rsid w:val="0048108E"/>
    <w:rsid w:val="00481389"/>
    <w:rsid w:val="004821BA"/>
    <w:rsid w:val="0048537F"/>
    <w:rsid w:val="004874E5"/>
    <w:rsid w:val="00487885"/>
    <w:rsid w:val="004909C3"/>
    <w:rsid w:val="00490A65"/>
    <w:rsid w:val="0049116C"/>
    <w:rsid w:val="00491968"/>
    <w:rsid w:val="004930C9"/>
    <w:rsid w:val="00493EAC"/>
    <w:rsid w:val="00493F62"/>
    <w:rsid w:val="00494832"/>
    <w:rsid w:val="004957C2"/>
    <w:rsid w:val="00495AF1"/>
    <w:rsid w:val="00497A89"/>
    <w:rsid w:val="004A4CED"/>
    <w:rsid w:val="004A4D74"/>
    <w:rsid w:val="004A6BE6"/>
    <w:rsid w:val="004B047F"/>
    <w:rsid w:val="004B0828"/>
    <w:rsid w:val="004B3304"/>
    <w:rsid w:val="004B3DF1"/>
    <w:rsid w:val="004B4BC0"/>
    <w:rsid w:val="004B5555"/>
    <w:rsid w:val="004C011C"/>
    <w:rsid w:val="004C0484"/>
    <w:rsid w:val="004C259B"/>
    <w:rsid w:val="004C777E"/>
    <w:rsid w:val="004D0605"/>
    <w:rsid w:val="004D0C54"/>
    <w:rsid w:val="004D16A4"/>
    <w:rsid w:val="004E6682"/>
    <w:rsid w:val="004E6D8A"/>
    <w:rsid w:val="004F0411"/>
    <w:rsid w:val="004F10C1"/>
    <w:rsid w:val="004F15EF"/>
    <w:rsid w:val="004F22FE"/>
    <w:rsid w:val="004F774D"/>
    <w:rsid w:val="005002FC"/>
    <w:rsid w:val="005013B0"/>
    <w:rsid w:val="005015E4"/>
    <w:rsid w:val="005017A6"/>
    <w:rsid w:val="0050291D"/>
    <w:rsid w:val="005064CD"/>
    <w:rsid w:val="00506C00"/>
    <w:rsid w:val="0050783B"/>
    <w:rsid w:val="00511016"/>
    <w:rsid w:val="005146FC"/>
    <w:rsid w:val="00514D8C"/>
    <w:rsid w:val="005159B3"/>
    <w:rsid w:val="00522C03"/>
    <w:rsid w:val="00523110"/>
    <w:rsid w:val="00525EA4"/>
    <w:rsid w:val="00526448"/>
    <w:rsid w:val="005276B7"/>
    <w:rsid w:val="0052791F"/>
    <w:rsid w:val="00532CFF"/>
    <w:rsid w:val="00534D3D"/>
    <w:rsid w:val="00536880"/>
    <w:rsid w:val="0053759C"/>
    <w:rsid w:val="00537CEC"/>
    <w:rsid w:val="00540AD0"/>
    <w:rsid w:val="00541F5E"/>
    <w:rsid w:val="00542E69"/>
    <w:rsid w:val="0054357A"/>
    <w:rsid w:val="00543A76"/>
    <w:rsid w:val="00547738"/>
    <w:rsid w:val="005522F3"/>
    <w:rsid w:val="005523D1"/>
    <w:rsid w:val="0055401F"/>
    <w:rsid w:val="00554A1D"/>
    <w:rsid w:val="0055532E"/>
    <w:rsid w:val="00555BC3"/>
    <w:rsid w:val="00557C8E"/>
    <w:rsid w:val="00561B2B"/>
    <w:rsid w:val="0056357E"/>
    <w:rsid w:val="00564952"/>
    <w:rsid w:val="0056645F"/>
    <w:rsid w:val="00571AB1"/>
    <w:rsid w:val="00573797"/>
    <w:rsid w:val="00577E1C"/>
    <w:rsid w:val="00580C91"/>
    <w:rsid w:val="00580DB1"/>
    <w:rsid w:val="005814AC"/>
    <w:rsid w:val="00584676"/>
    <w:rsid w:val="00584923"/>
    <w:rsid w:val="005854B7"/>
    <w:rsid w:val="00585708"/>
    <w:rsid w:val="00587AB1"/>
    <w:rsid w:val="0059070B"/>
    <w:rsid w:val="0059283C"/>
    <w:rsid w:val="00595082"/>
    <w:rsid w:val="00596824"/>
    <w:rsid w:val="005A0D95"/>
    <w:rsid w:val="005A224B"/>
    <w:rsid w:val="005A2741"/>
    <w:rsid w:val="005A5EAE"/>
    <w:rsid w:val="005A68E9"/>
    <w:rsid w:val="005B1225"/>
    <w:rsid w:val="005B17D8"/>
    <w:rsid w:val="005B1D82"/>
    <w:rsid w:val="005B4077"/>
    <w:rsid w:val="005B65E5"/>
    <w:rsid w:val="005C28B0"/>
    <w:rsid w:val="005C2F01"/>
    <w:rsid w:val="005C5F3C"/>
    <w:rsid w:val="005D01BE"/>
    <w:rsid w:val="005D1177"/>
    <w:rsid w:val="005D1D13"/>
    <w:rsid w:val="005D254A"/>
    <w:rsid w:val="005D5460"/>
    <w:rsid w:val="005E08CD"/>
    <w:rsid w:val="005E37E8"/>
    <w:rsid w:val="005E3B81"/>
    <w:rsid w:val="005E55D0"/>
    <w:rsid w:val="005E74C5"/>
    <w:rsid w:val="005F219D"/>
    <w:rsid w:val="005F2437"/>
    <w:rsid w:val="005F318A"/>
    <w:rsid w:val="005F76F4"/>
    <w:rsid w:val="005F7710"/>
    <w:rsid w:val="006004F7"/>
    <w:rsid w:val="00603261"/>
    <w:rsid w:val="00607597"/>
    <w:rsid w:val="00610F93"/>
    <w:rsid w:val="006127CC"/>
    <w:rsid w:val="00614661"/>
    <w:rsid w:val="006243C6"/>
    <w:rsid w:val="006273BC"/>
    <w:rsid w:val="00632009"/>
    <w:rsid w:val="00632D70"/>
    <w:rsid w:val="00633CF1"/>
    <w:rsid w:val="00635A6C"/>
    <w:rsid w:val="00637091"/>
    <w:rsid w:val="00642839"/>
    <w:rsid w:val="006457F8"/>
    <w:rsid w:val="00645CCB"/>
    <w:rsid w:val="0064700E"/>
    <w:rsid w:val="006472A3"/>
    <w:rsid w:val="006474E0"/>
    <w:rsid w:val="006478CB"/>
    <w:rsid w:val="00650B88"/>
    <w:rsid w:val="00650E2C"/>
    <w:rsid w:val="0065263E"/>
    <w:rsid w:val="00652C58"/>
    <w:rsid w:val="006530EF"/>
    <w:rsid w:val="006554DD"/>
    <w:rsid w:val="006557EC"/>
    <w:rsid w:val="00660951"/>
    <w:rsid w:val="006624E3"/>
    <w:rsid w:val="006636E2"/>
    <w:rsid w:val="00664C4E"/>
    <w:rsid w:val="00666273"/>
    <w:rsid w:val="00667FA9"/>
    <w:rsid w:val="0067233D"/>
    <w:rsid w:val="00672B2E"/>
    <w:rsid w:val="006745AE"/>
    <w:rsid w:val="00676870"/>
    <w:rsid w:val="00676AF3"/>
    <w:rsid w:val="00677895"/>
    <w:rsid w:val="00677BEF"/>
    <w:rsid w:val="006814A3"/>
    <w:rsid w:val="00682AFC"/>
    <w:rsid w:val="00683344"/>
    <w:rsid w:val="00683360"/>
    <w:rsid w:val="0068479D"/>
    <w:rsid w:val="00684FC9"/>
    <w:rsid w:val="0069072B"/>
    <w:rsid w:val="0069174B"/>
    <w:rsid w:val="00693340"/>
    <w:rsid w:val="006A04C7"/>
    <w:rsid w:val="006A4287"/>
    <w:rsid w:val="006B05E3"/>
    <w:rsid w:val="006B09BC"/>
    <w:rsid w:val="006B2ACA"/>
    <w:rsid w:val="006B6D5D"/>
    <w:rsid w:val="006B7B5A"/>
    <w:rsid w:val="006C0801"/>
    <w:rsid w:val="006C0C2C"/>
    <w:rsid w:val="006C1EAA"/>
    <w:rsid w:val="006C216F"/>
    <w:rsid w:val="006C45D4"/>
    <w:rsid w:val="006C570F"/>
    <w:rsid w:val="006C6C13"/>
    <w:rsid w:val="006D11BD"/>
    <w:rsid w:val="006D2042"/>
    <w:rsid w:val="006D66E3"/>
    <w:rsid w:val="006D75BA"/>
    <w:rsid w:val="006D7855"/>
    <w:rsid w:val="006E010C"/>
    <w:rsid w:val="006E1003"/>
    <w:rsid w:val="006E16BF"/>
    <w:rsid w:val="006E18F0"/>
    <w:rsid w:val="006E2C89"/>
    <w:rsid w:val="006E38AF"/>
    <w:rsid w:val="006E4F93"/>
    <w:rsid w:val="006E5016"/>
    <w:rsid w:val="006E7F4D"/>
    <w:rsid w:val="006F0EA4"/>
    <w:rsid w:val="006F10FE"/>
    <w:rsid w:val="006F1174"/>
    <w:rsid w:val="006F5465"/>
    <w:rsid w:val="00700135"/>
    <w:rsid w:val="0070212F"/>
    <w:rsid w:val="007023AB"/>
    <w:rsid w:val="007034D5"/>
    <w:rsid w:val="00704C40"/>
    <w:rsid w:val="00705180"/>
    <w:rsid w:val="00705D90"/>
    <w:rsid w:val="00706917"/>
    <w:rsid w:val="00710A39"/>
    <w:rsid w:val="00711397"/>
    <w:rsid w:val="00711605"/>
    <w:rsid w:val="00711DF6"/>
    <w:rsid w:val="00713211"/>
    <w:rsid w:val="00716FBC"/>
    <w:rsid w:val="00717090"/>
    <w:rsid w:val="00720739"/>
    <w:rsid w:val="0072253E"/>
    <w:rsid w:val="00723E1F"/>
    <w:rsid w:val="0072443D"/>
    <w:rsid w:val="007247E5"/>
    <w:rsid w:val="007248B7"/>
    <w:rsid w:val="007254CA"/>
    <w:rsid w:val="007267D2"/>
    <w:rsid w:val="00730CF8"/>
    <w:rsid w:val="00731A90"/>
    <w:rsid w:val="00732608"/>
    <w:rsid w:val="00733251"/>
    <w:rsid w:val="0073375B"/>
    <w:rsid w:val="00734083"/>
    <w:rsid w:val="007347E7"/>
    <w:rsid w:val="007354C1"/>
    <w:rsid w:val="00736DCA"/>
    <w:rsid w:val="00740A69"/>
    <w:rsid w:val="00740E4B"/>
    <w:rsid w:val="00745C47"/>
    <w:rsid w:val="00745E49"/>
    <w:rsid w:val="0075003D"/>
    <w:rsid w:val="00751C98"/>
    <w:rsid w:val="00751D97"/>
    <w:rsid w:val="00752C55"/>
    <w:rsid w:val="00753608"/>
    <w:rsid w:val="007562D4"/>
    <w:rsid w:val="007573FA"/>
    <w:rsid w:val="00757EF9"/>
    <w:rsid w:val="00761DBF"/>
    <w:rsid w:val="00761FCF"/>
    <w:rsid w:val="007653F2"/>
    <w:rsid w:val="00765503"/>
    <w:rsid w:val="00766C93"/>
    <w:rsid w:val="007672CC"/>
    <w:rsid w:val="00767B7E"/>
    <w:rsid w:val="007705E9"/>
    <w:rsid w:val="00771D7D"/>
    <w:rsid w:val="007727C4"/>
    <w:rsid w:val="007745B7"/>
    <w:rsid w:val="007750C8"/>
    <w:rsid w:val="00776538"/>
    <w:rsid w:val="0077714E"/>
    <w:rsid w:val="007802BE"/>
    <w:rsid w:val="00780EEF"/>
    <w:rsid w:val="0078134C"/>
    <w:rsid w:val="00781C47"/>
    <w:rsid w:val="00782189"/>
    <w:rsid w:val="007837C7"/>
    <w:rsid w:val="00784B44"/>
    <w:rsid w:val="00785465"/>
    <w:rsid w:val="00787656"/>
    <w:rsid w:val="00790C7F"/>
    <w:rsid w:val="00791767"/>
    <w:rsid w:val="0079268A"/>
    <w:rsid w:val="00794859"/>
    <w:rsid w:val="00797C88"/>
    <w:rsid w:val="007A0EF1"/>
    <w:rsid w:val="007A1013"/>
    <w:rsid w:val="007A235B"/>
    <w:rsid w:val="007A4CA9"/>
    <w:rsid w:val="007A60B4"/>
    <w:rsid w:val="007A7D19"/>
    <w:rsid w:val="007A7EC2"/>
    <w:rsid w:val="007B042D"/>
    <w:rsid w:val="007B05BB"/>
    <w:rsid w:val="007B3DEA"/>
    <w:rsid w:val="007B5566"/>
    <w:rsid w:val="007B6E0A"/>
    <w:rsid w:val="007B764C"/>
    <w:rsid w:val="007C118A"/>
    <w:rsid w:val="007C2007"/>
    <w:rsid w:val="007C636F"/>
    <w:rsid w:val="007C6C73"/>
    <w:rsid w:val="007C7899"/>
    <w:rsid w:val="007D01E4"/>
    <w:rsid w:val="007D0FC7"/>
    <w:rsid w:val="007D16C2"/>
    <w:rsid w:val="007D39EB"/>
    <w:rsid w:val="007D4512"/>
    <w:rsid w:val="007E7319"/>
    <w:rsid w:val="007E74E1"/>
    <w:rsid w:val="007E77A8"/>
    <w:rsid w:val="007F24BF"/>
    <w:rsid w:val="007F491C"/>
    <w:rsid w:val="00800D07"/>
    <w:rsid w:val="008025F3"/>
    <w:rsid w:val="00803BF8"/>
    <w:rsid w:val="00804D3D"/>
    <w:rsid w:val="008061C9"/>
    <w:rsid w:val="008066D8"/>
    <w:rsid w:val="008074BB"/>
    <w:rsid w:val="00811A18"/>
    <w:rsid w:val="008121AF"/>
    <w:rsid w:val="00812E18"/>
    <w:rsid w:val="00813711"/>
    <w:rsid w:val="008179B6"/>
    <w:rsid w:val="00821E64"/>
    <w:rsid w:val="00821EDD"/>
    <w:rsid w:val="008223E9"/>
    <w:rsid w:val="008253C4"/>
    <w:rsid w:val="008263C2"/>
    <w:rsid w:val="008307DB"/>
    <w:rsid w:val="00831A7E"/>
    <w:rsid w:val="00833398"/>
    <w:rsid w:val="00835D9D"/>
    <w:rsid w:val="00835FC9"/>
    <w:rsid w:val="008368F8"/>
    <w:rsid w:val="008370E3"/>
    <w:rsid w:val="008418FA"/>
    <w:rsid w:val="00842959"/>
    <w:rsid w:val="00843390"/>
    <w:rsid w:val="0084645A"/>
    <w:rsid w:val="00847E3D"/>
    <w:rsid w:val="0085235A"/>
    <w:rsid w:val="00852F69"/>
    <w:rsid w:val="008533E3"/>
    <w:rsid w:val="00853F8F"/>
    <w:rsid w:val="00854138"/>
    <w:rsid w:val="00854410"/>
    <w:rsid w:val="008544DF"/>
    <w:rsid w:val="008566A5"/>
    <w:rsid w:val="0086026A"/>
    <w:rsid w:val="008602B6"/>
    <w:rsid w:val="00860AAD"/>
    <w:rsid w:val="00861AA6"/>
    <w:rsid w:val="00865DC0"/>
    <w:rsid w:val="008708F3"/>
    <w:rsid w:val="00871354"/>
    <w:rsid w:val="00873611"/>
    <w:rsid w:val="00873C8F"/>
    <w:rsid w:val="008745FE"/>
    <w:rsid w:val="00874FB3"/>
    <w:rsid w:val="00876012"/>
    <w:rsid w:val="00877F7C"/>
    <w:rsid w:val="00880BE3"/>
    <w:rsid w:val="00881359"/>
    <w:rsid w:val="00882093"/>
    <w:rsid w:val="00882588"/>
    <w:rsid w:val="00883926"/>
    <w:rsid w:val="00884ADE"/>
    <w:rsid w:val="008856CF"/>
    <w:rsid w:val="00885864"/>
    <w:rsid w:val="00887014"/>
    <w:rsid w:val="00890A1D"/>
    <w:rsid w:val="0089383B"/>
    <w:rsid w:val="00893E2B"/>
    <w:rsid w:val="00894323"/>
    <w:rsid w:val="0089534B"/>
    <w:rsid w:val="0089616F"/>
    <w:rsid w:val="008A0232"/>
    <w:rsid w:val="008A5FEA"/>
    <w:rsid w:val="008A6E73"/>
    <w:rsid w:val="008B0470"/>
    <w:rsid w:val="008B05E7"/>
    <w:rsid w:val="008B06C5"/>
    <w:rsid w:val="008B164E"/>
    <w:rsid w:val="008B4923"/>
    <w:rsid w:val="008B4F06"/>
    <w:rsid w:val="008B502A"/>
    <w:rsid w:val="008B57D8"/>
    <w:rsid w:val="008B65CF"/>
    <w:rsid w:val="008B7A65"/>
    <w:rsid w:val="008C1219"/>
    <w:rsid w:val="008C123E"/>
    <w:rsid w:val="008C137D"/>
    <w:rsid w:val="008C22DD"/>
    <w:rsid w:val="008C3DFD"/>
    <w:rsid w:val="008C3E28"/>
    <w:rsid w:val="008C3ED0"/>
    <w:rsid w:val="008C4203"/>
    <w:rsid w:val="008C5DA5"/>
    <w:rsid w:val="008C5E94"/>
    <w:rsid w:val="008C5EFF"/>
    <w:rsid w:val="008D196A"/>
    <w:rsid w:val="008D27BC"/>
    <w:rsid w:val="008D551E"/>
    <w:rsid w:val="008E3DBA"/>
    <w:rsid w:val="008E3EF2"/>
    <w:rsid w:val="008E51C9"/>
    <w:rsid w:val="008E5BEB"/>
    <w:rsid w:val="008E6306"/>
    <w:rsid w:val="008E7639"/>
    <w:rsid w:val="008F3F6A"/>
    <w:rsid w:val="008F6355"/>
    <w:rsid w:val="008F68F7"/>
    <w:rsid w:val="009005A6"/>
    <w:rsid w:val="009006CF"/>
    <w:rsid w:val="00900C71"/>
    <w:rsid w:val="00902A1C"/>
    <w:rsid w:val="009037B6"/>
    <w:rsid w:val="009063F3"/>
    <w:rsid w:val="00906CBE"/>
    <w:rsid w:val="00910024"/>
    <w:rsid w:val="00910384"/>
    <w:rsid w:val="00914B0C"/>
    <w:rsid w:val="0091643D"/>
    <w:rsid w:val="00916E33"/>
    <w:rsid w:val="009175A6"/>
    <w:rsid w:val="0092093B"/>
    <w:rsid w:val="00930669"/>
    <w:rsid w:val="00932C33"/>
    <w:rsid w:val="00937C63"/>
    <w:rsid w:val="009401B7"/>
    <w:rsid w:val="009427A1"/>
    <w:rsid w:val="00942FFE"/>
    <w:rsid w:val="009551E0"/>
    <w:rsid w:val="00955DC1"/>
    <w:rsid w:val="0095654E"/>
    <w:rsid w:val="00956F3C"/>
    <w:rsid w:val="0096054C"/>
    <w:rsid w:val="00960CFB"/>
    <w:rsid w:val="00970678"/>
    <w:rsid w:val="00971C34"/>
    <w:rsid w:val="00972488"/>
    <w:rsid w:val="009726D0"/>
    <w:rsid w:val="00973B23"/>
    <w:rsid w:val="0097421D"/>
    <w:rsid w:val="00976117"/>
    <w:rsid w:val="00976A23"/>
    <w:rsid w:val="0097749C"/>
    <w:rsid w:val="009800BC"/>
    <w:rsid w:val="00980575"/>
    <w:rsid w:val="009816F6"/>
    <w:rsid w:val="009843BA"/>
    <w:rsid w:val="0098456D"/>
    <w:rsid w:val="009900F0"/>
    <w:rsid w:val="00990B9B"/>
    <w:rsid w:val="00991370"/>
    <w:rsid w:val="00991769"/>
    <w:rsid w:val="00991ACA"/>
    <w:rsid w:val="009928B5"/>
    <w:rsid w:val="00993236"/>
    <w:rsid w:val="00993D8C"/>
    <w:rsid w:val="00994E3D"/>
    <w:rsid w:val="009A297E"/>
    <w:rsid w:val="009A6127"/>
    <w:rsid w:val="009A706D"/>
    <w:rsid w:val="009B005D"/>
    <w:rsid w:val="009B0CC1"/>
    <w:rsid w:val="009B2C7D"/>
    <w:rsid w:val="009B69F0"/>
    <w:rsid w:val="009B713C"/>
    <w:rsid w:val="009C0F18"/>
    <w:rsid w:val="009C12C6"/>
    <w:rsid w:val="009C19D4"/>
    <w:rsid w:val="009C2555"/>
    <w:rsid w:val="009C2858"/>
    <w:rsid w:val="009C2DA6"/>
    <w:rsid w:val="009C5B4F"/>
    <w:rsid w:val="009C705A"/>
    <w:rsid w:val="009C74F2"/>
    <w:rsid w:val="009C7778"/>
    <w:rsid w:val="009C7EE6"/>
    <w:rsid w:val="009D06AE"/>
    <w:rsid w:val="009D09E2"/>
    <w:rsid w:val="009D1E42"/>
    <w:rsid w:val="009D2205"/>
    <w:rsid w:val="009D282B"/>
    <w:rsid w:val="009D5C90"/>
    <w:rsid w:val="009D7148"/>
    <w:rsid w:val="009E02FD"/>
    <w:rsid w:val="009E34FA"/>
    <w:rsid w:val="009E4C74"/>
    <w:rsid w:val="009E56CC"/>
    <w:rsid w:val="009E59F1"/>
    <w:rsid w:val="009E62B6"/>
    <w:rsid w:val="009F06C4"/>
    <w:rsid w:val="009F0A1A"/>
    <w:rsid w:val="009F0EA5"/>
    <w:rsid w:val="009F26CA"/>
    <w:rsid w:val="009F35DA"/>
    <w:rsid w:val="009F3C0D"/>
    <w:rsid w:val="009F4034"/>
    <w:rsid w:val="009F43D0"/>
    <w:rsid w:val="00A000F0"/>
    <w:rsid w:val="00A00568"/>
    <w:rsid w:val="00A00884"/>
    <w:rsid w:val="00A00EEB"/>
    <w:rsid w:val="00A020CE"/>
    <w:rsid w:val="00A02F62"/>
    <w:rsid w:val="00A02FA3"/>
    <w:rsid w:val="00A030C3"/>
    <w:rsid w:val="00A04803"/>
    <w:rsid w:val="00A06EBF"/>
    <w:rsid w:val="00A07C9E"/>
    <w:rsid w:val="00A10147"/>
    <w:rsid w:val="00A10EDE"/>
    <w:rsid w:val="00A11331"/>
    <w:rsid w:val="00A12348"/>
    <w:rsid w:val="00A131E6"/>
    <w:rsid w:val="00A13843"/>
    <w:rsid w:val="00A146A5"/>
    <w:rsid w:val="00A1552C"/>
    <w:rsid w:val="00A17466"/>
    <w:rsid w:val="00A204B3"/>
    <w:rsid w:val="00A20576"/>
    <w:rsid w:val="00A21593"/>
    <w:rsid w:val="00A221F7"/>
    <w:rsid w:val="00A2227F"/>
    <w:rsid w:val="00A22C21"/>
    <w:rsid w:val="00A23412"/>
    <w:rsid w:val="00A24AFA"/>
    <w:rsid w:val="00A25CA2"/>
    <w:rsid w:val="00A2604E"/>
    <w:rsid w:val="00A31CCE"/>
    <w:rsid w:val="00A33C95"/>
    <w:rsid w:val="00A34FF3"/>
    <w:rsid w:val="00A35351"/>
    <w:rsid w:val="00A361C7"/>
    <w:rsid w:val="00A36723"/>
    <w:rsid w:val="00A43140"/>
    <w:rsid w:val="00A44C7B"/>
    <w:rsid w:val="00A46DF5"/>
    <w:rsid w:val="00A5149A"/>
    <w:rsid w:val="00A53650"/>
    <w:rsid w:val="00A53E51"/>
    <w:rsid w:val="00A56F51"/>
    <w:rsid w:val="00A57183"/>
    <w:rsid w:val="00A60693"/>
    <w:rsid w:val="00A6196D"/>
    <w:rsid w:val="00A619C0"/>
    <w:rsid w:val="00A61ADF"/>
    <w:rsid w:val="00A62012"/>
    <w:rsid w:val="00A624CB"/>
    <w:rsid w:val="00A62AC0"/>
    <w:rsid w:val="00A72A9C"/>
    <w:rsid w:val="00A74FE6"/>
    <w:rsid w:val="00A75118"/>
    <w:rsid w:val="00A761A1"/>
    <w:rsid w:val="00A76BD2"/>
    <w:rsid w:val="00A77374"/>
    <w:rsid w:val="00A8267D"/>
    <w:rsid w:val="00A82E14"/>
    <w:rsid w:val="00A85862"/>
    <w:rsid w:val="00A85F13"/>
    <w:rsid w:val="00A8688E"/>
    <w:rsid w:val="00A86CFE"/>
    <w:rsid w:val="00A8722B"/>
    <w:rsid w:val="00A901E9"/>
    <w:rsid w:val="00A9064B"/>
    <w:rsid w:val="00A917B6"/>
    <w:rsid w:val="00A91831"/>
    <w:rsid w:val="00A91B3B"/>
    <w:rsid w:val="00A93B4F"/>
    <w:rsid w:val="00A947DD"/>
    <w:rsid w:val="00A94F7A"/>
    <w:rsid w:val="00A95D3B"/>
    <w:rsid w:val="00A96B0F"/>
    <w:rsid w:val="00A97341"/>
    <w:rsid w:val="00AA0081"/>
    <w:rsid w:val="00AA05D6"/>
    <w:rsid w:val="00AA4E4D"/>
    <w:rsid w:val="00AA5E38"/>
    <w:rsid w:val="00AB09ED"/>
    <w:rsid w:val="00AB3DC0"/>
    <w:rsid w:val="00AB4CBB"/>
    <w:rsid w:val="00AC125E"/>
    <w:rsid w:val="00AC3E43"/>
    <w:rsid w:val="00AC45DF"/>
    <w:rsid w:val="00AC474D"/>
    <w:rsid w:val="00AC4DFD"/>
    <w:rsid w:val="00AC4F47"/>
    <w:rsid w:val="00AC5663"/>
    <w:rsid w:val="00AC58FD"/>
    <w:rsid w:val="00AD0F6D"/>
    <w:rsid w:val="00AD1156"/>
    <w:rsid w:val="00AD1166"/>
    <w:rsid w:val="00AD19D2"/>
    <w:rsid w:val="00AD1A96"/>
    <w:rsid w:val="00AD1CAD"/>
    <w:rsid w:val="00AD235A"/>
    <w:rsid w:val="00AD3042"/>
    <w:rsid w:val="00AD4A9A"/>
    <w:rsid w:val="00AD6C82"/>
    <w:rsid w:val="00AD793A"/>
    <w:rsid w:val="00AE0120"/>
    <w:rsid w:val="00AE0622"/>
    <w:rsid w:val="00AE0725"/>
    <w:rsid w:val="00AE3038"/>
    <w:rsid w:val="00AE3D4A"/>
    <w:rsid w:val="00AE5956"/>
    <w:rsid w:val="00AE619F"/>
    <w:rsid w:val="00AE7A88"/>
    <w:rsid w:val="00AF060F"/>
    <w:rsid w:val="00AF13D2"/>
    <w:rsid w:val="00AF2A56"/>
    <w:rsid w:val="00AF45B0"/>
    <w:rsid w:val="00AF51D1"/>
    <w:rsid w:val="00AF6321"/>
    <w:rsid w:val="00AF63AB"/>
    <w:rsid w:val="00B00988"/>
    <w:rsid w:val="00B01784"/>
    <w:rsid w:val="00B0388B"/>
    <w:rsid w:val="00B03BEE"/>
    <w:rsid w:val="00B0517E"/>
    <w:rsid w:val="00B11314"/>
    <w:rsid w:val="00B113E3"/>
    <w:rsid w:val="00B1156A"/>
    <w:rsid w:val="00B138E3"/>
    <w:rsid w:val="00B13FB5"/>
    <w:rsid w:val="00B14898"/>
    <w:rsid w:val="00B178FA"/>
    <w:rsid w:val="00B17D8E"/>
    <w:rsid w:val="00B207C3"/>
    <w:rsid w:val="00B21443"/>
    <w:rsid w:val="00B22468"/>
    <w:rsid w:val="00B229FD"/>
    <w:rsid w:val="00B23267"/>
    <w:rsid w:val="00B23906"/>
    <w:rsid w:val="00B23F96"/>
    <w:rsid w:val="00B257BF"/>
    <w:rsid w:val="00B27149"/>
    <w:rsid w:val="00B30AB2"/>
    <w:rsid w:val="00B3279A"/>
    <w:rsid w:val="00B34BB7"/>
    <w:rsid w:val="00B35B4D"/>
    <w:rsid w:val="00B362F0"/>
    <w:rsid w:val="00B36652"/>
    <w:rsid w:val="00B425AB"/>
    <w:rsid w:val="00B42B94"/>
    <w:rsid w:val="00B43417"/>
    <w:rsid w:val="00B45279"/>
    <w:rsid w:val="00B47090"/>
    <w:rsid w:val="00B532D1"/>
    <w:rsid w:val="00B57925"/>
    <w:rsid w:val="00B601BB"/>
    <w:rsid w:val="00B602A5"/>
    <w:rsid w:val="00B61E3E"/>
    <w:rsid w:val="00B6432A"/>
    <w:rsid w:val="00B67A79"/>
    <w:rsid w:val="00B70227"/>
    <w:rsid w:val="00B70852"/>
    <w:rsid w:val="00B722AE"/>
    <w:rsid w:val="00B72335"/>
    <w:rsid w:val="00B72D62"/>
    <w:rsid w:val="00B767AF"/>
    <w:rsid w:val="00B77926"/>
    <w:rsid w:val="00B80511"/>
    <w:rsid w:val="00B80798"/>
    <w:rsid w:val="00B80876"/>
    <w:rsid w:val="00B82C3C"/>
    <w:rsid w:val="00B82DE6"/>
    <w:rsid w:val="00B831CD"/>
    <w:rsid w:val="00B846F6"/>
    <w:rsid w:val="00B85329"/>
    <w:rsid w:val="00B85446"/>
    <w:rsid w:val="00B8701A"/>
    <w:rsid w:val="00B91B73"/>
    <w:rsid w:val="00B91B9D"/>
    <w:rsid w:val="00B930C4"/>
    <w:rsid w:val="00B965B5"/>
    <w:rsid w:val="00B97BCF"/>
    <w:rsid w:val="00BA1B71"/>
    <w:rsid w:val="00BA3176"/>
    <w:rsid w:val="00BA5E20"/>
    <w:rsid w:val="00BA607C"/>
    <w:rsid w:val="00BA60E5"/>
    <w:rsid w:val="00BA656F"/>
    <w:rsid w:val="00BA6734"/>
    <w:rsid w:val="00BB3E2A"/>
    <w:rsid w:val="00BB48A7"/>
    <w:rsid w:val="00BB7121"/>
    <w:rsid w:val="00BC0479"/>
    <w:rsid w:val="00BC1651"/>
    <w:rsid w:val="00BC16F5"/>
    <w:rsid w:val="00BC18FF"/>
    <w:rsid w:val="00BC287D"/>
    <w:rsid w:val="00BC2A38"/>
    <w:rsid w:val="00BC4315"/>
    <w:rsid w:val="00BC46EB"/>
    <w:rsid w:val="00BC57FE"/>
    <w:rsid w:val="00BC643B"/>
    <w:rsid w:val="00BD0246"/>
    <w:rsid w:val="00BD2A41"/>
    <w:rsid w:val="00BD32E5"/>
    <w:rsid w:val="00BD36C4"/>
    <w:rsid w:val="00BD4443"/>
    <w:rsid w:val="00BD48FC"/>
    <w:rsid w:val="00BD4BC6"/>
    <w:rsid w:val="00BD6E1A"/>
    <w:rsid w:val="00BD79DE"/>
    <w:rsid w:val="00BE0BBA"/>
    <w:rsid w:val="00BE1095"/>
    <w:rsid w:val="00BE150A"/>
    <w:rsid w:val="00BE6767"/>
    <w:rsid w:val="00BE686C"/>
    <w:rsid w:val="00BE78EC"/>
    <w:rsid w:val="00BF1EB9"/>
    <w:rsid w:val="00BF46EE"/>
    <w:rsid w:val="00BF646E"/>
    <w:rsid w:val="00C04C1A"/>
    <w:rsid w:val="00C05333"/>
    <w:rsid w:val="00C05E81"/>
    <w:rsid w:val="00C0613C"/>
    <w:rsid w:val="00C0683F"/>
    <w:rsid w:val="00C07DD1"/>
    <w:rsid w:val="00C10D05"/>
    <w:rsid w:val="00C13970"/>
    <w:rsid w:val="00C13DF9"/>
    <w:rsid w:val="00C14FBA"/>
    <w:rsid w:val="00C15484"/>
    <w:rsid w:val="00C15EA1"/>
    <w:rsid w:val="00C174DB"/>
    <w:rsid w:val="00C17A8E"/>
    <w:rsid w:val="00C217E5"/>
    <w:rsid w:val="00C2378F"/>
    <w:rsid w:val="00C24F70"/>
    <w:rsid w:val="00C25615"/>
    <w:rsid w:val="00C25DC2"/>
    <w:rsid w:val="00C26A06"/>
    <w:rsid w:val="00C328CB"/>
    <w:rsid w:val="00C33479"/>
    <w:rsid w:val="00C40ED2"/>
    <w:rsid w:val="00C41F10"/>
    <w:rsid w:val="00C432DD"/>
    <w:rsid w:val="00C4423A"/>
    <w:rsid w:val="00C4748A"/>
    <w:rsid w:val="00C501FE"/>
    <w:rsid w:val="00C56957"/>
    <w:rsid w:val="00C5784B"/>
    <w:rsid w:val="00C6031A"/>
    <w:rsid w:val="00C639FF"/>
    <w:rsid w:val="00C63CB4"/>
    <w:rsid w:val="00C6442A"/>
    <w:rsid w:val="00C6492D"/>
    <w:rsid w:val="00C64D15"/>
    <w:rsid w:val="00C66088"/>
    <w:rsid w:val="00C67C4C"/>
    <w:rsid w:val="00C67F21"/>
    <w:rsid w:val="00C711A6"/>
    <w:rsid w:val="00C74B5D"/>
    <w:rsid w:val="00C74F74"/>
    <w:rsid w:val="00C7554B"/>
    <w:rsid w:val="00C76CFF"/>
    <w:rsid w:val="00C8094C"/>
    <w:rsid w:val="00C80951"/>
    <w:rsid w:val="00C8205E"/>
    <w:rsid w:val="00C8223A"/>
    <w:rsid w:val="00C82EB5"/>
    <w:rsid w:val="00C85D24"/>
    <w:rsid w:val="00C86D1E"/>
    <w:rsid w:val="00C87966"/>
    <w:rsid w:val="00C902DE"/>
    <w:rsid w:val="00C916AE"/>
    <w:rsid w:val="00C91C74"/>
    <w:rsid w:val="00C93AAA"/>
    <w:rsid w:val="00C95FCD"/>
    <w:rsid w:val="00C97188"/>
    <w:rsid w:val="00CA0639"/>
    <w:rsid w:val="00CA11D0"/>
    <w:rsid w:val="00CA2E02"/>
    <w:rsid w:val="00CA583A"/>
    <w:rsid w:val="00CA5EC6"/>
    <w:rsid w:val="00CA787C"/>
    <w:rsid w:val="00CB1E33"/>
    <w:rsid w:val="00CB1ED4"/>
    <w:rsid w:val="00CB5744"/>
    <w:rsid w:val="00CB7022"/>
    <w:rsid w:val="00CB7BC5"/>
    <w:rsid w:val="00CC141E"/>
    <w:rsid w:val="00CC18DD"/>
    <w:rsid w:val="00CC3C11"/>
    <w:rsid w:val="00CC586D"/>
    <w:rsid w:val="00CC7DBC"/>
    <w:rsid w:val="00CD1BA3"/>
    <w:rsid w:val="00CD1D23"/>
    <w:rsid w:val="00CD3612"/>
    <w:rsid w:val="00CD3E69"/>
    <w:rsid w:val="00CD4224"/>
    <w:rsid w:val="00CD4948"/>
    <w:rsid w:val="00CD6B7D"/>
    <w:rsid w:val="00CD7CE8"/>
    <w:rsid w:val="00CD7D29"/>
    <w:rsid w:val="00CE0847"/>
    <w:rsid w:val="00CE0B6C"/>
    <w:rsid w:val="00CE11D0"/>
    <w:rsid w:val="00CE4708"/>
    <w:rsid w:val="00CE4C50"/>
    <w:rsid w:val="00CE6858"/>
    <w:rsid w:val="00CE7450"/>
    <w:rsid w:val="00CE770C"/>
    <w:rsid w:val="00CF50BE"/>
    <w:rsid w:val="00CF538C"/>
    <w:rsid w:val="00CF7625"/>
    <w:rsid w:val="00D01E66"/>
    <w:rsid w:val="00D0506A"/>
    <w:rsid w:val="00D066FB"/>
    <w:rsid w:val="00D10FA1"/>
    <w:rsid w:val="00D1289C"/>
    <w:rsid w:val="00D151DC"/>
    <w:rsid w:val="00D1666F"/>
    <w:rsid w:val="00D2071A"/>
    <w:rsid w:val="00D22F44"/>
    <w:rsid w:val="00D2350E"/>
    <w:rsid w:val="00D25177"/>
    <w:rsid w:val="00D30F73"/>
    <w:rsid w:val="00D30F97"/>
    <w:rsid w:val="00D313A0"/>
    <w:rsid w:val="00D322A1"/>
    <w:rsid w:val="00D36FE0"/>
    <w:rsid w:val="00D40799"/>
    <w:rsid w:val="00D41A06"/>
    <w:rsid w:val="00D42ABF"/>
    <w:rsid w:val="00D42F40"/>
    <w:rsid w:val="00D45B67"/>
    <w:rsid w:val="00D5034A"/>
    <w:rsid w:val="00D51F49"/>
    <w:rsid w:val="00D52AE4"/>
    <w:rsid w:val="00D55EE8"/>
    <w:rsid w:val="00D560D1"/>
    <w:rsid w:val="00D562CB"/>
    <w:rsid w:val="00D569D1"/>
    <w:rsid w:val="00D56AD8"/>
    <w:rsid w:val="00D56C05"/>
    <w:rsid w:val="00D5785A"/>
    <w:rsid w:val="00D62769"/>
    <w:rsid w:val="00D63293"/>
    <w:rsid w:val="00D6375F"/>
    <w:rsid w:val="00D63E44"/>
    <w:rsid w:val="00D64C48"/>
    <w:rsid w:val="00D6680B"/>
    <w:rsid w:val="00D72F4F"/>
    <w:rsid w:val="00D731C4"/>
    <w:rsid w:val="00D74EB4"/>
    <w:rsid w:val="00D801FC"/>
    <w:rsid w:val="00D85BE0"/>
    <w:rsid w:val="00D87FD7"/>
    <w:rsid w:val="00D91466"/>
    <w:rsid w:val="00D915ED"/>
    <w:rsid w:val="00D91DE4"/>
    <w:rsid w:val="00D92300"/>
    <w:rsid w:val="00D925ED"/>
    <w:rsid w:val="00D94AFC"/>
    <w:rsid w:val="00D950E6"/>
    <w:rsid w:val="00D95774"/>
    <w:rsid w:val="00D966BA"/>
    <w:rsid w:val="00D97047"/>
    <w:rsid w:val="00DA30F2"/>
    <w:rsid w:val="00DA3619"/>
    <w:rsid w:val="00DA7AE4"/>
    <w:rsid w:val="00DB0B88"/>
    <w:rsid w:val="00DB1652"/>
    <w:rsid w:val="00DB203E"/>
    <w:rsid w:val="00DB5773"/>
    <w:rsid w:val="00DB58A6"/>
    <w:rsid w:val="00DB6B99"/>
    <w:rsid w:val="00DB716F"/>
    <w:rsid w:val="00DC001A"/>
    <w:rsid w:val="00DD22BB"/>
    <w:rsid w:val="00DD2952"/>
    <w:rsid w:val="00DD4F44"/>
    <w:rsid w:val="00DD686C"/>
    <w:rsid w:val="00DD7E0C"/>
    <w:rsid w:val="00DE2AC3"/>
    <w:rsid w:val="00DE2E40"/>
    <w:rsid w:val="00DE3598"/>
    <w:rsid w:val="00DE3FBD"/>
    <w:rsid w:val="00DE43F5"/>
    <w:rsid w:val="00DE4952"/>
    <w:rsid w:val="00DE65FB"/>
    <w:rsid w:val="00DF234F"/>
    <w:rsid w:val="00DF420A"/>
    <w:rsid w:val="00DF52A2"/>
    <w:rsid w:val="00E02472"/>
    <w:rsid w:val="00E041F0"/>
    <w:rsid w:val="00E128D8"/>
    <w:rsid w:val="00E130C3"/>
    <w:rsid w:val="00E170ED"/>
    <w:rsid w:val="00E17EDF"/>
    <w:rsid w:val="00E2082D"/>
    <w:rsid w:val="00E221E2"/>
    <w:rsid w:val="00E22FF4"/>
    <w:rsid w:val="00E2330D"/>
    <w:rsid w:val="00E24303"/>
    <w:rsid w:val="00E27A16"/>
    <w:rsid w:val="00E320C4"/>
    <w:rsid w:val="00E344B0"/>
    <w:rsid w:val="00E356F8"/>
    <w:rsid w:val="00E375B4"/>
    <w:rsid w:val="00E406FC"/>
    <w:rsid w:val="00E40F7B"/>
    <w:rsid w:val="00E419C1"/>
    <w:rsid w:val="00E43E48"/>
    <w:rsid w:val="00E46CB5"/>
    <w:rsid w:val="00E46D60"/>
    <w:rsid w:val="00E47C33"/>
    <w:rsid w:val="00E47F58"/>
    <w:rsid w:val="00E47FA7"/>
    <w:rsid w:val="00E54BB5"/>
    <w:rsid w:val="00E54BFC"/>
    <w:rsid w:val="00E55248"/>
    <w:rsid w:val="00E56D9D"/>
    <w:rsid w:val="00E60E2E"/>
    <w:rsid w:val="00E63459"/>
    <w:rsid w:val="00E71A2D"/>
    <w:rsid w:val="00E724C5"/>
    <w:rsid w:val="00E72621"/>
    <w:rsid w:val="00E72FB3"/>
    <w:rsid w:val="00E74A73"/>
    <w:rsid w:val="00E75CA7"/>
    <w:rsid w:val="00E77B59"/>
    <w:rsid w:val="00E8095E"/>
    <w:rsid w:val="00E823C1"/>
    <w:rsid w:val="00E82DB7"/>
    <w:rsid w:val="00E83C85"/>
    <w:rsid w:val="00E8579C"/>
    <w:rsid w:val="00E865FE"/>
    <w:rsid w:val="00E91408"/>
    <w:rsid w:val="00E91759"/>
    <w:rsid w:val="00E9654B"/>
    <w:rsid w:val="00EA13E4"/>
    <w:rsid w:val="00EA18DB"/>
    <w:rsid w:val="00EA2FBA"/>
    <w:rsid w:val="00EA3F54"/>
    <w:rsid w:val="00EA4DC5"/>
    <w:rsid w:val="00EA5664"/>
    <w:rsid w:val="00EA66DF"/>
    <w:rsid w:val="00EA6ADC"/>
    <w:rsid w:val="00EB0609"/>
    <w:rsid w:val="00EB13A7"/>
    <w:rsid w:val="00EB14DF"/>
    <w:rsid w:val="00EB1A4D"/>
    <w:rsid w:val="00EB2BAA"/>
    <w:rsid w:val="00EB34EC"/>
    <w:rsid w:val="00EB3A07"/>
    <w:rsid w:val="00EB54FA"/>
    <w:rsid w:val="00EB5539"/>
    <w:rsid w:val="00EC05BA"/>
    <w:rsid w:val="00EC20B8"/>
    <w:rsid w:val="00EC2748"/>
    <w:rsid w:val="00EC3F31"/>
    <w:rsid w:val="00EC52E7"/>
    <w:rsid w:val="00EC7E0E"/>
    <w:rsid w:val="00ED3698"/>
    <w:rsid w:val="00ED4794"/>
    <w:rsid w:val="00ED7B59"/>
    <w:rsid w:val="00EE265C"/>
    <w:rsid w:val="00EE3A4E"/>
    <w:rsid w:val="00EE5A60"/>
    <w:rsid w:val="00EE5C63"/>
    <w:rsid w:val="00EE6403"/>
    <w:rsid w:val="00EE67D7"/>
    <w:rsid w:val="00EF359C"/>
    <w:rsid w:val="00EF416F"/>
    <w:rsid w:val="00F00449"/>
    <w:rsid w:val="00F0095C"/>
    <w:rsid w:val="00F01129"/>
    <w:rsid w:val="00F01CCA"/>
    <w:rsid w:val="00F01F2C"/>
    <w:rsid w:val="00F02104"/>
    <w:rsid w:val="00F04EF6"/>
    <w:rsid w:val="00F06C02"/>
    <w:rsid w:val="00F06C17"/>
    <w:rsid w:val="00F121B2"/>
    <w:rsid w:val="00F12ED1"/>
    <w:rsid w:val="00F135F2"/>
    <w:rsid w:val="00F138B4"/>
    <w:rsid w:val="00F13C82"/>
    <w:rsid w:val="00F151C9"/>
    <w:rsid w:val="00F1632B"/>
    <w:rsid w:val="00F17A51"/>
    <w:rsid w:val="00F202CA"/>
    <w:rsid w:val="00F223A7"/>
    <w:rsid w:val="00F23A01"/>
    <w:rsid w:val="00F26A64"/>
    <w:rsid w:val="00F334CB"/>
    <w:rsid w:val="00F3495A"/>
    <w:rsid w:val="00F34E2C"/>
    <w:rsid w:val="00F370BC"/>
    <w:rsid w:val="00F37143"/>
    <w:rsid w:val="00F430C2"/>
    <w:rsid w:val="00F50562"/>
    <w:rsid w:val="00F507D0"/>
    <w:rsid w:val="00F50A92"/>
    <w:rsid w:val="00F50B0B"/>
    <w:rsid w:val="00F50D01"/>
    <w:rsid w:val="00F52D4E"/>
    <w:rsid w:val="00F546B9"/>
    <w:rsid w:val="00F56BC1"/>
    <w:rsid w:val="00F618C4"/>
    <w:rsid w:val="00F6544B"/>
    <w:rsid w:val="00F65774"/>
    <w:rsid w:val="00F65A34"/>
    <w:rsid w:val="00F65F4C"/>
    <w:rsid w:val="00F715E9"/>
    <w:rsid w:val="00F71A60"/>
    <w:rsid w:val="00F725DA"/>
    <w:rsid w:val="00F7536E"/>
    <w:rsid w:val="00F75446"/>
    <w:rsid w:val="00F75652"/>
    <w:rsid w:val="00F76137"/>
    <w:rsid w:val="00F7782D"/>
    <w:rsid w:val="00F8168B"/>
    <w:rsid w:val="00F81CF2"/>
    <w:rsid w:val="00F81F93"/>
    <w:rsid w:val="00F857D1"/>
    <w:rsid w:val="00F86296"/>
    <w:rsid w:val="00F86FD9"/>
    <w:rsid w:val="00F91DCC"/>
    <w:rsid w:val="00F9323F"/>
    <w:rsid w:val="00F943FE"/>
    <w:rsid w:val="00F95814"/>
    <w:rsid w:val="00F95CE9"/>
    <w:rsid w:val="00F97100"/>
    <w:rsid w:val="00FA01D9"/>
    <w:rsid w:val="00FA473D"/>
    <w:rsid w:val="00FB0401"/>
    <w:rsid w:val="00FC1DFB"/>
    <w:rsid w:val="00FC1EF2"/>
    <w:rsid w:val="00FC3343"/>
    <w:rsid w:val="00FC33BA"/>
    <w:rsid w:val="00FC35AB"/>
    <w:rsid w:val="00FC6134"/>
    <w:rsid w:val="00FC654D"/>
    <w:rsid w:val="00FC77CF"/>
    <w:rsid w:val="00FD0555"/>
    <w:rsid w:val="00FD06F5"/>
    <w:rsid w:val="00FD1F02"/>
    <w:rsid w:val="00FD2C46"/>
    <w:rsid w:val="00FD440B"/>
    <w:rsid w:val="00FD5961"/>
    <w:rsid w:val="00FE3EFA"/>
    <w:rsid w:val="00FE5C56"/>
    <w:rsid w:val="00FE5E20"/>
    <w:rsid w:val="00FE7AAC"/>
    <w:rsid w:val="00FE7B06"/>
    <w:rsid w:val="00FE7E98"/>
    <w:rsid w:val="00FF06BC"/>
    <w:rsid w:val="00FF06E2"/>
    <w:rsid w:val="00FF20AC"/>
    <w:rsid w:val="00FF3801"/>
    <w:rsid w:val="00FF3A27"/>
    <w:rsid w:val="00FF3B27"/>
    <w:rsid w:val="00FF4E8D"/>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6B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2" w:qFormat="1"/>
    <w:lsdException w:name="heading 3" w:uiPriority="4" w:qFormat="1"/>
    <w:lsdException w:name="heading 5" w:qFormat="1"/>
    <w:lsdException w:name="heading 6" w:semiHidden="1"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5" w:unhideWhenUsed="1" w:qFormat="1"/>
    <w:lsdException w:name="List Number" w:uiPriority="3"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qFormat="1"/>
    <w:lsdException w:name="List Bullet 3" w:semiHidden="1" w:uiPriority="5" w:unhideWhenUsed="1" w:qFormat="1"/>
    <w:lsdException w:name="List Bullet 4" w:semiHidden="1" w:uiPriority="5" w:unhideWhenUsed="1"/>
    <w:lsdException w:name="List Bullet 5" w:semiHidden="1" w:uiPriority="5"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3A1"/>
    <w:pPr>
      <w:spacing w:after="160" w:line="280" w:lineRule="atLeast"/>
    </w:pPr>
    <w:rPr>
      <w:rFonts w:asciiTheme="minorHAnsi" w:hAnsiTheme="minorHAnsi"/>
      <w:szCs w:val="24"/>
    </w:rPr>
  </w:style>
  <w:style w:type="paragraph" w:styleId="Heading1">
    <w:name w:val="heading 1"/>
    <w:basedOn w:val="Normal"/>
    <w:next w:val="Normal"/>
    <w:uiPriority w:val="4"/>
    <w:qFormat/>
    <w:rsid w:val="00042C2E"/>
    <w:pPr>
      <w:keepNext/>
      <w:keepLines/>
      <w:pBdr>
        <w:bottom w:val="single" w:sz="24" w:space="21" w:color="20B9A3" w:themeColor="accent1"/>
      </w:pBdr>
      <w:spacing w:after="480" w:line="216" w:lineRule="auto"/>
      <w:contextualSpacing/>
      <w:outlineLvl w:val="0"/>
    </w:pPr>
    <w:rPr>
      <w:rFonts w:asciiTheme="majorHAnsi" w:hAnsiTheme="majorHAnsi"/>
      <w:b/>
      <w:sz w:val="72"/>
      <w:szCs w:val="44"/>
    </w:rPr>
  </w:style>
  <w:style w:type="paragraph" w:styleId="Heading2">
    <w:name w:val="heading 2"/>
    <w:basedOn w:val="Normal"/>
    <w:next w:val="Normal"/>
    <w:link w:val="Heading2Char"/>
    <w:uiPriority w:val="4"/>
    <w:qFormat/>
    <w:rsid w:val="00042C2E"/>
    <w:pPr>
      <w:keepNext/>
      <w:keepLines/>
      <w:spacing w:before="300" w:after="120"/>
      <w:contextualSpacing/>
      <w:outlineLvl w:val="1"/>
    </w:pPr>
    <w:rPr>
      <w:rFonts w:asciiTheme="majorHAnsi" w:hAnsiTheme="majorHAnsi"/>
      <w:b/>
      <w:color w:val="117479" w:themeColor="accent2"/>
      <w:sz w:val="24"/>
      <w:szCs w:val="44"/>
    </w:rPr>
  </w:style>
  <w:style w:type="paragraph" w:styleId="Heading3">
    <w:name w:val="heading 3"/>
    <w:basedOn w:val="Heading4"/>
    <w:next w:val="Normal"/>
    <w:uiPriority w:val="4"/>
    <w:qFormat/>
    <w:rsid w:val="00042C2E"/>
    <w:pPr>
      <w:outlineLvl w:val="2"/>
    </w:pPr>
    <w:rPr>
      <w:noProof/>
    </w:rPr>
  </w:style>
  <w:style w:type="paragraph" w:styleId="Heading4">
    <w:name w:val="heading 4"/>
    <w:basedOn w:val="Normal"/>
    <w:next w:val="Normal"/>
    <w:uiPriority w:val="4"/>
    <w:rsid w:val="000B39C7"/>
    <w:pPr>
      <w:keepNext/>
      <w:keepLines/>
      <w:spacing w:before="180" w:after="120"/>
      <w:outlineLvl w:val="3"/>
    </w:pPr>
    <w:rPr>
      <w:rFonts w:asciiTheme="majorHAnsi" w:hAnsiTheme="majorHAnsi"/>
      <w:b/>
      <w:color w:val="117479" w:themeColor="accent2"/>
    </w:rPr>
  </w:style>
  <w:style w:type="paragraph" w:styleId="Heading5">
    <w:name w:val="heading 5"/>
    <w:basedOn w:val="Normal"/>
    <w:next w:val="Normal"/>
    <w:link w:val="Heading5Char"/>
    <w:uiPriority w:val="99"/>
    <w:semiHidden/>
    <w:qFormat/>
    <w:rsid w:val="009175A6"/>
    <w:pPr>
      <w:keepNext/>
      <w:spacing w:before="240" w:after="40"/>
      <w:contextualSpacing/>
      <w:outlineLvl w:val="4"/>
    </w:pPr>
    <w:rPr>
      <w:b/>
      <w:color w:val="20B9A3" w:themeColor="accent1"/>
      <w:szCs w:val="22"/>
    </w:rPr>
  </w:style>
  <w:style w:type="paragraph" w:styleId="Heading6">
    <w:name w:val="heading 6"/>
    <w:basedOn w:val="Normal"/>
    <w:next w:val="Normal"/>
    <w:link w:val="Heading6Char"/>
    <w:uiPriority w:val="99"/>
    <w:semiHidden/>
    <w:rsid w:val="009F06C4"/>
    <w:pPr>
      <w:keepNext/>
      <w:numPr>
        <w:ilvl w:val="5"/>
        <w:numId w:val="13"/>
      </w:numPr>
      <w:spacing w:before="240"/>
      <w:contextualSpacing/>
      <w:outlineLvl w:val="5"/>
    </w:pPr>
    <w:rPr>
      <w:b/>
      <w:szCs w:val="22"/>
    </w:rPr>
  </w:style>
  <w:style w:type="paragraph" w:styleId="Heading7">
    <w:name w:val="heading 7"/>
    <w:basedOn w:val="Normal"/>
    <w:next w:val="Normal"/>
    <w:link w:val="Heading7Char"/>
    <w:uiPriority w:val="99"/>
    <w:semiHidden/>
    <w:unhideWhenUsed/>
    <w:qFormat/>
    <w:rsid w:val="009F06C4"/>
    <w:pPr>
      <w:keepNext/>
      <w:keepLines/>
      <w:numPr>
        <w:ilvl w:val="6"/>
        <w:numId w:val="13"/>
      </w:numPr>
      <w:spacing w:before="40" w:after="0"/>
      <w:outlineLvl w:val="6"/>
    </w:pPr>
    <w:rPr>
      <w:rFonts w:asciiTheme="majorHAnsi" w:eastAsiaTheme="majorEastAsia" w:hAnsiTheme="majorHAnsi" w:cstheme="majorBidi"/>
      <w:i/>
      <w:iCs/>
      <w:color w:val="105C50" w:themeColor="accent1" w:themeShade="7F"/>
    </w:rPr>
  </w:style>
  <w:style w:type="paragraph" w:styleId="Heading8">
    <w:name w:val="heading 8"/>
    <w:basedOn w:val="Normal"/>
    <w:next w:val="Normal"/>
    <w:link w:val="Heading8Char"/>
    <w:uiPriority w:val="99"/>
    <w:semiHidden/>
    <w:unhideWhenUsed/>
    <w:qFormat/>
    <w:rsid w:val="009F06C4"/>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9F06C4"/>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after="0" w:line="240" w:lineRule="auto"/>
    </w:pPr>
    <w:rPr>
      <w:sz w:val="14"/>
    </w:rPr>
  </w:style>
  <w:style w:type="paragraph" w:styleId="Title">
    <w:name w:val="Title"/>
    <w:aliases w:val="Small Title"/>
    <w:basedOn w:val="Normal"/>
    <w:link w:val="TitleChar"/>
    <w:uiPriority w:val="40"/>
    <w:rsid w:val="009C705A"/>
    <w:pPr>
      <w:spacing w:after="360" w:line="240" w:lineRule="auto"/>
      <w:contextualSpacing/>
      <w:outlineLvl w:val="0"/>
    </w:pPr>
    <w:rPr>
      <w:rFonts w:asciiTheme="majorHAnsi" w:hAnsiTheme="majorHAnsi" w:cs="Arial"/>
      <w:b/>
      <w:bCs/>
      <w:kern w:val="28"/>
      <w:sz w:val="70"/>
      <w:szCs w:val="32"/>
    </w:rPr>
  </w:style>
  <w:style w:type="paragraph" w:styleId="ListBullet">
    <w:name w:val="List Bullet"/>
    <w:basedOn w:val="ListParagraph"/>
    <w:uiPriority w:val="5"/>
    <w:qFormat/>
    <w:rsid w:val="00447220"/>
    <w:pPr>
      <w:numPr>
        <w:numId w:val="23"/>
      </w:numPr>
      <w:ind w:left="714" w:hanging="357"/>
      <w:contextualSpacing/>
    </w:pPr>
  </w:style>
  <w:style w:type="paragraph" w:styleId="Footer">
    <w:name w:val="footer"/>
    <w:basedOn w:val="Header"/>
    <w:uiPriority w:val="99"/>
    <w:rsid w:val="00EC2748"/>
    <w:pPr>
      <w:pBdr>
        <w:bottom w:val="single" w:sz="24" w:space="12" w:color="20B9A3" w:themeColor="accent1"/>
      </w:pBdr>
      <w:tabs>
        <w:tab w:val="clear" w:pos="10319"/>
        <w:tab w:val="right" w:pos="9940"/>
      </w:tabs>
      <w:ind w:right="-1661"/>
    </w:pPr>
  </w:style>
  <w:style w:type="character" w:styleId="Hyperlink">
    <w:name w:val="Hyperlink"/>
    <w:basedOn w:val="DefaultParagraphFont"/>
    <w:uiPriority w:val="99"/>
    <w:rsid w:val="005E55D0"/>
    <w:rPr>
      <w:color w:val="188A79" w:themeColor="accent1" w:themeShade="BF"/>
      <w:u w:val="single"/>
    </w:rPr>
  </w:style>
  <w:style w:type="character" w:customStyle="1" w:styleId="Heading5Char">
    <w:name w:val="Heading 5 Char"/>
    <w:basedOn w:val="DefaultParagraphFont"/>
    <w:link w:val="Heading5"/>
    <w:uiPriority w:val="99"/>
    <w:semiHidden/>
    <w:rsid w:val="009175A6"/>
    <w:rPr>
      <w:rFonts w:asciiTheme="minorHAnsi" w:hAnsiTheme="minorHAnsi"/>
      <w:b/>
      <w:color w:val="20B9A3" w:themeColor="accent1"/>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uiPriority w:val="34"/>
    <w:qFormat/>
    <w:rsid w:val="00010D84"/>
    <w:pPr>
      <w:ind w:left="720"/>
    </w:pPr>
  </w:style>
  <w:style w:type="character" w:customStyle="1" w:styleId="Heading2Char">
    <w:name w:val="Heading 2 Char"/>
    <w:basedOn w:val="DefaultParagraphFont"/>
    <w:link w:val="Heading2"/>
    <w:uiPriority w:val="4"/>
    <w:rsid w:val="00042C2E"/>
    <w:rPr>
      <w:rFonts w:asciiTheme="majorHAnsi" w:hAnsiTheme="majorHAnsi"/>
      <w:b/>
      <w:color w:val="117479" w:themeColor="accent2"/>
      <w:sz w:val="24"/>
      <w:szCs w:val="44"/>
    </w:rPr>
  </w:style>
  <w:style w:type="paragraph" w:styleId="TOC1">
    <w:name w:val="toc 1"/>
    <w:basedOn w:val="Normal"/>
    <w:next w:val="Normal"/>
    <w:autoRedefine/>
    <w:uiPriority w:val="39"/>
    <w:rsid w:val="00650E2C"/>
    <w:pPr>
      <w:pBdr>
        <w:top w:val="single" w:sz="24" w:space="6" w:color="20B9A3" w:themeColor="accent1"/>
        <w:between w:val="single" w:sz="24" w:space="6" w:color="20B9A3" w:themeColor="accent1"/>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rsid w:val="00C86D1E"/>
    <w:pPr>
      <w:tabs>
        <w:tab w:val="left" w:pos="1320"/>
        <w:tab w:val="right" w:pos="6577"/>
      </w:tabs>
      <w:spacing w:line="240" w:lineRule="auto"/>
      <w:ind w:left="567" w:right="567"/>
    </w:pPr>
    <w:rPr>
      <w:noProof/>
      <w:color w:val="FFFFFF" w:themeColor="background1"/>
      <w:sz w:val="28"/>
    </w:rPr>
  </w:style>
  <w:style w:type="paragraph" w:customStyle="1" w:styleId="TableTextLeftAligned">
    <w:name w:val="Table Text Left Aligned"/>
    <w:basedOn w:val="Normal"/>
    <w:link w:val="TableTextLeftAlignedChar"/>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000000" w:themeColor="text1"/>
      <w:szCs w:val="22"/>
    </w:rPr>
  </w:style>
  <w:style w:type="table" w:customStyle="1" w:styleId="DefaultTable">
    <w:name w:val="Default Table"/>
    <w:basedOn w:val="TableNormal"/>
    <w:uiPriority w:val="99"/>
    <w:rsid w:val="007B3DEA"/>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cPr>
      <w:shd w:val="clear" w:color="auto" w:fill="F2F2F2" w:themeFill="background1" w:themeFillShade="F2"/>
    </w:tcPr>
    <w:tblStylePr w:type="firstRow">
      <w:pPr>
        <w:jc w:val="left"/>
      </w:pPr>
      <w:rPr>
        <w:b/>
        <w:caps w:val="0"/>
        <w:smallCaps w:val="0"/>
        <w:color w:val="FFFFFF" w:themeColor="background1"/>
        <w:sz w:val="22"/>
      </w:rPr>
      <w:tblPr/>
      <w:tcPr>
        <w:shd w:val="clear" w:color="auto" w:fill="117479" w:themeFill="accent2"/>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2"/>
    <w:next w:val="Normal"/>
    <w:uiPriority w:val="39"/>
    <w:qFormat/>
    <w:rsid w:val="003E6102"/>
    <w:rPr>
      <w:rFonts w:eastAsiaTheme="majorEastAsia" w:cstheme="majorBidi"/>
      <w:bCs/>
      <w:color w:val="FFFFFF" w:themeColor="background1"/>
      <w:szCs w:val="28"/>
    </w:rPr>
  </w:style>
  <w:style w:type="paragraph" w:customStyle="1" w:styleId="SourceNotesText">
    <w:name w:val="Source/Notes Text"/>
    <w:basedOn w:val="Normal"/>
    <w:uiPriority w:val="50"/>
    <w:qFormat/>
    <w:rsid w:val="00EA3F54"/>
    <w:pPr>
      <w:spacing w:before="120" w:line="240" w:lineRule="auto"/>
      <w:contextualSpacing/>
    </w:pPr>
    <w:rPr>
      <w:i/>
      <w:sz w:val="18"/>
      <w:szCs w:val="16"/>
    </w:rPr>
  </w:style>
  <w:style w:type="character" w:styleId="Strong">
    <w:name w:val="Strong"/>
    <w:basedOn w:val="DefaultParagraphFont"/>
    <w:rsid w:val="00D45B67"/>
    <w:rPr>
      <w:b/>
      <w:bCs/>
    </w:rPr>
  </w:style>
  <w:style w:type="paragraph" w:customStyle="1" w:styleId="QuoteBody">
    <w:name w:val="Quote Body"/>
    <w:basedOn w:val="Normal"/>
    <w:next w:val="Normal"/>
    <w:uiPriority w:val="3"/>
    <w:qFormat/>
    <w:rsid w:val="00E54BB5"/>
    <w:pPr>
      <w:spacing w:after="120" w:line="264" w:lineRule="auto"/>
      <w:ind w:left="284" w:right="284"/>
      <w:contextualSpacing/>
    </w:pPr>
    <w:rPr>
      <w:b/>
      <w:i/>
      <w:color w:val="142E3B" w:themeColor="accent6"/>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000000" w:themeColor="text1"/>
      <w:sz w:val="16"/>
      <w:szCs w:val="16"/>
    </w:rPr>
  </w:style>
  <w:style w:type="paragraph" w:styleId="NoSpacing">
    <w:name w:val="No Spacing"/>
    <w:link w:val="NoSpacingChar"/>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Cs w:val="20"/>
    </w:rPr>
  </w:style>
  <w:style w:type="character" w:customStyle="1" w:styleId="EndnoteTextChar">
    <w:name w:val="Endnote Text Char"/>
    <w:basedOn w:val="DefaultParagraphFont"/>
    <w:link w:val="EndnoteText"/>
    <w:uiPriority w:val="99"/>
    <w:semiHidden/>
    <w:rsid w:val="00160B66"/>
    <w:rPr>
      <w:rFonts w:ascii="Arial" w:hAnsi="Arial"/>
      <w:color w:val="000000"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5E55D0"/>
    <w:rPr>
      <w:color w:val="7F2667" w:themeColor="accent3" w:themeShade="BF"/>
      <w:u w:val="single"/>
    </w:rPr>
  </w:style>
  <w:style w:type="paragraph" w:styleId="Subtitle">
    <w:name w:val="Subtitle"/>
    <w:basedOn w:val="Normal"/>
    <w:link w:val="SubtitleChar"/>
    <w:uiPriority w:val="41"/>
    <w:rsid w:val="00F76137"/>
    <w:pPr>
      <w:numPr>
        <w:ilvl w:val="1"/>
      </w:numPr>
      <w:spacing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000000" w:themeColor="text1"/>
      <w:sz w:val="32"/>
      <w:szCs w:val="24"/>
    </w:rPr>
  </w:style>
  <w:style w:type="paragraph" w:customStyle="1" w:styleId="TableHeading">
    <w:name w:val="Table Heading"/>
    <w:basedOn w:val="Normal"/>
    <w:uiPriority w:val="49"/>
    <w:qFormat/>
    <w:rsid w:val="00C76CFF"/>
    <w:pPr>
      <w:spacing w:after="80" w:line="240" w:lineRule="auto"/>
    </w:pPr>
    <w:rPr>
      <w:rFonts w:asciiTheme="majorHAnsi" w:hAnsiTheme="majorHAnsi"/>
      <w:color w:val="000000"/>
      <w:sz w:val="22"/>
    </w:rPr>
  </w:style>
  <w:style w:type="paragraph" w:customStyle="1" w:styleId="FigureHeading">
    <w:name w:val="Figure Heading"/>
    <w:basedOn w:val="Normal"/>
    <w:next w:val="Normal"/>
    <w:link w:val="FigureHeadingChar"/>
    <w:uiPriority w:val="48"/>
    <w:qFormat/>
    <w:rsid w:val="004533A1"/>
    <w:pPr>
      <w:keepNext/>
      <w:keepLines/>
      <w:numPr>
        <w:numId w:val="3"/>
      </w:numPr>
      <w:tabs>
        <w:tab w:val="left" w:pos="1361"/>
      </w:tabs>
      <w:spacing w:before="120" w:after="240"/>
      <w:ind w:left="357" w:hanging="357"/>
      <w:contextualSpacing/>
      <w:outlineLvl w:val="4"/>
    </w:pPr>
    <w:rPr>
      <w:rFonts w:asciiTheme="majorHAnsi" w:hAnsiTheme="majorHAnsi"/>
      <w:b/>
      <w:color w:val="000000"/>
    </w:rPr>
  </w:style>
  <w:style w:type="character" w:customStyle="1" w:styleId="UnresolvedMention1">
    <w:name w:val="Unresolved Mention1"/>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650E2C"/>
    <w:pPr>
      <w:pBdr>
        <w:bottom w:val="single" w:sz="24" w:space="31" w:color="20B9A3" w:themeColor="accent1"/>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650E2C"/>
    <w:pPr>
      <w:spacing w:before="240"/>
      <w:contextualSpacing/>
    </w:pPr>
    <w:rPr>
      <w:b/>
      <w:color w:val="20B9A3" w:themeColor="accent1"/>
      <w:sz w:val="22"/>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3"/>
    <w:rsid w:val="009843BA"/>
    <w:rPr>
      <w:sz w:val="186"/>
      <w:szCs w:val="186"/>
    </w:rPr>
  </w:style>
  <w:style w:type="paragraph" w:styleId="ListNumber">
    <w:name w:val="List Number"/>
    <w:basedOn w:val="Normal"/>
    <w:uiPriority w:val="5"/>
    <w:qFormat/>
    <w:rsid w:val="00BA3176"/>
    <w:pPr>
      <w:numPr>
        <w:numId w:val="2"/>
      </w:numPr>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unhideWhenUsed/>
    <w:rsid w:val="009C705A"/>
    <w:pPr>
      <w:spacing w:line="240" w:lineRule="auto"/>
    </w:pPr>
    <w:rPr>
      <w:szCs w:val="20"/>
    </w:rPr>
  </w:style>
  <w:style w:type="character" w:customStyle="1" w:styleId="CommentTextChar">
    <w:name w:val="Comment Text Char"/>
    <w:basedOn w:val="DefaultParagraphFont"/>
    <w:link w:val="CommentText"/>
    <w:uiPriority w:val="99"/>
    <w:rsid w:val="009C705A"/>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000000"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customStyle="1" w:styleId="WhiteLargeH1">
    <w:name w:val="White Large H1"/>
    <w:basedOn w:val="LargeH1"/>
    <w:rsid w:val="00650E2C"/>
    <w:rPr>
      <w:color w:val="FFFFFF" w:themeColor="background1"/>
    </w:rPr>
  </w:style>
  <w:style w:type="paragraph" w:customStyle="1" w:styleId="WhiteHeading2">
    <w:name w:val="White Heading 2"/>
    <w:basedOn w:val="Heading2"/>
    <w:rsid w:val="002602FC"/>
    <w:pPr>
      <w:spacing w:before="360"/>
    </w:pPr>
    <w:rPr>
      <w:color w:val="FFFFFF" w:themeColor="background1"/>
    </w:rPr>
  </w:style>
  <w:style w:type="paragraph" w:customStyle="1" w:styleId="WhiteNormal">
    <w:name w:val="White Normal"/>
    <w:basedOn w:val="Normal"/>
    <w:rsid w:val="00554A1D"/>
    <w:rPr>
      <w:color w:val="FFFFFF" w:themeColor="background1"/>
      <w:sz w:val="22"/>
    </w:rPr>
  </w:style>
  <w:style w:type="paragraph" w:customStyle="1" w:styleId="AppendixHeading">
    <w:name w:val="Appendix Heading"/>
    <w:basedOn w:val="ListParagraph"/>
    <w:next w:val="Normal"/>
    <w:uiPriority w:val="5"/>
    <w:rsid w:val="008E7639"/>
    <w:pPr>
      <w:numPr>
        <w:numId w:val="13"/>
      </w:numPr>
      <w:spacing w:before="240"/>
      <w:contextualSpacing/>
      <w:outlineLvl w:val="2"/>
    </w:pPr>
    <w:rPr>
      <w:b/>
      <w:color w:val="20B9A3" w:themeColor="accent1"/>
      <w:sz w:val="24"/>
    </w:rPr>
  </w:style>
  <w:style w:type="paragraph" w:styleId="ListBullet2">
    <w:name w:val="List Bullet 2"/>
    <w:basedOn w:val="Normal"/>
    <w:uiPriority w:val="5"/>
    <w:qFormat/>
    <w:rsid w:val="00466320"/>
    <w:pPr>
      <w:numPr>
        <w:ilvl w:val="1"/>
        <w:numId w:val="1"/>
      </w:numPr>
      <w:contextualSpacing/>
    </w:pPr>
  </w:style>
  <w:style w:type="paragraph" w:styleId="ListBullet3">
    <w:name w:val="List Bullet 3"/>
    <w:basedOn w:val="Normal"/>
    <w:uiPriority w:val="5"/>
    <w:qFormat/>
    <w:rsid w:val="00466320"/>
    <w:pPr>
      <w:numPr>
        <w:ilvl w:val="2"/>
        <w:numId w:val="1"/>
      </w:numPr>
      <w:contextualSpacing/>
    </w:pPr>
  </w:style>
  <w:style w:type="paragraph" w:styleId="ListNumber2">
    <w:name w:val="List Number 2"/>
    <w:basedOn w:val="Normal"/>
    <w:uiPriority w:val="5"/>
    <w:qFormat/>
    <w:rsid w:val="000131D0"/>
    <w:pPr>
      <w:numPr>
        <w:ilvl w:val="1"/>
        <w:numId w:val="2"/>
      </w:numPr>
      <w:ind w:left="714" w:hanging="357"/>
    </w:pPr>
  </w:style>
  <w:style w:type="paragraph" w:styleId="ListNumber3">
    <w:name w:val="List Number 3"/>
    <w:basedOn w:val="Normal"/>
    <w:uiPriority w:val="5"/>
    <w:qFormat/>
    <w:rsid w:val="000131D0"/>
    <w:pPr>
      <w:numPr>
        <w:ilvl w:val="2"/>
        <w:numId w:val="2"/>
      </w:numPr>
      <w:ind w:left="1077" w:hanging="357"/>
    </w:pPr>
  </w:style>
  <w:style w:type="paragraph" w:styleId="List">
    <w:name w:val="List"/>
    <w:basedOn w:val="Normal"/>
    <w:uiPriority w:val="99"/>
    <w:semiHidden/>
    <w:unhideWhenUsed/>
    <w:rsid w:val="008D551E"/>
    <w:pPr>
      <w:ind w:left="283" w:hanging="283"/>
      <w:contextualSpacing/>
    </w:pPr>
  </w:style>
  <w:style w:type="character" w:customStyle="1" w:styleId="Heading7Char">
    <w:name w:val="Heading 7 Char"/>
    <w:basedOn w:val="DefaultParagraphFont"/>
    <w:link w:val="Heading7"/>
    <w:uiPriority w:val="99"/>
    <w:semiHidden/>
    <w:rsid w:val="00E419C1"/>
    <w:rPr>
      <w:rFonts w:asciiTheme="majorHAnsi" w:eastAsiaTheme="majorEastAsia" w:hAnsiTheme="majorHAnsi" w:cstheme="majorBidi"/>
      <w:i/>
      <w:iCs/>
      <w:color w:val="105C50" w:themeColor="accent1" w:themeShade="7F"/>
      <w:szCs w:val="24"/>
    </w:rPr>
  </w:style>
  <w:style w:type="character" w:customStyle="1" w:styleId="Heading8Char">
    <w:name w:val="Heading 8 Char"/>
    <w:basedOn w:val="DefaultParagraphFont"/>
    <w:link w:val="Heading8"/>
    <w:uiPriority w:val="99"/>
    <w:semiHidden/>
    <w:rsid w:val="00E419C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E419C1"/>
    <w:rPr>
      <w:rFonts w:asciiTheme="majorHAnsi" w:eastAsiaTheme="majorEastAsia" w:hAnsiTheme="majorHAnsi" w:cstheme="majorBidi"/>
      <w:i/>
      <w:iCs/>
      <w:color w:val="272727" w:themeColor="text1" w:themeTint="D8"/>
      <w:sz w:val="21"/>
      <w:szCs w:val="21"/>
    </w:rPr>
  </w:style>
  <w:style w:type="paragraph" w:customStyle="1" w:styleId="HeadingTable">
    <w:name w:val="Heading Table"/>
    <w:basedOn w:val="FigureHeading"/>
    <w:link w:val="HeadingTableChar"/>
    <w:qFormat/>
    <w:rsid w:val="002F680D"/>
    <w:pPr>
      <w:numPr>
        <w:numId w:val="21"/>
      </w:numPr>
      <w:tabs>
        <w:tab w:val="left" w:pos="1021"/>
      </w:tabs>
    </w:pPr>
  </w:style>
  <w:style w:type="character" w:customStyle="1" w:styleId="FigureHeadingChar">
    <w:name w:val="Figure Heading Char"/>
    <w:basedOn w:val="DefaultParagraphFont"/>
    <w:link w:val="FigureHeading"/>
    <w:uiPriority w:val="48"/>
    <w:rsid w:val="004533A1"/>
    <w:rPr>
      <w:rFonts w:asciiTheme="majorHAnsi" w:hAnsiTheme="majorHAnsi"/>
      <w:b/>
      <w:color w:val="000000"/>
      <w:szCs w:val="24"/>
    </w:rPr>
  </w:style>
  <w:style w:type="character" w:customStyle="1" w:styleId="HeadingTableChar">
    <w:name w:val="Heading Table Char"/>
    <w:basedOn w:val="FigureHeadingChar"/>
    <w:link w:val="HeadingTable"/>
    <w:rsid w:val="002F680D"/>
    <w:rPr>
      <w:rFonts w:asciiTheme="majorHAnsi" w:hAnsiTheme="majorHAnsi"/>
      <w:b/>
      <w:color w:val="000000"/>
      <w:szCs w:val="24"/>
    </w:rPr>
  </w:style>
  <w:style w:type="paragraph" w:customStyle="1" w:styleId="CoverTitle">
    <w:name w:val="Cover Title"/>
    <w:basedOn w:val="NoSpacing"/>
    <w:rsid w:val="00B8701A"/>
    <w:pPr>
      <w:spacing w:before="1320" w:after="400" w:line="252" w:lineRule="auto"/>
    </w:pPr>
    <w:rPr>
      <w:rFonts w:asciiTheme="majorHAnsi" w:hAnsiTheme="majorHAnsi"/>
      <w:b/>
      <w:noProof/>
      <w:sz w:val="130"/>
      <w:szCs w:val="130"/>
    </w:rPr>
  </w:style>
  <w:style w:type="paragraph" w:customStyle="1" w:styleId="CoverByline">
    <w:name w:val="Cover Byline"/>
    <w:basedOn w:val="NoSpacing"/>
    <w:rsid w:val="00E63459"/>
    <w:pPr>
      <w:spacing w:before="200" w:after="600"/>
    </w:pPr>
    <w:rPr>
      <w:rFonts w:asciiTheme="majorHAnsi" w:hAnsiTheme="majorHAnsi" w:cstheme="majorHAnsi"/>
      <w:noProof/>
      <w:sz w:val="32"/>
      <w:szCs w:val="32"/>
    </w:rPr>
  </w:style>
  <w:style w:type="paragraph" w:customStyle="1" w:styleId="EmphasisPanelHeading">
    <w:name w:val="Emphasis Panel Heading"/>
    <w:basedOn w:val="NoSpacing"/>
    <w:link w:val="EmphasisPanelHeadingChar"/>
    <w:qFormat/>
    <w:rsid w:val="000A1193"/>
    <w:pPr>
      <w:pBdr>
        <w:top w:val="single" w:sz="36" w:space="1" w:color="E2E2E3"/>
        <w:left w:val="single" w:sz="36" w:space="4" w:color="E2E2E3"/>
        <w:bottom w:val="single" w:sz="36" w:space="3" w:color="E2E2E3"/>
        <w:right w:val="single" w:sz="36" w:space="4" w:color="E2E2E3"/>
      </w:pBdr>
      <w:shd w:val="solid" w:color="E2E2E3" w:fill="auto"/>
      <w:spacing w:after="120" w:line="280" w:lineRule="atLeast"/>
      <w:outlineLvl w:val="4"/>
    </w:pPr>
    <w:rPr>
      <w:rFonts w:asciiTheme="majorHAnsi" w:hAnsiTheme="majorHAnsi"/>
      <w:b/>
      <w:color w:val="117479" w:themeColor="accent2"/>
      <w:sz w:val="20"/>
    </w:rPr>
  </w:style>
  <w:style w:type="paragraph" w:customStyle="1" w:styleId="EmphasisPanelBody">
    <w:name w:val="Emphasis Panel Body"/>
    <w:basedOn w:val="EmphasisPanelHeading"/>
    <w:link w:val="EmphasisPanelBodyChar"/>
    <w:qFormat/>
    <w:rsid w:val="00E54BB5"/>
    <w:pPr>
      <w:outlineLvl w:val="9"/>
    </w:pPr>
    <w:rPr>
      <w:rFonts w:asciiTheme="minorHAnsi" w:hAnsiTheme="minorHAnsi"/>
      <w:b w:val="0"/>
      <w:color w:val="auto"/>
    </w:rPr>
  </w:style>
  <w:style w:type="paragraph" w:customStyle="1" w:styleId="EmphasisPanelBullet">
    <w:name w:val="Emphasis Panel Bullet"/>
    <w:basedOn w:val="EmphasisPanelBody"/>
    <w:link w:val="EmphasisPanelBulletChar"/>
    <w:qFormat/>
    <w:rsid w:val="00E54BB5"/>
    <w:pPr>
      <w:numPr>
        <w:numId w:val="22"/>
      </w:numPr>
      <w:ind w:left="227" w:hanging="227"/>
      <w:contextualSpacing/>
    </w:pPr>
  </w:style>
  <w:style w:type="character" w:customStyle="1" w:styleId="NoSpacingChar">
    <w:name w:val="No Spacing Char"/>
    <w:basedOn w:val="DefaultParagraphFont"/>
    <w:link w:val="NoSpacing"/>
    <w:uiPriority w:val="1"/>
    <w:rsid w:val="006F5465"/>
    <w:rPr>
      <w:rFonts w:ascii="Arial" w:hAnsi="Arial"/>
      <w:sz w:val="22"/>
      <w:szCs w:val="24"/>
    </w:rPr>
  </w:style>
  <w:style w:type="character" w:customStyle="1" w:styleId="EmphasisPanelHeadingChar">
    <w:name w:val="Emphasis Panel Heading Char"/>
    <w:basedOn w:val="NoSpacingChar"/>
    <w:link w:val="EmphasisPanelHeading"/>
    <w:rsid w:val="000A1193"/>
    <w:rPr>
      <w:rFonts w:asciiTheme="majorHAnsi" w:hAnsiTheme="majorHAnsi"/>
      <w:b/>
      <w:color w:val="117479" w:themeColor="accent2"/>
      <w:sz w:val="22"/>
      <w:szCs w:val="24"/>
      <w:shd w:val="solid" w:color="E2E2E3" w:fill="auto"/>
    </w:rPr>
  </w:style>
  <w:style w:type="character" w:customStyle="1" w:styleId="EmphasisPanelBodyChar">
    <w:name w:val="Emphasis Panel Body Char"/>
    <w:basedOn w:val="EmphasisPanelHeadingChar"/>
    <w:link w:val="EmphasisPanelBody"/>
    <w:rsid w:val="00E54BB5"/>
    <w:rPr>
      <w:rFonts w:asciiTheme="minorHAnsi" w:hAnsiTheme="minorHAnsi"/>
      <w:b w:val="0"/>
      <w:color w:val="117479" w:themeColor="accent2"/>
      <w:sz w:val="22"/>
      <w:szCs w:val="24"/>
      <w:shd w:val="solid" w:color="E2E2E3" w:fill="auto"/>
    </w:rPr>
  </w:style>
  <w:style w:type="paragraph" w:customStyle="1" w:styleId="TableTextRightAligned">
    <w:name w:val="Table Text Right Aligned"/>
    <w:basedOn w:val="TableTextLeftAligned"/>
    <w:link w:val="TableTextRightAlignedChar"/>
    <w:qFormat/>
    <w:rsid w:val="00FD2C46"/>
    <w:pPr>
      <w:jc w:val="right"/>
    </w:pPr>
  </w:style>
  <w:style w:type="character" w:customStyle="1" w:styleId="EmphasisPanelBulletChar">
    <w:name w:val="Emphasis Panel Bullet Char"/>
    <w:basedOn w:val="EmphasisPanelBodyChar"/>
    <w:link w:val="EmphasisPanelBullet"/>
    <w:rsid w:val="00E54BB5"/>
    <w:rPr>
      <w:rFonts w:asciiTheme="minorHAnsi" w:hAnsiTheme="minorHAnsi"/>
      <w:b w:val="0"/>
      <w:color w:val="117479" w:themeColor="accent2"/>
      <w:sz w:val="22"/>
      <w:szCs w:val="24"/>
      <w:shd w:val="solid" w:color="E2E2E3" w:fill="auto"/>
    </w:rPr>
  </w:style>
  <w:style w:type="character" w:customStyle="1" w:styleId="TableTextLeftAlignedChar">
    <w:name w:val="Table Text Left Aligned Char"/>
    <w:basedOn w:val="DefaultParagraphFont"/>
    <w:link w:val="TableTextLeftAligned"/>
    <w:uiPriority w:val="49"/>
    <w:rsid w:val="00FD2C46"/>
    <w:rPr>
      <w:rFonts w:asciiTheme="minorHAnsi" w:hAnsiTheme="minorHAnsi"/>
      <w:szCs w:val="24"/>
    </w:rPr>
  </w:style>
  <w:style w:type="character" w:customStyle="1" w:styleId="TableTextRightAlignedChar">
    <w:name w:val="Table Text Right Aligned Char"/>
    <w:basedOn w:val="TableTextLeftAlignedChar"/>
    <w:link w:val="TableTextRightAligned"/>
    <w:rsid w:val="00FD2C46"/>
    <w:rPr>
      <w:rFonts w:asciiTheme="minorHAnsi" w:hAnsiTheme="minorHAnsi"/>
      <w:szCs w:val="24"/>
    </w:rPr>
  </w:style>
  <w:style w:type="paragraph" w:styleId="EnvelopeReturn">
    <w:name w:val="envelope return"/>
    <w:basedOn w:val="Normal"/>
    <w:uiPriority w:val="99"/>
    <w:unhideWhenUsed/>
    <w:rsid w:val="009175A6"/>
    <w:pPr>
      <w:spacing w:after="0" w:line="240" w:lineRule="auto"/>
    </w:pPr>
    <w:rPr>
      <w:rFonts w:asciiTheme="majorHAnsi" w:eastAsiaTheme="majorEastAsia" w:hAnsiTheme="majorHAnsi" w:cstheme="majorBidi"/>
      <w:szCs w:val="20"/>
    </w:rPr>
  </w:style>
  <w:style w:type="paragraph" w:styleId="TOC3">
    <w:name w:val="toc 3"/>
    <w:basedOn w:val="Normal"/>
    <w:next w:val="Normal"/>
    <w:autoRedefine/>
    <w:uiPriority w:val="39"/>
    <w:unhideWhenUsed/>
    <w:rsid w:val="003B499C"/>
    <w:pPr>
      <w:spacing w:after="100" w:line="259" w:lineRule="auto"/>
      <w:ind w:left="440"/>
    </w:pPr>
    <w:rPr>
      <w:rFonts w:eastAsiaTheme="minorEastAsia"/>
      <w:sz w:val="22"/>
      <w:szCs w:val="22"/>
      <w:lang w:val="en-US" w:eastAsia="en-US"/>
    </w:rPr>
  </w:style>
  <w:style w:type="paragraph" w:customStyle="1" w:styleId="NormalWhite">
    <w:name w:val="Normal White"/>
    <w:basedOn w:val="Normal"/>
    <w:link w:val="NormalWhiteChar"/>
    <w:qFormat/>
    <w:rsid w:val="00BD0246"/>
    <w:rPr>
      <w:color w:val="FFFFFF" w:themeColor="background1"/>
    </w:rPr>
  </w:style>
  <w:style w:type="character" w:customStyle="1" w:styleId="NormalWhiteChar">
    <w:name w:val="Normal White Char"/>
    <w:basedOn w:val="DefaultParagraphFont"/>
    <w:link w:val="NormalWhite"/>
    <w:rsid w:val="00BD0246"/>
    <w:rPr>
      <w:rFonts w:asciiTheme="minorHAnsi" w:hAnsiTheme="minorHAnsi"/>
      <w:color w:val="FFFFFF" w:themeColor="background1"/>
      <w:szCs w:val="24"/>
    </w:rPr>
  </w:style>
  <w:style w:type="paragraph" w:styleId="Bibliography">
    <w:name w:val="Bibliography"/>
    <w:basedOn w:val="Normal"/>
    <w:next w:val="Normal"/>
    <w:uiPriority w:val="37"/>
    <w:unhideWhenUsed/>
    <w:rsid w:val="00CC3C11"/>
    <w:pPr>
      <w:spacing w:before="120" w:after="120"/>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4662">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94830975">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523469314">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psr.gov.au/registering/you-create-registration/grantors"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TA Green">
      <a:dk1>
        <a:srgbClr val="000000"/>
      </a:dk1>
      <a:lt1>
        <a:sysClr val="window" lastClr="FFFFFF"/>
      </a:lt1>
      <a:dk2>
        <a:srgbClr val="000000"/>
      </a:dk2>
      <a:lt2>
        <a:srgbClr val="000000"/>
      </a:lt2>
      <a:accent1>
        <a:srgbClr val="20B9A3"/>
      </a:accent1>
      <a:accent2>
        <a:srgbClr val="117479"/>
      </a:accent2>
      <a:accent3>
        <a:srgbClr val="AA338A"/>
      </a:accent3>
      <a:accent4>
        <a:srgbClr val="4C255E"/>
      </a:accent4>
      <a:accent5>
        <a:srgbClr val="D21E32"/>
      </a:accent5>
      <a:accent6>
        <a:srgbClr val="142E3B"/>
      </a:accent6>
      <a:hlink>
        <a:srgbClr val="20B9A3"/>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HubID xmlns="e771ab56-0c5d-40e7-b080-2686d2b89623">DOC22-65522</ShareHubID>
    <TaxCatchAll xmlns="d0dfa800-9ef0-44cb-8a12-633e29de1e0b">
      <Value>1</Value>
    </TaxCatchAl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PMCdoc-213507164-64492</_dlc_DocId>
    <_dlc_DocIdUrl xmlns="d0dfa800-9ef0-44cb-8a12-633e29de1e0b">
      <Url>https://pmc01.sharepoint.com/sites/pmc-ms-cb/_layouts/15/DocIdRedir.aspx?ID=PMCdoc-213507164-64492</Url>
      <Description>PMCdoc-213507164-64492</Description>
    </_dlc_DocIdUrl>
    <lcf76f155ced4ddcb4097134ff3c332f xmlns="631b17cb-7e05-4b62-a9e3-205a319faa46">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B75E56-D615-432C-807D-E8673342A060}">
  <ds:schemaRefs>
    <ds:schemaRef ds:uri="http://schemas.openxmlformats.org/officeDocument/2006/bibliography"/>
  </ds:schemaRefs>
</ds:datastoreItem>
</file>

<file path=customXml/itemProps2.xml><?xml version="1.0" encoding="utf-8"?>
<ds:datastoreItem xmlns:ds="http://schemas.openxmlformats.org/officeDocument/2006/customXml" ds:itemID="{46BDCFDB-E397-4009-BE81-67D93A51F1C9}"/>
</file>

<file path=customXml/itemProps3.xml><?xml version="1.0" encoding="utf-8"?>
<ds:datastoreItem xmlns:ds="http://schemas.openxmlformats.org/officeDocument/2006/customXml" ds:itemID="{79F2F210-695E-4EF5-94A8-5D04E1B00A60}"/>
</file>

<file path=customXml/itemProps4.xml><?xml version="1.0" encoding="utf-8"?>
<ds:datastoreItem xmlns:ds="http://schemas.openxmlformats.org/officeDocument/2006/customXml" ds:itemID="{7268753B-4BB6-4D99-ABD4-BAE62D91C99B}"/>
</file>

<file path=customXml/itemProps5.xml><?xml version="1.0" encoding="utf-8"?>
<ds:datastoreItem xmlns:ds="http://schemas.openxmlformats.org/officeDocument/2006/customXml" ds:itemID="{E04AE5F7-4B1E-4343-B94D-AA9FC34A533C}"/>
</file>

<file path=docProps/app.xml><?xml version="1.0" encoding="utf-8"?>
<Properties xmlns="http://schemas.openxmlformats.org/officeDocument/2006/extended-properties" xmlns:vt="http://schemas.openxmlformats.org/officeDocument/2006/docPropsVTypes">
  <Template>Normal</Template>
  <TotalTime>0</TotalTime>
  <Pages>5</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PPSR Pre-Analysis Plan Part 1: A new review screen</dc:title>
  <dc:subject/>
  <dc:creator/>
  <cp:keywords/>
  <dc:description/>
  <cp:lastModifiedBy/>
  <cp:revision>1</cp:revision>
  <dcterms:created xsi:type="dcterms:W3CDTF">2022-03-16T01:44:00Z</dcterms:created>
  <dcterms:modified xsi:type="dcterms:W3CDTF">2022-03-16T01:46:00Z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0x0101009816B95156DCD04D953F50914F23662E</vt:lpwstr>
  </property>
  <property fmtid="{D5CDD505-2E9C-101B-9397-08002B2CF9AE}" pid="4" name="ESearchTags">
    <vt:lpwstr/>
  </property>
  <property fmtid="{D5CDD505-2E9C-101B-9397-08002B2CF9AE}" pid="5" name="PMC.ESearch.TagGeneratedTime">
    <vt:lpwstr>2022-03-24T12:52:44</vt:lpwstr>
  </property>
  <property fmtid="{D5CDD505-2E9C-101B-9397-08002B2CF9AE}" pid="6" name="HPRMSecurityCaveat">
    <vt:lpwstr/>
  </property>
  <property fmtid="{D5CDD505-2E9C-101B-9397-08002B2CF9AE}" pid="7" name="SecurityClassification">
    <vt:i4>1</vt:i4>
  </property>
  <property fmtid="{D5CDD505-2E9C-101B-9397-08002B2CF9AE}" pid="8" name="_dlc_DocIdItemGuid">
    <vt:lpwstr>001f321f-0a5e-4d2a-a16e-6697edc10df6</vt:lpwstr>
  </property>
</Properties>
</file>