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83B56" w14:textId="356102E3" w:rsidR="00C75292" w:rsidRDefault="00E86882" w:rsidP="000C175B">
      <w:pPr>
        <w:pStyle w:val="Heading1"/>
        <w:rPr>
          <w:sz w:val="44"/>
          <w:lang w:val="en-US"/>
        </w:rPr>
      </w:pPr>
      <w:bookmarkStart w:id="0" w:name="_Toc501621869"/>
      <w:r>
        <w:rPr>
          <w:sz w:val="44"/>
          <w:lang w:val="en-US"/>
        </w:rPr>
        <w:t xml:space="preserve">Nudge vs Superbugs: A </w:t>
      </w:r>
      <w:proofErr w:type="spellStart"/>
      <w:r>
        <w:rPr>
          <w:sz w:val="44"/>
          <w:lang w:val="en-US"/>
        </w:rPr>
        <w:t>behavioural</w:t>
      </w:r>
      <w:proofErr w:type="spellEnd"/>
      <w:r>
        <w:rPr>
          <w:sz w:val="44"/>
          <w:lang w:val="en-US"/>
        </w:rPr>
        <w:t xml:space="preserve"> economics trial to reduce the overprescribing of antibiotics</w:t>
      </w:r>
      <w:r w:rsidR="00C75292">
        <w:rPr>
          <w:sz w:val="44"/>
          <w:lang w:val="en-US"/>
        </w:rPr>
        <w:t xml:space="preserve"> – pre-analysis plan</w:t>
      </w:r>
      <w:bookmarkEnd w:id="0"/>
    </w:p>
    <w:p w14:paraId="254B77A0" w14:textId="56C282A9" w:rsidR="007E335C" w:rsidRDefault="00E86882" w:rsidP="007E335C">
      <w:pPr>
        <w:rPr>
          <w:color w:val="FFFFFF" w:themeColor="background1"/>
        </w:rPr>
      </w:pPr>
      <w:r>
        <w:t xml:space="preserve">We pre-registered this trial on the </w:t>
      </w:r>
      <w:r w:rsidR="007E335C">
        <w:t>AEA Social Science Registry on 11 September 2017</w:t>
      </w:r>
      <w:r w:rsidR="00166C5B">
        <w:t xml:space="preserve"> and t</w:t>
      </w:r>
      <w:r>
        <w:t>his pre-analysis plan was lodged on the AEA</w:t>
      </w:r>
      <w:bookmarkStart w:id="1" w:name="_GoBack"/>
      <w:bookmarkEnd w:id="1"/>
      <w:r>
        <w:t xml:space="preserve"> Social Science Registry</w:t>
      </w:r>
      <w:r w:rsidR="00166C5B">
        <w:t xml:space="preserve"> at the same time</w:t>
      </w:r>
      <w:r>
        <w:t>. While this occurred after the launch of the trial</w:t>
      </w:r>
      <w:r w:rsidR="00166C5B">
        <w:t xml:space="preserve"> on 9 June 2017</w:t>
      </w:r>
      <w:r>
        <w:t xml:space="preserve">, it was before we had received any data or commenced any analysis. Our trial pre-registration can be found here: </w:t>
      </w:r>
    </w:p>
    <w:p w14:paraId="5B38F0FE" w14:textId="77777777" w:rsidR="007E335C" w:rsidRPr="004161D2" w:rsidRDefault="00173A33" w:rsidP="007E335C">
      <w:pPr>
        <w:rPr>
          <w:color w:val="FFFFFF" w:themeColor="background1"/>
        </w:rPr>
      </w:pPr>
      <w:hyperlink r:id="rId11" w:history="1">
        <w:r w:rsidR="007E335C" w:rsidRPr="00095C85">
          <w:rPr>
            <w:rStyle w:val="Hyperlink"/>
          </w:rPr>
          <w:t>https://www.socialscienceregistry.org/trials/2420</w:t>
        </w:r>
      </w:hyperlink>
    </w:p>
    <w:p w14:paraId="5BAB8C7A" w14:textId="75CBC4D8" w:rsidR="00C75292" w:rsidRPr="00C75292" w:rsidRDefault="00C75292" w:rsidP="007E335C">
      <w:pPr>
        <w:rPr>
          <w:rFonts w:cstheme="minorHAnsi"/>
          <w:b/>
          <w:sz w:val="24"/>
        </w:rPr>
      </w:pPr>
    </w:p>
    <w:p w14:paraId="45D5F919" w14:textId="77777777" w:rsidR="007E335C" w:rsidRPr="00BA7322" w:rsidRDefault="007E335C" w:rsidP="007E335C">
      <w:pPr>
        <w:pStyle w:val="Heading2"/>
      </w:pPr>
      <w:r>
        <w:t>1. Introduction</w:t>
      </w:r>
    </w:p>
    <w:p w14:paraId="3CC2139E" w14:textId="77777777" w:rsidR="007E335C" w:rsidRDefault="007E335C" w:rsidP="007E335C">
      <w:pPr>
        <w:pStyle w:val="Heading3"/>
      </w:pPr>
      <w:r>
        <w:t>1.1 Abstract and motivation</w:t>
      </w:r>
    </w:p>
    <w:p w14:paraId="7C775E93" w14:textId="77777777" w:rsidR="007E335C" w:rsidRDefault="007E335C" w:rsidP="007E335C">
      <w:r>
        <w:t>The Australian Government Australia’s First National Antimicrobial Resistance Strategy 2015-2019 aims to educate the public and healthcare community about the dangers of Antimicrobial Resistance and reduce over-prescription of antibiotics.</w:t>
      </w:r>
    </w:p>
    <w:p w14:paraId="56507D0E" w14:textId="0125AB30" w:rsidR="00762B9C" w:rsidRDefault="007E335C" w:rsidP="00762B9C">
      <w:pPr>
        <w:spacing w:after="240"/>
      </w:pPr>
      <w:r>
        <w:t>This project supports the Strategy’s aims by evaluating the effectiveness of measures to reduce unnecessary prescriptions of the eight most common antibiotics by high</w:t>
      </w:r>
      <w:r>
        <w:noBreakHyphen/>
        <w:t>prescribing General Practitioners (GPs) in Australia. The measures involve various behaviourally-informed letters; ‘high</w:t>
      </w:r>
      <w:r>
        <w:noBreakHyphen/>
        <w:t>prescribing GPs’ refer to those in the top 30 per cent of prescribers.</w:t>
      </w:r>
    </w:p>
    <w:p w14:paraId="2503B0B2" w14:textId="157C3546" w:rsidR="007E335C" w:rsidRDefault="007E335C" w:rsidP="00762B9C">
      <w:pPr>
        <w:pStyle w:val="Heading3"/>
        <w:numPr>
          <w:ilvl w:val="1"/>
          <w:numId w:val="33"/>
        </w:numPr>
        <w:spacing w:before="40" w:line="259" w:lineRule="auto"/>
        <w:ind w:left="357" w:hanging="357"/>
        <w:contextualSpacing w:val="0"/>
      </w:pPr>
      <w:r>
        <w:t xml:space="preserve"> Research questions</w:t>
      </w:r>
    </w:p>
    <w:p w14:paraId="199E7049" w14:textId="77777777" w:rsidR="007E335C" w:rsidRDefault="007E335C" w:rsidP="007E335C">
      <w:pPr>
        <w:pStyle w:val="ListParagraph"/>
        <w:numPr>
          <w:ilvl w:val="0"/>
          <w:numId w:val="31"/>
        </w:numPr>
        <w:spacing w:before="0" w:after="160" w:line="259" w:lineRule="auto"/>
        <w:contextualSpacing/>
      </w:pPr>
      <w:r>
        <w:t>Will sending high prescribing GPs letters containing a social norm about their prescription rate compared to their peers reduce subsequent prescriptions compared to control or compared to a business as usual education letter?</w:t>
      </w:r>
    </w:p>
    <w:p w14:paraId="6E466F44" w14:textId="77777777" w:rsidR="007E335C" w:rsidRDefault="007E335C" w:rsidP="007E335C">
      <w:pPr>
        <w:pStyle w:val="ListParagraph"/>
        <w:numPr>
          <w:ilvl w:val="0"/>
          <w:numId w:val="31"/>
        </w:numPr>
        <w:spacing w:before="0" w:after="160" w:line="259" w:lineRule="auto"/>
        <w:contextualSpacing/>
      </w:pPr>
      <w:r>
        <w:t xml:space="preserve">Will sending delayed prescribing stickers to </w:t>
      </w:r>
      <w:r w:rsidRPr="00BE66B2">
        <w:t xml:space="preserve">high prescribing </w:t>
      </w:r>
      <w:r>
        <w:t>GPs</w:t>
      </w:r>
      <w:r w:rsidRPr="00BE66B2">
        <w:t xml:space="preserve"> </w:t>
      </w:r>
      <w:r>
        <w:t>reduce prescription rates compared to control and is this strategy superior to a social norm letter?</w:t>
      </w:r>
    </w:p>
    <w:p w14:paraId="1F27803C" w14:textId="77777777" w:rsidR="007E335C" w:rsidRDefault="007E335C" w:rsidP="007E335C">
      <w:pPr>
        <w:pStyle w:val="ListParagraph"/>
        <w:numPr>
          <w:ilvl w:val="0"/>
          <w:numId w:val="31"/>
        </w:numPr>
        <w:spacing w:before="0" w:after="160" w:line="259" w:lineRule="auto"/>
        <w:contextualSpacing/>
      </w:pPr>
      <w:r>
        <w:t>Will social norm and delayed prescribing letters be more effective at reducing prescriptions in relatively high prescribing GPs (top 15 per cent) compared to relatively low prescribing GPs (second 15 per cent).</w:t>
      </w:r>
    </w:p>
    <w:p w14:paraId="496F5371" w14:textId="77777777" w:rsidR="007E335C" w:rsidRDefault="007E335C" w:rsidP="007E335C">
      <w:pPr>
        <w:pStyle w:val="Heading3"/>
      </w:pPr>
      <w:r>
        <w:t>1.3 Interventions</w:t>
      </w:r>
    </w:p>
    <w:p w14:paraId="4EE0E121" w14:textId="77777777" w:rsidR="007E335C" w:rsidRDefault="007E335C" w:rsidP="007E335C">
      <w:pPr>
        <w:pStyle w:val="ListParagraph"/>
        <w:numPr>
          <w:ilvl w:val="0"/>
          <w:numId w:val="32"/>
        </w:numPr>
        <w:spacing w:before="0" w:after="160" w:line="259" w:lineRule="auto"/>
        <w:contextualSpacing/>
      </w:pPr>
      <w:r w:rsidRPr="00312DD6">
        <w:rPr>
          <w:b/>
        </w:rPr>
        <w:t xml:space="preserve">Control </w:t>
      </w:r>
      <w:r>
        <w:t>– Doctors will receive no letter.</w:t>
      </w:r>
    </w:p>
    <w:p w14:paraId="242988FB" w14:textId="77777777" w:rsidR="007E335C" w:rsidRDefault="007E335C" w:rsidP="007E335C">
      <w:pPr>
        <w:pStyle w:val="ListParagraph"/>
        <w:numPr>
          <w:ilvl w:val="0"/>
          <w:numId w:val="32"/>
        </w:numPr>
        <w:spacing w:before="0" w:after="160" w:line="259" w:lineRule="auto"/>
        <w:contextualSpacing/>
      </w:pPr>
      <w:r w:rsidRPr="00312DD6">
        <w:rPr>
          <w:b/>
        </w:rPr>
        <w:t>Education</w:t>
      </w:r>
      <w:r>
        <w:t xml:space="preserve"> – Doctors will receive a business as usual educational letter aimed to increase their understanding of anti-microbial resistance.</w:t>
      </w:r>
    </w:p>
    <w:p w14:paraId="6878BE6D" w14:textId="77777777" w:rsidR="007E335C" w:rsidRDefault="007E335C" w:rsidP="007E335C">
      <w:pPr>
        <w:pStyle w:val="ListParagraph"/>
        <w:numPr>
          <w:ilvl w:val="0"/>
          <w:numId w:val="32"/>
        </w:numPr>
        <w:spacing w:before="0" w:after="160" w:line="259" w:lineRule="auto"/>
        <w:contextualSpacing/>
      </w:pPr>
      <w:r w:rsidRPr="00312DD6">
        <w:rPr>
          <w:b/>
        </w:rPr>
        <w:t>Education with social norm text</w:t>
      </w:r>
      <w:r>
        <w:t xml:space="preserve"> – Same as above, however, also includes the text social norm “</w:t>
      </w:r>
      <w:r w:rsidRPr="00312DD6">
        <w:t xml:space="preserve">You prescribe more antibiotics than </w:t>
      </w:r>
      <w:r>
        <w:t>&lt;</w:t>
      </w:r>
      <w:proofErr w:type="gramStart"/>
      <w:r>
        <w:t>x%</w:t>
      </w:r>
      <w:proofErr w:type="gramEnd"/>
      <w:r>
        <w:t>&gt; of prescribers in &lt;region&gt;”.</w:t>
      </w:r>
    </w:p>
    <w:p w14:paraId="7B2E531B" w14:textId="77777777" w:rsidR="007E335C" w:rsidRDefault="007E335C" w:rsidP="007E335C">
      <w:pPr>
        <w:pStyle w:val="ListParagraph"/>
        <w:numPr>
          <w:ilvl w:val="0"/>
          <w:numId w:val="32"/>
        </w:numPr>
        <w:spacing w:before="0" w:after="160" w:line="259" w:lineRule="auto"/>
        <w:contextualSpacing/>
      </w:pPr>
      <w:r w:rsidRPr="00312DD6">
        <w:rPr>
          <w:b/>
        </w:rPr>
        <w:lastRenderedPageBreak/>
        <w:t>Social norm with graph</w:t>
      </w:r>
      <w:r>
        <w:t xml:space="preserve"> – Provides a text social norm (as above) along with a graph to make the information clear and salient. Does not contain the educational text from the above treatment groups.</w:t>
      </w:r>
    </w:p>
    <w:p w14:paraId="3B372826" w14:textId="77777777" w:rsidR="007E335C" w:rsidRDefault="007E335C" w:rsidP="007E335C">
      <w:pPr>
        <w:pStyle w:val="ListParagraph"/>
        <w:numPr>
          <w:ilvl w:val="0"/>
          <w:numId w:val="32"/>
        </w:numPr>
        <w:spacing w:before="0" w:after="160" w:line="259" w:lineRule="auto"/>
        <w:contextualSpacing/>
      </w:pPr>
      <w:r w:rsidRPr="00312DD6">
        <w:rPr>
          <w:b/>
        </w:rPr>
        <w:t>Delayed prescribing</w:t>
      </w:r>
      <w:r>
        <w:t xml:space="preserve"> - </w:t>
      </w:r>
      <w:r w:rsidRPr="00312DD6">
        <w:t>Letter to encourage use of a delayed prescribing sticker (to stick on a script), to encourage the patient to see if they improve before filling the script.</w:t>
      </w:r>
    </w:p>
    <w:p w14:paraId="4E0BFEAA" w14:textId="77777777" w:rsidR="007E335C" w:rsidRDefault="007E335C" w:rsidP="007E335C">
      <w:pPr>
        <w:pStyle w:val="Heading3"/>
      </w:pPr>
      <w:r>
        <w:t>1.4 Limitations</w:t>
      </w:r>
    </w:p>
    <w:p w14:paraId="3D3596D3" w14:textId="77777777" w:rsidR="007E335C" w:rsidRPr="00065B50" w:rsidRDefault="007E335C" w:rsidP="007E335C">
      <w:r>
        <w:t xml:space="preserve">This study uses data on prescriptions filled and not </w:t>
      </w:r>
      <w:r w:rsidRPr="00026A9C">
        <w:t>prescriptions dispensed by GPs</w:t>
      </w:r>
      <w:r>
        <w:t>.</w:t>
      </w:r>
      <w:r w:rsidRPr="00026A9C">
        <w:t xml:space="preserve"> In order</w:t>
      </w:r>
      <w:r>
        <w:t xml:space="preserve"> for a prescription </w:t>
      </w:r>
      <w:r w:rsidRPr="00026A9C">
        <w:t xml:space="preserve">to be counted </w:t>
      </w:r>
      <w:r>
        <w:t>a</w:t>
      </w:r>
      <w:r w:rsidRPr="00026A9C">
        <w:t xml:space="preserve"> patient must take the script to a pharmacy</w:t>
      </w:r>
      <w:r>
        <w:t xml:space="preserve"> and purchase the medication</w:t>
      </w:r>
      <w:r w:rsidRPr="00026A9C">
        <w:t>.</w:t>
      </w:r>
      <w:r>
        <w:t xml:space="preserve"> Therefore, any prescriptions dispensed by GPs and not subsequently filled will not be captured in this trial. </w:t>
      </w:r>
      <w:r w:rsidRPr="00026A9C">
        <w:t xml:space="preserve"> </w:t>
      </w:r>
    </w:p>
    <w:p w14:paraId="4BE7F90A" w14:textId="77777777" w:rsidR="007E335C" w:rsidRDefault="007E335C" w:rsidP="007E335C">
      <w:pPr>
        <w:pStyle w:val="Heading2"/>
      </w:pPr>
      <w:r>
        <w:t>2.1 Sampling</w:t>
      </w:r>
    </w:p>
    <w:p w14:paraId="1D49CD0D" w14:textId="77777777" w:rsidR="007E335C" w:rsidRPr="00BA7322" w:rsidRDefault="007E335C" w:rsidP="007E335C">
      <w:pPr>
        <w:pStyle w:val="Heading3"/>
      </w:pPr>
      <w:r>
        <w:t>2.1 Population and Sampling Frame</w:t>
      </w:r>
    </w:p>
    <w:p w14:paraId="334C2C16" w14:textId="77777777" w:rsidR="007E335C" w:rsidRPr="0085480C" w:rsidRDefault="007E335C" w:rsidP="007E335C">
      <w:r>
        <w:t xml:space="preserve">Our study examines the behaviour of a subclass of general practitioners in Australia who are identified on the basis of having high rates of prescription for antibiotics relative to prescription levels in their statistical region. Specifically, we examine prescription of the following eight antibiotics: Amoxicillin; Cephalexin; Amoxicillin with Clavulanic Acid; </w:t>
      </w:r>
      <w:proofErr w:type="spellStart"/>
      <w:r>
        <w:t>Roxithromycin</w:t>
      </w:r>
      <w:proofErr w:type="spellEnd"/>
      <w:r>
        <w:t xml:space="preserve">; Clarithromycin; Erythromycin; </w:t>
      </w:r>
      <w:proofErr w:type="spellStart"/>
      <w:r>
        <w:t>Cefaclor</w:t>
      </w:r>
      <w:proofErr w:type="spellEnd"/>
      <w:r>
        <w:t>; and Trimethoprim with Sulfamethoxazole.</w:t>
      </w:r>
    </w:p>
    <w:p w14:paraId="0C4422F5" w14:textId="2A314D87" w:rsidR="007E335C" w:rsidRDefault="007E335C" w:rsidP="007E335C">
      <w:r w:rsidRPr="00CE710E">
        <w:t xml:space="preserve">To identify this class we began with all general practitioners (GPs) in Australia, and excluded all non-GP prescribers, all prescribers with missing prescription data in the month preceding randomisation, and all prescribers with less than 50 scripts or less than 500 consults. </w:t>
      </w:r>
      <w:r w:rsidR="00CE710E">
        <w:t>There was also a small number of prescribers with prior prescribing rates that were well above the average prescription rate. To deal with this, we removed the top two per cent of prescribers. [</w:t>
      </w:r>
      <w:r w:rsidR="00CE710E" w:rsidRPr="00CE710E">
        <w:rPr>
          <w:i/>
        </w:rPr>
        <w:t xml:space="preserve">This paragraph </w:t>
      </w:r>
      <w:r w:rsidR="00CE710E">
        <w:rPr>
          <w:i/>
        </w:rPr>
        <w:t xml:space="preserve">was </w:t>
      </w:r>
      <w:r w:rsidR="00CE710E" w:rsidRPr="00CE710E">
        <w:rPr>
          <w:i/>
        </w:rPr>
        <w:t xml:space="preserve">edited </w:t>
      </w:r>
      <w:r w:rsidR="00CE710E">
        <w:rPr>
          <w:i/>
        </w:rPr>
        <w:t>post</w:t>
      </w:r>
      <w:r w:rsidR="00CE710E">
        <w:rPr>
          <w:i/>
        </w:rPr>
        <w:noBreakHyphen/>
        <w:t xml:space="preserve">trial </w:t>
      </w:r>
      <w:r w:rsidR="00CE710E" w:rsidRPr="00CE710E">
        <w:rPr>
          <w:i/>
        </w:rPr>
        <w:t>for clarity and accuracy.</w:t>
      </w:r>
      <w:r w:rsidR="00CE710E">
        <w:t>]</w:t>
      </w:r>
    </w:p>
    <w:p w14:paraId="2CFDD81D" w14:textId="77777777" w:rsidR="007E335C" w:rsidRDefault="007E335C" w:rsidP="007E335C">
      <w:r>
        <w:t xml:space="preserve">This initial filtering leaves us with a pool of 22,310 general practitioners that have reliable prescription data. Our subclass of interest in this analysis consists of general practitioners who are in the top 30 per cent of these prescribers in their region (defined by the ABS ASGS SA4), based on their average prescription rate over the 12 months prior to the trial. This gives a subclass of 6,649 individual general practitioners who are ‘high prescribers’. </w:t>
      </w:r>
    </w:p>
    <w:p w14:paraId="21589279" w14:textId="77777777" w:rsidR="007E335C" w:rsidRDefault="007E335C" w:rsidP="007E335C">
      <w:r>
        <w:t>Our sample was clustered at the clinic/practice level to prevent spill-over effects. Our 6,649 individual ‘high prescribing’ GPs were grouped into 3198 clusters (with an average of 2.07 individual GPs in each cluster). Clusters were randomised to five arms (</w:t>
      </w:r>
      <w:r w:rsidRPr="00054B3C">
        <w:t>the control group and four treatment groups</w:t>
      </w:r>
      <w:r>
        <w:t xml:space="preserve"> - see section 2.3 Randomisation). The result was </w:t>
      </w:r>
      <w:r w:rsidRPr="00C72FC5">
        <w:t xml:space="preserve">approximately 640 clusters in each of </w:t>
      </w:r>
      <w:r>
        <w:t>the five arms with e</w:t>
      </w:r>
      <w:r w:rsidRPr="00C72FC5">
        <w:t xml:space="preserve">ach arm </w:t>
      </w:r>
      <w:r>
        <w:t>containing</w:t>
      </w:r>
      <w:r w:rsidRPr="00C72FC5">
        <w:t xml:space="preserve"> approximately 1,330 </w:t>
      </w:r>
      <w:r>
        <w:t>individual general practitioners</w:t>
      </w:r>
      <w:r w:rsidRPr="00C72FC5">
        <w:t>.</w:t>
      </w:r>
    </w:p>
    <w:p w14:paraId="5DF7FFCD" w14:textId="77777777" w:rsidR="007E335C" w:rsidRDefault="007E335C" w:rsidP="007E335C">
      <w:pPr>
        <w:pStyle w:val="Heading3"/>
      </w:pPr>
      <w:r>
        <w:t>2.2 Power</w:t>
      </w:r>
    </w:p>
    <w:p w14:paraId="0E1D3F21" w14:textId="77777777" w:rsidR="007E335C" w:rsidRDefault="007E335C" w:rsidP="007E335C">
      <w:r>
        <w:t xml:space="preserve">Using historical prescription data we ran a regression of our pre-trial outcome variable on past prescriptions. We found that that past prescriptions explained 25% of the variation in our outcome variable </w:t>
      </w:r>
      <w:r w:rsidRPr="0092281D">
        <w:t>(R</w:t>
      </w:r>
      <w:r w:rsidRPr="0092281D">
        <w:rPr>
          <w:vertAlign w:val="superscript"/>
        </w:rPr>
        <w:t>2</w:t>
      </w:r>
      <w:r w:rsidRPr="0092281D">
        <w:t xml:space="preserve"> = 0.25)</w:t>
      </w:r>
      <w:r>
        <w:t>. Accounting for this explained variation reduced our pre-trial outcome standard deviation from 22.77 to 19.65</w:t>
      </w:r>
    </w:p>
    <w:p w14:paraId="130B9ECC" w14:textId="77777777" w:rsidR="007E335C" w:rsidRDefault="007E335C" w:rsidP="007E335C">
      <w:r>
        <w:lastRenderedPageBreak/>
        <w:t xml:space="preserve">As this is a cluster randomised trial, we also accounted for clustering of GPs at the clinic level in our sample size calculations. Using historical prescription data we calculated an </w:t>
      </w:r>
      <w:proofErr w:type="spellStart"/>
      <w:r>
        <w:t>i</w:t>
      </w:r>
      <w:r w:rsidRPr="006E46C0">
        <w:t>ntracluster</w:t>
      </w:r>
      <w:proofErr w:type="spellEnd"/>
      <w:r w:rsidRPr="006E46C0">
        <w:t xml:space="preserve"> correlation</w:t>
      </w:r>
      <w:r>
        <w:t xml:space="preserve"> coefficient (ICC)</w:t>
      </w:r>
      <w:r w:rsidRPr="006E46C0">
        <w:t xml:space="preserve"> </w:t>
      </w:r>
      <w:r>
        <w:t xml:space="preserve">of 0.26, an average cluster size of 2.07, and from these a design effect of 1.28. </w:t>
      </w:r>
    </w:p>
    <w:p w14:paraId="3FD7A85D" w14:textId="77777777" w:rsidR="007E335C" w:rsidRDefault="007E335C" w:rsidP="007E335C">
      <w:r>
        <w:t>Using our adjusted standard deviation and applying our design effect we calculate that a sample size of approximately 1,330 per group provides 90% power at a 5% significance level to detect a 2.75% reduction in the antibiotic prescription rate (from 100.4 to 97.7 scripts per 1,000 consults). This is a small standardised effect size (</w:t>
      </w:r>
      <w:r w:rsidRPr="0032144E">
        <w:rPr>
          <w:i/>
        </w:rPr>
        <w:t xml:space="preserve">d </w:t>
      </w:r>
      <w:r>
        <w:t>= 0.13).</w:t>
      </w:r>
    </w:p>
    <w:p w14:paraId="4F62D0B9" w14:textId="77777777" w:rsidR="007E335C" w:rsidRDefault="007E335C" w:rsidP="007E335C">
      <w:pPr>
        <w:pStyle w:val="Heading3"/>
      </w:pPr>
      <w:r>
        <w:t>2.3 Randomisation</w:t>
      </w:r>
    </w:p>
    <w:p w14:paraId="1CEE3A5A" w14:textId="77777777" w:rsidR="007E335C" w:rsidRDefault="007E335C" w:rsidP="007E335C">
      <w:r>
        <w:t xml:space="preserve">The five trial arms (control group and four treatment groups) were randomised </w:t>
      </w:r>
      <w:r w:rsidRPr="00065B50">
        <w:t xml:space="preserve">at the </w:t>
      </w:r>
      <w:r>
        <w:t>clinic/</w:t>
      </w:r>
      <w:r w:rsidRPr="00065B50">
        <w:t xml:space="preserve">practice level. Practices </w:t>
      </w:r>
      <w:r>
        <w:t xml:space="preserve">were </w:t>
      </w:r>
      <w:r w:rsidRPr="00065B50">
        <w:t xml:space="preserve">matched into quintuplets using an optimal greedy algorithm based on: </w:t>
      </w:r>
      <w:r>
        <w:t xml:space="preserve">the </w:t>
      </w:r>
      <w:r w:rsidRPr="00065B50">
        <w:t xml:space="preserve">number of </w:t>
      </w:r>
      <w:r>
        <w:t>general practitioners</w:t>
      </w:r>
      <w:r w:rsidRPr="00065B50">
        <w:t xml:space="preserve"> in the cluster</w:t>
      </w:r>
      <w:r>
        <w:t xml:space="preserve"> (this variable was given primacy for matching)</w:t>
      </w:r>
      <w:r w:rsidRPr="00065B50">
        <w:t>, cluster average prescription rate over the previous 12 months</w:t>
      </w:r>
      <w:r>
        <w:t>,</w:t>
      </w:r>
      <w:r w:rsidRPr="00065B50">
        <w:t xml:space="preserve"> and the cluster SEIFA score (a measure of socioeconomic advantage/disadvantage for the geographic area containing the practice).</w:t>
      </w:r>
      <w:r>
        <w:t xml:space="preserve"> Practices were randomised into five arms within each quintuplet. Both matching and randomisation were implemented using a custom R script utilising the </w:t>
      </w:r>
      <w:proofErr w:type="spellStart"/>
      <w:r>
        <w:t>blockTools</w:t>
      </w:r>
      <w:proofErr w:type="spellEnd"/>
      <w:r>
        <w:t xml:space="preserve"> package.</w:t>
      </w:r>
    </w:p>
    <w:p w14:paraId="7A414CCF" w14:textId="77777777" w:rsidR="007E335C" w:rsidRDefault="007E335C" w:rsidP="007E335C">
      <w:pPr>
        <w:pStyle w:val="Heading2"/>
      </w:pPr>
      <w:r>
        <w:t>3. Trial data</w:t>
      </w:r>
    </w:p>
    <w:p w14:paraId="362C914B" w14:textId="77777777" w:rsidR="007E335C" w:rsidRDefault="007E335C" w:rsidP="007E335C">
      <w:pPr>
        <w:pStyle w:val="Heading3"/>
      </w:pPr>
      <w:r>
        <w:t>3.2 Data collection and processing</w:t>
      </w:r>
    </w:p>
    <w:p w14:paraId="66CEB9E5" w14:textId="77777777" w:rsidR="007E335C" w:rsidRDefault="007E335C" w:rsidP="007E335C">
      <w:r>
        <w:t xml:space="preserve">Pre-randomisation data was extracted and post-randomisation data will be extracted from Commonwealth Government administrative systems. Data on prescriptions does not capture all scripts dispensed by GPs, instead it captures scripts filled. Consults data is captured by a different data collection, thus it is necessary to calculate prescription rates per 1,000 consults manually (see Section 4.1: Primary Outcome). </w:t>
      </w:r>
    </w:p>
    <w:p w14:paraId="23BE6341" w14:textId="77777777" w:rsidR="007E335C" w:rsidRDefault="007E335C" w:rsidP="007E335C">
      <w:r>
        <w:t>Pre</w:t>
      </w:r>
      <w:r>
        <w:noBreakHyphen/>
        <w:t>randomisation baseline data on GPs such as clinic address, name, sex, age and major specialty were extracted from the same administrative system. Regional average prescription rates, used as the comparator in the social norm letters, were calculated by averaging individual (12</w:t>
      </w:r>
      <w:r>
        <w:noBreakHyphen/>
        <w:t>month average) prescription rates in a given region (defined by the ABS ASGS SA4). Because there is sometimes ambiguity in clinic addresses, it was necessary to manually check and assign individual doctors to clinics to ensure the integrity of the clustering variable.</w:t>
      </w:r>
    </w:p>
    <w:p w14:paraId="59F27F04" w14:textId="77777777" w:rsidR="007E335C" w:rsidRDefault="007E335C" w:rsidP="007E335C">
      <w:r w:rsidRPr="00A82E11">
        <w:t>All data processing</w:t>
      </w:r>
      <w:r>
        <w:t xml:space="preserve"> and analysis</w:t>
      </w:r>
      <w:r w:rsidRPr="00A82E11">
        <w:t xml:space="preserve"> steps wi</w:t>
      </w:r>
      <w:r>
        <w:t>ll be performed using custom R script and will involve manual checks at each stage to ensure there are no errors introduced. Data will be collected on a rolling basis. We will receive preliminary data that may not contain all prescriptions prior to receiving finalised data. We will run analyses on the preliminary data that will be used for internal reporting purposes.</w:t>
      </w:r>
    </w:p>
    <w:p w14:paraId="46FFA474" w14:textId="77777777" w:rsidR="007E335C" w:rsidRDefault="007E335C" w:rsidP="007E335C">
      <w:pPr>
        <w:pStyle w:val="Heading3"/>
      </w:pPr>
      <w:r>
        <w:t>3.4 Missing data, attrition and non-compliance</w:t>
      </w:r>
    </w:p>
    <w:p w14:paraId="5854D479" w14:textId="77777777" w:rsidR="007E335C" w:rsidRDefault="007E335C" w:rsidP="007E335C">
      <w:r>
        <w:t xml:space="preserve">Based on past administrative data we expect there will be missing outcome data. We tried to minimise this possibility by excluding any prescriber with outcome data missing in the month before randomisation. This is detailed above in the filtering protocols in Section 2.1: Sampling. </w:t>
      </w:r>
    </w:p>
    <w:p w14:paraId="49681A18" w14:textId="77777777" w:rsidR="007E335C" w:rsidRDefault="007E335C" w:rsidP="007E335C">
      <w:r>
        <w:lastRenderedPageBreak/>
        <w:t xml:space="preserve">It will not be possible to determine the cause of </w:t>
      </w:r>
      <w:proofErr w:type="spellStart"/>
      <w:r>
        <w:t>missingness</w:t>
      </w:r>
      <w:proofErr w:type="spellEnd"/>
      <w:r>
        <w:t xml:space="preserve"> in our final outcome, nor will it be possible to verify if those in our treatment groups received and read the letters they were sent. However, because our data collection instrument is blind to assignment (data collection is mandated by regulatory processes and is collected for other reasons) and it is difficult to imagine a mechanism by which treatment could influence data collection, we expect missing data will not be statistically related to random allocation into the treatment groups.</w:t>
      </w:r>
    </w:p>
    <w:p w14:paraId="39BDF963" w14:textId="77777777" w:rsidR="007E335C" w:rsidRPr="00E970B1" w:rsidRDefault="007E335C" w:rsidP="007E335C">
      <w:r>
        <w:t xml:space="preserve">To test for asymmetrical </w:t>
      </w:r>
      <w:proofErr w:type="spellStart"/>
      <w:r>
        <w:t>missingness</w:t>
      </w:r>
      <w:proofErr w:type="spellEnd"/>
      <w:r>
        <w:t xml:space="preserve"> we will run a linear regression of an attrition indicator on treatment, baseline covariates and treatment-covariate interactions and perform an F-test of the hypothesis that all interaction coefficients are zero. The covariates in this regression will be the same as those used in the covariate balance test outlined at Section 4.2: Balance Checks.</w:t>
      </w:r>
    </w:p>
    <w:p w14:paraId="48152FAB" w14:textId="77777777" w:rsidR="007E335C" w:rsidRDefault="007E335C" w:rsidP="007E335C">
      <w:pPr>
        <w:pStyle w:val="Heading2"/>
      </w:pPr>
      <w:r>
        <w:t>4. Empirical Analysis</w:t>
      </w:r>
    </w:p>
    <w:p w14:paraId="6FD291C1" w14:textId="77777777" w:rsidR="007E335C" w:rsidRDefault="007E335C" w:rsidP="007E335C">
      <w:pPr>
        <w:pStyle w:val="Heading3"/>
      </w:pPr>
      <w:r>
        <w:t>4.1 Primary outcome</w:t>
      </w:r>
    </w:p>
    <w:p w14:paraId="7C2E82C2" w14:textId="77777777" w:rsidR="007E335C" w:rsidRDefault="007E335C" w:rsidP="007E335C">
      <w:r>
        <w:t>Our primary outcome is ‘number of prescriptions per 1,000 consults’. This rate is calculated for each prescriber by summing the number of scripts filled for the eight antibiotics of interest and dividing by the number of consults billed to the Medicare for that prescriber over the same period and then multiplying this by 1,000 to express it as a rate per 1,000 consults.</w:t>
      </w:r>
    </w:p>
    <w:p w14:paraId="1F5B512D" w14:textId="77777777" w:rsidR="007E335C" w:rsidRPr="0085480C" w:rsidRDefault="007E335C" w:rsidP="007E335C">
      <w:r>
        <w:t xml:space="preserve">The eight antibiotics of interest are: Amoxicillin, Cephalexin, Amoxicillin with Clavulanic Acid, </w:t>
      </w:r>
      <w:proofErr w:type="spellStart"/>
      <w:r>
        <w:t>Roxithromycin</w:t>
      </w:r>
      <w:proofErr w:type="spellEnd"/>
      <w:r>
        <w:t xml:space="preserve">, Clarithromycin, Erythromycin, </w:t>
      </w:r>
      <w:proofErr w:type="spellStart"/>
      <w:r>
        <w:t>Cefaclor</w:t>
      </w:r>
      <w:proofErr w:type="spellEnd"/>
      <w:r>
        <w:t xml:space="preserve">, </w:t>
      </w:r>
      <w:proofErr w:type="gramStart"/>
      <w:r>
        <w:t>Trimethoprim</w:t>
      </w:r>
      <w:proofErr w:type="gramEnd"/>
      <w:r>
        <w:t xml:space="preserve"> with Sulfamethoxazole.</w:t>
      </w:r>
    </w:p>
    <w:p w14:paraId="0D45F934" w14:textId="77777777" w:rsidR="007E335C" w:rsidRDefault="007E335C" w:rsidP="007E335C">
      <w:pPr>
        <w:pStyle w:val="Heading3"/>
      </w:pPr>
      <w:r>
        <w:t>4.2 Balance checks</w:t>
      </w:r>
    </w:p>
    <w:p w14:paraId="5075E8CD" w14:textId="77777777" w:rsidR="007E335C" w:rsidRDefault="007E335C" w:rsidP="007E335C">
      <w:r>
        <w:t>We will perform a multinomial logistic regression to judge whether observed covariate imbalances are larger than would normally be expected from chance alone. This involves regression of a treatment indicator on the covariates.</w:t>
      </w:r>
    </w:p>
    <w:p w14:paraId="5670E10E" w14:textId="77777777" w:rsidR="007E335C" w:rsidRDefault="007E335C" w:rsidP="007E335C">
      <w:r>
        <w:t>The covariates to be included in balance checks are: pre-randomisation prescription rate per 1,000 consults over the previous 12 months, age, sex, and state (with ACT/NSW and Vic/</w:t>
      </w:r>
      <w:proofErr w:type="spellStart"/>
      <w:r>
        <w:t>Tas</w:t>
      </w:r>
      <w:proofErr w:type="spellEnd"/>
      <w:r>
        <w:t xml:space="preserve"> combined).</w:t>
      </w:r>
    </w:p>
    <w:p w14:paraId="4376B518" w14:textId="77777777" w:rsidR="007E335C" w:rsidRPr="00F131C0" w:rsidRDefault="007E335C" w:rsidP="007E335C">
      <w:r>
        <w:t>A p-value of 0.01 or less will prompt a review of the random assignment procedure and possible data-handling mistakes. If the review finds no errors, we will report the imbalance test and proceed on the assumption that the imbalance is due to chance, and report estimates with and without covariate adjustment.</w:t>
      </w:r>
    </w:p>
    <w:p w14:paraId="3C0E3FD9" w14:textId="77777777" w:rsidR="007E335C" w:rsidRDefault="007E335C" w:rsidP="007E335C">
      <w:pPr>
        <w:pStyle w:val="Heading3"/>
      </w:pPr>
      <w:r>
        <w:t>4.3 Treatment Effect</w:t>
      </w:r>
    </w:p>
    <w:p w14:paraId="09B4316A" w14:textId="77777777" w:rsidR="007E335C" w:rsidRDefault="007E335C" w:rsidP="007E335C">
      <w:pPr>
        <w:jc w:val="both"/>
        <w:rPr>
          <w:rFonts w:cstheme="majorHAnsi"/>
          <w:lang w:val="en"/>
        </w:rPr>
      </w:pPr>
      <w:r w:rsidRPr="00AC08C7">
        <w:rPr>
          <w:rFonts w:cstheme="majorHAnsi"/>
          <w:lang w:val="en"/>
        </w:rPr>
        <w:t>Our primary analysis will be</w:t>
      </w:r>
      <w:r>
        <w:rPr>
          <w:rFonts w:cstheme="majorHAnsi"/>
          <w:lang w:val="en"/>
        </w:rPr>
        <w:t xml:space="preserve"> a regression analysis done on an</w:t>
      </w:r>
      <w:r w:rsidRPr="00AC08C7">
        <w:rPr>
          <w:rFonts w:cstheme="majorHAnsi"/>
          <w:lang w:val="en"/>
        </w:rPr>
        <w:t xml:space="preserve"> intent-to-treat </w:t>
      </w:r>
      <w:r>
        <w:rPr>
          <w:rFonts w:cstheme="majorHAnsi"/>
          <w:lang w:val="en"/>
        </w:rPr>
        <w:t>basis.  Our model will be some form of appropriate regression or general linear</w:t>
      </w:r>
      <w:r w:rsidRPr="00AC08C7">
        <w:rPr>
          <w:rFonts w:cstheme="majorHAnsi"/>
          <w:lang w:val="en"/>
        </w:rPr>
        <w:t xml:space="preserve"> model</w:t>
      </w:r>
      <w:r>
        <w:rPr>
          <w:rFonts w:cstheme="majorHAnsi"/>
          <w:lang w:val="en"/>
        </w:rPr>
        <w:t>.</w:t>
      </w:r>
    </w:p>
    <w:p w14:paraId="60D87138" w14:textId="77777777" w:rsidR="007E335C" w:rsidRDefault="007E335C" w:rsidP="007E335C">
      <w:pPr>
        <w:rPr>
          <w:rFonts w:cstheme="majorHAnsi"/>
          <w:lang w:val="en"/>
        </w:rPr>
      </w:pPr>
      <w:r w:rsidRPr="00AC08C7">
        <w:rPr>
          <w:rFonts w:cstheme="majorHAnsi"/>
          <w:lang w:val="en"/>
        </w:rPr>
        <w:t xml:space="preserve">We will begin our analysis by fitting a linear regression model </w:t>
      </w:r>
      <w:r>
        <w:rPr>
          <w:rFonts w:cstheme="majorHAnsi"/>
          <w:lang w:val="en"/>
        </w:rPr>
        <w:t xml:space="preserve">to the data with antibiotics prescriptions as the response variable, and with </w:t>
      </w:r>
      <w:r w:rsidRPr="00AC08C7">
        <w:rPr>
          <w:rFonts w:cstheme="majorHAnsi"/>
          <w:lang w:val="en"/>
        </w:rPr>
        <w:t>treatment groups</w:t>
      </w:r>
      <w:r>
        <w:rPr>
          <w:rFonts w:cstheme="majorHAnsi"/>
          <w:lang w:val="en"/>
        </w:rPr>
        <w:t xml:space="preserve"> </w:t>
      </w:r>
      <w:r w:rsidRPr="00AC08C7">
        <w:rPr>
          <w:rFonts w:cstheme="majorHAnsi"/>
          <w:lang w:val="en"/>
        </w:rPr>
        <w:t xml:space="preserve">and </w:t>
      </w:r>
      <w:r>
        <w:rPr>
          <w:rFonts w:cstheme="majorHAnsi"/>
          <w:lang w:val="en"/>
        </w:rPr>
        <w:t>pre-</w:t>
      </w:r>
      <w:proofErr w:type="spellStart"/>
      <w:r>
        <w:rPr>
          <w:rFonts w:cstheme="majorHAnsi"/>
          <w:lang w:val="en"/>
        </w:rPr>
        <w:t>randomisation</w:t>
      </w:r>
      <w:proofErr w:type="spellEnd"/>
      <w:r>
        <w:rPr>
          <w:rFonts w:cstheme="majorHAnsi"/>
          <w:lang w:val="en"/>
        </w:rPr>
        <w:t xml:space="preserve"> </w:t>
      </w:r>
      <w:r w:rsidRPr="00AC08C7">
        <w:rPr>
          <w:rFonts w:cstheme="majorHAnsi"/>
          <w:lang w:val="en"/>
        </w:rPr>
        <w:t>covariates</w:t>
      </w:r>
      <w:r>
        <w:rPr>
          <w:rFonts w:cstheme="majorHAnsi"/>
          <w:lang w:val="en"/>
        </w:rPr>
        <w:t xml:space="preserve"> (</w:t>
      </w:r>
      <w:r w:rsidRPr="00726EAE">
        <w:rPr>
          <w:rFonts w:cstheme="majorHAnsi"/>
          <w:lang w:val="en"/>
        </w:rPr>
        <w:t xml:space="preserve">see </w:t>
      </w:r>
      <w:r>
        <w:rPr>
          <w:rFonts w:cstheme="majorHAnsi"/>
          <w:lang w:val="en"/>
        </w:rPr>
        <w:t>S</w:t>
      </w:r>
      <w:r w:rsidRPr="00726EAE">
        <w:rPr>
          <w:rFonts w:cstheme="majorHAnsi"/>
          <w:lang w:val="en"/>
        </w:rPr>
        <w:t xml:space="preserve">ection </w:t>
      </w:r>
      <w:r>
        <w:rPr>
          <w:rFonts w:cstheme="majorHAnsi"/>
          <w:lang w:val="en"/>
        </w:rPr>
        <w:t>4.6)</w:t>
      </w:r>
      <w:r w:rsidRPr="00AC08C7">
        <w:rPr>
          <w:rFonts w:cstheme="majorHAnsi"/>
          <w:lang w:val="en"/>
        </w:rPr>
        <w:t xml:space="preserve"> as explanatory variables.</w:t>
      </w:r>
      <w:r>
        <w:rPr>
          <w:rFonts w:cstheme="majorHAnsi"/>
          <w:lang w:val="en"/>
        </w:rPr>
        <w:t xml:space="preserve"> The treatment groups and covariates are nominal variables and so will be included in the model as indicator variables. </w:t>
      </w:r>
      <w:r w:rsidRPr="00726EAE">
        <w:rPr>
          <w:rFonts w:cstheme="majorHAnsi"/>
          <w:lang w:val="en"/>
        </w:rPr>
        <w:t xml:space="preserve">To account for clustering due </w:t>
      </w:r>
      <w:r w:rsidRPr="00726EAE">
        <w:rPr>
          <w:rFonts w:cstheme="majorHAnsi"/>
          <w:lang w:val="en"/>
        </w:rPr>
        <w:lastRenderedPageBreak/>
        <w:t xml:space="preserve">to </w:t>
      </w:r>
      <w:proofErr w:type="spellStart"/>
      <w:r w:rsidRPr="00726EAE">
        <w:rPr>
          <w:rFonts w:cstheme="majorHAnsi"/>
          <w:lang w:val="en"/>
        </w:rPr>
        <w:t>randomising</w:t>
      </w:r>
      <w:proofErr w:type="spellEnd"/>
      <w:r w:rsidRPr="00726EAE">
        <w:rPr>
          <w:rFonts w:cstheme="majorHAnsi"/>
          <w:lang w:val="en"/>
        </w:rPr>
        <w:t xml:space="preserve"> at the clinic level, we will estimate clustered standard errors by including error term</w:t>
      </w:r>
      <w:r>
        <w:rPr>
          <w:rFonts w:cstheme="majorHAnsi"/>
          <w:lang w:val="en"/>
        </w:rPr>
        <w:t>s</w:t>
      </w:r>
      <w:r w:rsidRPr="00726EAE">
        <w:rPr>
          <w:rFonts w:cstheme="majorHAnsi"/>
          <w:lang w:val="en"/>
        </w:rPr>
        <w:t xml:space="preserve"> </w:t>
      </w:r>
      <w:r>
        <w:rPr>
          <w:rFonts w:cstheme="majorHAnsi"/>
          <w:lang w:val="en"/>
        </w:rPr>
        <w:t>for the</w:t>
      </w:r>
      <w:r w:rsidRPr="00726EAE">
        <w:rPr>
          <w:rFonts w:cstheme="majorHAnsi"/>
          <w:lang w:val="en"/>
        </w:rPr>
        <w:t xml:space="preserve"> clinic (cluster) level and</w:t>
      </w:r>
      <w:r w:rsidRPr="00726EAE">
        <w:rPr>
          <w:rFonts w:cstheme="majorHAnsi"/>
          <w:i/>
          <w:vertAlign w:val="subscript"/>
          <w:lang w:val="en"/>
        </w:rPr>
        <w:t xml:space="preserve"> </w:t>
      </w:r>
      <w:r>
        <w:rPr>
          <w:rFonts w:cstheme="majorHAnsi"/>
          <w:lang w:val="en"/>
        </w:rPr>
        <w:t>for the</w:t>
      </w:r>
      <w:r w:rsidRPr="00726EAE">
        <w:rPr>
          <w:rFonts w:cstheme="majorHAnsi"/>
          <w:lang w:val="en"/>
        </w:rPr>
        <w:t xml:space="preserve"> individual level</w:t>
      </w:r>
      <w:r>
        <w:rPr>
          <w:rFonts w:cstheme="majorHAnsi"/>
          <w:lang w:val="en"/>
        </w:rPr>
        <w:t>.</w:t>
      </w:r>
    </w:p>
    <w:p w14:paraId="6A7C56A5" w14:textId="77777777" w:rsidR="007E335C" w:rsidRDefault="007E335C" w:rsidP="007E335C">
      <w:pPr>
        <w:rPr>
          <w:rFonts w:cstheme="majorHAnsi"/>
          <w:lang w:val="en"/>
        </w:rPr>
      </w:pPr>
      <w:r>
        <w:rPr>
          <w:rFonts w:cstheme="majorHAnsi"/>
          <w:lang w:val="en"/>
        </w:rPr>
        <w:t xml:space="preserve">The above specification is an initial model form that will be adapted as required to produce a model with appropriate fit with model assumptions. Adaptation of the model could include a log transformation of our response variable or transformation of one or more (non-nominal) variables, changing the error distribution, changing the link function or making other changes. </w:t>
      </w:r>
      <w:r w:rsidRPr="009D00F6">
        <w:rPr>
          <w:rFonts w:cstheme="majorHAnsi"/>
          <w:lang w:val="en"/>
        </w:rPr>
        <w:t>All changes to the model form will be made on the basis of purely statistical considerations, seeking consistency of the data with model assumptions (based on diagnostic tests). In choosing an appropriate model form we will not allow consideration of effects on research outcomes.</w:t>
      </w:r>
    </w:p>
    <w:p w14:paraId="3F14E7F6" w14:textId="77777777" w:rsidR="007E335C" w:rsidRDefault="007E335C" w:rsidP="007E335C">
      <w:pPr>
        <w:rPr>
          <w:rFonts w:cstheme="majorHAnsi"/>
          <w:lang w:val="en"/>
        </w:rPr>
      </w:pPr>
      <w:r>
        <w:rPr>
          <w:rFonts w:cstheme="majorHAnsi"/>
          <w:lang w:val="en"/>
        </w:rPr>
        <w:t xml:space="preserve">If we find evidence of month-to-month variation we may use a difference-in-differences estimator instead of differences in means. If we also find evidence of year-to-year variation we may use a difference-in-difference-in-difference analysis, in either case we will present difference-in-means data in an appendix. </w:t>
      </w:r>
    </w:p>
    <w:p w14:paraId="2013910D" w14:textId="77777777" w:rsidR="007E335C" w:rsidRPr="00726EAE" w:rsidRDefault="007E335C" w:rsidP="007E335C">
      <w:pPr>
        <w:pStyle w:val="Heading3"/>
        <w:rPr>
          <w:lang w:val="en"/>
        </w:rPr>
      </w:pPr>
      <w:r>
        <w:rPr>
          <w:lang w:val="en"/>
        </w:rPr>
        <w:t>4.4 Hypothesis tests</w:t>
      </w:r>
    </w:p>
    <w:p w14:paraId="29B05A8B" w14:textId="77777777" w:rsidR="007E335C" w:rsidRPr="0081175E" w:rsidRDefault="007E335C" w:rsidP="007E335C">
      <w:pPr>
        <w:pStyle w:val="ListParagraph"/>
        <w:numPr>
          <w:ilvl w:val="0"/>
          <w:numId w:val="34"/>
        </w:numPr>
        <w:spacing w:before="0" w:after="160" w:line="259" w:lineRule="auto"/>
        <w:contextualSpacing/>
        <w:rPr>
          <w:lang w:val="en"/>
        </w:rPr>
      </w:pPr>
      <w:r w:rsidRPr="00FA5208">
        <w:rPr>
          <w:lang w:val="en"/>
        </w:rPr>
        <w:t>We will compare all treatment groups to the control</w:t>
      </w:r>
      <w:r>
        <w:rPr>
          <w:lang w:val="en"/>
        </w:rPr>
        <w:t xml:space="preserve"> group</w:t>
      </w:r>
      <w:r w:rsidRPr="00FA5208">
        <w:rPr>
          <w:lang w:val="en"/>
        </w:rPr>
        <w:t>.</w:t>
      </w:r>
      <w:r>
        <w:rPr>
          <w:lang w:val="en"/>
        </w:rPr>
        <w:t xml:space="preserve"> To avoid problems arising from multiple comparisons we will conduct an initial F-test on the set of all four treatment groups to see if there is evidence of any regression relationship arising from this set. If this test yields evidence of an effect then we will conduct individual t-tests on each treatment group to find which groups show evidence of an effect. </w:t>
      </w:r>
    </w:p>
    <w:p w14:paraId="6D8E5086" w14:textId="77777777" w:rsidR="007E335C" w:rsidRDefault="007E335C" w:rsidP="007E335C">
      <w:pPr>
        <w:pStyle w:val="ListParagraph"/>
        <w:numPr>
          <w:ilvl w:val="0"/>
          <w:numId w:val="34"/>
        </w:numPr>
        <w:spacing w:before="0" w:after="160" w:line="259" w:lineRule="auto"/>
        <w:contextualSpacing/>
        <w:rPr>
          <w:lang w:val="en"/>
        </w:rPr>
      </w:pPr>
      <w:r w:rsidRPr="00FA5208">
        <w:rPr>
          <w:lang w:val="en"/>
        </w:rPr>
        <w:t xml:space="preserve">Any groups </w:t>
      </w:r>
      <w:r>
        <w:rPr>
          <w:lang w:val="en"/>
        </w:rPr>
        <w:t>with effects that are</w:t>
      </w:r>
      <w:r w:rsidRPr="00FA5208">
        <w:rPr>
          <w:lang w:val="en"/>
        </w:rPr>
        <w:t xml:space="preserve"> </w:t>
      </w:r>
      <w:r>
        <w:rPr>
          <w:lang w:val="en"/>
        </w:rPr>
        <w:t xml:space="preserve">both </w:t>
      </w:r>
      <w:r w:rsidRPr="00FA5208">
        <w:rPr>
          <w:lang w:val="en"/>
        </w:rPr>
        <w:t>statistical</w:t>
      </w:r>
      <w:r>
        <w:rPr>
          <w:lang w:val="en"/>
        </w:rPr>
        <w:t>ly and practically different from control</w:t>
      </w:r>
      <w:r w:rsidRPr="00FA5208">
        <w:rPr>
          <w:lang w:val="en"/>
        </w:rPr>
        <w:t xml:space="preserve"> will be compared to</w:t>
      </w:r>
      <w:r>
        <w:rPr>
          <w:lang w:val="en"/>
        </w:rPr>
        <w:t xml:space="preserve"> each other </w:t>
      </w:r>
      <w:r w:rsidRPr="00FA5208">
        <w:rPr>
          <w:lang w:val="en"/>
        </w:rPr>
        <w:t>to determine superiority.</w:t>
      </w:r>
    </w:p>
    <w:p w14:paraId="07B41035" w14:textId="77777777" w:rsidR="007E335C" w:rsidRDefault="007E335C" w:rsidP="007E335C">
      <w:pPr>
        <w:pStyle w:val="ListParagraph"/>
        <w:numPr>
          <w:ilvl w:val="0"/>
          <w:numId w:val="34"/>
        </w:numPr>
        <w:spacing w:before="0" w:after="160" w:line="259" w:lineRule="auto"/>
        <w:contextualSpacing/>
        <w:rPr>
          <w:lang w:val="en"/>
        </w:rPr>
      </w:pPr>
      <w:r>
        <w:rPr>
          <w:lang w:val="en"/>
        </w:rPr>
        <w:t>Pre-specified subgroup analyses (see Section 4.7: Subgroups) will be conducted for control vs social norm and control vs delayed prescribing treatments.</w:t>
      </w:r>
    </w:p>
    <w:p w14:paraId="21DE678B" w14:textId="77777777" w:rsidR="007E335C" w:rsidRDefault="007E335C" w:rsidP="007E335C">
      <w:pPr>
        <w:pStyle w:val="Heading3"/>
        <w:rPr>
          <w:lang w:val="en"/>
        </w:rPr>
      </w:pPr>
      <w:r>
        <w:rPr>
          <w:lang w:val="en"/>
        </w:rPr>
        <w:t>4.5 Accounting for matching</w:t>
      </w:r>
    </w:p>
    <w:p w14:paraId="6C37125D" w14:textId="77777777" w:rsidR="007E335C" w:rsidRDefault="007E335C" w:rsidP="007E335C">
      <w:pPr>
        <w:rPr>
          <w:lang w:val="en"/>
        </w:rPr>
      </w:pPr>
      <w:r>
        <w:rPr>
          <w:lang w:val="en"/>
        </w:rPr>
        <w:t xml:space="preserve">Matching is accounted for in the above model by the inclusion of the </w:t>
      </w:r>
      <w:proofErr w:type="spellStart"/>
      <w:r>
        <w:rPr>
          <w:lang w:val="en"/>
        </w:rPr>
        <w:t>randomisation</w:t>
      </w:r>
      <w:proofErr w:type="spellEnd"/>
      <w:r>
        <w:rPr>
          <w:lang w:val="en"/>
        </w:rPr>
        <w:t xml:space="preserve"> block for each prescriber. This nominal variable will filter out any effects that are attributable to differences between prescribers arising from differences in </w:t>
      </w:r>
      <w:proofErr w:type="spellStart"/>
      <w:r>
        <w:rPr>
          <w:lang w:val="en"/>
        </w:rPr>
        <w:t>randomisation</w:t>
      </w:r>
      <w:proofErr w:type="spellEnd"/>
      <w:r>
        <w:rPr>
          <w:lang w:val="en"/>
        </w:rPr>
        <w:t xml:space="preserve"> blocks (for example, socioeconomic differences in populations for different blocks).</w:t>
      </w:r>
    </w:p>
    <w:p w14:paraId="17C875F2" w14:textId="77777777" w:rsidR="007E335C" w:rsidRPr="00975FE9" w:rsidRDefault="007E335C" w:rsidP="007E335C">
      <w:pPr>
        <w:rPr>
          <w:lang w:val="en"/>
        </w:rPr>
      </w:pPr>
      <w:r>
        <w:rPr>
          <w:lang w:val="en"/>
        </w:rPr>
        <w:t xml:space="preserve">Because of the potential for missing data, accounting for matching in our estimation equations may be problematic, as one missing cluster will necessitate dropping the block. If there is a substantial amount of missing data then it may become infeasible to include the </w:t>
      </w:r>
      <w:proofErr w:type="spellStart"/>
      <w:r>
        <w:rPr>
          <w:lang w:val="en"/>
        </w:rPr>
        <w:t>randomisation</w:t>
      </w:r>
      <w:proofErr w:type="spellEnd"/>
      <w:r>
        <w:rPr>
          <w:lang w:val="en"/>
        </w:rPr>
        <w:t xml:space="preserve"> block in the model, in which case we may choose to drop this variable from the analysis. We will make this decision upon assessing the extent of </w:t>
      </w:r>
      <w:proofErr w:type="spellStart"/>
      <w:r>
        <w:rPr>
          <w:lang w:val="en"/>
        </w:rPr>
        <w:t>missingness</w:t>
      </w:r>
      <w:proofErr w:type="spellEnd"/>
      <w:r>
        <w:rPr>
          <w:lang w:val="en"/>
        </w:rPr>
        <w:t xml:space="preserve"> in our final dataset. Regardless of our decision we will report both estimates in an appendix to enable readers to gauge the sensitivity of this decision.</w:t>
      </w:r>
    </w:p>
    <w:p w14:paraId="006177A5" w14:textId="77777777" w:rsidR="007E335C" w:rsidRDefault="007E335C" w:rsidP="007E335C">
      <w:pPr>
        <w:pStyle w:val="Heading3"/>
        <w:rPr>
          <w:lang w:val="en"/>
        </w:rPr>
      </w:pPr>
      <w:r>
        <w:rPr>
          <w:lang w:val="en"/>
        </w:rPr>
        <w:t xml:space="preserve">4.6 </w:t>
      </w:r>
      <w:r w:rsidRPr="0087682A">
        <w:rPr>
          <w:lang w:val="en"/>
        </w:rPr>
        <w:t>Covariates</w:t>
      </w:r>
    </w:p>
    <w:p w14:paraId="3637A74B" w14:textId="77777777" w:rsidR="007E335C" w:rsidRDefault="007E335C" w:rsidP="007E335C">
      <w:pPr>
        <w:rPr>
          <w:lang w:val="en"/>
        </w:rPr>
      </w:pPr>
      <w:r>
        <w:rPr>
          <w:lang w:val="en"/>
        </w:rPr>
        <w:t>The pre-</w:t>
      </w:r>
      <w:proofErr w:type="spellStart"/>
      <w:r>
        <w:rPr>
          <w:lang w:val="en"/>
        </w:rPr>
        <w:t>randomisation</w:t>
      </w:r>
      <w:proofErr w:type="spellEnd"/>
      <w:r>
        <w:rPr>
          <w:lang w:val="en"/>
        </w:rPr>
        <w:t xml:space="preserve"> covariates included in the above model are the age and sex of the prescriber, and the </w:t>
      </w:r>
      <w:r w:rsidRPr="00726EAE">
        <w:rPr>
          <w:lang w:val="en"/>
        </w:rPr>
        <w:t>average prescription rate over the 12 months preceding the trial</w:t>
      </w:r>
      <w:r>
        <w:rPr>
          <w:lang w:val="en"/>
        </w:rPr>
        <w:t xml:space="preserve"> for each prescriber.</w:t>
      </w:r>
    </w:p>
    <w:p w14:paraId="1019C47D" w14:textId="77777777" w:rsidR="007E335C" w:rsidRDefault="007E335C" w:rsidP="007E335C">
      <w:pPr>
        <w:pStyle w:val="Heading3"/>
        <w:rPr>
          <w:lang w:val="en"/>
        </w:rPr>
      </w:pPr>
      <w:r>
        <w:rPr>
          <w:lang w:val="en"/>
        </w:rPr>
        <w:lastRenderedPageBreak/>
        <w:t>4.7 Subgroups</w:t>
      </w:r>
    </w:p>
    <w:p w14:paraId="4793A1E9" w14:textId="7DDE4608" w:rsidR="007E335C" w:rsidRDefault="007E335C" w:rsidP="007E335C">
      <w:pPr>
        <w:rPr>
          <w:lang w:val="en"/>
        </w:rPr>
      </w:pPr>
      <w:r w:rsidRPr="00C72FC5">
        <w:rPr>
          <w:lang w:val="en"/>
        </w:rPr>
        <w:t>As part of our primary analysis, we will perform one pre-specified subgroup comparison</w:t>
      </w:r>
      <w:r>
        <w:rPr>
          <w:lang w:val="en"/>
        </w:rPr>
        <w:t>, comparing treatment effects among</w:t>
      </w:r>
      <w:r w:rsidRPr="00C72FC5">
        <w:rPr>
          <w:lang w:val="en"/>
        </w:rPr>
        <w:t xml:space="preserve"> high and low prescribers (top 15% co</w:t>
      </w:r>
      <w:r>
        <w:rPr>
          <w:lang w:val="en"/>
        </w:rPr>
        <w:t>mpared to the next lowest 15%). If our social norm groups are found to be different from the control group but not different from each other</w:t>
      </w:r>
      <w:r w:rsidR="00762B9C">
        <w:rPr>
          <w:lang w:val="en"/>
        </w:rPr>
        <w:t>,</w:t>
      </w:r>
      <w:r w:rsidRPr="00C72FC5">
        <w:rPr>
          <w:lang w:val="en"/>
        </w:rPr>
        <w:t xml:space="preserve"> then these</w:t>
      </w:r>
      <w:r>
        <w:rPr>
          <w:lang w:val="en"/>
        </w:rPr>
        <w:t xml:space="preserve"> groups</w:t>
      </w:r>
      <w:r w:rsidRPr="00C72FC5">
        <w:rPr>
          <w:lang w:val="en"/>
        </w:rPr>
        <w:t xml:space="preserve"> wil</w:t>
      </w:r>
      <w:r>
        <w:rPr>
          <w:lang w:val="en"/>
        </w:rPr>
        <w:t>l be pooled for this analysis.</w:t>
      </w:r>
    </w:p>
    <w:p w14:paraId="05B751D2" w14:textId="77777777" w:rsidR="007E335C" w:rsidRDefault="007E335C" w:rsidP="007E335C">
      <w:pPr>
        <w:rPr>
          <w:lang w:val="en"/>
        </w:rPr>
      </w:pPr>
      <w:r w:rsidRPr="00C72FC5">
        <w:rPr>
          <w:lang w:val="en"/>
        </w:rPr>
        <w:t>We will interact a binary indicator variable indicating whether an individual is a low or high prescriber (relative to our sample of the top 30% of prescrib</w:t>
      </w:r>
      <w:r>
        <w:rPr>
          <w:lang w:val="en"/>
        </w:rPr>
        <w:t xml:space="preserve">ers) with treatment indicators. </w:t>
      </w:r>
      <w:r w:rsidRPr="00C72FC5">
        <w:rPr>
          <w:lang w:val="en"/>
        </w:rPr>
        <w:t xml:space="preserve">We will also perform a similar analysis </w:t>
      </w:r>
      <w:r>
        <w:rPr>
          <w:lang w:val="en"/>
        </w:rPr>
        <w:t>by</w:t>
      </w:r>
      <w:r w:rsidRPr="00C72FC5">
        <w:rPr>
          <w:lang w:val="en"/>
        </w:rPr>
        <w:t xml:space="preserve"> interacting a continuous prescription percentile variable</w:t>
      </w:r>
      <w:r>
        <w:rPr>
          <w:lang w:val="en"/>
        </w:rPr>
        <w:t>.</w:t>
      </w:r>
    </w:p>
    <w:p w14:paraId="64CAA786" w14:textId="77777777" w:rsidR="007E335C" w:rsidRPr="00C72FC5" w:rsidRDefault="007E335C" w:rsidP="007E335C">
      <w:pPr>
        <w:rPr>
          <w:lang w:val="en"/>
        </w:rPr>
      </w:pPr>
      <w:r>
        <w:rPr>
          <w:lang w:val="en"/>
        </w:rPr>
        <w:t xml:space="preserve">A number of secondary subgroup analyses will also be performed. These will include comparisons of </w:t>
      </w:r>
      <w:r w:rsidRPr="00612D38">
        <w:rPr>
          <w:lang w:val="en"/>
        </w:rPr>
        <w:t xml:space="preserve">older vs younger prescribers, </w:t>
      </w:r>
      <w:r>
        <w:rPr>
          <w:lang w:val="en"/>
        </w:rPr>
        <w:t>male vs female prescribers, and comparisons based on socioeconomic status of area and</w:t>
      </w:r>
      <w:r w:rsidRPr="00612D38">
        <w:rPr>
          <w:lang w:val="en"/>
        </w:rPr>
        <w:t xml:space="preserve"> remoteness. </w:t>
      </w:r>
      <w:r>
        <w:rPr>
          <w:lang w:val="en"/>
        </w:rPr>
        <w:t>T</w:t>
      </w:r>
      <w:r w:rsidRPr="00612D38">
        <w:rPr>
          <w:lang w:val="en"/>
        </w:rPr>
        <w:t xml:space="preserve">hese analyses </w:t>
      </w:r>
      <w:r>
        <w:rPr>
          <w:lang w:val="en"/>
        </w:rPr>
        <w:t xml:space="preserve">will be </w:t>
      </w:r>
      <w:r w:rsidRPr="00612D38">
        <w:rPr>
          <w:lang w:val="en"/>
        </w:rPr>
        <w:t>considered exploratory.</w:t>
      </w:r>
    </w:p>
    <w:p w14:paraId="4D89AF66" w14:textId="77777777" w:rsidR="007E335C" w:rsidRDefault="007E335C" w:rsidP="007E335C">
      <w:pPr>
        <w:pStyle w:val="Heading3"/>
      </w:pPr>
      <w:r>
        <w:t>4.8 Standard Error Adjustments</w:t>
      </w:r>
    </w:p>
    <w:p w14:paraId="361AAF3A" w14:textId="77777777" w:rsidR="007E335C" w:rsidRPr="00D45C4E" w:rsidRDefault="007E335C" w:rsidP="007E335C">
      <w:r>
        <w:t xml:space="preserve">As recommended by </w:t>
      </w:r>
      <w:proofErr w:type="spellStart"/>
      <w:r w:rsidRPr="001C1AD4">
        <w:t>Imbens</w:t>
      </w:r>
      <w:proofErr w:type="spellEnd"/>
      <w:r w:rsidRPr="001C1AD4">
        <w:t xml:space="preserve"> and </w:t>
      </w:r>
      <w:proofErr w:type="spellStart"/>
      <w:r w:rsidRPr="001C1AD4">
        <w:t>Kolesár</w:t>
      </w:r>
      <w:proofErr w:type="spellEnd"/>
      <w:r w:rsidRPr="001C1AD4">
        <w:t xml:space="preserve"> (2016)</w:t>
      </w:r>
      <w:r>
        <w:t>, we will perform</w:t>
      </w:r>
      <w:r w:rsidRPr="001C1AD4">
        <w:t xml:space="preserve"> </w:t>
      </w:r>
      <w:r>
        <w:t>the Bell</w:t>
      </w:r>
      <w:r>
        <w:noBreakHyphen/>
      </w:r>
      <w:r w:rsidRPr="001C1AD4">
        <w:t>McCaffrey adjustment for standard errors and confidence intervals</w:t>
      </w:r>
      <w:r>
        <w:t xml:space="preserve">. This combines a </w:t>
      </w:r>
      <w:r w:rsidRPr="008537C3">
        <w:t>bias</w:t>
      </w:r>
      <w:r>
        <w:noBreakHyphen/>
      </w:r>
      <w:r w:rsidRPr="008537C3">
        <w:t>reduced</w:t>
      </w:r>
      <w:r w:rsidRPr="001C1AD4">
        <w:t xml:space="preserve"> </w:t>
      </w:r>
      <w:r>
        <w:t>heteroscedasticity/cluster robust standard error with a degrees</w:t>
      </w:r>
      <w:r>
        <w:noBreakHyphen/>
        <w:t>of</w:t>
      </w:r>
      <w:r>
        <w:noBreakHyphen/>
        <w:t>freedom adjustment.</w:t>
      </w:r>
    </w:p>
    <w:p w14:paraId="38C10F60" w14:textId="77777777" w:rsidR="007E335C" w:rsidRDefault="007E335C" w:rsidP="007E335C">
      <w:pPr>
        <w:pStyle w:val="Heading3"/>
      </w:pPr>
      <w:r>
        <w:t xml:space="preserve">4.9 </w:t>
      </w:r>
      <w:proofErr w:type="spellStart"/>
      <w:r>
        <w:t>Timepoints</w:t>
      </w:r>
      <w:proofErr w:type="spellEnd"/>
    </w:p>
    <w:p w14:paraId="61779E67" w14:textId="77777777" w:rsidR="007E335C" w:rsidRPr="00AB3E60" w:rsidRDefault="007E335C" w:rsidP="007E335C">
      <w:r>
        <w:t xml:space="preserve">Our primary analysis will include monthly time points, potentially to 12 months post intervention. We will perform the analyses specified in Section 4.3: Treatments for each month. However, if a treatment group is not different from control by the second month we will cease making comparisons for that group. If no treatment groups are significantly different from control by the second month, primary analysis of the trial will cease. </w:t>
      </w:r>
    </w:p>
    <w:p w14:paraId="4504CF07" w14:textId="77777777" w:rsidR="007E335C" w:rsidRDefault="007E335C" w:rsidP="007E335C">
      <w:pPr>
        <w:pStyle w:val="Heading3"/>
      </w:pPr>
      <w:r>
        <w:t>4.10 Multiple comparisons</w:t>
      </w:r>
    </w:p>
    <w:p w14:paraId="648711D0" w14:textId="77777777" w:rsidR="007E335C" w:rsidRDefault="007E335C" w:rsidP="007E335C">
      <w:r>
        <w:t xml:space="preserve">As stated above, when conducting tests for effects from multiple categories of prescriber (e.g., when we compare the treatment groups to the control group) we will account for multiple comparisons by first testing for an effect in the </w:t>
      </w:r>
      <w:r w:rsidRPr="000F00F5">
        <w:rPr>
          <w:i/>
        </w:rPr>
        <w:t>set</w:t>
      </w:r>
      <w:r>
        <w:t xml:space="preserve"> of categories, using appropriate statistical tests such as F-tests.  If no evidence of an effect is found at this level then we will conclude that there is no effect </w:t>
      </w:r>
      <w:r w:rsidRPr="000F00F5">
        <w:rPr>
          <w:i/>
        </w:rPr>
        <w:t>even if one or more of the individual categories would have shown an effect</w:t>
      </w:r>
      <w:r>
        <w:rPr>
          <w:i/>
        </w:rPr>
        <w:t xml:space="preserve"> in an individual test</w:t>
      </w:r>
      <w:r>
        <w:t>.  This protocol ensures that we do not implicitly “cherry-pick” categories based on low p-values in tests of effects in the regression model.</w:t>
      </w:r>
    </w:p>
    <w:p w14:paraId="2CC34356" w14:textId="77777777" w:rsidR="007E335C" w:rsidRDefault="007E335C" w:rsidP="007E335C">
      <w:pPr>
        <w:pStyle w:val="Heading2"/>
      </w:pPr>
      <w:r>
        <w:t>5. Reporting</w:t>
      </w:r>
    </w:p>
    <w:p w14:paraId="59FB0DDC" w14:textId="77777777" w:rsidR="007E335C" w:rsidRDefault="007E335C" w:rsidP="00166C5B">
      <w:pPr>
        <w:pStyle w:val="Heading3"/>
      </w:pPr>
      <w:r>
        <w:t xml:space="preserve">5.1 Deviation from this pre-analysis plan. </w:t>
      </w:r>
    </w:p>
    <w:p w14:paraId="0F4FA60A" w14:textId="77777777" w:rsidR="007E335C" w:rsidRDefault="007E335C" w:rsidP="007E335C">
      <w:r>
        <w:t xml:space="preserve">If our final report contains analyses that deviate from this plan we will make it clear that these analyses not pre-specified and provide justification for them. Conversely, if we omit pre-specified analyses we will make these available as supplementary material. In either case, deviation from the pre-analysis plan will be driven solely by statistical considerations and will not be influenced by any consideration of differences in findings on the research outcomes that would occur under different </w:t>
      </w:r>
      <w:r>
        <w:lastRenderedPageBreak/>
        <w:t>model forms or methods of analysis.  If findings on the research outcomes are sensitive to different plausible model forms or methods of analysis then we will report this fact in our analysis.</w:t>
      </w:r>
    </w:p>
    <w:p w14:paraId="7DA17D6F" w14:textId="77777777" w:rsidR="007E335C" w:rsidRDefault="007E335C" w:rsidP="00166C5B">
      <w:pPr>
        <w:pStyle w:val="Heading3"/>
      </w:pPr>
      <w:r>
        <w:t>5.2 Outcome tables</w:t>
      </w:r>
    </w:p>
    <w:p w14:paraId="3756072E" w14:textId="77777777" w:rsidR="007E335C" w:rsidRDefault="007E335C" w:rsidP="007E335C">
      <w:pPr>
        <w:pStyle w:val="Heading4"/>
      </w:pPr>
      <w:r>
        <w:t>Baseline characteristics and balance</w:t>
      </w:r>
    </w:p>
    <w:tbl>
      <w:tblPr>
        <w:tblStyle w:val="TableGrid"/>
        <w:tblW w:w="0" w:type="auto"/>
        <w:tblLook w:val="04A0" w:firstRow="1" w:lastRow="0" w:firstColumn="1" w:lastColumn="0" w:noHBand="0" w:noVBand="1"/>
        <w:tblCaption w:val="Baseline characteristics and balance"/>
        <w:tblDescription w:val="Blank outcomes table of baseline characteristics and balance across the control and four letter groups."/>
      </w:tblPr>
      <w:tblGrid>
        <w:gridCol w:w="1766"/>
        <w:gridCol w:w="1502"/>
        <w:gridCol w:w="1503"/>
        <w:gridCol w:w="1503"/>
        <w:gridCol w:w="1503"/>
        <w:gridCol w:w="1503"/>
      </w:tblGrid>
      <w:tr w:rsidR="007E335C" w:rsidRPr="00BF20CF" w14:paraId="4D955B18" w14:textId="77777777" w:rsidTr="00891E54">
        <w:tc>
          <w:tcPr>
            <w:tcW w:w="1641" w:type="dxa"/>
          </w:tcPr>
          <w:p w14:paraId="7A5E534A" w14:textId="77777777" w:rsidR="007E335C" w:rsidRPr="00BF20CF" w:rsidRDefault="007E335C" w:rsidP="00891E54">
            <w:pPr>
              <w:rPr>
                <w:sz w:val="18"/>
                <w:szCs w:val="18"/>
              </w:rPr>
            </w:pPr>
          </w:p>
        </w:tc>
        <w:tc>
          <w:tcPr>
            <w:tcW w:w="1502" w:type="dxa"/>
          </w:tcPr>
          <w:p w14:paraId="0FAE2716" w14:textId="77777777" w:rsidR="007E335C" w:rsidRPr="00BF20CF" w:rsidRDefault="007E335C" w:rsidP="00891E54">
            <w:pPr>
              <w:rPr>
                <w:sz w:val="18"/>
                <w:szCs w:val="18"/>
              </w:rPr>
            </w:pPr>
            <w:r w:rsidRPr="00BF20CF">
              <w:rPr>
                <w:sz w:val="18"/>
                <w:szCs w:val="18"/>
              </w:rPr>
              <w:t>Control (n = )</w:t>
            </w:r>
          </w:p>
        </w:tc>
        <w:tc>
          <w:tcPr>
            <w:tcW w:w="1503" w:type="dxa"/>
          </w:tcPr>
          <w:p w14:paraId="271E2B5E" w14:textId="77777777" w:rsidR="007E335C" w:rsidRPr="00BF20CF" w:rsidRDefault="007E335C" w:rsidP="00891E54">
            <w:pPr>
              <w:rPr>
                <w:sz w:val="18"/>
                <w:szCs w:val="18"/>
              </w:rPr>
            </w:pPr>
            <w:r w:rsidRPr="00BF20CF">
              <w:rPr>
                <w:sz w:val="18"/>
                <w:szCs w:val="18"/>
              </w:rPr>
              <w:t>Education (n = )</w:t>
            </w:r>
          </w:p>
        </w:tc>
        <w:tc>
          <w:tcPr>
            <w:tcW w:w="1503" w:type="dxa"/>
          </w:tcPr>
          <w:p w14:paraId="4B728DB7" w14:textId="77777777" w:rsidR="007E335C" w:rsidRPr="00BF20CF" w:rsidRDefault="007E335C" w:rsidP="00891E54">
            <w:pPr>
              <w:rPr>
                <w:sz w:val="18"/>
                <w:szCs w:val="18"/>
              </w:rPr>
            </w:pPr>
            <w:r w:rsidRPr="00BF20CF">
              <w:rPr>
                <w:sz w:val="18"/>
                <w:szCs w:val="18"/>
              </w:rPr>
              <w:t>Education + social norm (n = )</w:t>
            </w:r>
          </w:p>
        </w:tc>
        <w:tc>
          <w:tcPr>
            <w:tcW w:w="1503" w:type="dxa"/>
          </w:tcPr>
          <w:p w14:paraId="04B373C9" w14:textId="77777777" w:rsidR="007E335C" w:rsidRPr="00BF20CF" w:rsidRDefault="007E335C" w:rsidP="00891E54">
            <w:pPr>
              <w:rPr>
                <w:sz w:val="18"/>
                <w:szCs w:val="18"/>
              </w:rPr>
            </w:pPr>
            <w:r w:rsidRPr="00BF20CF">
              <w:rPr>
                <w:sz w:val="18"/>
                <w:szCs w:val="18"/>
              </w:rPr>
              <w:t>Social Norm (n = )</w:t>
            </w:r>
          </w:p>
        </w:tc>
        <w:tc>
          <w:tcPr>
            <w:tcW w:w="1503" w:type="dxa"/>
          </w:tcPr>
          <w:p w14:paraId="736D9260" w14:textId="77777777" w:rsidR="007E335C" w:rsidRPr="00BF20CF" w:rsidRDefault="007E335C" w:rsidP="00891E54">
            <w:pPr>
              <w:rPr>
                <w:sz w:val="18"/>
                <w:szCs w:val="18"/>
              </w:rPr>
            </w:pPr>
            <w:r w:rsidRPr="00BF20CF">
              <w:rPr>
                <w:sz w:val="18"/>
                <w:szCs w:val="18"/>
              </w:rPr>
              <w:t>Delayed prescribing (n = )</w:t>
            </w:r>
          </w:p>
        </w:tc>
      </w:tr>
      <w:tr w:rsidR="007E335C" w:rsidRPr="00BF20CF" w14:paraId="3ED1AD57" w14:textId="77777777" w:rsidTr="00891E54">
        <w:tc>
          <w:tcPr>
            <w:tcW w:w="1641" w:type="dxa"/>
          </w:tcPr>
          <w:p w14:paraId="75D4890C" w14:textId="77777777" w:rsidR="007E335C" w:rsidRPr="00BF20CF" w:rsidRDefault="007E335C" w:rsidP="00891E54">
            <w:pPr>
              <w:rPr>
                <w:sz w:val="18"/>
                <w:szCs w:val="18"/>
              </w:rPr>
            </w:pPr>
            <w:r w:rsidRPr="00BF20CF">
              <w:rPr>
                <w:sz w:val="18"/>
                <w:szCs w:val="18"/>
              </w:rPr>
              <w:t xml:space="preserve">Baseline prescription rate per 1,000 </w:t>
            </w:r>
          </w:p>
        </w:tc>
        <w:tc>
          <w:tcPr>
            <w:tcW w:w="1502" w:type="dxa"/>
          </w:tcPr>
          <w:p w14:paraId="759A8FAF" w14:textId="77777777" w:rsidR="007E335C" w:rsidRPr="00BF20CF" w:rsidRDefault="007E335C" w:rsidP="00891E54">
            <w:pPr>
              <w:rPr>
                <w:sz w:val="18"/>
                <w:szCs w:val="18"/>
              </w:rPr>
            </w:pPr>
          </w:p>
        </w:tc>
        <w:tc>
          <w:tcPr>
            <w:tcW w:w="1503" w:type="dxa"/>
          </w:tcPr>
          <w:p w14:paraId="4587365E" w14:textId="77777777" w:rsidR="007E335C" w:rsidRPr="00BF20CF" w:rsidRDefault="007E335C" w:rsidP="00891E54">
            <w:pPr>
              <w:rPr>
                <w:sz w:val="18"/>
                <w:szCs w:val="18"/>
              </w:rPr>
            </w:pPr>
          </w:p>
        </w:tc>
        <w:tc>
          <w:tcPr>
            <w:tcW w:w="1503" w:type="dxa"/>
          </w:tcPr>
          <w:p w14:paraId="6F3D8F7C" w14:textId="77777777" w:rsidR="007E335C" w:rsidRPr="00BF20CF" w:rsidRDefault="007E335C" w:rsidP="00891E54">
            <w:pPr>
              <w:rPr>
                <w:sz w:val="18"/>
                <w:szCs w:val="18"/>
              </w:rPr>
            </w:pPr>
          </w:p>
        </w:tc>
        <w:tc>
          <w:tcPr>
            <w:tcW w:w="1503" w:type="dxa"/>
          </w:tcPr>
          <w:p w14:paraId="27B671FF" w14:textId="77777777" w:rsidR="007E335C" w:rsidRPr="00BF20CF" w:rsidRDefault="007E335C" w:rsidP="00891E54">
            <w:pPr>
              <w:rPr>
                <w:sz w:val="18"/>
                <w:szCs w:val="18"/>
              </w:rPr>
            </w:pPr>
          </w:p>
        </w:tc>
        <w:tc>
          <w:tcPr>
            <w:tcW w:w="1503" w:type="dxa"/>
          </w:tcPr>
          <w:p w14:paraId="1D40177C" w14:textId="77777777" w:rsidR="007E335C" w:rsidRPr="00BF20CF" w:rsidRDefault="007E335C" w:rsidP="00891E54">
            <w:pPr>
              <w:rPr>
                <w:sz w:val="18"/>
                <w:szCs w:val="18"/>
              </w:rPr>
            </w:pPr>
          </w:p>
        </w:tc>
      </w:tr>
      <w:tr w:rsidR="007E335C" w:rsidRPr="00BF20CF" w14:paraId="57EABE87" w14:textId="77777777" w:rsidTr="00891E54">
        <w:tc>
          <w:tcPr>
            <w:tcW w:w="1641" w:type="dxa"/>
          </w:tcPr>
          <w:p w14:paraId="0CF3AC6A" w14:textId="77777777" w:rsidR="007E335C" w:rsidRPr="00BF20CF" w:rsidRDefault="007E335C" w:rsidP="00891E54">
            <w:pPr>
              <w:rPr>
                <w:sz w:val="18"/>
                <w:szCs w:val="18"/>
              </w:rPr>
            </w:pPr>
            <w:r w:rsidRPr="00BF20CF">
              <w:rPr>
                <w:sz w:val="18"/>
                <w:szCs w:val="18"/>
              </w:rPr>
              <w:t>Age (years)</w:t>
            </w:r>
          </w:p>
        </w:tc>
        <w:tc>
          <w:tcPr>
            <w:tcW w:w="1502" w:type="dxa"/>
          </w:tcPr>
          <w:p w14:paraId="7B2A0EC2" w14:textId="77777777" w:rsidR="007E335C" w:rsidRPr="00BF20CF" w:rsidRDefault="007E335C" w:rsidP="00891E54">
            <w:pPr>
              <w:rPr>
                <w:sz w:val="18"/>
                <w:szCs w:val="18"/>
              </w:rPr>
            </w:pPr>
          </w:p>
        </w:tc>
        <w:tc>
          <w:tcPr>
            <w:tcW w:w="1503" w:type="dxa"/>
          </w:tcPr>
          <w:p w14:paraId="178527C8" w14:textId="77777777" w:rsidR="007E335C" w:rsidRPr="00BF20CF" w:rsidRDefault="007E335C" w:rsidP="00891E54">
            <w:pPr>
              <w:rPr>
                <w:sz w:val="18"/>
                <w:szCs w:val="18"/>
              </w:rPr>
            </w:pPr>
          </w:p>
        </w:tc>
        <w:tc>
          <w:tcPr>
            <w:tcW w:w="1503" w:type="dxa"/>
          </w:tcPr>
          <w:p w14:paraId="6A53EE82" w14:textId="77777777" w:rsidR="007E335C" w:rsidRPr="00BF20CF" w:rsidRDefault="007E335C" w:rsidP="00891E54">
            <w:pPr>
              <w:rPr>
                <w:sz w:val="18"/>
                <w:szCs w:val="18"/>
              </w:rPr>
            </w:pPr>
          </w:p>
        </w:tc>
        <w:tc>
          <w:tcPr>
            <w:tcW w:w="1503" w:type="dxa"/>
          </w:tcPr>
          <w:p w14:paraId="30F1DCAD" w14:textId="77777777" w:rsidR="007E335C" w:rsidRPr="00BF20CF" w:rsidRDefault="007E335C" w:rsidP="00891E54">
            <w:pPr>
              <w:rPr>
                <w:sz w:val="18"/>
                <w:szCs w:val="18"/>
              </w:rPr>
            </w:pPr>
          </w:p>
        </w:tc>
        <w:tc>
          <w:tcPr>
            <w:tcW w:w="1503" w:type="dxa"/>
          </w:tcPr>
          <w:p w14:paraId="49AB9E75" w14:textId="77777777" w:rsidR="007E335C" w:rsidRPr="00BF20CF" w:rsidRDefault="007E335C" w:rsidP="00891E54">
            <w:pPr>
              <w:rPr>
                <w:sz w:val="18"/>
                <w:szCs w:val="18"/>
              </w:rPr>
            </w:pPr>
          </w:p>
        </w:tc>
      </w:tr>
      <w:tr w:rsidR="007E335C" w:rsidRPr="00BF20CF" w14:paraId="624C97E6" w14:textId="77777777" w:rsidTr="00891E54">
        <w:tc>
          <w:tcPr>
            <w:tcW w:w="1641" w:type="dxa"/>
          </w:tcPr>
          <w:p w14:paraId="639C1A95" w14:textId="77777777" w:rsidR="007E335C" w:rsidRPr="00BF20CF" w:rsidRDefault="007E335C" w:rsidP="00891E54">
            <w:pPr>
              <w:rPr>
                <w:sz w:val="18"/>
                <w:szCs w:val="18"/>
              </w:rPr>
            </w:pPr>
            <w:r w:rsidRPr="00BF20CF">
              <w:rPr>
                <w:sz w:val="18"/>
                <w:szCs w:val="18"/>
              </w:rPr>
              <w:t>Sex (female)</w:t>
            </w:r>
          </w:p>
        </w:tc>
        <w:tc>
          <w:tcPr>
            <w:tcW w:w="1502" w:type="dxa"/>
          </w:tcPr>
          <w:p w14:paraId="76B4A24A" w14:textId="77777777" w:rsidR="007E335C" w:rsidRPr="00BF20CF" w:rsidRDefault="007E335C" w:rsidP="00891E54">
            <w:pPr>
              <w:rPr>
                <w:sz w:val="18"/>
                <w:szCs w:val="18"/>
              </w:rPr>
            </w:pPr>
          </w:p>
        </w:tc>
        <w:tc>
          <w:tcPr>
            <w:tcW w:w="1503" w:type="dxa"/>
          </w:tcPr>
          <w:p w14:paraId="0AC2DAC3" w14:textId="77777777" w:rsidR="007E335C" w:rsidRPr="00BF20CF" w:rsidRDefault="007E335C" w:rsidP="00891E54">
            <w:pPr>
              <w:rPr>
                <w:sz w:val="18"/>
                <w:szCs w:val="18"/>
              </w:rPr>
            </w:pPr>
          </w:p>
        </w:tc>
        <w:tc>
          <w:tcPr>
            <w:tcW w:w="1503" w:type="dxa"/>
          </w:tcPr>
          <w:p w14:paraId="704F1147" w14:textId="77777777" w:rsidR="007E335C" w:rsidRPr="00BF20CF" w:rsidRDefault="007E335C" w:rsidP="00891E54">
            <w:pPr>
              <w:rPr>
                <w:sz w:val="18"/>
                <w:szCs w:val="18"/>
              </w:rPr>
            </w:pPr>
          </w:p>
        </w:tc>
        <w:tc>
          <w:tcPr>
            <w:tcW w:w="1503" w:type="dxa"/>
          </w:tcPr>
          <w:p w14:paraId="2456B19A" w14:textId="77777777" w:rsidR="007E335C" w:rsidRPr="00BF20CF" w:rsidRDefault="007E335C" w:rsidP="00891E54">
            <w:pPr>
              <w:rPr>
                <w:sz w:val="18"/>
                <w:szCs w:val="18"/>
              </w:rPr>
            </w:pPr>
          </w:p>
        </w:tc>
        <w:tc>
          <w:tcPr>
            <w:tcW w:w="1503" w:type="dxa"/>
          </w:tcPr>
          <w:p w14:paraId="2CE82E7F" w14:textId="77777777" w:rsidR="007E335C" w:rsidRPr="00BF20CF" w:rsidRDefault="007E335C" w:rsidP="00891E54">
            <w:pPr>
              <w:rPr>
                <w:sz w:val="18"/>
                <w:szCs w:val="18"/>
              </w:rPr>
            </w:pPr>
          </w:p>
        </w:tc>
      </w:tr>
      <w:tr w:rsidR="007E335C" w:rsidRPr="00BF20CF" w14:paraId="490F1DFE" w14:textId="77777777" w:rsidTr="00891E54">
        <w:tc>
          <w:tcPr>
            <w:tcW w:w="1641" w:type="dxa"/>
          </w:tcPr>
          <w:p w14:paraId="2F6C439F" w14:textId="77777777" w:rsidR="007E335C" w:rsidRPr="00BF20CF" w:rsidRDefault="007E335C" w:rsidP="00891E54">
            <w:pPr>
              <w:rPr>
                <w:sz w:val="18"/>
                <w:szCs w:val="18"/>
              </w:rPr>
            </w:pPr>
            <w:r w:rsidRPr="00BF20CF">
              <w:rPr>
                <w:sz w:val="18"/>
                <w:szCs w:val="18"/>
              </w:rPr>
              <w:t>SEIFA score</w:t>
            </w:r>
          </w:p>
        </w:tc>
        <w:tc>
          <w:tcPr>
            <w:tcW w:w="1502" w:type="dxa"/>
          </w:tcPr>
          <w:p w14:paraId="676B0845" w14:textId="77777777" w:rsidR="007E335C" w:rsidRPr="00BF20CF" w:rsidRDefault="007E335C" w:rsidP="00891E54">
            <w:pPr>
              <w:rPr>
                <w:sz w:val="18"/>
                <w:szCs w:val="18"/>
              </w:rPr>
            </w:pPr>
          </w:p>
        </w:tc>
        <w:tc>
          <w:tcPr>
            <w:tcW w:w="1503" w:type="dxa"/>
          </w:tcPr>
          <w:p w14:paraId="10293349" w14:textId="77777777" w:rsidR="007E335C" w:rsidRPr="00BF20CF" w:rsidRDefault="007E335C" w:rsidP="00891E54">
            <w:pPr>
              <w:rPr>
                <w:sz w:val="18"/>
                <w:szCs w:val="18"/>
              </w:rPr>
            </w:pPr>
          </w:p>
        </w:tc>
        <w:tc>
          <w:tcPr>
            <w:tcW w:w="1503" w:type="dxa"/>
          </w:tcPr>
          <w:p w14:paraId="17A1206F" w14:textId="77777777" w:rsidR="007E335C" w:rsidRPr="00BF20CF" w:rsidRDefault="007E335C" w:rsidP="00891E54">
            <w:pPr>
              <w:rPr>
                <w:sz w:val="18"/>
                <w:szCs w:val="18"/>
              </w:rPr>
            </w:pPr>
          </w:p>
        </w:tc>
        <w:tc>
          <w:tcPr>
            <w:tcW w:w="1503" w:type="dxa"/>
          </w:tcPr>
          <w:p w14:paraId="1B65FC8C" w14:textId="77777777" w:rsidR="007E335C" w:rsidRPr="00BF20CF" w:rsidRDefault="007E335C" w:rsidP="00891E54">
            <w:pPr>
              <w:rPr>
                <w:sz w:val="18"/>
                <w:szCs w:val="18"/>
              </w:rPr>
            </w:pPr>
          </w:p>
        </w:tc>
        <w:tc>
          <w:tcPr>
            <w:tcW w:w="1503" w:type="dxa"/>
          </w:tcPr>
          <w:p w14:paraId="32963F82" w14:textId="77777777" w:rsidR="007E335C" w:rsidRPr="00BF20CF" w:rsidRDefault="007E335C" w:rsidP="00891E54">
            <w:pPr>
              <w:rPr>
                <w:sz w:val="18"/>
                <w:szCs w:val="18"/>
              </w:rPr>
            </w:pPr>
          </w:p>
        </w:tc>
      </w:tr>
      <w:tr w:rsidR="007E335C" w:rsidRPr="00BF20CF" w14:paraId="42ADF490" w14:textId="77777777" w:rsidTr="00891E54">
        <w:tc>
          <w:tcPr>
            <w:tcW w:w="1641" w:type="dxa"/>
          </w:tcPr>
          <w:p w14:paraId="63FE62DA" w14:textId="3927EA3C" w:rsidR="007E335C" w:rsidRPr="00BF20CF" w:rsidRDefault="007E335C" w:rsidP="00891E54">
            <w:pPr>
              <w:rPr>
                <w:sz w:val="18"/>
                <w:szCs w:val="18"/>
              </w:rPr>
            </w:pPr>
            <w:r w:rsidRPr="00BF20CF">
              <w:rPr>
                <w:sz w:val="18"/>
                <w:szCs w:val="18"/>
              </w:rPr>
              <w:t>State    SA</w:t>
            </w:r>
          </w:p>
        </w:tc>
        <w:tc>
          <w:tcPr>
            <w:tcW w:w="1502" w:type="dxa"/>
          </w:tcPr>
          <w:p w14:paraId="31232D46" w14:textId="77777777" w:rsidR="007E335C" w:rsidRPr="00BF20CF" w:rsidRDefault="007E335C" w:rsidP="00891E54">
            <w:pPr>
              <w:rPr>
                <w:sz w:val="18"/>
                <w:szCs w:val="18"/>
              </w:rPr>
            </w:pPr>
          </w:p>
        </w:tc>
        <w:tc>
          <w:tcPr>
            <w:tcW w:w="1503" w:type="dxa"/>
          </w:tcPr>
          <w:p w14:paraId="2D8C955F" w14:textId="77777777" w:rsidR="007E335C" w:rsidRPr="00BF20CF" w:rsidRDefault="007E335C" w:rsidP="00891E54">
            <w:pPr>
              <w:rPr>
                <w:sz w:val="18"/>
                <w:szCs w:val="18"/>
              </w:rPr>
            </w:pPr>
          </w:p>
        </w:tc>
        <w:tc>
          <w:tcPr>
            <w:tcW w:w="1503" w:type="dxa"/>
          </w:tcPr>
          <w:p w14:paraId="054B272C" w14:textId="77777777" w:rsidR="007E335C" w:rsidRPr="00BF20CF" w:rsidRDefault="007E335C" w:rsidP="00891E54">
            <w:pPr>
              <w:rPr>
                <w:sz w:val="18"/>
                <w:szCs w:val="18"/>
              </w:rPr>
            </w:pPr>
          </w:p>
        </w:tc>
        <w:tc>
          <w:tcPr>
            <w:tcW w:w="1503" w:type="dxa"/>
          </w:tcPr>
          <w:p w14:paraId="2F2A654E" w14:textId="77777777" w:rsidR="007E335C" w:rsidRPr="00BF20CF" w:rsidRDefault="007E335C" w:rsidP="00891E54">
            <w:pPr>
              <w:rPr>
                <w:sz w:val="18"/>
                <w:szCs w:val="18"/>
              </w:rPr>
            </w:pPr>
          </w:p>
        </w:tc>
        <w:tc>
          <w:tcPr>
            <w:tcW w:w="1503" w:type="dxa"/>
          </w:tcPr>
          <w:p w14:paraId="087D1C29" w14:textId="77777777" w:rsidR="007E335C" w:rsidRPr="00BF20CF" w:rsidRDefault="007E335C" w:rsidP="00891E54">
            <w:pPr>
              <w:rPr>
                <w:sz w:val="18"/>
                <w:szCs w:val="18"/>
              </w:rPr>
            </w:pPr>
          </w:p>
        </w:tc>
      </w:tr>
      <w:tr w:rsidR="007E335C" w:rsidRPr="00BF20CF" w14:paraId="0E24536D" w14:textId="77777777" w:rsidTr="00891E54">
        <w:tc>
          <w:tcPr>
            <w:tcW w:w="1641" w:type="dxa"/>
          </w:tcPr>
          <w:p w14:paraId="268BFD79" w14:textId="77777777" w:rsidR="007E335C" w:rsidRPr="00BF20CF" w:rsidRDefault="007E335C" w:rsidP="00891E54">
            <w:pPr>
              <w:ind w:left="720"/>
              <w:rPr>
                <w:sz w:val="18"/>
                <w:szCs w:val="18"/>
              </w:rPr>
            </w:pPr>
            <w:r w:rsidRPr="00BF20CF">
              <w:rPr>
                <w:sz w:val="18"/>
                <w:szCs w:val="18"/>
              </w:rPr>
              <w:t>NSW/ACT</w:t>
            </w:r>
          </w:p>
        </w:tc>
        <w:tc>
          <w:tcPr>
            <w:tcW w:w="1502" w:type="dxa"/>
          </w:tcPr>
          <w:p w14:paraId="6387D788" w14:textId="77777777" w:rsidR="007E335C" w:rsidRPr="00BF20CF" w:rsidRDefault="007E335C" w:rsidP="00891E54">
            <w:pPr>
              <w:rPr>
                <w:sz w:val="18"/>
                <w:szCs w:val="18"/>
              </w:rPr>
            </w:pPr>
          </w:p>
        </w:tc>
        <w:tc>
          <w:tcPr>
            <w:tcW w:w="1503" w:type="dxa"/>
          </w:tcPr>
          <w:p w14:paraId="6D646EAB" w14:textId="77777777" w:rsidR="007E335C" w:rsidRPr="00BF20CF" w:rsidRDefault="007E335C" w:rsidP="00891E54">
            <w:pPr>
              <w:rPr>
                <w:sz w:val="18"/>
                <w:szCs w:val="18"/>
              </w:rPr>
            </w:pPr>
          </w:p>
        </w:tc>
        <w:tc>
          <w:tcPr>
            <w:tcW w:w="1503" w:type="dxa"/>
          </w:tcPr>
          <w:p w14:paraId="40F69666" w14:textId="77777777" w:rsidR="007E335C" w:rsidRPr="00BF20CF" w:rsidRDefault="007E335C" w:rsidP="00891E54">
            <w:pPr>
              <w:rPr>
                <w:sz w:val="18"/>
                <w:szCs w:val="18"/>
              </w:rPr>
            </w:pPr>
          </w:p>
        </w:tc>
        <w:tc>
          <w:tcPr>
            <w:tcW w:w="1503" w:type="dxa"/>
          </w:tcPr>
          <w:p w14:paraId="4EF49FB2" w14:textId="77777777" w:rsidR="007E335C" w:rsidRPr="00BF20CF" w:rsidRDefault="007E335C" w:rsidP="00891E54">
            <w:pPr>
              <w:rPr>
                <w:sz w:val="18"/>
                <w:szCs w:val="18"/>
              </w:rPr>
            </w:pPr>
          </w:p>
        </w:tc>
        <w:tc>
          <w:tcPr>
            <w:tcW w:w="1503" w:type="dxa"/>
          </w:tcPr>
          <w:p w14:paraId="199F44EF" w14:textId="77777777" w:rsidR="007E335C" w:rsidRPr="00BF20CF" w:rsidRDefault="007E335C" w:rsidP="00891E54">
            <w:pPr>
              <w:rPr>
                <w:sz w:val="18"/>
                <w:szCs w:val="18"/>
              </w:rPr>
            </w:pPr>
          </w:p>
        </w:tc>
      </w:tr>
      <w:tr w:rsidR="007E335C" w:rsidRPr="00BF20CF" w14:paraId="4FF314E3" w14:textId="77777777" w:rsidTr="00891E54">
        <w:tc>
          <w:tcPr>
            <w:tcW w:w="1641" w:type="dxa"/>
          </w:tcPr>
          <w:p w14:paraId="22A144D5" w14:textId="77777777" w:rsidR="007E335C" w:rsidRPr="00BF20CF" w:rsidRDefault="007E335C" w:rsidP="00891E54">
            <w:pPr>
              <w:ind w:left="720"/>
              <w:rPr>
                <w:sz w:val="18"/>
                <w:szCs w:val="18"/>
              </w:rPr>
            </w:pPr>
            <w:r w:rsidRPr="00BF20CF">
              <w:rPr>
                <w:sz w:val="18"/>
                <w:szCs w:val="18"/>
              </w:rPr>
              <w:t>WA</w:t>
            </w:r>
          </w:p>
        </w:tc>
        <w:tc>
          <w:tcPr>
            <w:tcW w:w="1502" w:type="dxa"/>
          </w:tcPr>
          <w:p w14:paraId="1FDA56C1" w14:textId="77777777" w:rsidR="007E335C" w:rsidRPr="00BF20CF" w:rsidRDefault="007E335C" w:rsidP="00891E54">
            <w:pPr>
              <w:rPr>
                <w:sz w:val="18"/>
                <w:szCs w:val="18"/>
              </w:rPr>
            </w:pPr>
          </w:p>
        </w:tc>
        <w:tc>
          <w:tcPr>
            <w:tcW w:w="1503" w:type="dxa"/>
          </w:tcPr>
          <w:p w14:paraId="163EE682" w14:textId="77777777" w:rsidR="007E335C" w:rsidRPr="00BF20CF" w:rsidRDefault="007E335C" w:rsidP="00891E54">
            <w:pPr>
              <w:rPr>
                <w:sz w:val="18"/>
                <w:szCs w:val="18"/>
              </w:rPr>
            </w:pPr>
          </w:p>
        </w:tc>
        <w:tc>
          <w:tcPr>
            <w:tcW w:w="1503" w:type="dxa"/>
          </w:tcPr>
          <w:p w14:paraId="061DCC24" w14:textId="77777777" w:rsidR="007E335C" w:rsidRPr="00BF20CF" w:rsidRDefault="007E335C" w:rsidP="00891E54">
            <w:pPr>
              <w:rPr>
                <w:sz w:val="18"/>
                <w:szCs w:val="18"/>
              </w:rPr>
            </w:pPr>
          </w:p>
        </w:tc>
        <w:tc>
          <w:tcPr>
            <w:tcW w:w="1503" w:type="dxa"/>
          </w:tcPr>
          <w:p w14:paraId="402D3C6C" w14:textId="77777777" w:rsidR="007E335C" w:rsidRPr="00BF20CF" w:rsidRDefault="007E335C" w:rsidP="00891E54">
            <w:pPr>
              <w:rPr>
                <w:sz w:val="18"/>
                <w:szCs w:val="18"/>
              </w:rPr>
            </w:pPr>
          </w:p>
        </w:tc>
        <w:tc>
          <w:tcPr>
            <w:tcW w:w="1503" w:type="dxa"/>
          </w:tcPr>
          <w:p w14:paraId="2273CFAE" w14:textId="77777777" w:rsidR="007E335C" w:rsidRPr="00BF20CF" w:rsidRDefault="007E335C" w:rsidP="00891E54">
            <w:pPr>
              <w:rPr>
                <w:sz w:val="18"/>
                <w:szCs w:val="18"/>
              </w:rPr>
            </w:pPr>
          </w:p>
        </w:tc>
      </w:tr>
      <w:tr w:rsidR="007E335C" w:rsidRPr="00BF20CF" w14:paraId="37B2FFB6" w14:textId="77777777" w:rsidTr="00891E54">
        <w:tc>
          <w:tcPr>
            <w:tcW w:w="1641" w:type="dxa"/>
          </w:tcPr>
          <w:p w14:paraId="3B7517AA" w14:textId="77777777" w:rsidR="007E335C" w:rsidRPr="00BF20CF" w:rsidRDefault="007E335C" w:rsidP="00891E54">
            <w:pPr>
              <w:ind w:left="720"/>
              <w:rPr>
                <w:sz w:val="18"/>
                <w:szCs w:val="18"/>
              </w:rPr>
            </w:pPr>
            <w:r w:rsidRPr="00BF20CF">
              <w:rPr>
                <w:sz w:val="18"/>
                <w:szCs w:val="18"/>
              </w:rPr>
              <w:t>Vic/</w:t>
            </w:r>
            <w:proofErr w:type="spellStart"/>
            <w:r w:rsidRPr="00BF20CF">
              <w:rPr>
                <w:sz w:val="18"/>
                <w:szCs w:val="18"/>
              </w:rPr>
              <w:t>Tas</w:t>
            </w:r>
            <w:proofErr w:type="spellEnd"/>
          </w:p>
        </w:tc>
        <w:tc>
          <w:tcPr>
            <w:tcW w:w="1502" w:type="dxa"/>
          </w:tcPr>
          <w:p w14:paraId="1619AE60" w14:textId="77777777" w:rsidR="007E335C" w:rsidRPr="00BF20CF" w:rsidRDefault="007E335C" w:rsidP="00891E54">
            <w:pPr>
              <w:rPr>
                <w:sz w:val="18"/>
                <w:szCs w:val="18"/>
              </w:rPr>
            </w:pPr>
          </w:p>
        </w:tc>
        <w:tc>
          <w:tcPr>
            <w:tcW w:w="1503" w:type="dxa"/>
          </w:tcPr>
          <w:p w14:paraId="724355A4" w14:textId="77777777" w:rsidR="007E335C" w:rsidRPr="00BF20CF" w:rsidRDefault="007E335C" w:rsidP="00891E54">
            <w:pPr>
              <w:rPr>
                <w:sz w:val="18"/>
                <w:szCs w:val="18"/>
              </w:rPr>
            </w:pPr>
          </w:p>
        </w:tc>
        <w:tc>
          <w:tcPr>
            <w:tcW w:w="1503" w:type="dxa"/>
          </w:tcPr>
          <w:p w14:paraId="1C395A55" w14:textId="77777777" w:rsidR="007E335C" w:rsidRPr="00BF20CF" w:rsidRDefault="007E335C" w:rsidP="00891E54">
            <w:pPr>
              <w:rPr>
                <w:sz w:val="18"/>
                <w:szCs w:val="18"/>
              </w:rPr>
            </w:pPr>
          </w:p>
        </w:tc>
        <w:tc>
          <w:tcPr>
            <w:tcW w:w="1503" w:type="dxa"/>
          </w:tcPr>
          <w:p w14:paraId="5F4B3C21" w14:textId="77777777" w:rsidR="007E335C" w:rsidRPr="00BF20CF" w:rsidRDefault="007E335C" w:rsidP="00891E54">
            <w:pPr>
              <w:rPr>
                <w:sz w:val="18"/>
                <w:szCs w:val="18"/>
              </w:rPr>
            </w:pPr>
          </w:p>
        </w:tc>
        <w:tc>
          <w:tcPr>
            <w:tcW w:w="1503" w:type="dxa"/>
          </w:tcPr>
          <w:p w14:paraId="644EA23E" w14:textId="77777777" w:rsidR="007E335C" w:rsidRPr="00BF20CF" w:rsidRDefault="007E335C" w:rsidP="00891E54">
            <w:pPr>
              <w:rPr>
                <w:sz w:val="18"/>
                <w:szCs w:val="18"/>
              </w:rPr>
            </w:pPr>
          </w:p>
        </w:tc>
      </w:tr>
      <w:tr w:rsidR="007E335C" w:rsidRPr="00BF20CF" w14:paraId="046FB2DE" w14:textId="77777777" w:rsidTr="00891E54">
        <w:tc>
          <w:tcPr>
            <w:tcW w:w="1641" w:type="dxa"/>
          </w:tcPr>
          <w:p w14:paraId="6908C520" w14:textId="77777777" w:rsidR="007E335C" w:rsidRPr="00BF20CF" w:rsidRDefault="007E335C" w:rsidP="00891E54">
            <w:pPr>
              <w:ind w:left="720"/>
              <w:rPr>
                <w:sz w:val="18"/>
                <w:szCs w:val="18"/>
              </w:rPr>
            </w:pPr>
            <w:r w:rsidRPr="00BF20CF">
              <w:rPr>
                <w:sz w:val="18"/>
                <w:szCs w:val="18"/>
              </w:rPr>
              <w:t>Qld</w:t>
            </w:r>
          </w:p>
        </w:tc>
        <w:tc>
          <w:tcPr>
            <w:tcW w:w="1502" w:type="dxa"/>
          </w:tcPr>
          <w:p w14:paraId="107F5EEE" w14:textId="77777777" w:rsidR="007E335C" w:rsidRPr="00BF20CF" w:rsidRDefault="007E335C" w:rsidP="00891E54">
            <w:pPr>
              <w:rPr>
                <w:sz w:val="18"/>
                <w:szCs w:val="18"/>
              </w:rPr>
            </w:pPr>
          </w:p>
        </w:tc>
        <w:tc>
          <w:tcPr>
            <w:tcW w:w="1503" w:type="dxa"/>
          </w:tcPr>
          <w:p w14:paraId="01697F12" w14:textId="77777777" w:rsidR="007E335C" w:rsidRPr="00BF20CF" w:rsidRDefault="007E335C" w:rsidP="00891E54">
            <w:pPr>
              <w:rPr>
                <w:sz w:val="18"/>
                <w:szCs w:val="18"/>
              </w:rPr>
            </w:pPr>
          </w:p>
        </w:tc>
        <w:tc>
          <w:tcPr>
            <w:tcW w:w="1503" w:type="dxa"/>
          </w:tcPr>
          <w:p w14:paraId="473C8844" w14:textId="77777777" w:rsidR="007E335C" w:rsidRPr="00BF20CF" w:rsidRDefault="007E335C" w:rsidP="00891E54">
            <w:pPr>
              <w:rPr>
                <w:sz w:val="18"/>
                <w:szCs w:val="18"/>
              </w:rPr>
            </w:pPr>
          </w:p>
        </w:tc>
        <w:tc>
          <w:tcPr>
            <w:tcW w:w="1503" w:type="dxa"/>
          </w:tcPr>
          <w:p w14:paraId="7844716B" w14:textId="77777777" w:rsidR="007E335C" w:rsidRPr="00BF20CF" w:rsidRDefault="007E335C" w:rsidP="00891E54">
            <w:pPr>
              <w:rPr>
                <w:sz w:val="18"/>
                <w:szCs w:val="18"/>
              </w:rPr>
            </w:pPr>
          </w:p>
        </w:tc>
        <w:tc>
          <w:tcPr>
            <w:tcW w:w="1503" w:type="dxa"/>
          </w:tcPr>
          <w:p w14:paraId="74BFFD92" w14:textId="77777777" w:rsidR="007E335C" w:rsidRPr="00BF20CF" w:rsidRDefault="007E335C" w:rsidP="00891E54">
            <w:pPr>
              <w:rPr>
                <w:sz w:val="18"/>
                <w:szCs w:val="18"/>
              </w:rPr>
            </w:pPr>
          </w:p>
        </w:tc>
      </w:tr>
      <w:tr w:rsidR="007E335C" w:rsidRPr="00BF20CF" w14:paraId="437EE6A3" w14:textId="77777777" w:rsidTr="00891E54">
        <w:tc>
          <w:tcPr>
            <w:tcW w:w="1641" w:type="dxa"/>
          </w:tcPr>
          <w:p w14:paraId="4C2DA69F" w14:textId="77777777" w:rsidR="007E335C" w:rsidRPr="00BF20CF" w:rsidRDefault="007E335C" w:rsidP="00891E54">
            <w:pPr>
              <w:ind w:left="720"/>
              <w:rPr>
                <w:sz w:val="18"/>
                <w:szCs w:val="18"/>
              </w:rPr>
            </w:pPr>
            <w:r w:rsidRPr="00BF20CF">
              <w:rPr>
                <w:sz w:val="18"/>
                <w:szCs w:val="18"/>
              </w:rPr>
              <w:t>NT</w:t>
            </w:r>
          </w:p>
        </w:tc>
        <w:tc>
          <w:tcPr>
            <w:tcW w:w="1502" w:type="dxa"/>
          </w:tcPr>
          <w:p w14:paraId="0E5DEF8A" w14:textId="77777777" w:rsidR="007E335C" w:rsidRPr="00BF20CF" w:rsidRDefault="007E335C" w:rsidP="00891E54">
            <w:pPr>
              <w:rPr>
                <w:sz w:val="18"/>
                <w:szCs w:val="18"/>
              </w:rPr>
            </w:pPr>
          </w:p>
        </w:tc>
        <w:tc>
          <w:tcPr>
            <w:tcW w:w="1503" w:type="dxa"/>
          </w:tcPr>
          <w:p w14:paraId="44BB4970" w14:textId="77777777" w:rsidR="007E335C" w:rsidRPr="00BF20CF" w:rsidRDefault="007E335C" w:rsidP="00891E54">
            <w:pPr>
              <w:rPr>
                <w:sz w:val="18"/>
                <w:szCs w:val="18"/>
              </w:rPr>
            </w:pPr>
          </w:p>
        </w:tc>
        <w:tc>
          <w:tcPr>
            <w:tcW w:w="1503" w:type="dxa"/>
          </w:tcPr>
          <w:p w14:paraId="5FFD3264" w14:textId="77777777" w:rsidR="007E335C" w:rsidRPr="00BF20CF" w:rsidRDefault="007E335C" w:rsidP="00891E54">
            <w:pPr>
              <w:rPr>
                <w:sz w:val="18"/>
                <w:szCs w:val="18"/>
              </w:rPr>
            </w:pPr>
          </w:p>
        </w:tc>
        <w:tc>
          <w:tcPr>
            <w:tcW w:w="1503" w:type="dxa"/>
          </w:tcPr>
          <w:p w14:paraId="0F8304F7" w14:textId="77777777" w:rsidR="007E335C" w:rsidRPr="00BF20CF" w:rsidRDefault="007E335C" w:rsidP="00891E54">
            <w:pPr>
              <w:rPr>
                <w:sz w:val="18"/>
                <w:szCs w:val="18"/>
              </w:rPr>
            </w:pPr>
          </w:p>
        </w:tc>
        <w:tc>
          <w:tcPr>
            <w:tcW w:w="1503" w:type="dxa"/>
          </w:tcPr>
          <w:p w14:paraId="30623B04" w14:textId="77777777" w:rsidR="007E335C" w:rsidRPr="00BF20CF" w:rsidRDefault="007E335C" w:rsidP="00891E54">
            <w:pPr>
              <w:rPr>
                <w:sz w:val="18"/>
                <w:szCs w:val="18"/>
              </w:rPr>
            </w:pPr>
          </w:p>
        </w:tc>
      </w:tr>
    </w:tbl>
    <w:p w14:paraId="7662E16A" w14:textId="77777777" w:rsidR="007E335C" w:rsidRPr="007E335C" w:rsidRDefault="007E335C" w:rsidP="007E335C">
      <w:pPr>
        <w:rPr>
          <w:szCs w:val="22"/>
        </w:rPr>
      </w:pPr>
      <w:r w:rsidRPr="007E335C">
        <w:rPr>
          <w:szCs w:val="22"/>
        </w:rPr>
        <w:t>*Data are means (SD) or numbers (%)</w:t>
      </w:r>
    </w:p>
    <w:p w14:paraId="4A6E966B" w14:textId="77777777" w:rsidR="007E335C" w:rsidRDefault="007E335C" w:rsidP="007E335C">
      <w:pPr>
        <w:pStyle w:val="Heading4"/>
        <w:keepLines w:val="0"/>
      </w:pPr>
      <w:r>
        <w:t>Main outcome table – difference from control</w:t>
      </w:r>
    </w:p>
    <w:tbl>
      <w:tblPr>
        <w:tblStyle w:val="GridTable1Light1"/>
        <w:tblW w:w="0" w:type="auto"/>
        <w:tblLook w:val="04A0" w:firstRow="1" w:lastRow="0" w:firstColumn="1" w:lastColumn="0" w:noHBand="0" w:noVBand="1"/>
        <w:tblCaption w:val="Main outcone table- difference from control"/>
        <w:tblDescription w:val="Blank main outcome table showing difference from control for each of the four letter groups by month."/>
      </w:tblPr>
      <w:tblGrid>
        <w:gridCol w:w="975"/>
        <w:gridCol w:w="797"/>
        <w:gridCol w:w="667"/>
        <w:gridCol w:w="1007"/>
        <w:gridCol w:w="317"/>
        <w:gridCol w:w="667"/>
        <w:gridCol w:w="1007"/>
        <w:gridCol w:w="317"/>
        <w:gridCol w:w="667"/>
        <w:gridCol w:w="1007"/>
        <w:gridCol w:w="317"/>
        <w:gridCol w:w="667"/>
        <w:gridCol w:w="1007"/>
        <w:gridCol w:w="317"/>
      </w:tblGrid>
      <w:tr w:rsidR="00BF20CF" w:rsidRPr="00BF20CF" w14:paraId="38C96F07" w14:textId="77777777" w:rsidTr="00BF20C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0F8D6AE7" w14:textId="77777777" w:rsidR="007E335C" w:rsidRPr="00BF20CF" w:rsidRDefault="007E335C" w:rsidP="00891E54">
            <w:pPr>
              <w:keepNext/>
              <w:jc w:val="center"/>
              <w:rPr>
                <w:rFonts w:cstheme="majorHAnsi"/>
                <w:sz w:val="18"/>
                <w:szCs w:val="18"/>
              </w:rPr>
            </w:pPr>
          </w:p>
        </w:tc>
        <w:tc>
          <w:tcPr>
            <w:tcW w:w="427" w:type="dxa"/>
          </w:tcPr>
          <w:p w14:paraId="3F4AE633" w14:textId="77777777" w:rsidR="007E335C" w:rsidRPr="00BF20CF" w:rsidRDefault="007E335C" w:rsidP="00891E54">
            <w:pPr>
              <w:keepNext/>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Control (n = )</w:t>
            </w:r>
          </w:p>
        </w:tc>
        <w:tc>
          <w:tcPr>
            <w:tcW w:w="0" w:type="auto"/>
            <w:gridSpan w:val="3"/>
          </w:tcPr>
          <w:p w14:paraId="376E1AE7" w14:textId="77777777" w:rsidR="007E335C" w:rsidRPr="00BF20CF" w:rsidRDefault="007E335C" w:rsidP="00891E54">
            <w:pPr>
              <w:keepNext/>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Education (n = )</w:t>
            </w:r>
          </w:p>
        </w:tc>
        <w:tc>
          <w:tcPr>
            <w:tcW w:w="0" w:type="auto"/>
            <w:gridSpan w:val="3"/>
          </w:tcPr>
          <w:p w14:paraId="160AEABC" w14:textId="77777777" w:rsidR="007E335C" w:rsidRPr="00BF20CF" w:rsidRDefault="007E335C" w:rsidP="00891E54">
            <w:pPr>
              <w:keepNext/>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Education + social norm (n = )</w:t>
            </w:r>
          </w:p>
        </w:tc>
        <w:tc>
          <w:tcPr>
            <w:tcW w:w="0" w:type="auto"/>
            <w:gridSpan w:val="3"/>
          </w:tcPr>
          <w:p w14:paraId="3BDBE778" w14:textId="77777777" w:rsidR="007E335C" w:rsidRPr="00BF20CF" w:rsidRDefault="007E335C" w:rsidP="00891E54">
            <w:pPr>
              <w:keepNext/>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Social Norm (n = )</w:t>
            </w:r>
          </w:p>
        </w:tc>
        <w:tc>
          <w:tcPr>
            <w:tcW w:w="0" w:type="auto"/>
            <w:gridSpan w:val="3"/>
          </w:tcPr>
          <w:p w14:paraId="7E4BB0C5" w14:textId="77777777" w:rsidR="007E335C" w:rsidRPr="00BF20CF" w:rsidRDefault="007E335C" w:rsidP="00891E54">
            <w:pPr>
              <w:keepNext/>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Delayed prescribing (n = )</w:t>
            </w:r>
          </w:p>
        </w:tc>
      </w:tr>
      <w:tr w:rsidR="00BF20CF" w:rsidRPr="00BF20CF" w14:paraId="75C17E1F" w14:textId="77777777" w:rsidTr="00BF20CF">
        <w:trPr>
          <w:cantSplit/>
        </w:trPr>
        <w:tc>
          <w:tcPr>
            <w:cnfStyle w:val="001000000000" w:firstRow="0" w:lastRow="0" w:firstColumn="1" w:lastColumn="0" w:oddVBand="0" w:evenVBand="0" w:oddHBand="0" w:evenHBand="0" w:firstRowFirstColumn="0" w:firstRowLastColumn="0" w:lastRowFirstColumn="0" w:lastRowLastColumn="0"/>
            <w:tcW w:w="1129" w:type="dxa"/>
          </w:tcPr>
          <w:p w14:paraId="22B523F4" w14:textId="77777777" w:rsidR="007E335C" w:rsidRPr="00BF20CF" w:rsidRDefault="007E335C" w:rsidP="00891E54">
            <w:pPr>
              <w:keepNext/>
              <w:jc w:val="center"/>
              <w:rPr>
                <w:rFonts w:cstheme="majorHAnsi"/>
                <w:sz w:val="18"/>
                <w:szCs w:val="18"/>
              </w:rPr>
            </w:pPr>
          </w:p>
        </w:tc>
        <w:tc>
          <w:tcPr>
            <w:tcW w:w="427" w:type="dxa"/>
          </w:tcPr>
          <w:p w14:paraId="1A311B43"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Mean (SD)</w:t>
            </w:r>
          </w:p>
        </w:tc>
        <w:tc>
          <w:tcPr>
            <w:tcW w:w="0" w:type="auto"/>
          </w:tcPr>
          <w:p w14:paraId="68EFA816"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Mean (SD)</w:t>
            </w:r>
          </w:p>
        </w:tc>
        <w:tc>
          <w:tcPr>
            <w:tcW w:w="0" w:type="auto"/>
          </w:tcPr>
          <w:p w14:paraId="4D105086"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0" w:type="auto"/>
          </w:tcPr>
          <w:p w14:paraId="05EDFA2D"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c>
          <w:tcPr>
            <w:tcW w:w="0" w:type="auto"/>
          </w:tcPr>
          <w:p w14:paraId="15A34D7E"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Mean (SD)</w:t>
            </w:r>
          </w:p>
        </w:tc>
        <w:tc>
          <w:tcPr>
            <w:tcW w:w="0" w:type="auto"/>
          </w:tcPr>
          <w:p w14:paraId="34E096A4"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0" w:type="auto"/>
          </w:tcPr>
          <w:p w14:paraId="26FFF070"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c>
          <w:tcPr>
            <w:tcW w:w="0" w:type="auto"/>
          </w:tcPr>
          <w:p w14:paraId="43B7D0E1"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Mean (SD)</w:t>
            </w:r>
          </w:p>
        </w:tc>
        <w:tc>
          <w:tcPr>
            <w:tcW w:w="0" w:type="auto"/>
          </w:tcPr>
          <w:p w14:paraId="7DD5198E"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0" w:type="auto"/>
          </w:tcPr>
          <w:p w14:paraId="73426A46"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c>
          <w:tcPr>
            <w:tcW w:w="0" w:type="auto"/>
          </w:tcPr>
          <w:p w14:paraId="55F3EBDA"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Mean (SD)</w:t>
            </w:r>
          </w:p>
        </w:tc>
        <w:tc>
          <w:tcPr>
            <w:tcW w:w="0" w:type="auto"/>
          </w:tcPr>
          <w:p w14:paraId="09ABDDBE"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0" w:type="auto"/>
          </w:tcPr>
          <w:p w14:paraId="216689CF" w14:textId="77777777" w:rsidR="007E335C" w:rsidRPr="00BF20CF" w:rsidRDefault="007E335C" w:rsidP="00891E54">
            <w:pPr>
              <w:keepNext/>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r>
      <w:tr w:rsidR="00BF20CF" w:rsidRPr="00BF20CF" w14:paraId="5C12EE7A" w14:textId="77777777" w:rsidTr="00BF20CF">
        <w:trPr>
          <w:cantSplit/>
        </w:trPr>
        <w:tc>
          <w:tcPr>
            <w:cnfStyle w:val="001000000000" w:firstRow="0" w:lastRow="0" w:firstColumn="1" w:lastColumn="0" w:oddVBand="0" w:evenVBand="0" w:oddHBand="0" w:evenHBand="0" w:firstRowFirstColumn="0" w:firstRowLastColumn="0" w:lastRowFirstColumn="0" w:lastRowLastColumn="0"/>
            <w:tcW w:w="1129" w:type="dxa"/>
          </w:tcPr>
          <w:p w14:paraId="1B1066BF" w14:textId="77777777" w:rsidR="007E335C" w:rsidRPr="00BF20CF" w:rsidRDefault="007E335C" w:rsidP="00891E54">
            <w:pPr>
              <w:jc w:val="center"/>
              <w:rPr>
                <w:rFonts w:cstheme="majorHAnsi"/>
                <w:b w:val="0"/>
                <w:sz w:val="18"/>
                <w:szCs w:val="18"/>
              </w:rPr>
            </w:pPr>
            <w:r w:rsidRPr="00BF20CF">
              <w:rPr>
                <w:rFonts w:cstheme="majorHAnsi"/>
                <w:b w:val="0"/>
                <w:sz w:val="18"/>
                <w:szCs w:val="18"/>
              </w:rPr>
              <w:t>Month  1</w:t>
            </w:r>
          </w:p>
        </w:tc>
        <w:tc>
          <w:tcPr>
            <w:tcW w:w="427" w:type="dxa"/>
          </w:tcPr>
          <w:p w14:paraId="5F426E0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1284B933"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8C19027"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4C3EB9B"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6B325F1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675ED24"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5172929"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1492F4BF"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64C3F7C2"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4D04CC68"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4C228015"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62987859"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E4DDC8E"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BF20CF" w:rsidRPr="00BF20CF" w14:paraId="5C0071C2" w14:textId="77777777" w:rsidTr="00BF20CF">
        <w:trPr>
          <w:cantSplit/>
        </w:trPr>
        <w:tc>
          <w:tcPr>
            <w:cnfStyle w:val="001000000000" w:firstRow="0" w:lastRow="0" w:firstColumn="1" w:lastColumn="0" w:oddVBand="0" w:evenVBand="0" w:oddHBand="0" w:evenHBand="0" w:firstRowFirstColumn="0" w:firstRowLastColumn="0" w:lastRowFirstColumn="0" w:lastRowLastColumn="0"/>
            <w:tcW w:w="1129" w:type="dxa"/>
          </w:tcPr>
          <w:p w14:paraId="5D53B5AE" w14:textId="77777777" w:rsidR="007E335C" w:rsidRPr="00BF20CF" w:rsidRDefault="007E335C" w:rsidP="00891E54">
            <w:pPr>
              <w:jc w:val="center"/>
              <w:rPr>
                <w:rFonts w:cstheme="majorHAnsi"/>
                <w:b w:val="0"/>
                <w:sz w:val="18"/>
                <w:szCs w:val="18"/>
              </w:rPr>
            </w:pPr>
            <w:r w:rsidRPr="00BF20CF">
              <w:rPr>
                <w:rFonts w:cstheme="majorHAnsi"/>
                <w:b w:val="0"/>
                <w:sz w:val="18"/>
                <w:szCs w:val="18"/>
              </w:rPr>
              <w:t>Month 2</w:t>
            </w:r>
          </w:p>
        </w:tc>
        <w:tc>
          <w:tcPr>
            <w:tcW w:w="427" w:type="dxa"/>
          </w:tcPr>
          <w:p w14:paraId="6F6DBB9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5FC342F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60EDAC5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18FA5E6E"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580551F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5F27414F"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0014AD8"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4CA0FD76"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57286C29"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44CA55D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214CA128"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13CF32E8"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EE0AAA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BF20CF" w:rsidRPr="00BF20CF" w14:paraId="716F0015" w14:textId="77777777" w:rsidTr="00BF20CF">
        <w:trPr>
          <w:cantSplit/>
        </w:trPr>
        <w:tc>
          <w:tcPr>
            <w:cnfStyle w:val="001000000000" w:firstRow="0" w:lastRow="0" w:firstColumn="1" w:lastColumn="0" w:oddVBand="0" w:evenVBand="0" w:oddHBand="0" w:evenHBand="0" w:firstRowFirstColumn="0" w:firstRowLastColumn="0" w:lastRowFirstColumn="0" w:lastRowLastColumn="0"/>
            <w:tcW w:w="1129" w:type="dxa"/>
          </w:tcPr>
          <w:p w14:paraId="18190130" w14:textId="77777777" w:rsidR="007E335C" w:rsidRPr="00BF20CF" w:rsidRDefault="007E335C" w:rsidP="00891E54">
            <w:pPr>
              <w:jc w:val="center"/>
              <w:rPr>
                <w:rFonts w:cstheme="majorHAnsi"/>
                <w:b w:val="0"/>
                <w:sz w:val="18"/>
                <w:szCs w:val="18"/>
              </w:rPr>
            </w:pPr>
            <w:r w:rsidRPr="00BF20CF">
              <w:rPr>
                <w:rFonts w:cstheme="majorHAnsi"/>
                <w:b w:val="0"/>
                <w:sz w:val="18"/>
                <w:szCs w:val="18"/>
              </w:rPr>
              <w:lastRenderedPageBreak/>
              <w:t>Month 3</w:t>
            </w:r>
          </w:p>
        </w:tc>
        <w:tc>
          <w:tcPr>
            <w:tcW w:w="427" w:type="dxa"/>
          </w:tcPr>
          <w:p w14:paraId="124F3C86"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4D188FF"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5814778"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B9FC69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3B91B22B"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5F6D0172"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3DD6CD8"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10A59308"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3B06576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D54A8F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33E2162B"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37949C4"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5F0F8505"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BF20CF" w:rsidRPr="00BF20CF" w14:paraId="3D9458D7" w14:textId="77777777" w:rsidTr="00BF20CF">
        <w:trPr>
          <w:cantSplit/>
        </w:trPr>
        <w:tc>
          <w:tcPr>
            <w:cnfStyle w:val="001000000000" w:firstRow="0" w:lastRow="0" w:firstColumn="1" w:lastColumn="0" w:oddVBand="0" w:evenVBand="0" w:oddHBand="0" w:evenHBand="0" w:firstRowFirstColumn="0" w:firstRowLastColumn="0" w:lastRowFirstColumn="0" w:lastRowLastColumn="0"/>
            <w:tcW w:w="1129" w:type="dxa"/>
          </w:tcPr>
          <w:p w14:paraId="4A631BB7" w14:textId="77777777" w:rsidR="007E335C" w:rsidRPr="00BF20CF" w:rsidRDefault="007E335C" w:rsidP="00891E54">
            <w:pPr>
              <w:jc w:val="center"/>
              <w:rPr>
                <w:rFonts w:cstheme="majorHAnsi"/>
                <w:b w:val="0"/>
                <w:sz w:val="18"/>
                <w:szCs w:val="18"/>
              </w:rPr>
            </w:pPr>
            <w:r w:rsidRPr="00BF20CF">
              <w:rPr>
                <w:rFonts w:cstheme="majorHAnsi"/>
                <w:b w:val="0"/>
                <w:sz w:val="18"/>
                <w:szCs w:val="18"/>
              </w:rPr>
              <w:t>…</w:t>
            </w:r>
          </w:p>
        </w:tc>
        <w:tc>
          <w:tcPr>
            <w:tcW w:w="427" w:type="dxa"/>
          </w:tcPr>
          <w:p w14:paraId="572B1F82"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2C64AAE0"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2CFC1563"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5DCD51C7"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28C71ED4"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9F6753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EFAD242"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76118BF"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62FF517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7E45834"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0E18C246"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66E1A2D0"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0" w:type="auto"/>
          </w:tcPr>
          <w:p w14:paraId="792FE5EB"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bl>
    <w:p w14:paraId="7F20FC4E" w14:textId="77777777" w:rsidR="007E335C" w:rsidRPr="000F00F5" w:rsidRDefault="007E335C" w:rsidP="007E335C">
      <w:pPr>
        <w:rPr>
          <w:sz w:val="18"/>
          <w:szCs w:val="18"/>
        </w:rPr>
      </w:pPr>
    </w:p>
    <w:p w14:paraId="2F7C3220" w14:textId="77777777" w:rsidR="007E335C" w:rsidRDefault="007E335C" w:rsidP="007E335C">
      <w:pPr>
        <w:pStyle w:val="Heading4"/>
      </w:pPr>
      <w:r>
        <w:t>Main outcome table – comparison between treatment groups</w:t>
      </w:r>
    </w:p>
    <w:tbl>
      <w:tblPr>
        <w:tblStyle w:val="GridTable1Light1"/>
        <w:tblW w:w="0" w:type="auto"/>
        <w:tblLook w:val="04A0" w:firstRow="1" w:lastRow="0" w:firstColumn="1" w:lastColumn="0" w:noHBand="0" w:noVBand="1"/>
        <w:tblCaption w:val="Main outcome table- comparison between treatment groups"/>
        <w:tblDescription w:val="Blank main outcome table comparing the four letter groups."/>
      </w:tblPr>
      <w:tblGrid>
        <w:gridCol w:w="1021"/>
        <w:gridCol w:w="1007"/>
        <w:gridCol w:w="1081"/>
        <w:gridCol w:w="1007"/>
        <w:gridCol w:w="1081"/>
        <w:gridCol w:w="1007"/>
        <w:gridCol w:w="1081"/>
      </w:tblGrid>
      <w:tr w:rsidR="007E335C" w:rsidRPr="00BF20CF" w14:paraId="701B04C4" w14:textId="77777777" w:rsidTr="00891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tcPr>
          <w:p w14:paraId="4A9BBDC8" w14:textId="77777777" w:rsidR="007E335C" w:rsidRPr="00BF20CF" w:rsidRDefault="007E335C" w:rsidP="00891E54">
            <w:pPr>
              <w:jc w:val="center"/>
              <w:rPr>
                <w:rFonts w:cstheme="majorHAnsi"/>
                <w:b w:val="0"/>
                <w:sz w:val="18"/>
                <w:szCs w:val="18"/>
              </w:rPr>
            </w:pPr>
          </w:p>
        </w:tc>
        <w:tc>
          <w:tcPr>
            <w:tcW w:w="1955" w:type="dxa"/>
            <w:gridSpan w:val="2"/>
          </w:tcPr>
          <w:p w14:paraId="53CC786C" w14:textId="77777777" w:rsidR="007E335C" w:rsidRPr="00BF20CF" w:rsidRDefault="007E335C" w:rsidP="00891E54">
            <w:pPr>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Education + social norm</w:t>
            </w:r>
          </w:p>
        </w:tc>
        <w:tc>
          <w:tcPr>
            <w:tcW w:w="1955" w:type="dxa"/>
            <w:gridSpan w:val="2"/>
          </w:tcPr>
          <w:p w14:paraId="6634AE1C" w14:textId="77777777" w:rsidR="007E335C" w:rsidRPr="00BF20CF" w:rsidRDefault="007E335C" w:rsidP="00891E54">
            <w:pPr>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Social Norm</w:t>
            </w:r>
          </w:p>
        </w:tc>
        <w:tc>
          <w:tcPr>
            <w:tcW w:w="1955" w:type="dxa"/>
            <w:gridSpan w:val="2"/>
          </w:tcPr>
          <w:p w14:paraId="0E085113" w14:textId="77777777" w:rsidR="007E335C" w:rsidRPr="00BF20CF" w:rsidRDefault="007E335C" w:rsidP="00891E54">
            <w:pPr>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Delayed prescribing</w:t>
            </w:r>
          </w:p>
        </w:tc>
      </w:tr>
      <w:tr w:rsidR="007E335C" w:rsidRPr="00BF20CF" w14:paraId="10766403" w14:textId="77777777" w:rsidTr="00891E54">
        <w:tc>
          <w:tcPr>
            <w:cnfStyle w:val="001000000000" w:firstRow="0" w:lastRow="0" w:firstColumn="1" w:lastColumn="0" w:oddVBand="0" w:evenVBand="0" w:oddHBand="0" w:evenHBand="0" w:firstRowFirstColumn="0" w:firstRowLastColumn="0" w:lastRowFirstColumn="0" w:lastRowLastColumn="0"/>
            <w:tcW w:w="1021" w:type="dxa"/>
          </w:tcPr>
          <w:p w14:paraId="5792BC40" w14:textId="77777777" w:rsidR="007E335C" w:rsidRPr="00BF20CF" w:rsidRDefault="007E335C" w:rsidP="00891E54">
            <w:pPr>
              <w:jc w:val="center"/>
              <w:rPr>
                <w:rFonts w:cstheme="majorHAnsi"/>
                <w:b w:val="0"/>
                <w:sz w:val="18"/>
                <w:szCs w:val="18"/>
              </w:rPr>
            </w:pPr>
          </w:p>
        </w:tc>
        <w:tc>
          <w:tcPr>
            <w:tcW w:w="874" w:type="dxa"/>
          </w:tcPr>
          <w:p w14:paraId="334CD69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1081" w:type="dxa"/>
          </w:tcPr>
          <w:p w14:paraId="25D0410F"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c>
          <w:tcPr>
            <w:tcW w:w="874" w:type="dxa"/>
          </w:tcPr>
          <w:p w14:paraId="415CA1C2"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1081" w:type="dxa"/>
          </w:tcPr>
          <w:p w14:paraId="19B669FE"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c>
          <w:tcPr>
            <w:tcW w:w="874" w:type="dxa"/>
          </w:tcPr>
          <w:p w14:paraId="060CF8F0"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1081" w:type="dxa"/>
          </w:tcPr>
          <w:p w14:paraId="3AB6C37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r>
      <w:tr w:rsidR="007E335C" w:rsidRPr="00BF20CF" w14:paraId="3D262B00" w14:textId="77777777" w:rsidTr="00891E54">
        <w:tc>
          <w:tcPr>
            <w:cnfStyle w:val="001000000000" w:firstRow="0" w:lastRow="0" w:firstColumn="1" w:lastColumn="0" w:oddVBand="0" w:evenVBand="0" w:oddHBand="0" w:evenHBand="0" w:firstRowFirstColumn="0" w:firstRowLastColumn="0" w:lastRowFirstColumn="0" w:lastRowLastColumn="0"/>
            <w:tcW w:w="1021" w:type="dxa"/>
          </w:tcPr>
          <w:p w14:paraId="28E77326" w14:textId="77777777" w:rsidR="007E335C" w:rsidRPr="00BF20CF" w:rsidRDefault="007E335C" w:rsidP="00891E54">
            <w:pPr>
              <w:jc w:val="center"/>
              <w:rPr>
                <w:rFonts w:cstheme="majorHAnsi"/>
                <w:b w:val="0"/>
                <w:sz w:val="18"/>
                <w:szCs w:val="18"/>
              </w:rPr>
            </w:pPr>
            <w:r w:rsidRPr="00BF20CF">
              <w:rPr>
                <w:rFonts w:cstheme="majorHAnsi"/>
                <w:b w:val="0"/>
                <w:sz w:val="18"/>
                <w:szCs w:val="18"/>
              </w:rPr>
              <w:t>Education</w:t>
            </w:r>
          </w:p>
          <w:p w14:paraId="52394B26" w14:textId="77777777" w:rsidR="007E335C" w:rsidRPr="00BF20CF" w:rsidRDefault="007E335C" w:rsidP="00891E54">
            <w:pPr>
              <w:jc w:val="center"/>
              <w:rPr>
                <w:rFonts w:cstheme="majorHAnsi"/>
                <w:b w:val="0"/>
                <w:sz w:val="18"/>
                <w:szCs w:val="18"/>
              </w:rPr>
            </w:pPr>
          </w:p>
        </w:tc>
        <w:tc>
          <w:tcPr>
            <w:tcW w:w="874" w:type="dxa"/>
          </w:tcPr>
          <w:p w14:paraId="7B04E28B"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tcPr>
          <w:p w14:paraId="0573E45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tcPr>
          <w:p w14:paraId="4A0C6C9F"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tcPr>
          <w:p w14:paraId="59AFE960"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tcPr>
          <w:p w14:paraId="4C98EB0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tcPr>
          <w:p w14:paraId="217C6B1E"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7E335C" w:rsidRPr="00BF20CF" w14:paraId="071E93F9" w14:textId="77777777" w:rsidTr="00891E54">
        <w:tc>
          <w:tcPr>
            <w:cnfStyle w:val="001000000000" w:firstRow="0" w:lastRow="0" w:firstColumn="1" w:lastColumn="0" w:oddVBand="0" w:evenVBand="0" w:oddHBand="0" w:evenHBand="0" w:firstRowFirstColumn="0" w:firstRowLastColumn="0" w:lastRowFirstColumn="0" w:lastRowLastColumn="0"/>
            <w:tcW w:w="1021" w:type="dxa"/>
          </w:tcPr>
          <w:p w14:paraId="7C4C7550" w14:textId="77777777" w:rsidR="007E335C" w:rsidRPr="00BF20CF" w:rsidRDefault="007E335C" w:rsidP="00891E54">
            <w:pPr>
              <w:jc w:val="center"/>
              <w:rPr>
                <w:rFonts w:cstheme="majorHAnsi"/>
                <w:b w:val="0"/>
                <w:sz w:val="18"/>
                <w:szCs w:val="18"/>
              </w:rPr>
            </w:pPr>
            <w:r w:rsidRPr="00BF20CF">
              <w:rPr>
                <w:rFonts w:cstheme="majorHAnsi"/>
                <w:b w:val="0"/>
                <w:sz w:val="18"/>
                <w:szCs w:val="18"/>
              </w:rPr>
              <w:t>Education + social Norm</w:t>
            </w:r>
          </w:p>
        </w:tc>
        <w:tc>
          <w:tcPr>
            <w:tcW w:w="874" w:type="dxa"/>
            <w:shd w:val="clear" w:color="auto" w:fill="BFBFBF" w:themeFill="background1" w:themeFillShade="BF"/>
          </w:tcPr>
          <w:p w14:paraId="1C3D87D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shd w:val="clear" w:color="auto" w:fill="BFBFBF" w:themeFill="background1" w:themeFillShade="BF"/>
          </w:tcPr>
          <w:p w14:paraId="7F91B7E5"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tcPr>
          <w:p w14:paraId="1448B625"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tcPr>
          <w:p w14:paraId="448056E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tcPr>
          <w:p w14:paraId="0A937F65"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tcPr>
          <w:p w14:paraId="578AE922"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7E335C" w:rsidRPr="00BF20CF" w14:paraId="754FBAF0" w14:textId="77777777" w:rsidTr="00891E54">
        <w:tc>
          <w:tcPr>
            <w:cnfStyle w:val="001000000000" w:firstRow="0" w:lastRow="0" w:firstColumn="1" w:lastColumn="0" w:oddVBand="0" w:evenVBand="0" w:oddHBand="0" w:evenHBand="0" w:firstRowFirstColumn="0" w:firstRowLastColumn="0" w:lastRowFirstColumn="0" w:lastRowLastColumn="0"/>
            <w:tcW w:w="1021" w:type="dxa"/>
          </w:tcPr>
          <w:p w14:paraId="3B1F6A09" w14:textId="77777777" w:rsidR="007E335C" w:rsidRPr="00BF20CF" w:rsidRDefault="007E335C" w:rsidP="00891E54">
            <w:pPr>
              <w:jc w:val="center"/>
              <w:rPr>
                <w:rFonts w:cstheme="majorHAnsi"/>
                <w:b w:val="0"/>
                <w:sz w:val="18"/>
                <w:szCs w:val="18"/>
              </w:rPr>
            </w:pPr>
            <w:r w:rsidRPr="00BF20CF">
              <w:rPr>
                <w:rFonts w:cstheme="majorHAnsi"/>
                <w:b w:val="0"/>
                <w:sz w:val="18"/>
                <w:szCs w:val="18"/>
              </w:rPr>
              <w:t>Social Norm</w:t>
            </w:r>
          </w:p>
          <w:p w14:paraId="3F33A60C" w14:textId="77777777" w:rsidR="007E335C" w:rsidRPr="00BF20CF" w:rsidRDefault="007E335C" w:rsidP="00891E54">
            <w:pPr>
              <w:jc w:val="center"/>
              <w:rPr>
                <w:rFonts w:cstheme="majorHAnsi"/>
                <w:b w:val="0"/>
                <w:sz w:val="18"/>
                <w:szCs w:val="18"/>
              </w:rPr>
            </w:pPr>
          </w:p>
        </w:tc>
        <w:tc>
          <w:tcPr>
            <w:tcW w:w="874" w:type="dxa"/>
            <w:shd w:val="clear" w:color="auto" w:fill="BFBFBF" w:themeFill="background1" w:themeFillShade="BF"/>
          </w:tcPr>
          <w:p w14:paraId="3B75FED7"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shd w:val="clear" w:color="auto" w:fill="BFBFBF" w:themeFill="background1" w:themeFillShade="BF"/>
          </w:tcPr>
          <w:p w14:paraId="38BE47D6"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shd w:val="clear" w:color="auto" w:fill="BFBFBF" w:themeFill="background1" w:themeFillShade="BF"/>
          </w:tcPr>
          <w:p w14:paraId="76D6AC63"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shd w:val="clear" w:color="auto" w:fill="BFBFBF" w:themeFill="background1" w:themeFillShade="BF"/>
          </w:tcPr>
          <w:p w14:paraId="24A05564"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tcPr>
          <w:p w14:paraId="35F8A7E2"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081" w:type="dxa"/>
          </w:tcPr>
          <w:p w14:paraId="1F4D58A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bl>
    <w:p w14:paraId="0EC37E14" w14:textId="77777777" w:rsidR="007E335C" w:rsidRPr="007E335C" w:rsidRDefault="007E335C" w:rsidP="007E335C">
      <w:pPr>
        <w:rPr>
          <w:szCs w:val="22"/>
        </w:rPr>
      </w:pPr>
      <w:r w:rsidRPr="007E335C">
        <w:rPr>
          <w:szCs w:val="22"/>
        </w:rPr>
        <w:t>Note: Treatment groups compared in this table will depend on preceding hypothesis tests.</w:t>
      </w:r>
    </w:p>
    <w:p w14:paraId="7CC88686" w14:textId="77777777" w:rsidR="007E335C" w:rsidRDefault="007E335C" w:rsidP="007E335C">
      <w:pPr>
        <w:rPr>
          <w:rFonts w:eastAsiaTheme="majorEastAsia" w:cstheme="majorBidi"/>
          <w:i/>
          <w:iCs/>
          <w:color w:val="18417D" w:themeColor="accent1" w:themeShade="BF"/>
        </w:rPr>
      </w:pPr>
      <w:r>
        <w:br w:type="page"/>
      </w:r>
    </w:p>
    <w:p w14:paraId="33DDCAE7" w14:textId="77777777" w:rsidR="007E335C" w:rsidRDefault="007E335C" w:rsidP="007E335C">
      <w:pPr>
        <w:pStyle w:val="Heading4"/>
      </w:pPr>
      <w:r>
        <w:lastRenderedPageBreak/>
        <w:t>Subgroup table</w:t>
      </w:r>
    </w:p>
    <w:tbl>
      <w:tblPr>
        <w:tblStyle w:val="GridTable1Light1"/>
        <w:tblW w:w="0" w:type="auto"/>
        <w:tblLook w:val="04A0" w:firstRow="1" w:lastRow="0" w:firstColumn="1" w:lastColumn="0" w:noHBand="0" w:noVBand="1"/>
        <w:tblCaption w:val="Subgroup table"/>
        <w:tblDescription w:val="Blank table for subgroup analysis-high prescribers compared to low prescribers."/>
      </w:tblPr>
      <w:tblGrid>
        <w:gridCol w:w="1107"/>
        <w:gridCol w:w="797"/>
        <w:gridCol w:w="667"/>
        <w:gridCol w:w="1007"/>
        <w:gridCol w:w="381"/>
        <w:gridCol w:w="1331"/>
        <w:gridCol w:w="1331"/>
      </w:tblGrid>
      <w:tr w:rsidR="007E335C" w:rsidRPr="00BF20CF" w14:paraId="7ADBFC17" w14:textId="77777777" w:rsidTr="00891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5EBDBC15" w14:textId="77777777" w:rsidR="007E335C" w:rsidRPr="00BF20CF" w:rsidRDefault="007E335C" w:rsidP="00891E54">
            <w:pPr>
              <w:jc w:val="center"/>
              <w:rPr>
                <w:rFonts w:cstheme="majorHAnsi"/>
                <w:sz w:val="18"/>
                <w:szCs w:val="18"/>
              </w:rPr>
            </w:pPr>
          </w:p>
        </w:tc>
        <w:tc>
          <w:tcPr>
            <w:tcW w:w="706" w:type="dxa"/>
          </w:tcPr>
          <w:p w14:paraId="2FE56C5D" w14:textId="77777777" w:rsidR="007E335C" w:rsidRPr="00BF20CF" w:rsidRDefault="007E335C" w:rsidP="00891E54">
            <w:pPr>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Control (n = )</w:t>
            </w:r>
          </w:p>
        </w:tc>
        <w:tc>
          <w:tcPr>
            <w:tcW w:w="4506" w:type="dxa"/>
            <w:gridSpan w:val="5"/>
          </w:tcPr>
          <w:p w14:paraId="0F7AF37F" w14:textId="77777777" w:rsidR="007E335C" w:rsidRPr="00BF20CF" w:rsidRDefault="007E335C" w:rsidP="00891E54">
            <w:pPr>
              <w:jc w:val="center"/>
              <w:cnfStyle w:val="100000000000" w:firstRow="1" w:lastRow="0" w:firstColumn="0" w:lastColumn="0" w:oddVBand="0" w:evenVBand="0" w:oddHBand="0" w:evenHBand="0" w:firstRowFirstColumn="0" w:firstRowLastColumn="0" w:lastRowFirstColumn="0" w:lastRowLastColumn="0"/>
              <w:rPr>
                <w:rFonts w:cstheme="majorHAnsi"/>
                <w:b w:val="0"/>
                <w:sz w:val="18"/>
                <w:szCs w:val="18"/>
              </w:rPr>
            </w:pPr>
            <w:r w:rsidRPr="00BF20CF">
              <w:rPr>
                <w:rFonts w:cstheme="majorHAnsi"/>
                <w:b w:val="0"/>
                <w:sz w:val="18"/>
                <w:szCs w:val="18"/>
              </w:rPr>
              <w:t>Treatment group(s) (n = )</w:t>
            </w:r>
          </w:p>
        </w:tc>
      </w:tr>
      <w:tr w:rsidR="007E335C" w:rsidRPr="00BF20CF" w14:paraId="206BEF3C" w14:textId="77777777" w:rsidTr="00891E54">
        <w:tc>
          <w:tcPr>
            <w:cnfStyle w:val="001000000000" w:firstRow="0" w:lastRow="0" w:firstColumn="1" w:lastColumn="0" w:oddVBand="0" w:evenVBand="0" w:oddHBand="0" w:evenHBand="0" w:firstRowFirstColumn="0" w:firstRowLastColumn="0" w:lastRowFirstColumn="0" w:lastRowLastColumn="0"/>
            <w:tcW w:w="934" w:type="dxa"/>
          </w:tcPr>
          <w:p w14:paraId="6462FDF5" w14:textId="77777777" w:rsidR="007E335C" w:rsidRPr="00BF20CF" w:rsidRDefault="007E335C" w:rsidP="00891E54">
            <w:pPr>
              <w:jc w:val="center"/>
              <w:rPr>
                <w:rFonts w:cstheme="majorHAnsi"/>
                <w:sz w:val="18"/>
                <w:szCs w:val="18"/>
              </w:rPr>
            </w:pPr>
          </w:p>
        </w:tc>
        <w:tc>
          <w:tcPr>
            <w:tcW w:w="706" w:type="dxa"/>
          </w:tcPr>
          <w:p w14:paraId="44B586BB"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Mean (SD)</w:t>
            </w:r>
          </w:p>
        </w:tc>
        <w:tc>
          <w:tcPr>
            <w:tcW w:w="589" w:type="dxa"/>
          </w:tcPr>
          <w:p w14:paraId="02FE8EE7"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Mean (SD)</w:t>
            </w:r>
          </w:p>
        </w:tc>
        <w:tc>
          <w:tcPr>
            <w:tcW w:w="874" w:type="dxa"/>
          </w:tcPr>
          <w:p w14:paraId="7ABCD4A9"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r w:rsidRPr="00BF20CF">
              <w:rPr>
                <w:rFonts w:cstheme="majorHAnsi"/>
                <w:sz w:val="18"/>
                <w:szCs w:val="18"/>
              </w:rPr>
              <w:t>Adjusted difference (95% CI)</w:t>
            </w:r>
          </w:p>
        </w:tc>
        <w:tc>
          <w:tcPr>
            <w:tcW w:w="381" w:type="dxa"/>
          </w:tcPr>
          <w:p w14:paraId="39373FB3"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p</w:t>
            </w:r>
          </w:p>
        </w:tc>
        <w:tc>
          <w:tcPr>
            <w:tcW w:w="1331" w:type="dxa"/>
          </w:tcPr>
          <w:p w14:paraId="17937A97"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High vs  Low treatment difference (95% CI)</w:t>
            </w:r>
          </w:p>
        </w:tc>
        <w:tc>
          <w:tcPr>
            <w:tcW w:w="1331" w:type="dxa"/>
          </w:tcPr>
          <w:p w14:paraId="0FD2AE0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i/>
                <w:sz w:val="18"/>
                <w:szCs w:val="18"/>
              </w:rPr>
            </w:pPr>
            <w:r w:rsidRPr="00BF20CF">
              <w:rPr>
                <w:rFonts w:cstheme="majorHAnsi"/>
                <w:i/>
                <w:sz w:val="18"/>
                <w:szCs w:val="18"/>
              </w:rPr>
              <w:t>Interaction p-value</w:t>
            </w:r>
          </w:p>
        </w:tc>
      </w:tr>
      <w:tr w:rsidR="007E335C" w:rsidRPr="00BF20CF" w14:paraId="3A924926" w14:textId="77777777" w:rsidTr="00891E54">
        <w:tc>
          <w:tcPr>
            <w:cnfStyle w:val="001000000000" w:firstRow="0" w:lastRow="0" w:firstColumn="1" w:lastColumn="0" w:oddVBand="0" w:evenVBand="0" w:oddHBand="0" w:evenHBand="0" w:firstRowFirstColumn="0" w:firstRowLastColumn="0" w:lastRowFirstColumn="0" w:lastRowLastColumn="0"/>
            <w:tcW w:w="934" w:type="dxa"/>
          </w:tcPr>
          <w:p w14:paraId="67C58159" w14:textId="77777777" w:rsidR="007E335C" w:rsidRPr="00BF20CF" w:rsidRDefault="007E335C" w:rsidP="00891E54">
            <w:pPr>
              <w:rPr>
                <w:rFonts w:cstheme="majorHAnsi"/>
                <w:b w:val="0"/>
                <w:sz w:val="18"/>
                <w:szCs w:val="18"/>
              </w:rPr>
            </w:pPr>
            <w:r w:rsidRPr="00BF20CF">
              <w:rPr>
                <w:rFonts w:cstheme="majorHAnsi"/>
                <w:b w:val="0"/>
                <w:sz w:val="18"/>
                <w:szCs w:val="18"/>
              </w:rPr>
              <w:t>High prescribers</w:t>
            </w:r>
          </w:p>
        </w:tc>
        <w:tc>
          <w:tcPr>
            <w:tcW w:w="706" w:type="dxa"/>
          </w:tcPr>
          <w:p w14:paraId="1F002826"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589" w:type="dxa"/>
          </w:tcPr>
          <w:p w14:paraId="6410F419"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tcPr>
          <w:p w14:paraId="7971490E"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381" w:type="dxa"/>
          </w:tcPr>
          <w:p w14:paraId="0A0CA676"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331" w:type="dxa"/>
            <w:vMerge w:val="restart"/>
          </w:tcPr>
          <w:p w14:paraId="225AA076"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331" w:type="dxa"/>
            <w:vMerge w:val="restart"/>
          </w:tcPr>
          <w:p w14:paraId="09CA8D10"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7E335C" w:rsidRPr="00BF20CF" w14:paraId="2EF371A1" w14:textId="77777777" w:rsidTr="00891E54">
        <w:tc>
          <w:tcPr>
            <w:cnfStyle w:val="001000000000" w:firstRow="0" w:lastRow="0" w:firstColumn="1" w:lastColumn="0" w:oddVBand="0" w:evenVBand="0" w:oddHBand="0" w:evenHBand="0" w:firstRowFirstColumn="0" w:firstRowLastColumn="0" w:lastRowFirstColumn="0" w:lastRowLastColumn="0"/>
            <w:tcW w:w="934" w:type="dxa"/>
          </w:tcPr>
          <w:p w14:paraId="190D0256" w14:textId="77777777" w:rsidR="007E335C" w:rsidRPr="00BF20CF" w:rsidRDefault="007E335C" w:rsidP="00891E54">
            <w:pPr>
              <w:rPr>
                <w:rFonts w:cstheme="majorHAnsi"/>
                <w:b w:val="0"/>
                <w:sz w:val="18"/>
                <w:szCs w:val="18"/>
              </w:rPr>
            </w:pPr>
            <w:r w:rsidRPr="00BF20CF">
              <w:rPr>
                <w:rFonts w:cstheme="majorHAnsi"/>
                <w:b w:val="0"/>
                <w:sz w:val="18"/>
                <w:szCs w:val="18"/>
              </w:rPr>
              <w:t>Low prescribers</w:t>
            </w:r>
          </w:p>
        </w:tc>
        <w:tc>
          <w:tcPr>
            <w:tcW w:w="706" w:type="dxa"/>
          </w:tcPr>
          <w:p w14:paraId="231F545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589" w:type="dxa"/>
          </w:tcPr>
          <w:p w14:paraId="03F26E50"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874" w:type="dxa"/>
          </w:tcPr>
          <w:p w14:paraId="067EA019"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381" w:type="dxa"/>
          </w:tcPr>
          <w:p w14:paraId="42D098ED"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331" w:type="dxa"/>
            <w:vMerge/>
          </w:tcPr>
          <w:p w14:paraId="57879EA1"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c>
          <w:tcPr>
            <w:tcW w:w="1331" w:type="dxa"/>
            <w:vMerge/>
          </w:tcPr>
          <w:p w14:paraId="08DD5ADC" w14:textId="77777777" w:rsidR="007E335C" w:rsidRPr="00BF20CF" w:rsidRDefault="007E335C" w:rsidP="00891E54">
            <w:pPr>
              <w:jc w:val="cente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bl>
    <w:p w14:paraId="4C5B00CF" w14:textId="77777777" w:rsidR="007E335C" w:rsidRPr="007E335C" w:rsidRDefault="007E335C" w:rsidP="007E335C">
      <w:pPr>
        <w:rPr>
          <w:szCs w:val="22"/>
        </w:rPr>
      </w:pPr>
      <w:r w:rsidRPr="007E335C">
        <w:rPr>
          <w:szCs w:val="22"/>
        </w:rPr>
        <w:t>Note: Treatment groups included will depend on the results of preceding hypothesis tests. Secondary subgroup analyses will be presented in a similar fashion.</w:t>
      </w:r>
    </w:p>
    <w:p w14:paraId="5A3ADE70" w14:textId="77777777" w:rsidR="007E335C" w:rsidRPr="007E335C" w:rsidRDefault="007E335C" w:rsidP="007E335C">
      <w:pPr>
        <w:pStyle w:val="Heading2"/>
        <w:rPr>
          <w:sz w:val="22"/>
          <w:szCs w:val="22"/>
        </w:rPr>
      </w:pPr>
      <w:r w:rsidRPr="007E335C">
        <w:rPr>
          <w:sz w:val="22"/>
          <w:szCs w:val="22"/>
        </w:rPr>
        <w:t>6. References</w:t>
      </w:r>
    </w:p>
    <w:p w14:paraId="1F745557" w14:textId="77777777" w:rsidR="007E335C" w:rsidRPr="007E335C" w:rsidRDefault="007E335C" w:rsidP="007E335C">
      <w:pPr>
        <w:rPr>
          <w:szCs w:val="22"/>
        </w:rPr>
      </w:pPr>
      <w:proofErr w:type="spellStart"/>
      <w:r w:rsidRPr="007E335C">
        <w:rPr>
          <w:szCs w:val="22"/>
        </w:rPr>
        <w:t>Imbens</w:t>
      </w:r>
      <w:proofErr w:type="spellEnd"/>
      <w:r w:rsidRPr="007E335C">
        <w:rPr>
          <w:szCs w:val="22"/>
        </w:rPr>
        <w:t xml:space="preserve">, Guido W., and Michal </w:t>
      </w:r>
      <w:proofErr w:type="spellStart"/>
      <w:r w:rsidRPr="007E335C">
        <w:rPr>
          <w:szCs w:val="22"/>
        </w:rPr>
        <w:t>Kolesár</w:t>
      </w:r>
      <w:proofErr w:type="spellEnd"/>
      <w:r w:rsidRPr="007E335C">
        <w:rPr>
          <w:szCs w:val="22"/>
        </w:rPr>
        <w:t xml:space="preserve">. 2016. “Robust Standard Errors in Small Samples: Some Practical Advice.” Review of Economics and Statistics 98 (4): 701–12. </w:t>
      </w:r>
      <w:proofErr w:type="gramStart"/>
      <w:r w:rsidRPr="007E335C">
        <w:rPr>
          <w:szCs w:val="22"/>
        </w:rPr>
        <w:t>doi:</w:t>
      </w:r>
      <w:proofErr w:type="gramEnd"/>
      <w:r w:rsidRPr="007E335C">
        <w:rPr>
          <w:szCs w:val="22"/>
        </w:rPr>
        <w:t>10.1162/REST_a_00552.</w:t>
      </w:r>
    </w:p>
    <w:p w14:paraId="4E149830" w14:textId="159F8757" w:rsidR="00177EA5" w:rsidRPr="00C75292" w:rsidRDefault="00177EA5" w:rsidP="007E335C">
      <w:pPr>
        <w:rPr>
          <w:lang w:val="en-US"/>
        </w:rPr>
      </w:pPr>
    </w:p>
    <w:sectPr w:rsidR="00177EA5" w:rsidRPr="00C75292" w:rsidSect="00025C94">
      <w:footerReference w:type="default" r:id="rId12"/>
      <w:pgSz w:w="11906" w:h="16838" w:code="9"/>
      <w:pgMar w:top="1440" w:right="1080" w:bottom="1440" w:left="1080"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F0070" w14:textId="77777777" w:rsidR="00173A33" w:rsidRDefault="00173A33">
      <w:r>
        <w:separator/>
      </w:r>
    </w:p>
  </w:endnote>
  <w:endnote w:type="continuationSeparator" w:id="0">
    <w:p w14:paraId="359CD30F" w14:textId="77777777" w:rsidR="00173A33" w:rsidRDefault="00173A33">
      <w:r>
        <w:continuationSeparator/>
      </w:r>
    </w:p>
  </w:endnote>
  <w:endnote w:type="continuationNotice" w:id="1">
    <w:p w14:paraId="78443ECC" w14:textId="77777777" w:rsidR="00173A33" w:rsidRDefault="00173A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22183"/>
      <w:docPartObj>
        <w:docPartGallery w:val="Page Numbers (Bottom of Page)"/>
        <w:docPartUnique/>
      </w:docPartObj>
    </w:sdtPr>
    <w:sdtEndPr>
      <w:rPr>
        <w:noProof/>
      </w:rPr>
    </w:sdtEndPr>
    <w:sdtContent>
      <w:p w14:paraId="2CDC8BC7" w14:textId="02A09ECA" w:rsidR="009E4D00" w:rsidRDefault="009E4D00">
        <w:pPr>
          <w:pStyle w:val="Footer"/>
          <w:jc w:val="right"/>
        </w:pPr>
        <w:r>
          <w:fldChar w:fldCharType="begin"/>
        </w:r>
        <w:r>
          <w:instrText xml:space="preserve"> PAGE   \* MERGEFORMAT </w:instrText>
        </w:r>
        <w:r>
          <w:fldChar w:fldCharType="separate"/>
        </w:r>
        <w:r w:rsidR="006174A4">
          <w:rPr>
            <w:noProof/>
          </w:rPr>
          <w:t>1</w:t>
        </w:r>
        <w:r>
          <w:rPr>
            <w:noProof/>
          </w:rPr>
          <w:fldChar w:fldCharType="end"/>
        </w:r>
      </w:p>
    </w:sdtContent>
  </w:sdt>
  <w:p w14:paraId="23EB188D" w14:textId="77777777" w:rsidR="009E4D00" w:rsidRPr="00F202CA" w:rsidRDefault="009E4D00"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6725A" w14:textId="77777777" w:rsidR="00173A33" w:rsidRDefault="00173A33">
      <w:r>
        <w:separator/>
      </w:r>
    </w:p>
  </w:footnote>
  <w:footnote w:type="continuationSeparator" w:id="0">
    <w:p w14:paraId="45097DCC" w14:textId="77777777" w:rsidR="00173A33" w:rsidRDefault="00173A33">
      <w:r>
        <w:continuationSeparator/>
      </w:r>
    </w:p>
  </w:footnote>
  <w:footnote w:type="continuationNotice" w:id="1">
    <w:p w14:paraId="6694E8ED" w14:textId="77777777" w:rsidR="00173A33" w:rsidRDefault="00173A3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FAC9B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2C2BAF"/>
    <w:multiLevelType w:val="multilevel"/>
    <w:tmpl w:val="DD3E52EE"/>
    <w:lvl w:ilvl="0">
      <w:start w:val="1"/>
      <w:numFmt w:val="decimal"/>
      <w:lvlText w:val="%1."/>
      <w:lvlJc w:val="left"/>
      <w:pPr>
        <w:ind w:left="360" w:hanging="360"/>
      </w:pPr>
      <w:rPr>
        <w:b/>
        <w:i w:val="0"/>
      </w:r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E7092"/>
    <w:multiLevelType w:val="hybridMultilevel"/>
    <w:tmpl w:val="CD5AA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32272E"/>
    <w:multiLevelType w:val="hybridMultilevel"/>
    <w:tmpl w:val="96909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C413D"/>
    <w:multiLevelType w:val="hybridMultilevel"/>
    <w:tmpl w:val="000E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139E7"/>
    <w:multiLevelType w:val="hybridMultilevel"/>
    <w:tmpl w:val="1C2663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27C51"/>
    <w:multiLevelType w:val="hybridMultilevel"/>
    <w:tmpl w:val="287C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46C2C"/>
    <w:multiLevelType w:val="hybridMultilevel"/>
    <w:tmpl w:val="51163174"/>
    <w:lvl w:ilvl="0" w:tplc="BCE4FC78">
      <w:start w:val="1"/>
      <w:numFmt w:val="decimal"/>
      <w:lvlText w:val="%1."/>
      <w:lvlJc w:val="left"/>
      <w:pPr>
        <w:tabs>
          <w:tab w:val="num" w:pos="720"/>
        </w:tabs>
        <w:ind w:left="720" w:hanging="360"/>
      </w:pPr>
    </w:lvl>
    <w:lvl w:ilvl="1" w:tplc="31501F22" w:tentative="1">
      <w:start w:val="1"/>
      <w:numFmt w:val="decimal"/>
      <w:lvlText w:val="%2."/>
      <w:lvlJc w:val="left"/>
      <w:pPr>
        <w:tabs>
          <w:tab w:val="num" w:pos="1440"/>
        </w:tabs>
        <w:ind w:left="1440" w:hanging="360"/>
      </w:pPr>
    </w:lvl>
    <w:lvl w:ilvl="2" w:tplc="A76E985C" w:tentative="1">
      <w:start w:val="1"/>
      <w:numFmt w:val="decimal"/>
      <w:lvlText w:val="%3."/>
      <w:lvlJc w:val="left"/>
      <w:pPr>
        <w:tabs>
          <w:tab w:val="num" w:pos="2160"/>
        </w:tabs>
        <w:ind w:left="2160" w:hanging="360"/>
      </w:pPr>
    </w:lvl>
    <w:lvl w:ilvl="3" w:tplc="91F88216" w:tentative="1">
      <w:start w:val="1"/>
      <w:numFmt w:val="decimal"/>
      <w:lvlText w:val="%4."/>
      <w:lvlJc w:val="left"/>
      <w:pPr>
        <w:tabs>
          <w:tab w:val="num" w:pos="2880"/>
        </w:tabs>
        <w:ind w:left="2880" w:hanging="360"/>
      </w:pPr>
    </w:lvl>
    <w:lvl w:ilvl="4" w:tplc="099E50EC" w:tentative="1">
      <w:start w:val="1"/>
      <w:numFmt w:val="decimal"/>
      <w:lvlText w:val="%5."/>
      <w:lvlJc w:val="left"/>
      <w:pPr>
        <w:tabs>
          <w:tab w:val="num" w:pos="3600"/>
        </w:tabs>
        <w:ind w:left="3600" w:hanging="360"/>
      </w:pPr>
    </w:lvl>
    <w:lvl w:ilvl="5" w:tplc="05CCDB22" w:tentative="1">
      <w:start w:val="1"/>
      <w:numFmt w:val="decimal"/>
      <w:lvlText w:val="%6."/>
      <w:lvlJc w:val="left"/>
      <w:pPr>
        <w:tabs>
          <w:tab w:val="num" w:pos="4320"/>
        </w:tabs>
        <w:ind w:left="4320" w:hanging="360"/>
      </w:pPr>
    </w:lvl>
    <w:lvl w:ilvl="6" w:tplc="3D50A97C" w:tentative="1">
      <w:start w:val="1"/>
      <w:numFmt w:val="decimal"/>
      <w:lvlText w:val="%7."/>
      <w:lvlJc w:val="left"/>
      <w:pPr>
        <w:tabs>
          <w:tab w:val="num" w:pos="5040"/>
        </w:tabs>
        <w:ind w:left="5040" w:hanging="360"/>
      </w:pPr>
    </w:lvl>
    <w:lvl w:ilvl="7" w:tplc="8688A4EE" w:tentative="1">
      <w:start w:val="1"/>
      <w:numFmt w:val="decimal"/>
      <w:lvlText w:val="%8."/>
      <w:lvlJc w:val="left"/>
      <w:pPr>
        <w:tabs>
          <w:tab w:val="num" w:pos="5760"/>
        </w:tabs>
        <w:ind w:left="5760" w:hanging="360"/>
      </w:pPr>
    </w:lvl>
    <w:lvl w:ilvl="8" w:tplc="E87A225C" w:tentative="1">
      <w:start w:val="1"/>
      <w:numFmt w:val="decimal"/>
      <w:lvlText w:val="%9."/>
      <w:lvlJc w:val="left"/>
      <w:pPr>
        <w:tabs>
          <w:tab w:val="num" w:pos="6480"/>
        </w:tabs>
        <w:ind w:left="6480" w:hanging="360"/>
      </w:pPr>
    </w:lvl>
  </w:abstractNum>
  <w:abstractNum w:abstractNumId="9" w15:restartNumberingAfterBreak="0">
    <w:nsid w:val="33242EEE"/>
    <w:multiLevelType w:val="hybridMultilevel"/>
    <w:tmpl w:val="42A6366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AF0664"/>
    <w:multiLevelType w:val="hybridMultilevel"/>
    <w:tmpl w:val="F9EC9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DEE762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C703B"/>
    <w:multiLevelType w:val="multilevel"/>
    <w:tmpl w:val="B9A8D5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FA1ABF"/>
    <w:multiLevelType w:val="hybridMultilevel"/>
    <w:tmpl w:val="3D5EBB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BD12E8"/>
    <w:multiLevelType w:val="hybridMultilevel"/>
    <w:tmpl w:val="E416CDC2"/>
    <w:lvl w:ilvl="0" w:tplc="00FAB5DE">
      <w:start w:val="1"/>
      <w:numFmt w:val="bullet"/>
      <w:lvlText w:val="•"/>
      <w:lvlJc w:val="left"/>
      <w:pPr>
        <w:tabs>
          <w:tab w:val="num" w:pos="720"/>
        </w:tabs>
        <w:ind w:left="720" w:hanging="360"/>
      </w:pPr>
      <w:rPr>
        <w:rFonts w:ascii="Arial" w:hAnsi="Arial" w:hint="default"/>
      </w:rPr>
    </w:lvl>
    <w:lvl w:ilvl="1" w:tplc="ABB8312A" w:tentative="1">
      <w:start w:val="1"/>
      <w:numFmt w:val="bullet"/>
      <w:lvlText w:val="•"/>
      <w:lvlJc w:val="left"/>
      <w:pPr>
        <w:tabs>
          <w:tab w:val="num" w:pos="1440"/>
        </w:tabs>
        <w:ind w:left="1440" w:hanging="360"/>
      </w:pPr>
      <w:rPr>
        <w:rFonts w:ascii="Arial" w:hAnsi="Arial" w:hint="default"/>
      </w:rPr>
    </w:lvl>
    <w:lvl w:ilvl="2" w:tplc="650AA5FC" w:tentative="1">
      <w:start w:val="1"/>
      <w:numFmt w:val="bullet"/>
      <w:lvlText w:val="•"/>
      <w:lvlJc w:val="left"/>
      <w:pPr>
        <w:tabs>
          <w:tab w:val="num" w:pos="2160"/>
        </w:tabs>
        <w:ind w:left="2160" w:hanging="360"/>
      </w:pPr>
      <w:rPr>
        <w:rFonts w:ascii="Arial" w:hAnsi="Arial" w:hint="default"/>
      </w:rPr>
    </w:lvl>
    <w:lvl w:ilvl="3" w:tplc="3768FEBA" w:tentative="1">
      <w:start w:val="1"/>
      <w:numFmt w:val="bullet"/>
      <w:lvlText w:val="•"/>
      <w:lvlJc w:val="left"/>
      <w:pPr>
        <w:tabs>
          <w:tab w:val="num" w:pos="2880"/>
        </w:tabs>
        <w:ind w:left="2880" w:hanging="360"/>
      </w:pPr>
      <w:rPr>
        <w:rFonts w:ascii="Arial" w:hAnsi="Arial" w:hint="default"/>
      </w:rPr>
    </w:lvl>
    <w:lvl w:ilvl="4" w:tplc="D4B01E72" w:tentative="1">
      <w:start w:val="1"/>
      <w:numFmt w:val="bullet"/>
      <w:lvlText w:val="•"/>
      <w:lvlJc w:val="left"/>
      <w:pPr>
        <w:tabs>
          <w:tab w:val="num" w:pos="3600"/>
        </w:tabs>
        <w:ind w:left="3600" w:hanging="360"/>
      </w:pPr>
      <w:rPr>
        <w:rFonts w:ascii="Arial" w:hAnsi="Arial" w:hint="default"/>
      </w:rPr>
    </w:lvl>
    <w:lvl w:ilvl="5" w:tplc="721884E0" w:tentative="1">
      <w:start w:val="1"/>
      <w:numFmt w:val="bullet"/>
      <w:lvlText w:val="•"/>
      <w:lvlJc w:val="left"/>
      <w:pPr>
        <w:tabs>
          <w:tab w:val="num" w:pos="4320"/>
        </w:tabs>
        <w:ind w:left="4320" w:hanging="360"/>
      </w:pPr>
      <w:rPr>
        <w:rFonts w:ascii="Arial" w:hAnsi="Arial" w:hint="default"/>
      </w:rPr>
    </w:lvl>
    <w:lvl w:ilvl="6" w:tplc="2AB0EECA" w:tentative="1">
      <w:start w:val="1"/>
      <w:numFmt w:val="bullet"/>
      <w:lvlText w:val="•"/>
      <w:lvlJc w:val="left"/>
      <w:pPr>
        <w:tabs>
          <w:tab w:val="num" w:pos="5040"/>
        </w:tabs>
        <w:ind w:left="5040" w:hanging="360"/>
      </w:pPr>
      <w:rPr>
        <w:rFonts w:ascii="Arial" w:hAnsi="Arial" w:hint="default"/>
      </w:rPr>
    </w:lvl>
    <w:lvl w:ilvl="7" w:tplc="85C080F4" w:tentative="1">
      <w:start w:val="1"/>
      <w:numFmt w:val="bullet"/>
      <w:lvlText w:val="•"/>
      <w:lvlJc w:val="left"/>
      <w:pPr>
        <w:tabs>
          <w:tab w:val="num" w:pos="5760"/>
        </w:tabs>
        <w:ind w:left="5760" w:hanging="360"/>
      </w:pPr>
      <w:rPr>
        <w:rFonts w:ascii="Arial" w:hAnsi="Arial" w:hint="default"/>
      </w:rPr>
    </w:lvl>
    <w:lvl w:ilvl="8" w:tplc="76DC4E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9361BB"/>
    <w:multiLevelType w:val="hybridMultilevel"/>
    <w:tmpl w:val="06381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5CE09F5"/>
    <w:multiLevelType w:val="hybridMultilevel"/>
    <w:tmpl w:val="6F3C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F7E62"/>
    <w:multiLevelType w:val="hybridMultilevel"/>
    <w:tmpl w:val="760E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30E0C"/>
    <w:multiLevelType w:val="hybridMultilevel"/>
    <w:tmpl w:val="1284D408"/>
    <w:lvl w:ilvl="0" w:tplc="F02C8302">
      <w:start w:val="1"/>
      <w:numFmt w:val="bullet"/>
      <w:lvlText w:val="•"/>
      <w:lvlJc w:val="left"/>
      <w:pPr>
        <w:tabs>
          <w:tab w:val="num" w:pos="720"/>
        </w:tabs>
        <w:ind w:left="720" w:hanging="360"/>
      </w:pPr>
      <w:rPr>
        <w:rFonts w:ascii="Times New Roman" w:hAnsi="Times New Roman" w:hint="default"/>
      </w:rPr>
    </w:lvl>
    <w:lvl w:ilvl="1" w:tplc="84402204" w:tentative="1">
      <w:start w:val="1"/>
      <w:numFmt w:val="bullet"/>
      <w:lvlText w:val="•"/>
      <w:lvlJc w:val="left"/>
      <w:pPr>
        <w:tabs>
          <w:tab w:val="num" w:pos="1440"/>
        </w:tabs>
        <w:ind w:left="1440" w:hanging="360"/>
      </w:pPr>
      <w:rPr>
        <w:rFonts w:ascii="Times New Roman" w:hAnsi="Times New Roman" w:hint="default"/>
      </w:rPr>
    </w:lvl>
    <w:lvl w:ilvl="2" w:tplc="70E8EEDC" w:tentative="1">
      <w:start w:val="1"/>
      <w:numFmt w:val="bullet"/>
      <w:lvlText w:val="•"/>
      <w:lvlJc w:val="left"/>
      <w:pPr>
        <w:tabs>
          <w:tab w:val="num" w:pos="2160"/>
        </w:tabs>
        <w:ind w:left="2160" w:hanging="360"/>
      </w:pPr>
      <w:rPr>
        <w:rFonts w:ascii="Times New Roman" w:hAnsi="Times New Roman" w:hint="default"/>
      </w:rPr>
    </w:lvl>
    <w:lvl w:ilvl="3" w:tplc="084EEBD0" w:tentative="1">
      <w:start w:val="1"/>
      <w:numFmt w:val="bullet"/>
      <w:lvlText w:val="•"/>
      <w:lvlJc w:val="left"/>
      <w:pPr>
        <w:tabs>
          <w:tab w:val="num" w:pos="2880"/>
        </w:tabs>
        <w:ind w:left="2880" w:hanging="360"/>
      </w:pPr>
      <w:rPr>
        <w:rFonts w:ascii="Times New Roman" w:hAnsi="Times New Roman" w:hint="default"/>
      </w:rPr>
    </w:lvl>
    <w:lvl w:ilvl="4" w:tplc="39980A8C" w:tentative="1">
      <w:start w:val="1"/>
      <w:numFmt w:val="bullet"/>
      <w:lvlText w:val="•"/>
      <w:lvlJc w:val="left"/>
      <w:pPr>
        <w:tabs>
          <w:tab w:val="num" w:pos="3600"/>
        </w:tabs>
        <w:ind w:left="3600" w:hanging="360"/>
      </w:pPr>
      <w:rPr>
        <w:rFonts w:ascii="Times New Roman" w:hAnsi="Times New Roman" w:hint="default"/>
      </w:rPr>
    </w:lvl>
    <w:lvl w:ilvl="5" w:tplc="FEDA9752" w:tentative="1">
      <w:start w:val="1"/>
      <w:numFmt w:val="bullet"/>
      <w:lvlText w:val="•"/>
      <w:lvlJc w:val="left"/>
      <w:pPr>
        <w:tabs>
          <w:tab w:val="num" w:pos="4320"/>
        </w:tabs>
        <w:ind w:left="4320" w:hanging="360"/>
      </w:pPr>
      <w:rPr>
        <w:rFonts w:ascii="Times New Roman" w:hAnsi="Times New Roman" w:hint="default"/>
      </w:rPr>
    </w:lvl>
    <w:lvl w:ilvl="6" w:tplc="D3CCC352" w:tentative="1">
      <w:start w:val="1"/>
      <w:numFmt w:val="bullet"/>
      <w:lvlText w:val="•"/>
      <w:lvlJc w:val="left"/>
      <w:pPr>
        <w:tabs>
          <w:tab w:val="num" w:pos="5040"/>
        </w:tabs>
        <w:ind w:left="5040" w:hanging="360"/>
      </w:pPr>
      <w:rPr>
        <w:rFonts w:ascii="Times New Roman" w:hAnsi="Times New Roman" w:hint="default"/>
      </w:rPr>
    </w:lvl>
    <w:lvl w:ilvl="7" w:tplc="A1165F3A" w:tentative="1">
      <w:start w:val="1"/>
      <w:numFmt w:val="bullet"/>
      <w:lvlText w:val="•"/>
      <w:lvlJc w:val="left"/>
      <w:pPr>
        <w:tabs>
          <w:tab w:val="num" w:pos="5760"/>
        </w:tabs>
        <w:ind w:left="5760" w:hanging="360"/>
      </w:pPr>
      <w:rPr>
        <w:rFonts w:ascii="Times New Roman" w:hAnsi="Times New Roman" w:hint="default"/>
      </w:rPr>
    </w:lvl>
    <w:lvl w:ilvl="8" w:tplc="C422E96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AE54ED0"/>
    <w:multiLevelType w:val="hybridMultilevel"/>
    <w:tmpl w:val="AEAA5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DF4F62"/>
    <w:multiLevelType w:val="hybridMultilevel"/>
    <w:tmpl w:val="2BD6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7090E"/>
    <w:multiLevelType w:val="hybridMultilevel"/>
    <w:tmpl w:val="58C6FAA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664EBD"/>
    <w:multiLevelType w:val="hybridMultilevel"/>
    <w:tmpl w:val="612C2D56"/>
    <w:lvl w:ilvl="0" w:tplc="A948BAAC">
      <w:start w:val="1"/>
      <w:numFmt w:val="decimal"/>
      <w:lvlText w:val="%1)"/>
      <w:lvlJc w:val="left"/>
      <w:pPr>
        <w:ind w:left="720" w:hanging="360"/>
      </w:pPr>
      <w:rPr>
        <w:rFonts w:asciiTheme="majorHAnsi" w:eastAsiaTheme="minorHAnsi" w:hAnsiTheme="maj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5D1931"/>
    <w:multiLevelType w:val="hybridMultilevel"/>
    <w:tmpl w:val="3456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A00FDF"/>
    <w:multiLevelType w:val="hybridMultilevel"/>
    <w:tmpl w:val="1AA20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D257C2"/>
    <w:multiLevelType w:val="hybridMultilevel"/>
    <w:tmpl w:val="D318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F63BBE"/>
    <w:multiLevelType w:val="hybridMultilevel"/>
    <w:tmpl w:val="389C1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8"/>
  </w:num>
  <w:num w:numId="6">
    <w:abstractNumId w:val="23"/>
  </w:num>
  <w:num w:numId="7">
    <w:abstractNumId w:val="19"/>
  </w:num>
  <w:num w:numId="8">
    <w:abstractNumId w:val="14"/>
  </w:num>
  <w:num w:numId="9">
    <w:abstractNumId w:val="8"/>
  </w:num>
  <w:num w:numId="10">
    <w:abstractNumId w:val="15"/>
  </w:num>
  <w:num w:numId="11">
    <w:abstractNumId w:val="1"/>
  </w:num>
  <w:num w:numId="12">
    <w:abstractNumId w:val="4"/>
  </w:num>
  <w:num w:numId="13">
    <w:abstractNumId w:val="20"/>
  </w:num>
  <w:num w:numId="14">
    <w:abstractNumId w:val="26"/>
  </w:num>
  <w:num w:numId="15">
    <w:abstractNumId w:val="9"/>
  </w:num>
  <w:num w:numId="16">
    <w:abstractNumId w:val="5"/>
  </w:num>
  <w:num w:numId="17">
    <w:abstractNumId w:val="21"/>
  </w:num>
  <w:num w:numId="18">
    <w:abstractNumId w:val="1"/>
  </w:num>
  <w:num w:numId="19">
    <w:abstractNumId w:val="1"/>
  </w:num>
  <w:num w:numId="20">
    <w:abstractNumId w:val="1"/>
  </w:num>
  <w:num w:numId="21">
    <w:abstractNumId w:val="13"/>
  </w:num>
  <w:num w:numId="22">
    <w:abstractNumId w:val="13"/>
  </w:num>
  <w:num w:numId="23">
    <w:abstractNumId w:val="6"/>
  </w:num>
  <w:num w:numId="24">
    <w:abstractNumId w:val="24"/>
  </w:num>
  <w:num w:numId="25">
    <w:abstractNumId w:val="7"/>
  </w:num>
  <w:num w:numId="26">
    <w:abstractNumId w:val="1"/>
  </w:num>
  <w:num w:numId="27">
    <w:abstractNumId w:val="10"/>
  </w:num>
  <w:num w:numId="28">
    <w:abstractNumId w:val="12"/>
  </w:num>
  <w:num w:numId="29">
    <w:abstractNumId w:val="16"/>
  </w:num>
  <w:num w:numId="30">
    <w:abstractNumId w:val="25"/>
  </w:num>
  <w:num w:numId="31">
    <w:abstractNumId w:val="22"/>
  </w:num>
  <w:num w:numId="32">
    <w:abstractNumId w:val="3"/>
  </w:num>
  <w:num w:numId="33">
    <w:abstractNumId w:val="11"/>
  </w:num>
  <w:num w:numId="3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68"/>
    <w:rsid w:val="00000233"/>
    <w:rsid w:val="00000E50"/>
    <w:rsid w:val="00005785"/>
    <w:rsid w:val="00006876"/>
    <w:rsid w:val="000077E1"/>
    <w:rsid w:val="000079AD"/>
    <w:rsid w:val="00007D1F"/>
    <w:rsid w:val="00010D84"/>
    <w:rsid w:val="00010F15"/>
    <w:rsid w:val="00011CE3"/>
    <w:rsid w:val="000176B5"/>
    <w:rsid w:val="00022E9C"/>
    <w:rsid w:val="00023F96"/>
    <w:rsid w:val="0002475B"/>
    <w:rsid w:val="00024EF0"/>
    <w:rsid w:val="00025631"/>
    <w:rsid w:val="00025C94"/>
    <w:rsid w:val="00027715"/>
    <w:rsid w:val="00027B26"/>
    <w:rsid w:val="00030705"/>
    <w:rsid w:val="00030F68"/>
    <w:rsid w:val="00031117"/>
    <w:rsid w:val="000314B9"/>
    <w:rsid w:val="00032861"/>
    <w:rsid w:val="00032B77"/>
    <w:rsid w:val="00033281"/>
    <w:rsid w:val="000334BF"/>
    <w:rsid w:val="00035515"/>
    <w:rsid w:val="00037F3D"/>
    <w:rsid w:val="00040C32"/>
    <w:rsid w:val="00041C2A"/>
    <w:rsid w:val="00042285"/>
    <w:rsid w:val="000426E1"/>
    <w:rsid w:val="00043256"/>
    <w:rsid w:val="00045A89"/>
    <w:rsid w:val="00046F8E"/>
    <w:rsid w:val="00047524"/>
    <w:rsid w:val="0005040E"/>
    <w:rsid w:val="0005087D"/>
    <w:rsid w:val="000508B4"/>
    <w:rsid w:val="00050F9E"/>
    <w:rsid w:val="0005266C"/>
    <w:rsid w:val="000547EF"/>
    <w:rsid w:val="00054F37"/>
    <w:rsid w:val="00056004"/>
    <w:rsid w:val="0006075A"/>
    <w:rsid w:val="000607E9"/>
    <w:rsid w:val="00060EBF"/>
    <w:rsid w:val="00061C84"/>
    <w:rsid w:val="00061DA9"/>
    <w:rsid w:val="00062484"/>
    <w:rsid w:val="0006274F"/>
    <w:rsid w:val="00063129"/>
    <w:rsid w:val="00063D15"/>
    <w:rsid w:val="00064DAD"/>
    <w:rsid w:val="00064EE9"/>
    <w:rsid w:val="00065022"/>
    <w:rsid w:val="00065A5E"/>
    <w:rsid w:val="00070571"/>
    <w:rsid w:val="00070681"/>
    <w:rsid w:val="0007097B"/>
    <w:rsid w:val="00070F67"/>
    <w:rsid w:val="00072DA5"/>
    <w:rsid w:val="0007470D"/>
    <w:rsid w:val="000756BF"/>
    <w:rsid w:val="00075C05"/>
    <w:rsid w:val="000775DC"/>
    <w:rsid w:val="00080A09"/>
    <w:rsid w:val="00080A6B"/>
    <w:rsid w:val="00081CEB"/>
    <w:rsid w:val="00082A67"/>
    <w:rsid w:val="00083082"/>
    <w:rsid w:val="00083F36"/>
    <w:rsid w:val="00086D9F"/>
    <w:rsid w:val="00087B2C"/>
    <w:rsid w:val="00087D4E"/>
    <w:rsid w:val="00087DBD"/>
    <w:rsid w:val="000900BB"/>
    <w:rsid w:val="00090718"/>
    <w:rsid w:val="0009146D"/>
    <w:rsid w:val="00091B4E"/>
    <w:rsid w:val="00091CD7"/>
    <w:rsid w:val="00092C6D"/>
    <w:rsid w:val="00092FA8"/>
    <w:rsid w:val="00093DD5"/>
    <w:rsid w:val="00097E79"/>
    <w:rsid w:val="000A03DD"/>
    <w:rsid w:val="000A1107"/>
    <w:rsid w:val="000A19C7"/>
    <w:rsid w:val="000A1A09"/>
    <w:rsid w:val="000A47A8"/>
    <w:rsid w:val="000A48B2"/>
    <w:rsid w:val="000A4B73"/>
    <w:rsid w:val="000A73FB"/>
    <w:rsid w:val="000A7F9E"/>
    <w:rsid w:val="000B0129"/>
    <w:rsid w:val="000B218A"/>
    <w:rsid w:val="000B226B"/>
    <w:rsid w:val="000B27C5"/>
    <w:rsid w:val="000B2875"/>
    <w:rsid w:val="000B4CB7"/>
    <w:rsid w:val="000B617B"/>
    <w:rsid w:val="000C014D"/>
    <w:rsid w:val="000C175B"/>
    <w:rsid w:val="000C2453"/>
    <w:rsid w:val="000C282F"/>
    <w:rsid w:val="000C29B4"/>
    <w:rsid w:val="000C389A"/>
    <w:rsid w:val="000C3B5B"/>
    <w:rsid w:val="000C46A0"/>
    <w:rsid w:val="000C5CD8"/>
    <w:rsid w:val="000C5E2C"/>
    <w:rsid w:val="000C7A69"/>
    <w:rsid w:val="000D04C1"/>
    <w:rsid w:val="000D09BB"/>
    <w:rsid w:val="000D1158"/>
    <w:rsid w:val="000D4703"/>
    <w:rsid w:val="000D5248"/>
    <w:rsid w:val="000D58E8"/>
    <w:rsid w:val="000E12D4"/>
    <w:rsid w:val="000E39EF"/>
    <w:rsid w:val="000E51CE"/>
    <w:rsid w:val="000E620E"/>
    <w:rsid w:val="000E75AB"/>
    <w:rsid w:val="000F0A73"/>
    <w:rsid w:val="000F2063"/>
    <w:rsid w:val="000F243B"/>
    <w:rsid w:val="000F3D28"/>
    <w:rsid w:val="000F5BB9"/>
    <w:rsid w:val="000F63C4"/>
    <w:rsid w:val="000F7463"/>
    <w:rsid w:val="000F7EDB"/>
    <w:rsid w:val="00100200"/>
    <w:rsid w:val="0010263D"/>
    <w:rsid w:val="00102824"/>
    <w:rsid w:val="0010300A"/>
    <w:rsid w:val="0010418B"/>
    <w:rsid w:val="00104F2B"/>
    <w:rsid w:val="001108EB"/>
    <w:rsid w:val="00111348"/>
    <w:rsid w:val="001113A8"/>
    <w:rsid w:val="0011238D"/>
    <w:rsid w:val="001131F0"/>
    <w:rsid w:val="001139C7"/>
    <w:rsid w:val="00114B56"/>
    <w:rsid w:val="00114EBC"/>
    <w:rsid w:val="00116E48"/>
    <w:rsid w:val="00117969"/>
    <w:rsid w:val="001239B3"/>
    <w:rsid w:val="0012427E"/>
    <w:rsid w:val="001247E0"/>
    <w:rsid w:val="001252F6"/>
    <w:rsid w:val="001265AC"/>
    <w:rsid w:val="00126750"/>
    <w:rsid w:val="001271A1"/>
    <w:rsid w:val="001315DD"/>
    <w:rsid w:val="00131C0F"/>
    <w:rsid w:val="001325BF"/>
    <w:rsid w:val="00132F0D"/>
    <w:rsid w:val="00133713"/>
    <w:rsid w:val="00133822"/>
    <w:rsid w:val="00135B7E"/>
    <w:rsid w:val="00136526"/>
    <w:rsid w:val="001404EC"/>
    <w:rsid w:val="00140F69"/>
    <w:rsid w:val="00140FC9"/>
    <w:rsid w:val="001413C5"/>
    <w:rsid w:val="00141B1F"/>
    <w:rsid w:val="00142263"/>
    <w:rsid w:val="0014231B"/>
    <w:rsid w:val="00142956"/>
    <w:rsid w:val="00142B5C"/>
    <w:rsid w:val="00142D10"/>
    <w:rsid w:val="001432B0"/>
    <w:rsid w:val="00144167"/>
    <w:rsid w:val="00144868"/>
    <w:rsid w:val="001452BC"/>
    <w:rsid w:val="001454B7"/>
    <w:rsid w:val="001454F4"/>
    <w:rsid w:val="00145F62"/>
    <w:rsid w:val="00150D2A"/>
    <w:rsid w:val="00150E25"/>
    <w:rsid w:val="00150EA9"/>
    <w:rsid w:val="00151254"/>
    <w:rsid w:val="00151373"/>
    <w:rsid w:val="00151650"/>
    <w:rsid w:val="00155B98"/>
    <w:rsid w:val="0015647F"/>
    <w:rsid w:val="00157001"/>
    <w:rsid w:val="00157709"/>
    <w:rsid w:val="0015776A"/>
    <w:rsid w:val="00160B66"/>
    <w:rsid w:val="00160BCA"/>
    <w:rsid w:val="00160E91"/>
    <w:rsid w:val="00164A66"/>
    <w:rsid w:val="0016529F"/>
    <w:rsid w:val="00165626"/>
    <w:rsid w:val="00165F4A"/>
    <w:rsid w:val="00165F91"/>
    <w:rsid w:val="00166272"/>
    <w:rsid w:val="00166416"/>
    <w:rsid w:val="00166C5B"/>
    <w:rsid w:val="001671D2"/>
    <w:rsid w:val="00167CF4"/>
    <w:rsid w:val="00167F37"/>
    <w:rsid w:val="001706F4"/>
    <w:rsid w:val="00170BE9"/>
    <w:rsid w:val="0017147C"/>
    <w:rsid w:val="0017194E"/>
    <w:rsid w:val="0017249B"/>
    <w:rsid w:val="001727A4"/>
    <w:rsid w:val="00172DA3"/>
    <w:rsid w:val="00173A33"/>
    <w:rsid w:val="00177EA5"/>
    <w:rsid w:val="00177EC4"/>
    <w:rsid w:val="00181533"/>
    <w:rsid w:val="001824C8"/>
    <w:rsid w:val="00182698"/>
    <w:rsid w:val="001837F5"/>
    <w:rsid w:val="0018649D"/>
    <w:rsid w:val="001864FD"/>
    <w:rsid w:val="001936A7"/>
    <w:rsid w:val="001943DD"/>
    <w:rsid w:val="0019642F"/>
    <w:rsid w:val="00196BAC"/>
    <w:rsid w:val="001A009A"/>
    <w:rsid w:val="001A0BF0"/>
    <w:rsid w:val="001A13F6"/>
    <w:rsid w:val="001A19AA"/>
    <w:rsid w:val="001A2277"/>
    <w:rsid w:val="001A2D78"/>
    <w:rsid w:val="001A7249"/>
    <w:rsid w:val="001B166C"/>
    <w:rsid w:val="001B2E8E"/>
    <w:rsid w:val="001B353F"/>
    <w:rsid w:val="001B35A0"/>
    <w:rsid w:val="001B385A"/>
    <w:rsid w:val="001B3904"/>
    <w:rsid w:val="001B3AEC"/>
    <w:rsid w:val="001B3E8D"/>
    <w:rsid w:val="001B5259"/>
    <w:rsid w:val="001B53B8"/>
    <w:rsid w:val="001B60D4"/>
    <w:rsid w:val="001B6211"/>
    <w:rsid w:val="001B6F28"/>
    <w:rsid w:val="001B7A89"/>
    <w:rsid w:val="001C1DB3"/>
    <w:rsid w:val="001C330B"/>
    <w:rsid w:val="001C4F4F"/>
    <w:rsid w:val="001C51BC"/>
    <w:rsid w:val="001C6998"/>
    <w:rsid w:val="001C6B78"/>
    <w:rsid w:val="001C6BA1"/>
    <w:rsid w:val="001C6F22"/>
    <w:rsid w:val="001D0B29"/>
    <w:rsid w:val="001D141C"/>
    <w:rsid w:val="001D1D7B"/>
    <w:rsid w:val="001D2904"/>
    <w:rsid w:val="001D37C6"/>
    <w:rsid w:val="001D3A04"/>
    <w:rsid w:val="001D652D"/>
    <w:rsid w:val="001D65D1"/>
    <w:rsid w:val="001D693F"/>
    <w:rsid w:val="001D6EDF"/>
    <w:rsid w:val="001D6F9E"/>
    <w:rsid w:val="001D7268"/>
    <w:rsid w:val="001D7B16"/>
    <w:rsid w:val="001E1CCE"/>
    <w:rsid w:val="001E2EEF"/>
    <w:rsid w:val="001E38FB"/>
    <w:rsid w:val="001E3C95"/>
    <w:rsid w:val="001E52C2"/>
    <w:rsid w:val="001E6A27"/>
    <w:rsid w:val="001E6D64"/>
    <w:rsid w:val="001F0BE1"/>
    <w:rsid w:val="001F101A"/>
    <w:rsid w:val="001F16A2"/>
    <w:rsid w:val="001F1946"/>
    <w:rsid w:val="001F1B82"/>
    <w:rsid w:val="001F24EF"/>
    <w:rsid w:val="001F344E"/>
    <w:rsid w:val="001F4564"/>
    <w:rsid w:val="001F56C7"/>
    <w:rsid w:val="00200DC5"/>
    <w:rsid w:val="002010EC"/>
    <w:rsid w:val="00202920"/>
    <w:rsid w:val="00203039"/>
    <w:rsid w:val="00204B17"/>
    <w:rsid w:val="002069D2"/>
    <w:rsid w:val="002111E1"/>
    <w:rsid w:val="00211DA2"/>
    <w:rsid w:val="00213693"/>
    <w:rsid w:val="00215137"/>
    <w:rsid w:val="00215479"/>
    <w:rsid w:val="00215CCB"/>
    <w:rsid w:val="00215D62"/>
    <w:rsid w:val="00216CF5"/>
    <w:rsid w:val="0022037B"/>
    <w:rsid w:val="00222C8D"/>
    <w:rsid w:val="00223AAF"/>
    <w:rsid w:val="002256A8"/>
    <w:rsid w:val="00230535"/>
    <w:rsid w:val="00230E6B"/>
    <w:rsid w:val="002319A6"/>
    <w:rsid w:val="00232B3C"/>
    <w:rsid w:val="00232B97"/>
    <w:rsid w:val="0023309E"/>
    <w:rsid w:val="0023523A"/>
    <w:rsid w:val="00236491"/>
    <w:rsid w:val="0023757C"/>
    <w:rsid w:val="00237C47"/>
    <w:rsid w:val="002402E4"/>
    <w:rsid w:val="002406B7"/>
    <w:rsid w:val="00240C24"/>
    <w:rsid w:val="002421A0"/>
    <w:rsid w:val="002426C3"/>
    <w:rsid w:val="00242B98"/>
    <w:rsid w:val="00244295"/>
    <w:rsid w:val="002445A1"/>
    <w:rsid w:val="00246FE6"/>
    <w:rsid w:val="002470E3"/>
    <w:rsid w:val="00251BD1"/>
    <w:rsid w:val="00252031"/>
    <w:rsid w:val="0025207D"/>
    <w:rsid w:val="002535AE"/>
    <w:rsid w:val="00254DE9"/>
    <w:rsid w:val="002551C2"/>
    <w:rsid w:val="002601FF"/>
    <w:rsid w:val="00260FBE"/>
    <w:rsid w:val="002615D3"/>
    <w:rsid w:val="002619C2"/>
    <w:rsid w:val="0026268A"/>
    <w:rsid w:val="00262845"/>
    <w:rsid w:val="00263D92"/>
    <w:rsid w:val="00265347"/>
    <w:rsid w:val="0026549C"/>
    <w:rsid w:val="002667D6"/>
    <w:rsid w:val="002672F1"/>
    <w:rsid w:val="002676D8"/>
    <w:rsid w:val="00271414"/>
    <w:rsid w:val="00271922"/>
    <w:rsid w:val="00272B05"/>
    <w:rsid w:val="00273412"/>
    <w:rsid w:val="0027373F"/>
    <w:rsid w:val="00274ACF"/>
    <w:rsid w:val="00275F45"/>
    <w:rsid w:val="00277076"/>
    <w:rsid w:val="00277388"/>
    <w:rsid w:val="00277C8F"/>
    <w:rsid w:val="00280361"/>
    <w:rsid w:val="0028159B"/>
    <w:rsid w:val="0028228D"/>
    <w:rsid w:val="00282671"/>
    <w:rsid w:val="00282861"/>
    <w:rsid w:val="002829CC"/>
    <w:rsid w:val="002843E2"/>
    <w:rsid w:val="00287BAA"/>
    <w:rsid w:val="00287ED8"/>
    <w:rsid w:val="0029180D"/>
    <w:rsid w:val="00293489"/>
    <w:rsid w:val="0029569E"/>
    <w:rsid w:val="00295B30"/>
    <w:rsid w:val="00296F5E"/>
    <w:rsid w:val="002A2A56"/>
    <w:rsid w:val="002A30F0"/>
    <w:rsid w:val="002A38A4"/>
    <w:rsid w:val="002A6DF5"/>
    <w:rsid w:val="002A778E"/>
    <w:rsid w:val="002B288B"/>
    <w:rsid w:val="002B2945"/>
    <w:rsid w:val="002B3B4E"/>
    <w:rsid w:val="002B40A3"/>
    <w:rsid w:val="002B42EB"/>
    <w:rsid w:val="002B6406"/>
    <w:rsid w:val="002B6809"/>
    <w:rsid w:val="002B720A"/>
    <w:rsid w:val="002C1E3A"/>
    <w:rsid w:val="002C24A7"/>
    <w:rsid w:val="002C4231"/>
    <w:rsid w:val="002C68B5"/>
    <w:rsid w:val="002C7080"/>
    <w:rsid w:val="002D00B0"/>
    <w:rsid w:val="002D0928"/>
    <w:rsid w:val="002D1637"/>
    <w:rsid w:val="002D2364"/>
    <w:rsid w:val="002D2E16"/>
    <w:rsid w:val="002D3E43"/>
    <w:rsid w:val="002D6050"/>
    <w:rsid w:val="002D6E3E"/>
    <w:rsid w:val="002E14F3"/>
    <w:rsid w:val="002E21D6"/>
    <w:rsid w:val="002E230E"/>
    <w:rsid w:val="002E4156"/>
    <w:rsid w:val="002E45F0"/>
    <w:rsid w:val="002E65DA"/>
    <w:rsid w:val="002E6FA7"/>
    <w:rsid w:val="002E7778"/>
    <w:rsid w:val="002F1318"/>
    <w:rsid w:val="002F2413"/>
    <w:rsid w:val="002F2CEB"/>
    <w:rsid w:val="00301AD0"/>
    <w:rsid w:val="003036F8"/>
    <w:rsid w:val="00304B3E"/>
    <w:rsid w:val="00304D97"/>
    <w:rsid w:val="00304E91"/>
    <w:rsid w:val="003067E7"/>
    <w:rsid w:val="003070E5"/>
    <w:rsid w:val="00311355"/>
    <w:rsid w:val="0031180A"/>
    <w:rsid w:val="00313127"/>
    <w:rsid w:val="00313304"/>
    <w:rsid w:val="00313BED"/>
    <w:rsid w:val="00315331"/>
    <w:rsid w:val="003155F4"/>
    <w:rsid w:val="00320309"/>
    <w:rsid w:val="00321D1E"/>
    <w:rsid w:val="0032530E"/>
    <w:rsid w:val="00325A61"/>
    <w:rsid w:val="00326976"/>
    <w:rsid w:val="003279E4"/>
    <w:rsid w:val="00327B66"/>
    <w:rsid w:val="003311D7"/>
    <w:rsid w:val="00332B8B"/>
    <w:rsid w:val="00333343"/>
    <w:rsid w:val="003346A7"/>
    <w:rsid w:val="0033514A"/>
    <w:rsid w:val="0033521E"/>
    <w:rsid w:val="003364C7"/>
    <w:rsid w:val="003365F3"/>
    <w:rsid w:val="00337CA2"/>
    <w:rsid w:val="003404A4"/>
    <w:rsid w:val="003418E4"/>
    <w:rsid w:val="00346168"/>
    <w:rsid w:val="00346843"/>
    <w:rsid w:val="00347104"/>
    <w:rsid w:val="00350138"/>
    <w:rsid w:val="00350852"/>
    <w:rsid w:val="0035096E"/>
    <w:rsid w:val="0035129C"/>
    <w:rsid w:val="0035219F"/>
    <w:rsid w:val="00352749"/>
    <w:rsid w:val="00354936"/>
    <w:rsid w:val="00354ECD"/>
    <w:rsid w:val="00355D01"/>
    <w:rsid w:val="00357403"/>
    <w:rsid w:val="00360B81"/>
    <w:rsid w:val="00362516"/>
    <w:rsid w:val="0036303F"/>
    <w:rsid w:val="003643C5"/>
    <w:rsid w:val="003661E3"/>
    <w:rsid w:val="00366283"/>
    <w:rsid w:val="0036777E"/>
    <w:rsid w:val="003701FA"/>
    <w:rsid w:val="00372A26"/>
    <w:rsid w:val="00372EC7"/>
    <w:rsid w:val="00374255"/>
    <w:rsid w:val="0037484C"/>
    <w:rsid w:val="003749CD"/>
    <w:rsid w:val="00374A6C"/>
    <w:rsid w:val="003801D0"/>
    <w:rsid w:val="00380333"/>
    <w:rsid w:val="003820C0"/>
    <w:rsid w:val="00382718"/>
    <w:rsid w:val="00382B3B"/>
    <w:rsid w:val="00384A16"/>
    <w:rsid w:val="00384B01"/>
    <w:rsid w:val="00385ED2"/>
    <w:rsid w:val="003866D6"/>
    <w:rsid w:val="0038714A"/>
    <w:rsid w:val="00391F86"/>
    <w:rsid w:val="003923FB"/>
    <w:rsid w:val="003931C7"/>
    <w:rsid w:val="00393F00"/>
    <w:rsid w:val="0039405D"/>
    <w:rsid w:val="003945C0"/>
    <w:rsid w:val="0039553A"/>
    <w:rsid w:val="003975F1"/>
    <w:rsid w:val="003A0E1B"/>
    <w:rsid w:val="003A19D0"/>
    <w:rsid w:val="003A25A7"/>
    <w:rsid w:val="003A5259"/>
    <w:rsid w:val="003B1B5F"/>
    <w:rsid w:val="003B372F"/>
    <w:rsid w:val="003B387F"/>
    <w:rsid w:val="003B52CE"/>
    <w:rsid w:val="003B535C"/>
    <w:rsid w:val="003B5F0C"/>
    <w:rsid w:val="003B6EAA"/>
    <w:rsid w:val="003C00ED"/>
    <w:rsid w:val="003C08C9"/>
    <w:rsid w:val="003C18CE"/>
    <w:rsid w:val="003C2120"/>
    <w:rsid w:val="003C47C0"/>
    <w:rsid w:val="003C4A54"/>
    <w:rsid w:val="003C4BB1"/>
    <w:rsid w:val="003C63A3"/>
    <w:rsid w:val="003D0059"/>
    <w:rsid w:val="003D030E"/>
    <w:rsid w:val="003D040D"/>
    <w:rsid w:val="003D1F49"/>
    <w:rsid w:val="003D2061"/>
    <w:rsid w:val="003D2C3B"/>
    <w:rsid w:val="003D543B"/>
    <w:rsid w:val="003D61E4"/>
    <w:rsid w:val="003D620C"/>
    <w:rsid w:val="003D6AE7"/>
    <w:rsid w:val="003D7E3D"/>
    <w:rsid w:val="003E02C5"/>
    <w:rsid w:val="003E045E"/>
    <w:rsid w:val="003E1FE3"/>
    <w:rsid w:val="003E32A7"/>
    <w:rsid w:val="003E4006"/>
    <w:rsid w:val="003E489D"/>
    <w:rsid w:val="003E74AE"/>
    <w:rsid w:val="003F1A33"/>
    <w:rsid w:val="003F1AF2"/>
    <w:rsid w:val="003F3072"/>
    <w:rsid w:val="003F31E6"/>
    <w:rsid w:val="003F5C2F"/>
    <w:rsid w:val="003F7995"/>
    <w:rsid w:val="00401057"/>
    <w:rsid w:val="00401890"/>
    <w:rsid w:val="004024E4"/>
    <w:rsid w:val="00402590"/>
    <w:rsid w:val="004061B4"/>
    <w:rsid w:val="00406289"/>
    <w:rsid w:val="004064C1"/>
    <w:rsid w:val="00406578"/>
    <w:rsid w:val="00407192"/>
    <w:rsid w:val="004074EF"/>
    <w:rsid w:val="004102C3"/>
    <w:rsid w:val="00410C2A"/>
    <w:rsid w:val="00412B37"/>
    <w:rsid w:val="0041307C"/>
    <w:rsid w:val="00413699"/>
    <w:rsid w:val="004167B4"/>
    <w:rsid w:val="004167BC"/>
    <w:rsid w:val="00416E61"/>
    <w:rsid w:val="0042032D"/>
    <w:rsid w:val="00421241"/>
    <w:rsid w:val="00421BFC"/>
    <w:rsid w:val="004225DC"/>
    <w:rsid w:val="00423A41"/>
    <w:rsid w:val="00425FBA"/>
    <w:rsid w:val="00426949"/>
    <w:rsid w:val="00427461"/>
    <w:rsid w:val="00427C7D"/>
    <w:rsid w:val="00430D7E"/>
    <w:rsid w:val="0043230B"/>
    <w:rsid w:val="00432332"/>
    <w:rsid w:val="00432368"/>
    <w:rsid w:val="00433B04"/>
    <w:rsid w:val="0043657E"/>
    <w:rsid w:val="00436D00"/>
    <w:rsid w:val="0043784D"/>
    <w:rsid w:val="00440256"/>
    <w:rsid w:val="004405EF"/>
    <w:rsid w:val="00440E22"/>
    <w:rsid w:val="00444A89"/>
    <w:rsid w:val="00444FC5"/>
    <w:rsid w:val="0044547D"/>
    <w:rsid w:val="00446F93"/>
    <w:rsid w:val="00451A74"/>
    <w:rsid w:val="00453960"/>
    <w:rsid w:val="004552AB"/>
    <w:rsid w:val="004553FF"/>
    <w:rsid w:val="0045622C"/>
    <w:rsid w:val="00456BC9"/>
    <w:rsid w:val="00456E55"/>
    <w:rsid w:val="00460F80"/>
    <w:rsid w:val="004646A3"/>
    <w:rsid w:val="00464B51"/>
    <w:rsid w:val="00464FB1"/>
    <w:rsid w:val="00465756"/>
    <w:rsid w:val="00467185"/>
    <w:rsid w:val="00467470"/>
    <w:rsid w:val="00467736"/>
    <w:rsid w:val="0047050C"/>
    <w:rsid w:val="00471DE0"/>
    <w:rsid w:val="00472A45"/>
    <w:rsid w:val="00473474"/>
    <w:rsid w:val="00473930"/>
    <w:rsid w:val="00474D25"/>
    <w:rsid w:val="004750DB"/>
    <w:rsid w:val="00475911"/>
    <w:rsid w:val="00480F21"/>
    <w:rsid w:val="0048108E"/>
    <w:rsid w:val="004821BA"/>
    <w:rsid w:val="004844BB"/>
    <w:rsid w:val="004844FC"/>
    <w:rsid w:val="0048537F"/>
    <w:rsid w:val="004874E5"/>
    <w:rsid w:val="00487885"/>
    <w:rsid w:val="00490A65"/>
    <w:rsid w:val="0049116C"/>
    <w:rsid w:val="004914DD"/>
    <w:rsid w:val="00491968"/>
    <w:rsid w:val="004930C9"/>
    <w:rsid w:val="00493AB1"/>
    <w:rsid w:val="00493F62"/>
    <w:rsid w:val="00494832"/>
    <w:rsid w:val="004957C2"/>
    <w:rsid w:val="00495AF1"/>
    <w:rsid w:val="00496A2B"/>
    <w:rsid w:val="00497A4E"/>
    <w:rsid w:val="00497A89"/>
    <w:rsid w:val="004A0CBA"/>
    <w:rsid w:val="004A2437"/>
    <w:rsid w:val="004A45CC"/>
    <w:rsid w:val="004A4CED"/>
    <w:rsid w:val="004A4D74"/>
    <w:rsid w:val="004A53D1"/>
    <w:rsid w:val="004A6BE6"/>
    <w:rsid w:val="004A75D6"/>
    <w:rsid w:val="004B047F"/>
    <w:rsid w:val="004B0828"/>
    <w:rsid w:val="004B0AAB"/>
    <w:rsid w:val="004B2531"/>
    <w:rsid w:val="004B3304"/>
    <w:rsid w:val="004B37A8"/>
    <w:rsid w:val="004B3DF1"/>
    <w:rsid w:val="004B4BC0"/>
    <w:rsid w:val="004B4C19"/>
    <w:rsid w:val="004B51DB"/>
    <w:rsid w:val="004B5555"/>
    <w:rsid w:val="004B6CCD"/>
    <w:rsid w:val="004C0484"/>
    <w:rsid w:val="004C259B"/>
    <w:rsid w:val="004C4394"/>
    <w:rsid w:val="004C532F"/>
    <w:rsid w:val="004C5997"/>
    <w:rsid w:val="004C777E"/>
    <w:rsid w:val="004C7D0F"/>
    <w:rsid w:val="004D0C54"/>
    <w:rsid w:val="004D16A4"/>
    <w:rsid w:val="004D3901"/>
    <w:rsid w:val="004E166D"/>
    <w:rsid w:val="004E3C37"/>
    <w:rsid w:val="004E6682"/>
    <w:rsid w:val="004E6D8A"/>
    <w:rsid w:val="004E7876"/>
    <w:rsid w:val="004F0411"/>
    <w:rsid w:val="004F0EF8"/>
    <w:rsid w:val="004F15EF"/>
    <w:rsid w:val="004F22FE"/>
    <w:rsid w:val="004F4174"/>
    <w:rsid w:val="004F4C5F"/>
    <w:rsid w:val="004F4EBD"/>
    <w:rsid w:val="004F5BD5"/>
    <w:rsid w:val="004F774D"/>
    <w:rsid w:val="005013B0"/>
    <w:rsid w:val="005015E4"/>
    <w:rsid w:val="005017A6"/>
    <w:rsid w:val="005019F5"/>
    <w:rsid w:val="0050291D"/>
    <w:rsid w:val="0050369A"/>
    <w:rsid w:val="005064CD"/>
    <w:rsid w:val="00506C00"/>
    <w:rsid w:val="00511016"/>
    <w:rsid w:val="00513C3D"/>
    <w:rsid w:val="0051530F"/>
    <w:rsid w:val="005159B3"/>
    <w:rsid w:val="0051750B"/>
    <w:rsid w:val="0052118B"/>
    <w:rsid w:val="00522C03"/>
    <w:rsid w:val="00522E95"/>
    <w:rsid w:val="00522EBB"/>
    <w:rsid w:val="00523110"/>
    <w:rsid w:val="00525EA4"/>
    <w:rsid w:val="00526095"/>
    <w:rsid w:val="005276B7"/>
    <w:rsid w:val="0052791F"/>
    <w:rsid w:val="00531AA9"/>
    <w:rsid w:val="00532A59"/>
    <w:rsid w:val="00532CFF"/>
    <w:rsid w:val="00534D3D"/>
    <w:rsid w:val="00535A25"/>
    <w:rsid w:val="00535CE2"/>
    <w:rsid w:val="00536880"/>
    <w:rsid w:val="00536F81"/>
    <w:rsid w:val="00540AD0"/>
    <w:rsid w:val="00540E04"/>
    <w:rsid w:val="00541745"/>
    <w:rsid w:val="00543132"/>
    <w:rsid w:val="00543A76"/>
    <w:rsid w:val="00543B1C"/>
    <w:rsid w:val="00546A7B"/>
    <w:rsid w:val="00547738"/>
    <w:rsid w:val="00551B02"/>
    <w:rsid w:val="005522F3"/>
    <w:rsid w:val="005523D1"/>
    <w:rsid w:val="00552F5F"/>
    <w:rsid w:val="0055532E"/>
    <w:rsid w:val="00555BC3"/>
    <w:rsid w:val="00557C8E"/>
    <w:rsid w:val="00561B2B"/>
    <w:rsid w:val="0056315E"/>
    <w:rsid w:val="0056357E"/>
    <w:rsid w:val="00564952"/>
    <w:rsid w:val="00565AFF"/>
    <w:rsid w:val="0056645F"/>
    <w:rsid w:val="00566C19"/>
    <w:rsid w:val="00570014"/>
    <w:rsid w:val="00571AB1"/>
    <w:rsid w:val="005738D4"/>
    <w:rsid w:val="00575560"/>
    <w:rsid w:val="00577E1C"/>
    <w:rsid w:val="00580DB1"/>
    <w:rsid w:val="005814AC"/>
    <w:rsid w:val="00581C51"/>
    <w:rsid w:val="00583A55"/>
    <w:rsid w:val="00584676"/>
    <w:rsid w:val="00584923"/>
    <w:rsid w:val="005854B7"/>
    <w:rsid w:val="00586CE7"/>
    <w:rsid w:val="00587AB1"/>
    <w:rsid w:val="00587E67"/>
    <w:rsid w:val="0059070B"/>
    <w:rsid w:val="00590D8E"/>
    <w:rsid w:val="00591715"/>
    <w:rsid w:val="0059283C"/>
    <w:rsid w:val="00593A43"/>
    <w:rsid w:val="00595082"/>
    <w:rsid w:val="00595CAD"/>
    <w:rsid w:val="0059663A"/>
    <w:rsid w:val="0059691A"/>
    <w:rsid w:val="00596DAC"/>
    <w:rsid w:val="005A0D95"/>
    <w:rsid w:val="005A1CA1"/>
    <w:rsid w:val="005A21D3"/>
    <w:rsid w:val="005A224B"/>
    <w:rsid w:val="005A27FB"/>
    <w:rsid w:val="005A4612"/>
    <w:rsid w:val="005A47FF"/>
    <w:rsid w:val="005A5772"/>
    <w:rsid w:val="005A5963"/>
    <w:rsid w:val="005A5EAE"/>
    <w:rsid w:val="005A7F6F"/>
    <w:rsid w:val="005B1225"/>
    <w:rsid w:val="005B17D8"/>
    <w:rsid w:val="005B1D82"/>
    <w:rsid w:val="005B4077"/>
    <w:rsid w:val="005B44E1"/>
    <w:rsid w:val="005B475C"/>
    <w:rsid w:val="005B6322"/>
    <w:rsid w:val="005B64D4"/>
    <w:rsid w:val="005B65E5"/>
    <w:rsid w:val="005B71B8"/>
    <w:rsid w:val="005B7D27"/>
    <w:rsid w:val="005C28B0"/>
    <w:rsid w:val="005C2F01"/>
    <w:rsid w:val="005C40DD"/>
    <w:rsid w:val="005C5D34"/>
    <w:rsid w:val="005C5F3C"/>
    <w:rsid w:val="005D01BE"/>
    <w:rsid w:val="005D1177"/>
    <w:rsid w:val="005D1A43"/>
    <w:rsid w:val="005D1D13"/>
    <w:rsid w:val="005D254A"/>
    <w:rsid w:val="005D27C7"/>
    <w:rsid w:val="005D3880"/>
    <w:rsid w:val="005D5460"/>
    <w:rsid w:val="005D5CA8"/>
    <w:rsid w:val="005D5D62"/>
    <w:rsid w:val="005D6BD0"/>
    <w:rsid w:val="005E0515"/>
    <w:rsid w:val="005E08CD"/>
    <w:rsid w:val="005E37E8"/>
    <w:rsid w:val="005E44D0"/>
    <w:rsid w:val="005E74C5"/>
    <w:rsid w:val="005E7503"/>
    <w:rsid w:val="005F154A"/>
    <w:rsid w:val="005F219D"/>
    <w:rsid w:val="005F2437"/>
    <w:rsid w:val="005F318A"/>
    <w:rsid w:val="005F3380"/>
    <w:rsid w:val="005F429C"/>
    <w:rsid w:val="005F7710"/>
    <w:rsid w:val="006004F7"/>
    <w:rsid w:val="0060065F"/>
    <w:rsid w:val="00602949"/>
    <w:rsid w:val="00603261"/>
    <w:rsid w:val="00605449"/>
    <w:rsid w:val="0060589B"/>
    <w:rsid w:val="00607597"/>
    <w:rsid w:val="00610F93"/>
    <w:rsid w:val="006127CC"/>
    <w:rsid w:val="00614661"/>
    <w:rsid w:val="006171C9"/>
    <w:rsid w:val="006174A4"/>
    <w:rsid w:val="006174F8"/>
    <w:rsid w:val="00622850"/>
    <w:rsid w:val="006243C6"/>
    <w:rsid w:val="006273BC"/>
    <w:rsid w:val="00631B31"/>
    <w:rsid w:val="00631E9F"/>
    <w:rsid w:val="00632009"/>
    <w:rsid w:val="00632D70"/>
    <w:rsid w:val="00633198"/>
    <w:rsid w:val="00633CF1"/>
    <w:rsid w:val="00635A6C"/>
    <w:rsid w:val="00637091"/>
    <w:rsid w:val="0063791D"/>
    <w:rsid w:val="006412BF"/>
    <w:rsid w:val="00642839"/>
    <w:rsid w:val="006457F8"/>
    <w:rsid w:val="00645C6D"/>
    <w:rsid w:val="00645CCB"/>
    <w:rsid w:val="0064700E"/>
    <w:rsid w:val="006472A3"/>
    <w:rsid w:val="006474E0"/>
    <w:rsid w:val="006478CB"/>
    <w:rsid w:val="00647B6C"/>
    <w:rsid w:val="00650B88"/>
    <w:rsid w:val="00652C58"/>
    <w:rsid w:val="006530EF"/>
    <w:rsid w:val="006554DD"/>
    <w:rsid w:val="00656A98"/>
    <w:rsid w:val="00660951"/>
    <w:rsid w:val="006636E2"/>
    <w:rsid w:val="006639D9"/>
    <w:rsid w:val="00664C4E"/>
    <w:rsid w:val="006661E7"/>
    <w:rsid w:val="00666273"/>
    <w:rsid w:val="006679CF"/>
    <w:rsid w:val="00667E04"/>
    <w:rsid w:val="00667FA9"/>
    <w:rsid w:val="0067233D"/>
    <w:rsid w:val="006726A8"/>
    <w:rsid w:val="00672B2E"/>
    <w:rsid w:val="006745AE"/>
    <w:rsid w:val="00676870"/>
    <w:rsid w:val="00676AF3"/>
    <w:rsid w:val="00677895"/>
    <w:rsid w:val="006779BE"/>
    <w:rsid w:val="00677BEF"/>
    <w:rsid w:val="006814A3"/>
    <w:rsid w:val="00682AFC"/>
    <w:rsid w:val="00683344"/>
    <w:rsid w:val="0068436C"/>
    <w:rsid w:val="00684FC9"/>
    <w:rsid w:val="006875B5"/>
    <w:rsid w:val="0069072B"/>
    <w:rsid w:val="0069174B"/>
    <w:rsid w:val="00691B4D"/>
    <w:rsid w:val="00693340"/>
    <w:rsid w:val="00696464"/>
    <w:rsid w:val="00696826"/>
    <w:rsid w:val="00697917"/>
    <w:rsid w:val="006A04C7"/>
    <w:rsid w:val="006A2ECA"/>
    <w:rsid w:val="006A4287"/>
    <w:rsid w:val="006A579C"/>
    <w:rsid w:val="006B05E3"/>
    <w:rsid w:val="006B09BC"/>
    <w:rsid w:val="006B2416"/>
    <w:rsid w:val="006B2E4B"/>
    <w:rsid w:val="006B46B0"/>
    <w:rsid w:val="006B6D5D"/>
    <w:rsid w:val="006B7A15"/>
    <w:rsid w:val="006B7B5A"/>
    <w:rsid w:val="006C0116"/>
    <w:rsid w:val="006C0801"/>
    <w:rsid w:val="006C0C2C"/>
    <w:rsid w:val="006C1EAA"/>
    <w:rsid w:val="006C216F"/>
    <w:rsid w:val="006C229D"/>
    <w:rsid w:val="006C257D"/>
    <w:rsid w:val="006C45BE"/>
    <w:rsid w:val="006C45D4"/>
    <w:rsid w:val="006C6DDB"/>
    <w:rsid w:val="006C7F31"/>
    <w:rsid w:val="006D11BD"/>
    <w:rsid w:val="006D2042"/>
    <w:rsid w:val="006D3EAF"/>
    <w:rsid w:val="006D57F3"/>
    <w:rsid w:val="006D5A5B"/>
    <w:rsid w:val="006D66E3"/>
    <w:rsid w:val="006D75BA"/>
    <w:rsid w:val="006D7855"/>
    <w:rsid w:val="006E010C"/>
    <w:rsid w:val="006E1003"/>
    <w:rsid w:val="006E1557"/>
    <w:rsid w:val="006E16BF"/>
    <w:rsid w:val="006E18F0"/>
    <w:rsid w:val="006E2BFF"/>
    <w:rsid w:val="006E2C89"/>
    <w:rsid w:val="006E38AF"/>
    <w:rsid w:val="006E4F93"/>
    <w:rsid w:val="006E5C5A"/>
    <w:rsid w:val="006E7811"/>
    <w:rsid w:val="006F10FE"/>
    <w:rsid w:val="006F1174"/>
    <w:rsid w:val="006F1435"/>
    <w:rsid w:val="006F1CF2"/>
    <w:rsid w:val="006F1FFE"/>
    <w:rsid w:val="006F2635"/>
    <w:rsid w:val="006F5783"/>
    <w:rsid w:val="006F5B04"/>
    <w:rsid w:val="00700135"/>
    <w:rsid w:val="00700CC2"/>
    <w:rsid w:val="0070212F"/>
    <w:rsid w:val="0070279C"/>
    <w:rsid w:val="007034D5"/>
    <w:rsid w:val="00704C40"/>
    <w:rsid w:val="00705180"/>
    <w:rsid w:val="0070552F"/>
    <w:rsid w:val="00710A39"/>
    <w:rsid w:val="00711605"/>
    <w:rsid w:val="0071182A"/>
    <w:rsid w:val="00711DF6"/>
    <w:rsid w:val="00713184"/>
    <w:rsid w:val="00715575"/>
    <w:rsid w:val="00715B86"/>
    <w:rsid w:val="00716B9E"/>
    <w:rsid w:val="00716FBC"/>
    <w:rsid w:val="00717090"/>
    <w:rsid w:val="00720739"/>
    <w:rsid w:val="00722263"/>
    <w:rsid w:val="0072253E"/>
    <w:rsid w:val="00723A52"/>
    <w:rsid w:val="00723E1F"/>
    <w:rsid w:val="0072443D"/>
    <w:rsid w:val="007247E5"/>
    <w:rsid w:val="007248B7"/>
    <w:rsid w:val="007254CA"/>
    <w:rsid w:val="007255E6"/>
    <w:rsid w:val="007267D2"/>
    <w:rsid w:val="00727D6A"/>
    <w:rsid w:val="00730CF8"/>
    <w:rsid w:val="00731A90"/>
    <w:rsid w:val="00732608"/>
    <w:rsid w:val="00733251"/>
    <w:rsid w:val="00733AC4"/>
    <w:rsid w:val="00734083"/>
    <w:rsid w:val="00736DCA"/>
    <w:rsid w:val="00741904"/>
    <w:rsid w:val="00744A90"/>
    <w:rsid w:val="00744D38"/>
    <w:rsid w:val="00745C47"/>
    <w:rsid w:val="00745E49"/>
    <w:rsid w:val="00747056"/>
    <w:rsid w:val="0075003D"/>
    <w:rsid w:val="00750662"/>
    <w:rsid w:val="00750FF4"/>
    <w:rsid w:val="00751D97"/>
    <w:rsid w:val="00752C55"/>
    <w:rsid w:val="00755F42"/>
    <w:rsid w:val="007562D4"/>
    <w:rsid w:val="00756942"/>
    <w:rsid w:val="00757246"/>
    <w:rsid w:val="007573FA"/>
    <w:rsid w:val="00757EF9"/>
    <w:rsid w:val="00760597"/>
    <w:rsid w:val="00760E06"/>
    <w:rsid w:val="00760E97"/>
    <w:rsid w:val="00761DBF"/>
    <w:rsid w:val="00761FCF"/>
    <w:rsid w:val="00762B9C"/>
    <w:rsid w:val="007633C1"/>
    <w:rsid w:val="00763674"/>
    <w:rsid w:val="00765503"/>
    <w:rsid w:val="00767B7E"/>
    <w:rsid w:val="007705E9"/>
    <w:rsid w:val="00771D7D"/>
    <w:rsid w:val="00772C9E"/>
    <w:rsid w:val="007745B7"/>
    <w:rsid w:val="00774F6B"/>
    <w:rsid w:val="007750C8"/>
    <w:rsid w:val="00776538"/>
    <w:rsid w:val="00777997"/>
    <w:rsid w:val="007802BE"/>
    <w:rsid w:val="00780EEF"/>
    <w:rsid w:val="00780F03"/>
    <w:rsid w:val="007812D3"/>
    <w:rsid w:val="0078134C"/>
    <w:rsid w:val="00781C47"/>
    <w:rsid w:val="007837C7"/>
    <w:rsid w:val="00784B44"/>
    <w:rsid w:val="00785465"/>
    <w:rsid w:val="0078549C"/>
    <w:rsid w:val="00786437"/>
    <w:rsid w:val="00786C3E"/>
    <w:rsid w:val="007875B8"/>
    <w:rsid w:val="00787656"/>
    <w:rsid w:val="00790825"/>
    <w:rsid w:val="00791767"/>
    <w:rsid w:val="0079268A"/>
    <w:rsid w:val="00794859"/>
    <w:rsid w:val="00795CF8"/>
    <w:rsid w:val="00797C88"/>
    <w:rsid w:val="007A1013"/>
    <w:rsid w:val="007A2242"/>
    <w:rsid w:val="007A235B"/>
    <w:rsid w:val="007A4CA9"/>
    <w:rsid w:val="007A5045"/>
    <w:rsid w:val="007A60B4"/>
    <w:rsid w:val="007A7052"/>
    <w:rsid w:val="007A7D19"/>
    <w:rsid w:val="007A7EC2"/>
    <w:rsid w:val="007B042D"/>
    <w:rsid w:val="007B05BB"/>
    <w:rsid w:val="007B2410"/>
    <w:rsid w:val="007B493C"/>
    <w:rsid w:val="007B5B0C"/>
    <w:rsid w:val="007B6E0A"/>
    <w:rsid w:val="007B764C"/>
    <w:rsid w:val="007C03EB"/>
    <w:rsid w:val="007C118A"/>
    <w:rsid w:val="007C636F"/>
    <w:rsid w:val="007D079A"/>
    <w:rsid w:val="007D0A5E"/>
    <w:rsid w:val="007D0FC7"/>
    <w:rsid w:val="007D30F1"/>
    <w:rsid w:val="007D39C4"/>
    <w:rsid w:val="007D39EB"/>
    <w:rsid w:val="007D5303"/>
    <w:rsid w:val="007D570F"/>
    <w:rsid w:val="007D66B9"/>
    <w:rsid w:val="007D7B83"/>
    <w:rsid w:val="007E1CC5"/>
    <w:rsid w:val="007E2CBE"/>
    <w:rsid w:val="007E335C"/>
    <w:rsid w:val="007E7319"/>
    <w:rsid w:val="007E74E1"/>
    <w:rsid w:val="007E77A8"/>
    <w:rsid w:val="007F0A4A"/>
    <w:rsid w:val="007F2EF0"/>
    <w:rsid w:val="007F491C"/>
    <w:rsid w:val="007F6C51"/>
    <w:rsid w:val="00800D07"/>
    <w:rsid w:val="00801890"/>
    <w:rsid w:val="00801ACD"/>
    <w:rsid w:val="00801FB3"/>
    <w:rsid w:val="008025F3"/>
    <w:rsid w:val="0080318A"/>
    <w:rsid w:val="00803BF8"/>
    <w:rsid w:val="008047E0"/>
    <w:rsid w:val="008061C9"/>
    <w:rsid w:val="008066D8"/>
    <w:rsid w:val="0080687B"/>
    <w:rsid w:val="008074BB"/>
    <w:rsid w:val="00807784"/>
    <w:rsid w:val="00807EB9"/>
    <w:rsid w:val="00811A18"/>
    <w:rsid w:val="008121AF"/>
    <w:rsid w:val="00812713"/>
    <w:rsid w:val="00812E18"/>
    <w:rsid w:val="00812EA0"/>
    <w:rsid w:val="00813422"/>
    <w:rsid w:val="00813711"/>
    <w:rsid w:val="008162AA"/>
    <w:rsid w:val="00821B5A"/>
    <w:rsid w:val="00821E64"/>
    <w:rsid w:val="008240C0"/>
    <w:rsid w:val="0082440C"/>
    <w:rsid w:val="008253C4"/>
    <w:rsid w:val="008263C2"/>
    <w:rsid w:val="0082729B"/>
    <w:rsid w:val="008307DB"/>
    <w:rsid w:val="00831A7E"/>
    <w:rsid w:val="00831D4C"/>
    <w:rsid w:val="00833398"/>
    <w:rsid w:val="00835D9D"/>
    <w:rsid w:val="00835FC9"/>
    <w:rsid w:val="008362BC"/>
    <w:rsid w:val="008368F8"/>
    <w:rsid w:val="008370E3"/>
    <w:rsid w:val="008414EA"/>
    <w:rsid w:val="008418FA"/>
    <w:rsid w:val="00842959"/>
    <w:rsid w:val="00843390"/>
    <w:rsid w:val="008456FE"/>
    <w:rsid w:val="0084774B"/>
    <w:rsid w:val="0085235A"/>
    <w:rsid w:val="008527EA"/>
    <w:rsid w:val="00854138"/>
    <w:rsid w:val="00854410"/>
    <w:rsid w:val="008544DF"/>
    <w:rsid w:val="008562B0"/>
    <w:rsid w:val="008602B6"/>
    <w:rsid w:val="008609E2"/>
    <w:rsid w:val="00860AAD"/>
    <w:rsid w:val="00861AA6"/>
    <w:rsid w:val="00861BC2"/>
    <w:rsid w:val="00863EDA"/>
    <w:rsid w:val="00864D53"/>
    <w:rsid w:val="008708F3"/>
    <w:rsid w:val="00870D60"/>
    <w:rsid w:val="00871354"/>
    <w:rsid w:val="00873611"/>
    <w:rsid w:val="00873C8F"/>
    <w:rsid w:val="008745FE"/>
    <w:rsid w:val="00874D73"/>
    <w:rsid w:val="00874FB3"/>
    <w:rsid w:val="00876AD2"/>
    <w:rsid w:val="00877F7C"/>
    <w:rsid w:val="008801A2"/>
    <w:rsid w:val="00880325"/>
    <w:rsid w:val="00880BE3"/>
    <w:rsid w:val="00881359"/>
    <w:rsid w:val="00882093"/>
    <w:rsid w:val="00882588"/>
    <w:rsid w:val="008836CF"/>
    <w:rsid w:val="008847D0"/>
    <w:rsid w:val="00884ADE"/>
    <w:rsid w:val="008856CF"/>
    <w:rsid w:val="00885864"/>
    <w:rsid w:val="00885DF9"/>
    <w:rsid w:val="00887281"/>
    <w:rsid w:val="00890A1D"/>
    <w:rsid w:val="008915A4"/>
    <w:rsid w:val="0089383B"/>
    <w:rsid w:val="0089534B"/>
    <w:rsid w:val="00895DED"/>
    <w:rsid w:val="0089616F"/>
    <w:rsid w:val="00896360"/>
    <w:rsid w:val="008A0232"/>
    <w:rsid w:val="008A2FA4"/>
    <w:rsid w:val="008A44CF"/>
    <w:rsid w:val="008B0417"/>
    <w:rsid w:val="008B0470"/>
    <w:rsid w:val="008B05E7"/>
    <w:rsid w:val="008B06C5"/>
    <w:rsid w:val="008B164E"/>
    <w:rsid w:val="008B324D"/>
    <w:rsid w:val="008B45EF"/>
    <w:rsid w:val="008B4866"/>
    <w:rsid w:val="008B4F06"/>
    <w:rsid w:val="008B502A"/>
    <w:rsid w:val="008B57D8"/>
    <w:rsid w:val="008B65CF"/>
    <w:rsid w:val="008B6BEE"/>
    <w:rsid w:val="008B7A65"/>
    <w:rsid w:val="008B7A88"/>
    <w:rsid w:val="008C051A"/>
    <w:rsid w:val="008C1219"/>
    <w:rsid w:val="008C123E"/>
    <w:rsid w:val="008C137D"/>
    <w:rsid w:val="008C1CDD"/>
    <w:rsid w:val="008C2011"/>
    <w:rsid w:val="008C22DD"/>
    <w:rsid w:val="008C241E"/>
    <w:rsid w:val="008C3DFD"/>
    <w:rsid w:val="008C3ED0"/>
    <w:rsid w:val="008C5DA5"/>
    <w:rsid w:val="008C5E94"/>
    <w:rsid w:val="008C74C6"/>
    <w:rsid w:val="008D196A"/>
    <w:rsid w:val="008D2435"/>
    <w:rsid w:val="008D27BC"/>
    <w:rsid w:val="008D2932"/>
    <w:rsid w:val="008D673C"/>
    <w:rsid w:val="008E1C86"/>
    <w:rsid w:val="008E3E77"/>
    <w:rsid w:val="008E3EF2"/>
    <w:rsid w:val="008E4430"/>
    <w:rsid w:val="008E51C9"/>
    <w:rsid w:val="008E52ED"/>
    <w:rsid w:val="008E5BEB"/>
    <w:rsid w:val="008E6306"/>
    <w:rsid w:val="008E6837"/>
    <w:rsid w:val="008F0B77"/>
    <w:rsid w:val="008F0D15"/>
    <w:rsid w:val="008F2705"/>
    <w:rsid w:val="008F3599"/>
    <w:rsid w:val="008F6355"/>
    <w:rsid w:val="008F68F7"/>
    <w:rsid w:val="009005A6"/>
    <w:rsid w:val="009006CF"/>
    <w:rsid w:val="00900C71"/>
    <w:rsid w:val="00900DA9"/>
    <w:rsid w:val="00902A1C"/>
    <w:rsid w:val="009037B6"/>
    <w:rsid w:val="009041CB"/>
    <w:rsid w:val="0090523E"/>
    <w:rsid w:val="00905C92"/>
    <w:rsid w:val="00906CBE"/>
    <w:rsid w:val="009070B5"/>
    <w:rsid w:val="00907AE5"/>
    <w:rsid w:val="00910024"/>
    <w:rsid w:val="00910085"/>
    <w:rsid w:val="00910384"/>
    <w:rsid w:val="00911758"/>
    <w:rsid w:val="009146DB"/>
    <w:rsid w:val="0091517E"/>
    <w:rsid w:val="00915EA7"/>
    <w:rsid w:val="00916213"/>
    <w:rsid w:val="0091643D"/>
    <w:rsid w:val="00916771"/>
    <w:rsid w:val="00916E33"/>
    <w:rsid w:val="00917919"/>
    <w:rsid w:val="0092093B"/>
    <w:rsid w:val="00925209"/>
    <w:rsid w:val="00930669"/>
    <w:rsid w:val="00931B78"/>
    <w:rsid w:val="00932753"/>
    <w:rsid w:val="00932C33"/>
    <w:rsid w:val="009351A5"/>
    <w:rsid w:val="00935E66"/>
    <w:rsid w:val="00936140"/>
    <w:rsid w:val="00936D6B"/>
    <w:rsid w:val="00937C63"/>
    <w:rsid w:val="009427A1"/>
    <w:rsid w:val="00942FFE"/>
    <w:rsid w:val="009457B9"/>
    <w:rsid w:val="00947172"/>
    <w:rsid w:val="00950DE6"/>
    <w:rsid w:val="00951543"/>
    <w:rsid w:val="00954365"/>
    <w:rsid w:val="009551E0"/>
    <w:rsid w:val="009561AC"/>
    <w:rsid w:val="009564B1"/>
    <w:rsid w:val="0095654E"/>
    <w:rsid w:val="00956F3C"/>
    <w:rsid w:val="00961B3A"/>
    <w:rsid w:val="00970678"/>
    <w:rsid w:val="00971C34"/>
    <w:rsid w:val="00971F98"/>
    <w:rsid w:val="00972488"/>
    <w:rsid w:val="009726D0"/>
    <w:rsid w:val="0097361C"/>
    <w:rsid w:val="0097421D"/>
    <w:rsid w:val="00974B32"/>
    <w:rsid w:val="00976117"/>
    <w:rsid w:val="00976A23"/>
    <w:rsid w:val="009800BC"/>
    <w:rsid w:val="009816F6"/>
    <w:rsid w:val="009843BA"/>
    <w:rsid w:val="00984D91"/>
    <w:rsid w:val="00985969"/>
    <w:rsid w:val="00986822"/>
    <w:rsid w:val="00987C06"/>
    <w:rsid w:val="0099002A"/>
    <w:rsid w:val="009900F0"/>
    <w:rsid w:val="009905EE"/>
    <w:rsid w:val="00990AE5"/>
    <w:rsid w:val="00990B9B"/>
    <w:rsid w:val="00991370"/>
    <w:rsid w:val="00991769"/>
    <w:rsid w:val="00991ACA"/>
    <w:rsid w:val="009928B5"/>
    <w:rsid w:val="00993236"/>
    <w:rsid w:val="00993300"/>
    <w:rsid w:val="0099345D"/>
    <w:rsid w:val="00993D8C"/>
    <w:rsid w:val="00994E3D"/>
    <w:rsid w:val="009951A0"/>
    <w:rsid w:val="009955F4"/>
    <w:rsid w:val="00997B1D"/>
    <w:rsid w:val="009A297E"/>
    <w:rsid w:val="009A2EA9"/>
    <w:rsid w:val="009A3700"/>
    <w:rsid w:val="009A492B"/>
    <w:rsid w:val="009A6127"/>
    <w:rsid w:val="009A698F"/>
    <w:rsid w:val="009A73F6"/>
    <w:rsid w:val="009B0CC1"/>
    <w:rsid w:val="009B446E"/>
    <w:rsid w:val="009B69F0"/>
    <w:rsid w:val="009B713C"/>
    <w:rsid w:val="009C0F18"/>
    <w:rsid w:val="009C12C6"/>
    <w:rsid w:val="009C2555"/>
    <w:rsid w:val="009C4F29"/>
    <w:rsid w:val="009C705A"/>
    <w:rsid w:val="009C7778"/>
    <w:rsid w:val="009C7EE6"/>
    <w:rsid w:val="009D06AE"/>
    <w:rsid w:val="009D09E2"/>
    <w:rsid w:val="009D1045"/>
    <w:rsid w:val="009D1E42"/>
    <w:rsid w:val="009D282B"/>
    <w:rsid w:val="009D7148"/>
    <w:rsid w:val="009D7203"/>
    <w:rsid w:val="009D7AB8"/>
    <w:rsid w:val="009E02FD"/>
    <w:rsid w:val="009E1FC9"/>
    <w:rsid w:val="009E21CA"/>
    <w:rsid w:val="009E4C74"/>
    <w:rsid w:val="009E4D00"/>
    <w:rsid w:val="009E5559"/>
    <w:rsid w:val="009E56CC"/>
    <w:rsid w:val="009E59F1"/>
    <w:rsid w:val="009E62B6"/>
    <w:rsid w:val="009E774A"/>
    <w:rsid w:val="009F0A1A"/>
    <w:rsid w:val="009F26CA"/>
    <w:rsid w:val="009F35DA"/>
    <w:rsid w:val="009F4034"/>
    <w:rsid w:val="009F43D0"/>
    <w:rsid w:val="009F4B5D"/>
    <w:rsid w:val="009F5144"/>
    <w:rsid w:val="009F5B4E"/>
    <w:rsid w:val="009F7F09"/>
    <w:rsid w:val="00A000F0"/>
    <w:rsid w:val="00A00568"/>
    <w:rsid w:val="00A00884"/>
    <w:rsid w:val="00A00EEB"/>
    <w:rsid w:val="00A020CE"/>
    <w:rsid w:val="00A02F62"/>
    <w:rsid w:val="00A02FA3"/>
    <w:rsid w:val="00A030C3"/>
    <w:rsid w:val="00A04803"/>
    <w:rsid w:val="00A10147"/>
    <w:rsid w:val="00A1035B"/>
    <w:rsid w:val="00A10EDE"/>
    <w:rsid w:val="00A11331"/>
    <w:rsid w:val="00A12348"/>
    <w:rsid w:val="00A131E6"/>
    <w:rsid w:val="00A13843"/>
    <w:rsid w:val="00A13DB6"/>
    <w:rsid w:val="00A141EC"/>
    <w:rsid w:val="00A146A5"/>
    <w:rsid w:val="00A14C19"/>
    <w:rsid w:val="00A14CD2"/>
    <w:rsid w:val="00A17466"/>
    <w:rsid w:val="00A204B3"/>
    <w:rsid w:val="00A20576"/>
    <w:rsid w:val="00A20AD2"/>
    <w:rsid w:val="00A2123C"/>
    <w:rsid w:val="00A21593"/>
    <w:rsid w:val="00A221F7"/>
    <w:rsid w:val="00A22C21"/>
    <w:rsid w:val="00A2325E"/>
    <w:rsid w:val="00A2420B"/>
    <w:rsid w:val="00A2604E"/>
    <w:rsid w:val="00A263D9"/>
    <w:rsid w:val="00A26696"/>
    <w:rsid w:val="00A30292"/>
    <w:rsid w:val="00A305A6"/>
    <w:rsid w:val="00A307E0"/>
    <w:rsid w:val="00A31CCE"/>
    <w:rsid w:val="00A33C95"/>
    <w:rsid w:val="00A34FF3"/>
    <w:rsid w:val="00A35351"/>
    <w:rsid w:val="00A361C7"/>
    <w:rsid w:val="00A3653F"/>
    <w:rsid w:val="00A36723"/>
    <w:rsid w:val="00A4030C"/>
    <w:rsid w:val="00A404A2"/>
    <w:rsid w:val="00A40C27"/>
    <w:rsid w:val="00A41E36"/>
    <w:rsid w:val="00A42936"/>
    <w:rsid w:val="00A43140"/>
    <w:rsid w:val="00A46DF5"/>
    <w:rsid w:val="00A5149A"/>
    <w:rsid w:val="00A53650"/>
    <w:rsid w:val="00A53E51"/>
    <w:rsid w:val="00A54B54"/>
    <w:rsid w:val="00A57183"/>
    <w:rsid w:val="00A60693"/>
    <w:rsid w:val="00A6116D"/>
    <w:rsid w:val="00A6196D"/>
    <w:rsid w:val="00A619C0"/>
    <w:rsid w:val="00A61ADF"/>
    <w:rsid w:val="00A62012"/>
    <w:rsid w:val="00A624CB"/>
    <w:rsid w:val="00A62AC0"/>
    <w:rsid w:val="00A655A0"/>
    <w:rsid w:val="00A669B5"/>
    <w:rsid w:val="00A70101"/>
    <w:rsid w:val="00A75118"/>
    <w:rsid w:val="00A76BD2"/>
    <w:rsid w:val="00A80AFB"/>
    <w:rsid w:val="00A8267D"/>
    <w:rsid w:val="00A82E14"/>
    <w:rsid w:val="00A83670"/>
    <w:rsid w:val="00A8688E"/>
    <w:rsid w:val="00A8698D"/>
    <w:rsid w:val="00A8722B"/>
    <w:rsid w:val="00A87C91"/>
    <w:rsid w:val="00A901E9"/>
    <w:rsid w:val="00A917B6"/>
    <w:rsid w:val="00A91831"/>
    <w:rsid w:val="00A91B3B"/>
    <w:rsid w:val="00A93B4F"/>
    <w:rsid w:val="00A93F38"/>
    <w:rsid w:val="00A94F7A"/>
    <w:rsid w:val="00A95D3B"/>
    <w:rsid w:val="00A97171"/>
    <w:rsid w:val="00A97341"/>
    <w:rsid w:val="00AA0081"/>
    <w:rsid w:val="00AA4E4D"/>
    <w:rsid w:val="00AA5E38"/>
    <w:rsid w:val="00AA7A9E"/>
    <w:rsid w:val="00AB09ED"/>
    <w:rsid w:val="00AB23F0"/>
    <w:rsid w:val="00AB3DC0"/>
    <w:rsid w:val="00AB4646"/>
    <w:rsid w:val="00AB4CBB"/>
    <w:rsid w:val="00AC125E"/>
    <w:rsid w:val="00AC14BE"/>
    <w:rsid w:val="00AC2874"/>
    <w:rsid w:val="00AC2B38"/>
    <w:rsid w:val="00AC45DF"/>
    <w:rsid w:val="00AC474D"/>
    <w:rsid w:val="00AC4DFD"/>
    <w:rsid w:val="00AC4F47"/>
    <w:rsid w:val="00AC5663"/>
    <w:rsid w:val="00AC58FD"/>
    <w:rsid w:val="00AD0F6D"/>
    <w:rsid w:val="00AD1166"/>
    <w:rsid w:val="00AD11E5"/>
    <w:rsid w:val="00AD19D2"/>
    <w:rsid w:val="00AD1A96"/>
    <w:rsid w:val="00AD3042"/>
    <w:rsid w:val="00AD3536"/>
    <w:rsid w:val="00AD5535"/>
    <w:rsid w:val="00AD642C"/>
    <w:rsid w:val="00AD793A"/>
    <w:rsid w:val="00AD7C47"/>
    <w:rsid w:val="00AE0120"/>
    <w:rsid w:val="00AE1458"/>
    <w:rsid w:val="00AE2354"/>
    <w:rsid w:val="00AE3038"/>
    <w:rsid w:val="00AE3D2E"/>
    <w:rsid w:val="00AE3D4A"/>
    <w:rsid w:val="00AE5956"/>
    <w:rsid w:val="00AE619F"/>
    <w:rsid w:val="00AE7A88"/>
    <w:rsid w:val="00AF060F"/>
    <w:rsid w:val="00AF13D2"/>
    <w:rsid w:val="00AF2A56"/>
    <w:rsid w:val="00AF2D78"/>
    <w:rsid w:val="00AF32BE"/>
    <w:rsid w:val="00AF32C0"/>
    <w:rsid w:val="00AF51D1"/>
    <w:rsid w:val="00AF5F18"/>
    <w:rsid w:val="00AF63AB"/>
    <w:rsid w:val="00AF7380"/>
    <w:rsid w:val="00B00F53"/>
    <w:rsid w:val="00B01784"/>
    <w:rsid w:val="00B02A0B"/>
    <w:rsid w:val="00B0388B"/>
    <w:rsid w:val="00B03BEE"/>
    <w:rsid w:val="00B0517E"/>
    <w:rsid w:val="00B101D3"/>
    <w:rsid w:val="00B11314"/>
    <w:rsid w:val="00B113E3"/>
    <w:rsid w:val="00B1140C"/>
    <w:rsid w:val="00B1156A"/>
    <w:rsid w:val="00B138E3"/>
    <w:rsid w:val="00B13FB5"/>
    <w:rsid w:val="00B178FA"/>
    <w:rsid w:val="00B17D8E"/>
    <w:rsid w:val="00B207C3"/>
    <w:rsid w:val="00B21443"/>
    <w:rsid w:val="00B22120"/>
    <w:rsid w:val="00B22468"/>
    <w:rsid w:val="00B23267"/>
    <w:rsid w:val="00B23435"/>
    <w:rsid w:val="00B23906"/>
    <w:rsid w:val="00B23F96"/>
    <w:rsid w:val="00B257BF"/>
    <w:rsid w:val="00B26114"/>
    <w:rsid w:val="00B27149"/>
    <w:rsid w:val="00B34BB7"/>
    <w:rsid w:val="00B35B4D"/>
    <w:rsid w:val="00B361E2"/>
    <w:rsid w:val="00B362F0"/>
    <w:rsid w:val="00B36652"/>
    <w:rsid w:val="00B419A1"/>
    <w:rsid w:val="00B425AB"/>
    <w:rsid w:val="00B428A7"/>
    <w:rsid w:val="00B45279"/>
    <w:rsid w:val="00B456CF"/>
    <w:rsid w:val="00B47090"/>
    <w:rsid w:val="00B50C17"/>
    <w:rsid w:val="00B5179B"/>
    <w:rsid w:val="00B532D1"/>
    <w:rsid w:val="00B54B5C"/>
    <w:rsid w:val="00B5755F"/>
    <w:rsid w:val="00B57925"/>
    <w:rsid w:val="00B601BB"/>
    <w:rsid w:val="00B602A5"/>
    <w:rsid w:val="00B61E3E"/>
    <w:rsid w:val="00B63146"/>
    <w:rsid w:val="00B6432A"/>
    <w:rsid w:val="00B6452E"/>
    <w:rsid w:val="00B65590"/>
    <w:rsid w:val="00B66FC4"/>
    <w:rsid w:val="00B66FD2"/>
    <w:rsid w:val="00B67303"/>
    <w:rsid w:val="00B67745"/>
    <w:rsid w:val="00B67A79"/>
    <w:rsid w:val="00B7126A"/>
    <w:rsid w:val="00B72335"/>
    <w:rsid w:val="00B72D62"/>
    <w:rsid w:val="00B759A7"/>
    <w:rsid w:val="00B767AF"/>
    <w:rsid w:val="00B76870"/>
    <w:rsid w:val="00B773FB"/>
    <w:rsid w:val="00B80511"/>
    <w:rsid w:val="00B80798"/>
    <w:rsid w:val="00B80876"/>
    <w:rsid w:val="00B82C3C"/>
    <w:rsid w:val="00B82DE6"/>
    <w:rsid w:val="00B831CD"/>
    <w:rsid w:val="00B846F6"/>
    <w:rsid w:val="00B85329"/>
    <w:rsid w:val="00B91B73"/>
    <w:rsid w:val="00B91B9D"/>
    <w:rsid w:val="00B943AF"/>
    <w:rsid w:val="00BA1B71"/>
    <w:rsid w:val="00BA3176"/>
    <w:rsid w:val="00BA3DCC"/>
    <w:rsid w:val="00BA4A15"/>
    <w:rsid w:val="00BA5E20"/>
    <w:rsid w:val="00BA607C"/>
    <w:rsid w:val="00BA6734"/>
    <w:rsid w:val="00BB0F52"/>
    <w:rsid w:val="00BB3E2A"/>
    <w:rsid w:val="00BB48A7"/>
    <w:rsid w:val="00BB7121"/>
    <w:rsid w:val="00BC0479"/>
    <w:rsid w:val="00BC1651"/>
    <w:rsid w:val="00BC16F5"/>
    <w:rsid w:val="00BC18FF"/>
    <w:rsid w:val="00BC287D"/>
    <w:rsid w:val="00BC2A38"/>
    <w:rsid w:val="00BC46EB"/>
    <w:rsid w:val="00BC57FE"/>
    <w:rsid w:val="00BC643B"/>
    <w:rsid w:val="00BD009A"/>
    <w:rsid w:val="00BD13D8"/>
    <w:rsid w:val="00BD2A41"/>
    <w:rsid w:val="00BD32E5"/>
    <w:rsid w:val="00BD3690"/>
    <w:rsid w:val="00BD36C4"/>
    <w:rsid w:val="00BD3FA1"/>
    <w:rsid w:val="00BD41E6"/>
    <w:rsid w:val="00BD4BC6"/>
    <w:rsid w:val="00BD5B50"/>
    <w:rsid w:val="00BD6E1A"/>
    <w:rsid w:val="00BD79DE"/>
    <w:rsid w:val="00BE1095"/>
    <w:rsid w:val="00BE150A"/>
    <w:rsid w:val="00BE1D01"/>
    <w:rsid w:val="00BE2645"/>
    <w:rsid w:val="00BE5222"/>
    <w:rsid w:val="00BE6767"/>
    <w:rsid w:val="00BE686C"/>
    <w:rsid w:val="00BE78EC"/>
    <w:rsid w:val="00BF20CF"/>
    <w:rsid w:val="00BF2232"/>
    <w:rsid w:val="00BF389D"/>
    <w:rsid w:val="00BF42D7"/>
    <w:rsid w:val="00BF46EE"/>
    <w:rsid w:val="00BF646E"/>
    <w:rsid w:val="00BF6C70"/>
    <w:rsid w:val="00C0086A"/>
    <w:rsid w:val="00C0207A"/>
    <w:rsid w:val="00C0365C"/>
    <w:rsid w:val="00C03B54"/>
    <w:rsid w:val="00C0538A"/>
    <w:rsid w:val="00C053C0"/>
    <w:rsid w:val="00C0613C"/>
    <w:rsid w:val="00C06F7D"/>
    <w:rsid w:val="00C10D05"/>
    <w:rsid w:val="00C11573"/>
    <w:rsid w:val="00C12311"/>
    <w:rsid w:val="00C1255F"/>
    <w:rsid w:val="00C12B02"/>
    <w:rsid w:val="00C13810"/>
    <w:rsid w:val="00C13970"/>
    <w:rsid w:val="00C13DF9"/>
    <w:rsid w:val="00C14FBA"/>
    <w:rsid w:val="00C15484"/>
    <w:rsid w:val="00C15EA1"/>
    <w:rsid w:val="00C16998"/>
    <w:rsid w:val="00C174DB"/>
    <w:rsid w:val="00C17A8E"/>
    <w:rsid w:val="00C17B8F"/>
    <w:rsid w:val="00C20B66"/>
    <w:rsid w:val="00C20C59"/>
    <w:rsid w:val="00C21A76"/>
    <w:rsid w:val="00C224B4"/>
    <w:rsid w:val="00C230BB"/>
    <w:rsid w:val="00C2378F"/>
    <w:rsid w:val="00C23CA4"/>
    <w:rsid w:val="00C246D9"/>
    <w:rsid w:val="00C24F70"/>
    <w:rsid w:val="00C25615"/>
    <w:rsid w:val="00C25938"/>
    <w:rsid w:val="00C25DC2"/>
    <w:rsid w:val="00C2637F"/>
    <w:rsid w:val="00C26A06"/>
    <w:rsid w:val="00C27B77"/>
    <w:rsid w:val="00C27DD4"/>
    <w:rsid w:val="00C313C1"/>
    <w:rsid w:val="00C33479"/>
    <w:rsid w:val="00C36E33"/>
    <w:rsid w:val="00C40ED2"/>
    <w:rsid w:val="00C416AE"/>
    <w:rsid w:val="00C41F10"/>
    <w:rsid w:val="00C420E6"/>
    <w:rsid w:val="00C42DC4"/>
    <w:rsid w:val="00C432DD"/>
    <w:rsid w:val="00C4423A"/>
    <w:rsid w:val="00C468A9"/>
    <w:rsid w:val="00C470C6"/>
    <w:rsid w:val="00C501FE"/>
    <w:rsid w:val="00C526E4"/>
    <w:rsid w:val="00C548B9"/>
    <w:rsid w:val="00C56957"/>
    <w:rsid w:val="00C56F93"/>
    <w:rsid w:val="00C575E5"/>
    <w:rsid w:val="00C5784B"/>
    <w:rsid w:val="00C639FF"/>
    <w:rsid w:val="00C63A53"/>
    <w:rsid w:val="00C63CB4"/>
    <w:rsid w:val="00C63EBE"/>
    <w:rsid w:val="00C6442A"/>
    <w:rsid w:val="00C64A75"/>
    <w:rsid w:val="00C64D15"/>
    <w:rsid w:val="00C6585B"/>
    <w:rsid w:val="00C66088"/>
    <w:rsid w:val="00C67C4C"/>
    <w:rsid w:val="00C71161"/>
    <w:rsid w:val="00C72FA7"/>
    <w:rsid w:val="00C74B5D"/>
    <w:rsid w:val="00C74F74"/>
    <w:rsid w:val="00C75292"/>
    <w:rsid w:val="00C7554B"/>
    <w:rsid w:val="00C7572E"/>
    <w:rsid w:val="00C7593A"/>
    <w:rsid w:val="00C76131"/>
    <w:rsid w:val="00C76CA7"/>
    <w:rsid w:val="00C7731F"/>
    <w:rsid w:val="00C808D0"/>
    <w:rsid w:val="00C80951"/>
    <w:rsid w:val="00C8134E"/>
    <w:rsid w:val="00C8205E"/>
    <w:rsid w:val="00C8223A"/>
    <w:rsid w:val="00C82EB5"/>
    <w:rsid w:val="00C87966"/>
    <w:rsid w:val="00C902DE"/>
    <w:rsid w:val="00C903FC"/>
    <w:rsid w:val="00C916AE"/>
    <w:rsid w:val="00C926E0"/>
    <w:rsid w:val="00C93AAA"/>
    <w:rsid w:val="00C94F01"/>
    <w:rsid w:val="00C95301"/>
    <w:rsid w:val="00C95FCD"/>
    <w:rsid w:val="00C96B65"/>
    <w:rsid w:val="00C97188"/>
    <w:rsid w:val="00CA0639"/>
    <w:rsid w:val="00CA078A"/>
    <w:rsid w:val="00CA11D0"/>
    <w:rsid w:val="00CA2E02"/>
    <w:rsid w:val="00CA3B93"/>
    <w:rsid w:val="00CA4E0B"/>
    <w:rsid w:val="00CA583A"/>
    <w:rsid w:val="00CA5EC6"/>
    <w:rsid w:val="00CB2546"/>
    <w:rsid w:val="00CB2652"/>
    <w:rsid w:val="00CB34B8"/>
    <w:rsid w:val="00CB40B6"/>
    <w:rsid w:val="00CB5744"/>
    <w:rsid w:val="00CB59C7"/>
    <w:rsid w:val="00CB5F43"/>
    <w:rsid w:val="00CB7022"/>
    <w:rsid w:val="00CB7AA5"/>
    <w:rsid w:val="00CB7BC5"/>
    <w:rsid w:val="00CC141E"/>
    <w:rsid w:val="00CC1D61"/>
    <w:rsid w:val="00CC2EE6"/>
    <w:rsid w:val="00CC586D"/>
    <w:rsid w:val="00CC5C43"/>
    <w:rsid w:val="00CC7DBC"/>
    <w:rsid w:val="00CD04D4"/>
    <w:rsid w:val="00CD1485"/>
    <w:rsid w:val="00CD1BA3"/>
    <w:rsid w:val="00CD1D23"/>
    <w:rsid w:val="00CD2DB5"/>
    <w:rsid w:val="00CD3612"/>
    <w:rsid w:val="00CD3E69"/>
    <w:rsid w:val="00CD3F21"/>
    <w:rsid w:val="00CD4224"/>
    <w:rsid w:val="00CD6B7D"/>
    <w:rsid w:val="00CD6F5E"/>
    <w:rsid w:val="00CD6FFF"/>
    <w:rsid w:val="00CD7D29"/>
    <w:rsid w:val="00CE0847"/>
    <w:rsid w:val="00CE0B6C"/>
    <w:rsid w:val="00CE11D0"/>
    <w:rsid w:val="00CE3A09"/>
    <w:rsid w:val="00CE4256"/>
    <w:rsid w:val="00CE4708"/>
    <w:rsid w:val="00CE4C50"/>
    <w:rsid w:val="00CE52AA"/>
    <w:rsid w:val="00CE6858"/>
    <w:rsid w:val="00CE710E"/>
    <w:rsid w:val="00CE7450"/>
    <w:rsid w:val="00CE770C"/>
    <w:rsid w:val="00CF1381"/>
    <w:rsid w:val="00CF50BE"/>
    <w:rsid w:val="00CF51AB"/>
    <w:rsid w:val="00CF538C"/>
    <w:rsid w:val="00CF5A21"/>
    <w:rsid w:val="00CF7625"/>
    <w:rsid w:val="00D0039E"/>
    <w:rsid w:val="00D0110F"/>
    <w:rsid w:val="00D0210B"/>
    <w:rsid w:val="00D022EA"/>
    <w:rsid w:val="00D03B0E"/>
    <w:rsid w:val="00D0506A"/>
    <w:rsid w:val="00D05900"/>
    <w:rsid w:val="00D062E7"/>
    <w:rsid w:val="00D10FA1"/>
    <w:rsid w:val="00D1289C"/>
    <w:rsid w:val="00D134BD"/>
    <w:rsid w:val="00D14906"/>
    <w:rsid w:val="00D1666F"/>
    <w:rsid w:val="00D2071A"/>
    <w:rsid w:val="00D22234"/>
    <w:rsid w:val="00D22F44"/>
    <w:rsid w:val="00D25177"/>
    <w:rsid w:val="00D30F73"/>
    <w:rsid w:val="00D30F97"/>
    <w:rsid w:val="00D313A0"/>
    <w:rsid w:val="00D33143"/>
    <w:rsid w:val="00D33B96"/>
    <w:rsid w:val="00D33ED3"/>
    <w:rsid w:val="00D36FE0"/>
    <w:rsid w:val="00D37C53"/>
    <w:rsid w:val="00D40799"/>
    <w:rsid w:val="00D40F21"/>
    <w:rsid w:val="00D41A06"/>
    <w:rsid w:val="00D42ABF"/>
    <w:rsid w:val="00D42F40"/>
    <w:rsid w:val="00D45248"/>
    <w:rsid w:val="00D45B67"/>
    <w:rsid w:val="00D5034A"/>
    <w:rsid w:val="00D51F49"/>
    <w:rsid w:val="00D52009"/>
    <w:rsid w:val="00D521E7"/>
    <w:rsid w:val="00D5275B"/>
    <w:rsid w:val="00D5416B"/>
    <w:rsid w:val="00D551DA"/>
    <w:rsid w:val="00D55EE8"/>
    <w:rsid w:val="00D562CB"/>
    <w:rsid w:val="00D569D1"/>
    <w:rsid w:val="00D56AD8"/>
    <w:rsid w:val="00D56C05"/>
    <w:rsid w:val="00D5785A"/>
    <w:rsid w:val="00D61FBA"/>
    <w:rsid w:val="00D62237"/>
    <w:rsid w:val="00D63293"/>
    <w:rsid w:val="00D6375F"/>
    <w:rsid w:val="00D6449D"/>
    <w:rsid w:val="00D64A5A"/>
    <w:rsid w:val="00D64C48"/>
    <w:rsid w:val="00D64FDC"/>
    <w:rsid w:val="00D6680B"/>
    <w:rsid w:val="00D66A44"/>
    <w:rsid w:val="00D72F4F"/>
    <w:rsid w:val="00D731C4"/>
    <w:rsid w:val="00D73D55"/>
    <w:rsid w:val="00D74EB4"/>
    <w:rsid w:val="00D76122"/>
    <w:rsid w:val="00D765AB"/>
    <w:rsid w:val="00D77C13"/>
    <w:rsid w:val="00D801FC"/>
    <w:rsid w:val="00D82F67"/>
    <w:rsid w:val="00D85BE0"/>
    <w:rsid w:val="00D85FCE"/>
    <w:rsid w:val="00D8661D"/>
    <w:rsid w:val="00D87A1F"/>
    <w:rsid w:val="00D87FD7"/>
    <w:rsid w:val="00D91466"/>
    <w:rsid w:val="00D915ED"/>
    <w:rsid w:val="00D91DE4"/>
    <w:rsid w:val="00D92300"/>
    <w:rsid w:val="00D93621"/>
    <w:rsid w:val="00D94AFC"/>
    <w:rsid w:val="00D950E6"/>
    <w:rsid w:val="00D97047"/>
    <w:rsid w:val="00DA0E9A"/>
    <w:rsid w:val="00DA334A"/>
    <w:rsid w:val="00DA3619"/>
    <w:rsid w:val="00DB0B88"/>
    <w:rsid w:val="00DB1652"/>
    <w:rsid w:val="00DB4CA9"/>
    <w:rsid w:val="00DB5773"/>
    <w:rsid w:val="00DB58A6"/>
    <w:rsid w:val="00DB60E9"/>
    <w:rsid w:val="00DB6B99"/>
    <w:rsid w:val="00DC001A"/>
    <w:rsid w:val="00DC1792"/>
    <w:rsid w:val="00DC2F23"/>
    <w:rsid w:val="00DC4A0D"/>
    <w:rsid w:val="00DD22BB"/>
    <w:rsid w:val="00DD3AE0"/>
    <w:rsid w:val="00DD4F44"/>
    <w:rsid w:val="00DD5B93"/>
    <w:rsid w:val="00DD686C"/>
    <w:rsid w:val="00DD70A5"/>
    <w:rsid w:val="00DD7E0C"/>
    <w:rsid w:val="00DE0E77"/>
    <w:rsid w:val="00DE2AC3"/>
    <w:rsid w:val="00DE2E40"/>
    <w:rsid w:val="00DE3598"/>
    <w:rsid w:val="00DE3874"/>
    <w:rsid w:val="00DE3FBD"/>
    <w:rsid w:val="00DE43F5"/>
    <w:rsid w:val="00DE4E52"/>
    <w:rsid w:val="00DE5582"/>
    <w:rsid w:val="00DE5F03"/>
    <w:rsid w:val="00DE611E"/>
    <w:rsid w:val="00DE6215"/>
    <w:rsid w:val="00DE65FB"/>
    <w:rsid w:val="00DF234F"/>
    <w:rsid w:val="00DF420A"/>
    <w:rsid w:val="00DF4AF7"/>
    <w:rsid w:val="00E00A01"/>
    <w:rsid w:val="00E02472"/>
    <w:rsid w:val="00E02D35"/>
    <w:rsid w:val="00E03371"/>
    <w:rsid w:val="00E03391"/>
    <w:rsid w:val="00E034B9"/>
    <w:rsid w:val="00E041F0"/>
    <w:rsid w:val="00E048A2"/>
    <w:rsid w:val="00E128D8"/>
    <w:rsid w:val="00E130C3"/>
    <w:rsid w:val="00E13C39"/>
    <w:rsid w:val="00E1418B"/>
    <w:rsid w:val="00E15DA5"/>
    <w:rsid w:val="00E17BA4"/>
    <w:rsid w:val="00E17EDF"/>
    <w:rsid w:val="00E2082D"/>
    <w:rsid w:val="00E221E2"/>
    <w:rsid w:val="00E2330D"/>
    <w:rsid w:val="00E24303"/>
    <w:rsid w:val="00E2628D"/>
    <w:rsid w:val="00E273EA"/>
    <w:rsid w:val="00E27A16"/>
    <w:rsid w:val="00E303B9"/>
    <w:rsid w:val="00E30638"/>
    <w:rsid w:val="00E320C4"/>
    <w:rsid w:val="00E32631"/>
    <w:rsid w:val="00E33F7D"/>
    <w:rsid w:val="00E3737C"/>
    <w:rsid w:val="00E40F7B"/>
    <w:rsid w:val="00E41282"/>
    <w:rsid w:val="00E43823"/>
    <w:rsid w:val="00E43E48"/>
    <w:rsid w:val="00E46D60"/>
    <w:rsid w:val="00E47C33"/>
    <w:rsid w:val="00E47F58"/>
    <w:rsid w:val="00E540EC"/>
    <w:rsid w:val="00E54BFC"/>
    <w:rsid w:val="00E55248"/>
    <w:rsid w:val="00E56D9D"/>
    <w:rsid w:val="00E60E2E"/>
    <w:rsid w:val="00E60F7F"/>
    <w:rsid w:val="00E633DF"/>
    <w:rsid w:val="00E672BF"/>
    <w:rsid w:val="00E71090"/>
    <w:rsid w:val="00E71A2D"/>
    <w:rsid w:val="00E71E60"/>
    <w:rsid w:val="00E72FB3"/>
    <w:rsid w:val="00E73E55"/>
    <w:rsid w:val="00E74A73"/>
    <w:rsid w:val="00E816FD"/>
    <w:rsid w:val="00E823C1"/>
    <w:rsid w:val="00E82DB7"/>
    <w:rsid w:val="00E83A11"/>
    <w:rsid w:val="00E83C85"/>
    <w:rsid w:val="00E8449A"/>
    <w:rsid w:val="00E8579C"/>
    <w:rsid w:val="00E865FE"/>
    <w:rsid w:val="00E86882"/>
    <w:rsid w:val="00E87039"/>
    <w:rsid w:val="00E91408"/>
    <w:rsid w:val="00E91759"/>
    <w:rsid w:val="00E93279"/>
    <w:rsid w:val="00E93CF6"/>
    <w:rsid w:val="00E95EE5"/>
    <w:rsid w:val="00E9654B"/>
    <w:rsid w:val="00EA13E4"/>
    <w:rsid w:val="00EA18DB"/>
    <w:rsid w:val="00EA1C90"/>
    <w:rsid w:val="00EA24DB"/>
    <w:rsid w:val="00EA2955"/>
    <w:rsid w:val="00EA2FBA"/>
    <w:rsid w:val="00EA450A"/>
    <w:rsid w:val="00EA4DC5"/>
    <w:rsid w:val="00EA5664"/>
    <w:rsid w:val="00EA66DF"/>
    <w:rsid w:val="00EA6ADC"/>
    <w:rsid w:val="00EB13A7"/>
    <w:rsid w:val="00EB14DF"/>
    <w:rsid w:val="00EB1971"/>
    <w:rsid w:val="00EB19FF"/>
    <w:rsid w:val="00EB1A4D"/>
    <w:rsid w:val="00EB1FC3"/>
    <w:rsid w:val="00EB3A07"/>
    <w:rsid w:val="00EB5539"/>
    <w:rsid w:val="00EC21F5"/>
    <w:rsid w:val="00EC3F31"/>
    <w:rsid w:val="00EC4850"/>
    <w:rsid w:val="00EC52E7"/>
    <w:rsid w:val="00EC736B"/>
    <w:rsid w:val="00EC7E0E"/>
    <w:rsid w:val="00ED3698"/>
    <w:rsid w:val="00ED4794"/>
    <w:rsid w:val="00ED553C"/>
    <w:rsid w:val="00ED7B59"/>
    <w:rsid w:val="00EE265C"/>
    <w:rsid w:val="00EE5C63"/>
    <w:rsid w:val="00EE6A31"/>
    <w:rsid w:val="00EE7DC8"/>
    <w:rsid w:val="00EF19EC"/>
    <w:rsid w:val="00EF416F"/>
    <w:rsid w:val="00F00449"/>
    <w:rsid w:val="00F0095C"/>
    <w:rsid w:val="00F01129"/>
    <w:rsid w:val="00F01AC4"/>
    <w:rsid w:val="00F01CCA"/>
    <w:rsid w:val="00F01F2C"/>
    <w:rsid w:val="00F02104"/>
    <w:rsid w:val="00F02B3F"/>
    <w:rsid w:val="00F04EF6"/>
    <w:rsid w:val="00F05467"/>
    <w:rsid w:val="00F05B2D"/>
    <w:rsid w:val="00F06C17"/>
    <w:rsid w:val="00F06FD6"/>
    <w:rsid w:val="00F07CCC"/>
    <w:rsid w:val="00F121B2"/>
    <w:rsid w:val="00F12469"/>
    <w:rsid w:val="00F12A2D"/>
    <w:rsid w:val="00F13211"/>
    <w:rsid w:val="00F138B4"/>
    <w:rsid w:val="00F13C1E"/>
    <w:rsid w:val="00F13C82"/>
    <w:rsid w:val="00F1632B"/>
    <w:rsid w:val="00F167FE"/>
    <w:rsid w:val="00F202CA"/>
    <w:rsid w:val="00F21559"/>
    <w:rsid w:val="00F223A7"/>
    <w:rsid w:val="00F22F15"/>
    <w:rsid w:val="00F24B0F"/>
    <w:rsid w:val="00F255E8"/>
    <w:rsid w:val="00F26A64"/>
    <w:rsid w:val="00F26F49"/>
    <w:rsid w:val="00F27702"/>
    <w:rsid w:val="00F30A85"/>
    <w:rsid w:val="00F334CB"/>
    <w:rsid w:val="00F3495A"/>
    <w:rsid w:val="00F34E2C"/>
    <w:rsid w:val="00F370BC"/>
    <w:rsid w:val="00F37143"/>
    <w:rsid w:val="00F41252"/>
    <w:rsid w:val="00F43195"/>
    <w:rsid w:val="00F4455A"/>
    <w:rsid w:val="00F47E82"/>
    <w:rsid w:val="00F50562"/>
    <w:rsid w:val="00F50A92"/>
    <w:rsid w:val="00F50B0B"/>
    <w:rsid w:val="00F50D01"/>
    <w:rsid w:val="00F53FD0"/>
    <w:rsid w:val="00F54F30"/>
    <w:rsid w:val="00F56BC1"/>
    <w:rsid w:val="00F56EB6"/>
    <w:rsid w:val="00F57CE3"/>
    <w:rsid w:val="00F618C4"/>
    <w:rsid w:val="00F645DC"/>
    <w:rsid w:val="00F65774"/>
    <w:rsid w:val="00F65A34"/>
    <w:rsid w:val="00F65F4C"/>
    <w:rsid w:val="00F71A60"/>
    <w:rsid w:val="00F72374"/>
    <w:rsid w:val="00F725DA"/>
    <w:rsid w:val="00F7536E"/>
    <w:rsid w:val="00F75652"/>
    <w:rsid w:val="00F76137"/>
    <w:rsid w:val="00F76BB7"/>
    <w:rsid w:val="00F77565"/>
    <w:rsid w:val="00F77629"/>
    <w:rsid w:val="00F7782D"/>
    <w:rsid w:val="00F8168B"/>
    <w:rsid w:val="00F81CF2"/>
    <w:rsid w:val="00F81F93"/>
    <w:rsid w:val="00F83527"/>
    <w:rsid w:val="00F83AFB"/>
    <w:rsid w:val="00F857D1"/>
    <w:rsid w:val="00F86FD9"/>
    <w:rsid w:val="00F90C83"/>
    <w:rsid w:val="00F91DCC"/>
    <w:rsid w:val="00F92ACA"/>
    <w:rsid w:val="00F9323F"/>
    <w:rsid w:val="00F943FE"/>
    <w:rsid w:val="00F9533D"/>
    <w:rsid w:val="00F95814"/>
    <w:rsid w:val="00F95CE9"/>
    <w:rsid w:val="00F96DBD"/>
    <w:rsid w:val="00F97100"/>
    <w:rsid w:val="00F97823"/>
    <w:rsid w:val="00FA01D9"/>
    <w:rsid w:val="00FA0615"/>
    <w:rsid w:val="00FA0B2D"/>
    <w:rsid w:val="00FA0E79"/>
    <w:rsid w:val="00FA47D8"/>
    <w:rsid w:val="00FA7FD8"/>
    <w:rsid w:val="00FB0401"/>
    <w:rsid w:val="00FB2A47"/>
    <w:rsid w:val="00FB35C4"/>
    <w:rsid w:val="00FB50E8"/>
    <w:rsid w:val="00FC00D1"/>
    <w:rsid w:val="00FC1DFB"/>
    <w:rsid w:val="00FC1EF2"/>
    <w:rsid w:val="00FC2C48"/>
    <w:rsid w:val="00FC3343"/>
    <w:rsid w:val="00FC33BA"/>
    <w:rsid w:val="00FC35AB"/>
    <w:rsid w:val="00FC6134"/>
    <w:rsid w:val="00FC654D"/>
    <w:rsid w:val="00FC6A82"/>
    <w:rsid w:val="00FC77CF"/>
    <w:rsid w:val="00FD016E"/>
    <w:rsid w:val="00FD0555"/>
    <w:rsid w:val="00FD06F5"/>
    <w:rsid w:val="00FD3D30"/>
    <w:rsid w:val="00FD5961"/>
    <w:rsid w:val="00FD5FA8"/>
    <w:rsid w:val="00FD785E"/>
    <w:rsid w:val="00FE0419"/>
    <w:rsid w:val="00FE3EFA"/>
    <w:rsid w:val="00FE4DAD"/>
    <w:rsid w:val="00FE5C56"/>
    <w:rsid w:val="00FE5E20"/>
    <w:rsid w:val="00FE6A4E"/>
    <w:rsid w:val="00FE7AAC"/>
    <w:rsid w:val="00FE7B06"/>
    <w:rsid w:val="00FE7E98"/>
    <w:rsid w:val="00FF06BC"/>
    <w:rsid w:val="00FF20AC"/>
    <w:rsid w:val="00FF2E0E"/>
    <w:rsid w:val="00FF3801"/>
    <w:rsid w:val="00FF3A27"/>
    <w:rsid w:val="00FF3B27"/>
    <w:rsid w:val="00FF4E8D"/>
    <w:rsid w:val="00FF5CFA"/>
    <w:rsid w:val="00FF6BE2"/>
    <w:rsid w:val="00FF7266"/>
    <w:rsid w:val="00FF7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C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qFormat="1"/>
    <w:lsdException w:name="heading 3" w:uiPriority="3" w:qFormat="1"/>
    <w:lsdException w:name="heading 4" w:uiPriority="3"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link w:val="Heading3Char"/>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link w:val="FooterCha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3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List Paragraph11,Recommendation,Bullet point,L,Bullet points,Content descriptions,Bullet Point,NFP GP Bulleted List"/>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qFormat/>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customStyle="1" w:styleId="ListParagraphChar">
    <w:name w:val="List Paragraph Char"/>
    <w:aliases w:val="List Paragraph1 Char,List Paragraph11 Char,Recommendation Char,Bullet point Char,L Char,Bullet points Char,Content descriptions Char,Bullet Point Char,NFP GP Bulleted List Char"/>
    <w:basedOn w:val="DefaultParagraphFont"/>
    <w:link w:val="ListParagraph"/>
    <w:uiPriority w:val="34"/>
    <w:rsid w:val="00177EA5"/>
    <w:rPr>
      <w:rFonts w:asciiTheme="minorHAnsi" w:hAnsiTheme="minorHAnsi"/>
      <w:color w:val="3F3F3F" w:themeColor="text1"/>
      <w:sz w:val="22"/>
      <w:szCs w:val="24"/>
    </w:rPr>
  </w:style>
  <w:style w:type="paragraph" w:customStyle="1" w:styleId="Default">
    <w:name w:val="Default"/>
    <w:rsid w:val="00177EA5"/>
    <w:pPr>
      <w:autoSpaceDE w:val="0"/>
      <w:autoSpaceDN w:val="0"/>
      <w:adjustRightInd w:val="0"/>
    </w:pPr>
    <w:rPr>
      <w:rFonts w:ascii="AvantGarde CondBook" w:eastAsiaTheme="minorHAnsi" w:hAnsi="AvantGarde CondBook" w:cs="AvantGarde CondBook"/>
      <w:color w:val="000000"/>
      <w:sz w:val="24"/>
      <w:szCs w:val="24"/>
      <w:lang w:eastAsia="en-US"/>
    </w:rPr>
  </w:style>
  <w:style w:type="paragraph" w:styleId="Caption">
    <w:name w:val="caption"/>
    <w:basedOn w:val="Normal"/>
    <w:next w:val="Normal"/>
    <w:uiPriority w:val="35"/>
    <w:unhideWhenUsed/>
    <w:qFormat/>
    <w:rsid w:val="00177EA5"/>
    <w:pPr>
      <w:spacing w:before="0" w:after="200" w:line="240" w:lineRule="auto"/>
    </w:pPr>
    <w:rPr>
      <w:rFonts w:ascii="Arial" w:hAnsi="Arial" w:cs="Arial"/>
      <w:b/>
      <w:bCs/>
      <w:color w:val="2158A8" w:themeColor="accent1"/>
      <w:sz w:val="18"/>
      <w:szCs w:val="18"/>
    </w:rPr>
  </w:style>
  <w:style w:type="character" w:customStyle="1" w:styleId="Heading3Char">
    <w:name w:val="Heading 3 Char"/>
    <w:basedOn w:val="DefaultParagraphFont"/>
    <w:link w:val="Heading3"/>
    <w:uiPriority w:val="3"/>
    <w:rsid w:val="002C68B5"/>
    <w:rPr>
      <w:rFonts w:asciiTheme="majorHAnsi" w:hAnsiTheme="majorHAnsi"/>
      <w:b/>
      <w:sz w:val="24"/>
      <w:szCs w:val="28"/>
    </w:rPr>
  </w:style>
  <w:style w:type="paragraph" w:styleId="NormalWeb">
    <w:name w:val="Normal (Web)"/>
    <w:basedOn w:val="Normal"/>
    <w:uiPriority w:val="99"/>
    <w:semiHidden/>
    <w:unhideWhenUsed/>
    <w:rsid w:val="0023309E"/>
    <w:pPr>
      <w:spacing w:before="100" w:beforeAutospacing="1" w:after="100" w:afterAutospacing="1" w:line="240" w:lineRule="auto"/>
    </w:pPr>
    <w:rPr>
      <w:rFonts w:ascii="Times New Roman" w:hAnsi="Times New Roman"/>
      <w:color w:val="auto"/>
      <w:sz w:val="24"/>
    </w:rPr>
  </w:style>
  <w:style w:type="paragraph" w:styleId="Revision">
    <w:name w:val="Revision"/>
    <w:hidden/>
    <w:uiPriority w:val="99"/>
    <w:semiHidden/>
    <w:rsid w:val="00B5179B"/>
    <w:rPr>
      <w:rFonts w:asciiTheme="minorHAnsi" w:hAnsiTheme="minorHAnsi"/>
      <w:color w:val="3F3F3F" w:themeColor="text1"/>
      <w:sz w:val="22"/>
      <w:szCs w:val="24"/>
    </w:rPr>
  </w:style>
  <w:style w:type="character" w:customStyle="1" w:styleId="FooterChar">
    <w:name w:val="Footer Char"/>
    <w:basedOn w:val="DefaultParagraphFont"/>
    <w:link w:val="Footer"/>
    <w:uiPriority w:val="99"/>
    <w:rsid w:val="005E7503"/>
    <w:rPr>
      <w:rFonts w:asciiTheme="minorHAnsi" w:hAnsiTheme="minorHAnsi"/>
      <w:color w:val="3F3F3F" w:themeColor="text1"/>
      <w:sz w:val="14"/>
      <w:szCs w:val="24"/>
    </w:rPr>
  </w:style>
  <w:style w:type="paragraph" w:styleId="PlainText">
    <w:name w:val="Plain Text"/>
    <w:basedOn w:val="Normal"/>
    <w:link w:val="PlainTextChar"/>
    <w:uiPriority w:val="99"/>
    <w:semiHidden/>
    <w:unhideWhenUsed/>
    <w:rsid w:val="004F4174"/>
    <w:pPr>
      <w:spacing w:before="0" w:after="0" w:line="240" w:lineRule="auto"/>
    </w:pPr>
    <w:rPr>
      <w:rFonts w:ascii="Calibri" w:eastAsiaTheme="minorHAnsi" w:hAnsi="Calibri" w:cs="Calibri"/>
      <w:color w:val="auto"/>
      <w:szCs w:val="22"/>
      <w:lang w:eastAsia="en-US"/>
    </w:rPr>
  </w:style>
  <w:style w:type="character" w:customStyle="1" w:styleId="PlainTextChar">
    <w:name w:val="Plain Text Char"/>
    <w:basedOn w:val="DefaultParagraphFont"/>
    <w:link w:val="PlainText"/>
    <w:uiPriority w:val="99"/>
    <w:semiHidden/>
    <w:rsid w:val="004F4174"/>
    <w:rPr>
      <w:rFonts w:ascii="Calibri" w:eastAsiaTheme="minorHAnsi" w:hAnsi="Calibri" w:cs="Calibri"/>
      <w:sz w:val="22"/>
      <w:szCs w:val="22"/>
      <w:lang w:eastAsia="en-US"/>
    </w:rPr>
  </w:style>
  <w:style w:type="table" w:customStyle="1" w:styleId="GridTable1Light1">
    <w:name w:val="Grid Table 1 Light1"/>
    <w:basedOn w:val="TableNormal"/>
    <w:uiPriority w:val="46"/>
    <w:rsid w:val="007E335C"/>
    <w:rPr>
      <w:rFonts w:asciiTheme="minorHAnsi" w:eastAsiaTheme="minorHAnsi" w:hAnsiTheme="minorHAnsi" w:cstheme="minorBidi"/>
      <w:sz w:val="22"/>
      <w:szCs w:val="22"/>
      <w:lang w:eastAsia="en-US"/>
    </w:r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B8B8B" w:themeColor="text1" w:themeTint="99"/>
        </w:tcBorders>
      </w:tcPr>
    </w:tblStylePr>
    <w:tblStylePr w:type="lastRow">
      <w:rPr>
        <w:b/>
        <w:bCs/>
      </w:rPr>
      <w:tblPr/>
      <w:tcPr>
        <w:tcBorders>
          <w:top w:val="double" w:sz="2" w:space="0" w:color="8B8B8B"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6824">
      <w:bodyDiv w:val="1"/>
      <w:marLeft w:val="0"/>
      <w:marRight w:val="0"/>
      <w:marTop w:val="0"/>
      <w:marBottom w:val="0"/>
      <w:divBdr>
        <w:top w:val="none" w:sz="0" w:space="0" w:color="auto"/>
        <w:left w:val="none" w:sz="0" w:space="0" w:color="auto"/>
        <w:bottom w:val="none" w:sz="0" w:space="0" w:color="auto"/>
        <w:right w:val="none" w:sz="0" w:space="0" w:color="auto"/>
      </w:divBdr>
    </w:div>
    <w:div w:id="124467532">
      <w:bodyDiv w:val="1"/>
      <w:marLeft w:val="0"/>
      <w:marRight w:val="0"/>
      <w:marTop w:val="0"/>
      <w:marBottom w:val="0"/>
      <w:divBdr>
        <w:top w:val="none" w:sz="0" w:space="0" w:color="auto"/>
        <w:left w:val="none" w:sz="0" w:space="0" w:color="auto"/>
        <w:bottom w:val="none" w:sz="0" w:space="0" w:color="auto"/>
        <w:right w:val="none" w:sz="0" w:space="0" w:color="auto"/>
      </w:divBdr>
    </w:div>
    <w:div w:id="178665183">
      <w:bodyDiv w:val="1"/>
      <w:marLeft w:val="0"/>
      <w:marRight w:val="0"/>
      <w:marTop w:val="0"/>
      <w:marBottom w:val="0"/>
      <w:divBdr>
        <w:top w:val="none" w:sz="0" w:space="0" w:color="auto"/>
        <w:left w:val="none" w:sz="0" w:space="0" w:color="auto"/>
        <w:bottom w:val="none" w:sz="0" w:space="0" w:color="auto"/>
        <w:right w:val="none" w:sz="0" w:space="0" w:color="auto"/>
      </w:divBdr>
    </w:div>
    <w:div w:id="287130671">
      <w:bodyDiv w:val="1"/>
      <w:marLeft w:val="0"/>
      <w:marRight w:val="0"/>
      <w:marTop w:val="0"/>
      <w:marBottom w:val="0"/>
      <w:divBdr>
        <w:top w:val="none" w:sz="0" w:space="0" w:color="auto"/>
        <w:left w:val="none" w:sz="0" w:space="0" w:color="auto"/>
        <w:bottom w:val="none" w:sz="0" w:space="0" w:color="auto"/>
        <w:right w:val="none" w:sz="0" w:space="0" w:color="auto"/>
      </w:divBdr>
    </w:div>
    <w:div w:id="382559682">
      <w:bodyDiv w:val="1"/>
      <w:marLeft w:val="0"/>
      <w:marRight w:val="0"/>
      <w:marTop w:val="0"/>
      <w:marBottom w:val="0"/>
      <w:divBdr>
        <w:top w:val="none" w:sz="0" w:space="0" w:color="auto"/>
        <w:left w:val="none" w:sz="0" w:space="0" w:color="auto"/>
        <w:bottom w:val="none" w:sz="0" w:space="0" w:color="auto"/>
        <w:right w:val="none" w:sz="0" w:space="0" w:color="auto"/>
      </w:divBdr>
    </w:div>
    <w:div w:id="497813142">
      <w:bodyDiv w:val="1"/>
      <w:marLeft w:val="0"/>
      <w:marRight w:val="0"/>
      <w:marTop w:val="0"/>
      <w:marBottom w:val="0"/>
      <w:divBdr>
        <w:top w:val="none" w:sz="0" w:space="0" w:color="auto"/>
        <w:left w:val="none" w:sz="0" w:space="0" w:color="auto"/>
        <w:bottom w:val="none" w:sz="0" w:space="0" w:color="auto"/>
        <w:right w:val="none" w:sz="0" w:space="0" w:color="auto"/>
      </w:divBdr>
    </w:div>
    <w:div w:id="662975413">
      <w:bodyDiv w:val="1"/>
      <w:marLeft w:val="0"/>
      <w:marRight w:val="0"/>
      <w:marTop w:val="0"/>
      <w:marBottom w:val="0"/>
      <w:divBdr>
        <w:top w:val="none" w:sz="0" w:space="0" w:color="auto"/>
        <w:left w:val="none" w:sz="0" w:space="0" w:color="auto"/>
        <w:bottom w:val="none" w:sz="0" w:space="0" w:color="auto"/>
        <w:right w:val="none" w:sz="0" w:space="0" w:color="auto"/>
      </w:divBdr>
    </w:div>
    <w:div w:id="710425747">
      <w:bodyDiv w:val="1"/>
      <w:marLeft w:val="0"/>
      <w:marRight w:val="0"/>
      <w:marTop w:val="0"/>
      <w:marBottom w:val="0"/>
      <w:divBdr>
        <w:top w:val="none" w:sz="0" w:space="0" w:color="auto"/>
        <w:left w:val="none" w:sz="0" w:space="0" w:color="auto"/>
        <w:bottom w:val="none" w:sz="0" w:space="0" w:color="auto"/>
        <w:right w:val="none" w:sz="0" w:space="0" w:color="auto"/>
      </w:divBdr>
      <w:divsChild>
        <w:div w:id="1354258196">
          <w:marLeft w:val="446"/>
          <w:marRight w:val="0"/>
          <w:marTop w:val="0"/>
          <w:marBottom w:val="0"/>
          <w:divBdr>
            <w:top w:val="none" w:sz="0" w:space="0" w:color="auto"/>
            <w:left w:val="none" w:sz="0" w:space="0" w:color="auto"/>
            <w:bottom w:val="none" w:sz="0" w:space="0" w:color="auto"/>
            <w:right w:val="none" w:sz="0" w:space="0" w:color="auto"/>
          </w:divBdr>
        </w:div>
      </w:divsChild>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00851694">
      <w:bodyDiv w:val="1"/>
      <w:marLeft w:val="0"/>
      <w:marRight w:val="0"/>
      <w:marTop w:val="0"/>
      <w:marBottom w:val="0"/>
      <w:divBdr>
        <w:top w:val="none" w:sz="0" w:space="0" w:color="auto"/>
        <w:left w:val="none" w:sz="0" w:space="0" w:color="auto"/>
        <w:bottom w:val="none" w:sz="0" w:space="0" w:color="auto"/>
        <w:right w:val="none" w:sz="0" w:space="0" w:color="auto"/>
      </w:divBdr>
    </w:div>
    <w:div w:id="1122000906">
      <w:bodyDiv w:val="1"/>
      <w:marLeft w:val="0"/>
      <w:marRight w:val="0"/>
      <w:marTop w:val="0"/>
      <w:marBottom w:val="0"/>
      <w:divBdr>
        <w:top w:val="none" w:sz="0" w:space="0" w:color="auto"/>
        <w:left w:val="none" w:sz="0" w:space="0" w:color="auto"/>
        <w:bottom w:val="none" w:sz="0" w:space="0" w:color="auto"/>
        <w:right w:val="none" w:sz="0" w:space="0" w:color="auto"/>
      </w:divBdr>
    </w:div>
    <w:div w:id="1153909484">
      <w:bodyDiv w:val="1"/>
      <w:marLeft w:val="0"/>
      <w:marRight w:val="0"/>
      <w:marTop w:val="0"/>
      <w:marBottom w:val="0"/>
      <w:divBdr>
        <w:top w:val="none" w:sz="0" w:space="0" w:color="auto"/>
        <w:left w:val="none" w:sz="0" w:space="0" w:color="auto"/>
        <w:bottom w:val="none" w:sz="0" w:space="0" w:color="auto"/>
        <w:right w:val="none" w:sz="0" w:space="0" w:color="auto"/>
      </w:divBdr>
    </w:div>
    <w:div w:id="127382638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662588">
      <w:bodyDiv w:val="1"/>
      <w:marLeft w:val="0"/>
      <w:marRight w:val="0"/>
      <w:marTop w:val="0"/>
      <w:marBottom w:val="0"/>
      <w:divBdr>
        <w:top w:val="none" w:sz="0" w:space="0" w:color="auto"/>
        <w:left w:val="none" w:sz="0" w:space="0" w:color="auto"/>
        <w:bottom w:val="none" w:sz="0" w:space="0" w:color="auto"/>
        <w:right w:val="none" w:sz="0" w:space="0" w:color="auto"/>
      </w:divBdr>
    </w:div>
    <w:div w:id="1599679870">
      <w:bodyDiv w:val="1"/>
      <w:marLeft w:val="0"/>
      <w:marRight w:val="0"/>
      <w:marTop w:val="0"/>
      <w:marBottom w:val="0"/>
      <w:divBdr>
        <w:top w:val="none" w:sz="0" w:space="0" w:color="auto"/>
        <w:left w:val="none" w:sz="0" w:space="0" w:color="auto"/>
        <w:bottom w:val="none" w:sz="0" w:space="0" w:color="auto"/>
        <w:right w:val="none" w:sz="0" w:space="0" w:color="auto"/>
      </w:divBdr>
    </w:div>
    <w:div w:id="1647733425">
      <w:bodyDiv w:val="1"/>
      <w:marLeft w:val="0"/>
      <w:marRight w:val="0"/>
      <w:marTop w:val="0"/>
      <w:marBottom w:val="0"/>
      <w:divBdr>
        <w:top w:val="none" w:sz="0" w:space="0" w:color="auto"/>
        <w:left w:val="none" w:sz="0" w:space="0" w:color="auto"/>
        <w:bottom w:val="none" w:sz="0" w:space="0" w:color="auto"/>
        <w:right w:val="none" w:sz="0" w:space="0" w:color="auto"/>
      </w:divBdr>
    </w:div>
    <w:div w:id="1880432737">
      <w:bodyDiv w:val="1"/>
      <w:marLeft w:val="0"/>
      <w:marRight w:val="0"/>
      <w:marTop w:val="0"/>
      <w:marBottom w:val="0"/>
      <w:divBdr>
        <w:top w:val="none" w:sz="0" w:space="0" w:color="auto"/>
        <w:left w:val="none" w:sz="0" w:space="0" w:color="auto"/>
        <w:bottom w:val="none" w:sz="0" w:space="0" w:color="auto"/>
        <w:right w:val="none" w:sz="0" w:space="0" w:color="auto"/>
      </w:divBdr>
      <w:divsChild>
        <w:div w:id="75061410">
          <w:marLeft w:val="0"/>
          <w:marRight w:val="0"/>
          <w:marTop w:val="0"/>
          <w:marBottom w:val="0"/>
          <w:divBdr>
            <w:top w:val="none" w:sz="0" w:space="0" w:color="auto"/>
            <w:left w:val="none" w:sz="0" w:space="0" w:color="auto"/>
            <w:bottom w:val="none" w:sz="0" w:space="0" w:color="auto"/>
            <w:right w:val="none" w:sz="0" w:space="0" w:color="auto"/>
          </w:divBdr>
          <w:divsChild>
            <w:div w:id="1953046747">
              <w:marLeft w:val="0"/>
              <w:marRight w:val="0"/>
              <w:marTop w:val="0"/>
              <w:marBottom w:val="0"/>
              <w:divBdr>
                <w:top w:val="none" w:sz="0" w:space="0" w:color="auto"/>
                <w:left w:val="none" w:sz="0" w:space="0" w:color="auto"/>
                <w:bottom w:val="none" w:sz="0" w:space="0" w:color="auto"/>
                <w:right w:val="none" w:sz="0" w:space="0" w:color="auto"/>
              </w:divBdr>
              <w:divsChild>
                <w:div w:id="40833889">
                  <w:marLeft w:val="0"/>
                  <w:marRight w:val="0"/>
                  <w:marTop w:val="0"/>
                  <w:marBottom w:val="0"/>
                  <w:divBdr>
                    <w:top w:val="none" w:sz="0" w:space="0" w:color="auto"/>
                    <w:left w:val="none" w:sz="0" w:space="0" w:color="auto"/>
                    <w:bottom w:val="none" w:sz="0" w:space="0" w:color="auto"/>
                    <w:right w:val="none" w:sz="0" w:space="0" w:color="auto"/>
                  </w:divBdr>
                  <w:divsChild>
                    <w:div w:id="1501461676">
                      <w:marLeft w:val="150"/>
                      <w:marRight w:val="150"/>
                      <w:marTop w:val="0"/>
                      <w:marBottom w:val="0"/>
                      <w:divBdr>
                        <w:top w:val="none" w:sz="0" w:space="0" w:color="auto"/>
                        <w:left w:val="none" w:sz="0" w:space="0" w:color="auto"/>
                        <w:bottom w:val="none" w:sz="0" w:space="0" w:color="auto"/>
                        <w:right w:val="none" w:sz="0" w:space="0" w:color="auto"/>
                      </w:divBdr>
                      <w:divsChild>
                        <w:div w:id="1239973402">
                          <w:marLeft w:val="0"/>
                          <w:marRight w:val="0"/>
                          <w:marTop w:val="0"/>
                          <w:marBottom w:val="0"/>
                          <w:divBdr>
                            <w:top w:val="none" w:sz="0" w:space="0" w:color="auto"/>
                            <w:left w:val="none" w:sz="0" w:space="0" w:color="auto"/>
                            <w:bottom w:val="none" w:sz="0" w:space="0" w:color="auto"/>
                            <w:right w:val="none" w:sz="0" w:space="0" w:color="auto"/>
                          </w:divBdr>
                          <w:divsChild>
                            <w:div w:id="1269194367">
                              <w:marLeft w:val="0"/>
                              <w:marRight w:val="0"/>
                              <w:marTop w:val="0"/>
                              <w:marBottom w:val="0"/>
                              <w:divBdr>
                                <w:top w:val="none" w:sz="0" w:space="0" w:color="auto"/>
                                <w:left w:val="none" w:sz="0" w:space="0" w:color="auto"/>
                                <w:bottom w:val="none" w:sz="0" w:space="0" w:color="auto"/>
                                <w:right w:val="none" w:sz="0" w:space="0" w:color="auto"/>
                              </w:divBdr>
                              <w:divsChild>
                                <w:div w:id="866020638">
                                  <w:marLeft w:val="0"/>
                                  <w:marRight w:val="0"/>
                                  <w:marTop w:val="0"/>
                                  <w:marBottom w:val="0"/>
                                  <w:divBdr>
                                    <w:top w:val="none" w:sz="0" w:space="0" w:color="auto"/>
                                    <w:left w:val="none" w:sz="0" w:space="0" w:color="auto"/>
                                    <w:bottom w:val="none" w:sz="0" w:space="0" w:color="auto"/>
                                    <w:right w:val="none" w:sz="0" w:space="0" w:color="auto"/>
                                  </w:divBdr>
                                  <w:divsChild>
                                    <w:div w:id="891890409">
                                      <w:marLeft w:val="0"/>
                                      <w:marRight w:val="0"/>
                                      <w:marTop w:val="0"/>
                                      <w:marBottom w:val="0"/>
                                      <w:divBdr>
                                        <w:top w:val="none" w:sz="0" w:space="0" w:color="auto"/>
                                        <w:left w:val="none" w:sz="0" w:space="0" w:color="auto"/>
                                        <w:bottom w:val="none" w:sz="0" w:space="0" w:color="auto"/>
                                        <w:right w:val="none" w:sz="0" w:space="0" w:color="auto"/>
                                      </w:divBdr>
                                      <w:divsChild>
                                        <w:div w:id="1851215682">
                                          <w:marLeft w:val="0"/>
                                          <w:marRight w:val="0"/>
                                          <w:marTop w:val="0"/>
                                          <w:marBottom w:val="0"/>
                                          <w:divBdr>
                                            <w:top w:val="none" w:sz="0" w:space="0" w:color="auto"/>
                                            <w:left w:val="none" w:sz="0" w:space="0" w:color="auto"/>
                                            <w:bottom w:val="none" w:sz="0" w:space="0" w:color="auto"/>
                                            <w:right w:val="none" w:sz="0" w:space="0" w:color="auto"/>
                                          </w:divBdr>
                                          <w:divsChild>
                                            <w:div w:id="721564585">
                                              <w:marLeft w:val="0"/>
                                              <w:marRight w:val="0"/>
                                              <w:marTop w:val="0"/>
                                              <w:marBottom w:val="0"/>
                                              <w:divBdr>
                                                <w:top w:val="none" w:sz="0" w:space="0" w:color="auto"/>
                                                <w:left w:val="none" w:sz="0" w:space="0" w:color="auto"/>
                                                <w:bottom w:val="none" w:sz="0" w:space="0" w:color="auto"/>
                                                <w:right w:val="none" w:sz="0" w:space="0" w:color="auto"/>
                                              </w:divBdr>
                                              <w:divsChild>
                                                <w:div w:id="20813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073487">
      <w:bodyDiv w:val="1"/>
      <w:marLeft w:val="0"/>
      <w:marRight w:val="0"/>
      <w:marTop w:val="0"/>
      <w:marBottom w:val="0"/>
      <w:divBdr>
        <w:top w:val="none" w:sz="0" w:space="0" w:color="auto"/>
        <w:left w:val="none" w:sz="0" w:space="0" w:color="auto"/>
        <w:bottom w:val="none" w:sz="0" w:space="0" w:color="auto"/>
        <w:right w:val="none" w:sz="0" w:space="0" w:color="auto"/>
      </w:divBdr>
    </w:div>
    <w:div w:id="1936203164">
      <w:bodyDiv w:val="1"/>
      <w:marLeft w:val="0"/>
      <w:marRight w:val="0"/>
      <w:marTop w:val="0"/>
      <w:marBottom w:val="0"/>
      <w:divBdr>
        <w:top w:val="none" w:sz="0" w:space="0" w:color="auto"/>
        <w:left w:val="none" w:sz="0" w:space="0" w:color="auto"/>
        <w:bottom w:val="none" w:sz="0" w:space="0" w:color="auto"/>
        <w:right w:val="none" w:sz="0" w:space="0" w:color="auto"/>
      </w:divBdr>
    </w:div>
    <w:div w:id="2009677179">
      <w:bodyDiv w:val="1"/>
      <w:marLeft w:val="0"/>
      <w:marRight w:val="0"/>
      <w:marTop w:val="0"/>
      <w:marBottom w:val="0"/>
      <w:divBdr>
        <w:top w:val="none" w:sz="0" w:space="0" w:color="auto"/>
        <w:left w:val="none" w:sz="0" w:space="0" w:color="auto"/>
        <w:bottom w:val="none" w:sz="0" w:space="0" w:color="auto"/>
        <w:right w:val="none" w:sz="0" w:space="0" w:color="auto"/>
      </w:divBdr>
      <w:divsChild>
        <w:div w:id="1523858143">
          <w:marLeft w:val="547"/>
          <w:marRight w:val="0"/>
          <w:marTop w:val="160"/>
          <w:marBottom w:val="0"/>
          <w:divBdr>
            <w:top w:val="none" w:sz="0" w:space="0" w:color="auto"/>
            <w:left w:val="none" w:sz="0" w:space="0" w:color="auto"/>
            <w:bottom w:val="none" w:sz="0" w:space="0" w:color="auto"/>
            <w:right w:val="none" w:sz="0" w:space="0" w:color="auto"/>
          </w:divBdr>
        </w:div>
        <w:div w:id="1494569658">
          <w:marLeft w:val="547"/>
          <w:marRight w:val="0"/>
          <w:marTop w:val="160"/>
          <w:marBottom w:val="0"/>
          <w:divBdr>
            <w:top w:val="none" w:sz="0" w:space="0" w:color="auto"/>
            <w:left w:val="none" w:sz="0" w:space="0" w:color="auto"/>
            <w:bottom w:val="none" w:sz="0" w:space="0" w:color="auto"/>
            <w:right w:val="none" w:sz="0" w:space="0" w:color="auto"/>
          </w:divBdr>
        </w:div>
        <w:div w:id="324011642">
          <w:marLeft w:val="547"/>
          <w:marRight w:val="0"/>
          <w:marTop w:val="160"/>
          <w:marBottom w:val="0"/>
          <w:divBdr>
            <w:top w:val="none" w:sz="0" w:space="0" w:color="auto"/>
            <w:left w:val="none" w:sz="0" w:space="0" w:color="auto"/>
            <w:bottom w:val="none" w:sz="0" w:space="0" w:color="auto"/>
            <w:right w:val="none" w:sz="0" w:space="0" w:color="auto"/>
          </w:divBdr>
        </w:div>
      </w:divsChild>
    </w:div>
    <w:div w:id="203734052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scienceregistry.org/trials/2420"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DOC18-222474</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PMCdoc-213507164-64522</_dlc_DocId>
    <_dlc_DocIdUrl xmlns="d0dfa800-9ef0-44cb-8a12-633e29de1e0b">
      <Url>https://pmc01.sharepoint.com/sites/pmc-ms-cb/_layouts/15/DocIdRedir.aspx?ID=PMCdoc-213507164-64522</Url>
      <Description>PMCdoc-213507164-64522</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F06B20-773A-41B5-ADBF-7DF071135227}"/>
</file>

<file path=customXml/itemProps2.xml><?xml version="1.0" encoding="utf-8"?>
<ds:datastoreItem xmlns:ds="http://schemas.openxmlformats.org/officeDocument/2006/customXml" ds:itemID="{98C1BA81-B23A-4BDC-9DA2-088D6FD51AA1}"/>
</file>

<file path=customXml/itemProps3.xml><?xml version="1.0" encoding="utf-8"?>
<ds:datastoreItem xmlns:ds="http://schemas.openxmlformats.org/officeDocument/2006/customXml" ds:itemID="{823BF140-CEF3-480C-B06D-AD763004298C}"/>
</file>

<file path=customXml/itemProps4.xml><?xml version="1.0" encoding="utf-8"?>
<ds:datastoreItem xmlns:ds="http://schemas.openxmlformats.org/officeDocument/2006/customXml" ds:itemID="{E57515AF-554A-433F-9A3B-130A0CB6BC67}"/>
</file>

<file path=customXml/itemProps5.xml><?xml version="1.0" encoding="utf-8"?>
<ds:datastoreItem xmlns:ds="http://schemas.openxmlformats.org/officeDocument/2006/customXml" ds:itemID="{FFDF4E04-F6A5-4EDB-A836-1834DA234DA6}"/>
</file>

<file path=docProps/app.xml><?xml version="1.0" encoding="utf-8"?>
<Properties xmlns="http://schemas.openxmlformats.org/officeDocument/2006/extended-properties" xmlns:vt="http://schemas.openxmlformats.org/officeDocument/2006/docPropsVTypes">
  <Template>Normal</Template>
  <TotalTime>0</TotalTime>
  <Pages>9</Pages>
  <Words>3006</Words>
  <Characters>16087</Characters>
  <Application>Microsoft Office Word</Application>
  <DocSecurity>0</DocSecurity>
  <Lines>536</Lines>
  <Paragraphs>318</Paragraphs>
  <ScaleCrop>false</ScaleCrop>
  <HeadingPairs>
    <vt:vector size="2" baseType="variant">
      <vt:variant>
        <vt:lpstr>Title</vt:lpstr>
      </vt:variant>
      <vt:variant>
        <vt:i4>1</vt:i4>
      </vt:variant>
    </vt:vector>
  </HeadingPairs>
  <TitlesOfParts>
    <vt:vector size="1" baseType="lpstr">
      <vt:lpstr>Nudge vs Superbugs: A behavioural economics trial to reduce the overprescribing of antibiotics – pre-analysis plan</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Nudge vs Superbugs: A behavioural economics trial to reduce the overprescribing of antibiotics – pre-analysis plan</dc:title>
  <dc:creator/>
  <cp:lastModifiedBy/>
  <cp:revision>1</cp:revision>
  <dcterms:created xsi:type="dcterms:W3CDTF">2018-06-21T00:08:00Z</dcterms:created>
  <dcterms:modified xsi:type="dcterms:W3CDTF">2018-06-21T00:21:00Z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SecurityClassification">
    <vt:i4>1</vt:i4>
  </property>
  <property fmtid="{D5CDD505-2E9C-101B-9397-08002B2CF9AE}" pid="6" name="_dlc_DocIdItemGuid">
    <vt:lpwstr>ce25e166-c4bc-4df2-885b-db50d1f4c0b4</vt:lpwstr>
  </property>
</Properties>
</file>