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EC0AA" w14:textId="77777777" w:rsidR="00F42A24" w:rsidRPr="007E294C" w:rsidRDefault="00BC2446" w:rsidP="007E294C">
      <w:pPr>
        <w:pStyle w:val="Heading1"/>
        <w:pBdr>
          <w:bottom w:val="none" w:sz="0" w:space="0" w:color="auto"/>
        </w:pBdr>
        <w:spacing w:before="240" w:after="720" w:line="252" w:lineRule="auto"/>
        <w:rPr>
          <w:color w:val="FFFFFF" w:themeColor="background1"/>
          <w:sz w:val="60"/>
          <w:szCs w:val="60"/>
          <w:lang w:val="en-AU" w:eastAsia="en-AU"/>
        </w:rPr>
      </w:pPr>
      <w:r w:rsidRPr="007E294C">
        <w:rPr>
          <w:color w:val="FFFFFF" w:themeColor="background1"/>
          <w:sz w:val="60"/>
          <w:szCs w:val="60"/>
          <w:lang w:val="en-AU" w:eastAsia="en-AU"/>
        </w:rPr>
        <w:t>Energy bill contents and</w:t>
      </w:r>
      <w:r w:rsidR="00F42A24" w:rsidRPr="007E294C">
        <w:rPr>
          <w:color w:val="FFFFFF" w:themeColor="background1"/>
          <w:sz w:val="60"/>
          <w:szCs w:val="60"/>
          <w:lang w:val="en-AU" w:eastAsia="en-AU"/>
        </w:rPr>
        <w:t xml:space="preserve"> </w:t>
      </w:r>
    </w:p>
    <w:p w14:paraId="651C1139" w14:textId="77777777" w:rsidR="00F42A24" w:rsidRPr="007E294C" w:rsidRDefault="00BC2446" w:rsidP="007E294C">
      <w:pPr>
        <w:pStyle w:val="Heading1"/>
        <w:pBdr>
          <w:bottom w:val="none" w:sz="0" w:space="0" w:color="auto"/>
        </w:pBdr>
        <w:spacing w:before="240" w:after="720" w:line="252" w:lineRule="auto"/>
        <w:rPr>
          <w:color w:val="FFFFFF" w:themeColor="background1"/>
          <w:sz w:val="60"/>
          <w:szCs w:val="60"/>
          <w:lang w:val="en-AU" w:eastAsia="en-AU"/>
        </w:rPr>
      </w:pPr>
      <w:r w:rsidRPr="007E294C">
        <w:rPr>
          <w:color w:val="FFFFFF" w:themeColor="background1"/>
          <w:sz w:val="60"/>
          <w:szCs w:val="60"/>
          <w:lang w:val="en-AU" w:eastAsia="en-AU"/>
        </w:rPr>
        <w:t>bill requirements:</w:t>
      </w:r>
      <w:r w:rsidR="00F42A24" w:rsidRPr="007E294C">
        <w:rPr>
          <w:color w:val="FFFFFF" w:themeColor="background1"/>
          <w:sz w:val="60"/>
          <w:szCs w:val="60"/>
          <w:lang w:val="en-AU" w:eastAsia="en-AU"/>
        </w:rPr>
        <w:t xml:space="preserve"> </w:t>
      </w:r>
    </w:p>
    <w:p w14:paraId="31377B24" w14:textId="6AD76A76" w:rsidR="00BC2446" w:rsidRPr="007E294C" w:rsidRDefault="00322993" w:rsidP="007E294C">
      <w:pPr>
        <w:pStyle w:val="Heading1"/>
        <w:pBdr>
          <w:bottom w:val="none" w:sz="0" w:space="0" w:color="auto"/>
        </w:pBdr>
        <w:spacing w:before="240" w:after="720" w:line="252" w:lineRule="auto"/>
        <w:rPr>
          <w:color w:val="FFFFFF" w:themeColor="background1"/>
          <w:sz w:val="60"/>
          <w:szCs w:val="60"/>
          <w:lang w:val="en-AU" w:eastAsia="en-AU"/>
        </w:rPr>
      </w:pPr>
      <w:bookmarkStart w:id="0" w:name="_GoBack"/>
      <w:r w:rsidRPr="007E294C">
        <w:rPr>
          <w:color w:val="FFFFFF" w:themeColor="background1"/>
          <w:sz w:val="60"/>
          <w:szCs w:val="60"/>
          <w:lang w:val="en-AU" w:eastAsia="en-AU"/>
        </w:rPr>
        <w:t>Literature</w:t>
      </w:r>
      <w:r w:rsidR="00BC2446" w:rsidRPr="007E294C">
        <w:rPr>
          <w:color w:val="FFFFFF" w:themeColor="background1"/>
          <w:sz w:val="60"/>
          <w:szCs w:val="60"/>
          <w:lang w:val="en-AU" w:eastAsia="en-AU"/>
        </w:rPr>
        <w:t xml:space="preserve"> review</w:t>
      </w:r>
    </w:p>
    <w:bookmarkEnd w:id="0"/>
    <w:p w14:paraId="4A483AA5" w14:textId="2646AB41" w:rsidR="00CD7D34" w:rsidRDefault="00A200FC" w:rsidP="00FE17BF">
      <w:pPr>
        <w:pStyle w:val="Title"/>
        <w:rPr>
          <w:rFonts w:asciiTheme="minorHAnsi" w:hAnsiTheme="minorHAnsi" w:cstheme="minorHAnsi"/>
          <w:b w:val="0"/>
          <w:color w:val="D9D9D9" w:themeColor="background1" w:themeShade="D9"/>
          <w:sz w:val="22"/>
          <w:szCs w:val="22"/>
        </w:rPr>
      </w:pPr>
      <w:r>
        <w:rPr>
          <w:rFonts w:asciiTheme="minorHAnsi" w:hAnsiTheme="minorHAnsi" w:cstheme="minorHAnsi"/>
          <w:b w:val="0"/>
          <w:color w:val="D9D9D9" w:themeColor="background1" w:themeShade="D9"/>
          <w:sz w:val="22"/>
          <w:szCs w:val="22"/>
        </w:rPr>
        <w:t xml:space="preserve">October </w:t>
      </w:r>
      <w:r w:rsidR="00F14AF1">
        <w:rPr>
          <w:rFonts w:asciiTheme="minorHAnsi" w:hAnsiTheme="minorHAnsi" w:cstheme="minorHAnsi"/>
          <w:b w:val="0"/>
          <w:color w:val="D9D9D9" w:themeColor="background1" w:themeShade="D9"/>
          <w:sz w:val="22"/>
          <w:szCs w:val="22"/>
        </w:rPr>
        <w:t>2021</w:t>
      </w:r>
    </w:p>
    <w:sdt>
      <w:sdtPr>
        <w:rPr>
          <w:rFonts w:ascii="Helvetica" w:eastAsia="Times New Roman" w:hAnsi="Helvetica" w:cs="Times New Roman"/>
          <w:b/>
          <w:bCs w:val="0"/>
          <w:i/>
          <w:iCs/>
          <w:caps w:val="0"/>
          <w:color w:val="404040" w:themeColor="text1" w:themeTint="BF"/>
          <w:sz w:val="22"/>
          <w:szCs w:val="24"/>
          <w:lang w:val="en-AU" w:eastAsia="en-AU"/>
        </w:rPr>
        <w:id w:val="1099454174"/>
        <w:docPartObj>
          <w:docPartGallery w:val="Table of Contents"/>
          <w:docPartUnique/>
        </w:docPartObj>
      </w:sdtPr>
      <w:sdtEndPr>
        <w:rPr>
          <w:rFonts w:asciiTheme="minorHAnsi" w:hAnsiTheme="minorHAnsi" w:cstheme="minorHAnsi"/>
          <w:bCs/>
          <w:noProof/>
          <w:color w:val="auto"/>
          <w:sz w:val="24"/>
        </w:rPr>
      </w:sdtEndPr>
      <w:sdtContent>
        <w:p w14:paraId="23F68C70" w14:textId="77777777" w:rsidR="00A01410" w:rsidRPr="007E294C" w:rsidRDefault="00A01410">
          <w:pPr>
            <w:pStyle w:val="TOCHeading"/>
            <w:rPr>
              <w:rStyle w:val="Heading2Char"/>
            </w:rPr>
          </w:pPr>
          <w:r w:rsidRPr="007E294C">
            <w:rPr>
              <w:rStyle w:val="Heading2Char"/>
            </w:rPr>
            <w:t>Contents</w:t>
          </w:r>
        </w:p>
        <w:p w14:paraId="312D3E93" w14:textId="16FCB069" w:rsidR="007E294C" w:rsidRDefault="007E294C">
          <w:pPr>
            <w:pStyle w:val="TOC2"/>
            <w:tabs>
              <w:tab w:val="left" w:pos="660"/>
              <w:tab w:val="right" w:leader="underscore" w:pos="9338"/>
            </w:tabs>
            <w:rPr>
              <w:rFonts w:eastAsiaTheme="minorEastAsia" w:cstheme="minorBidi"/>
              <w:b w:val="0"/>
              <w:bCs w:val="0"/>
              <w:noProof/>
            </w:rPr>
          </w:pPr>
          <w:r>
            <w:rPr>
              <w:b w:val="0"/>
              <w:bCs w:val="0"/>
              <w:noProof/>
            </w:rPr>
            <w:fldChar w:fldCharType="begin"/>
          </w:r>
          <w:r>
            <w:rPr>
              <w:b w:val="0"/>
              <w:bCs w:val="0"/>
              <w:noProof/>
            </w:rPr>
            <w:instrText xml:space="preserve"> TOC \o "2-3" \h \z </w:instrText>
          </w:r>
          <w:r>
            <w:rPr>
              <w:b w:val="0"/>
              <w:bCs w:val="0"/>
              <w:noProof/>
            </w:rPr>
            <w:fldChar w:fldCharType="separate"/>
          </w:r>
          <w:hyperlink w:anchor="_Toc86091071" w:history="1">
            <w:r w:rsidRPr="00CD56EC">
              <w:rPr>
                <w:rStyle w:val="Hyperlink"/>
                <w:noProof/>
              </w:rPr>
              <w:t>1.</w:t>
            </w:r>
            <w:r>
              <w:rPr>
                <w:rFonts w:eastAsiaTheme="minorEastAsia" w:cstheme="minorBidi"/>
                <w:b w:val="0"/>
                <w:bCs w:val="0"/>
                <w:noProof/>
              </w:rPr>
              <w:tab/>
            </w:r>
            <w:r w:rsidRPr="00CD56EC">
              <w:rPr>
                <w:rStyle w:val="Hyperlink"/>
                <w:noProof/>
              </w:rPr>
              <w:t>Executive summary</w:t>
            </w:r>
            <w:r>
              <w:rPr>
                <w:noProof/>
                <w:webHidden/>
              </w:rPr>
              <w:tab/>
            </w:r>
            <w:r>
              <w:rPr>
                <w:noProof/>
                <w:webHidden/>
              </w:rPr>
              <w:fldChar w:fldCharType="begin"/>
            </w:r>
            <w:r>
              <w:rPr>
                <w:noProof/>
                <w:webHidden/>
              </w:rPr>
              <w:instrText xml:space="preserve"> PAGEREF _Toc86091071 \h </w:instrText>
            </w:r>
            <w:r>
              <w:rPr>
                <w:noProof/>
                <w:webHidden/>
              </w:rPr>
            </w:r>
            <w:r>
              <w:rPr>
                <w:noProof/>
                <w:webHidden/>
              </w:rPr>
              <w:fldChar w:fldCharType="separate"/>
            </w:r>
            <w:r>
              <w:rPr>
                <w:noProof/>
                <w:webHidden/>
              </w:rPr>
              <w:t>2</w:t>
            </w:r>
            <w:r>
              <w:rPr>
                <w:noProof/>
                <w:webHidden/>
              </w:rPr>
              <w:fldChar w:fldCharType="end"/>
            </w:r>
          </w:hyperlink>
        </w:p>
        <w:p w14:paraId="2FC66140" w14:textId="4896A76A" w:rsidR="007E294C" w:rsidRDefault="006A612C">
          <w:pPr>
            <w:pStyle w:val="TOC2"/>
            <w:tabs>
              <w:tab w:val="left" w:pos="660"/>
              <w:tab w:val="right" w:leader="underscore" w:pos="9338"/>
            </w:tabs>
            <w:rPr>
              <w:rFonts w:eastAsiaTheme="minorEastAsia" w:cstheme="minorBidi"/>
              <w:b w:val="0"/>
              <w:bCs w:val="0"/>
              <w:noProof/>
            </w:rPr>
          </w:pPr>
          <w:hyperlink w:anchor="_Toc86091072" w:history="1">
            <w:r w:rsidR="007E294C" w:rsidRPr="00CD56EC">
              <w:rPr>
                <w:rStyle w:val="Hyperlink"/>
                <w:noProof/>
              </w:rPr>
              <w:t>2.</w:t>
            </w:r>
            <w:r w:rsidR="007E294C">
              <w:rPr>
                <w:rFonts w:eastAsiaTheme="minorEastAsia" w:cstheme="minorBidi"/>
                <w:b w:val="0"/>
                <w:bCs w:val="0"/>
                <w:noProof/>
              </w:rPr>
              <w:tab/>
            </w:r>
            <w:r w:rsidR="007E294C" w:rsidRPr="00CD56EC">
              <w:rPr>
                <w:rStyle w:val="Hyperlink"/>
                <w:noProof/>
              </w:rPr>
              <w:t>Behavioural factors affecting the understanding and use of energy bills</w:t>
            </w:r>
            <w:r w:rsidR="007E294C">
              <w:rPr>
                <w:noProof/>
                <w:webHidden/>
              </w:rPr>
              <w:tab/>
            </w:r>
            <w:r w:rsidR="007E294C">
              <w:rPr>
                <w:noProof/>
                <w:webHidden/>
              </w:rPr>
              <w:fldChar w:fldCharType="begin"/>
            </w:r>
            <w:r w:rsidR="007E294C">
              <w:rPr>
                <w:noProof/>
                <w:webHidden/>
              </w:rPr>
              <w:instrText xml:space="preserve"> PAGEREF _Toc86091072 \h </w:instrText>
            </w:r>
            <w:r w:rsidR="007E294C">
              <w:rPr>
                <w:noProof/>
                <w:webHidden/>
              </w:rPr>
            </w:r>
            <w:r w:rsidR="007E294C">
              <w:rPr>
                <w:noProof/>
                <w:webHidden/>
              </w:rPr>
              <w:fldChar w:fldCharType="separate"/>
            </w:r>
            <w:r w:rsidR="007E294C">
              <w:rPr>
                <w:noProof/>
                <w:webHidden/>
              </w:rPr>
              <w:t>5</w:t>
            </w:r>
            <w:r w:rsidR="007E294C">
              <w:rPr>
                <w:noProof/>
                <w:webHidden/>
              </w:rPr>
              <w:fldChar w:fldCharType="end"/>
            </w:r>
          </w:hyperlink>
        </w:p>
        <w:p w14:paraId="688D918A" w14:textId="50B1D301" w:rsidR="007E294C" w:rsidRDefault="006A612C">
          <w:pPr>
            <w:pStyle w:val="TOC2"/>
            <w:tabs>
              <w:tab w:val="left" w:pos="660"/>
              <w:tab w:val="right" w:leader="underscore" w:pos="9338"/>
            </w:tabs>
            <w:rPr>
              <w:rFonts w:eastAsiaTheme="minorEastAsia" w:cstheme="minorBidi"/>
              <w:b w:val="0"/>
              <w:bCs w:val="0"/>
              <w:noProof/>
            </w:rPr>
          </w:pPr>
          <w:hyperlink w:anchor="_Toc86091073" w:history="1">
            <w:r w:rsidR="007E294C" w:rsidRPr="00CD56EC">
              <w:rPr>
                <w:rStyle w:val="Hyperlink"/>
                <w:noProof/>
              </w:rPr>
              <w:t>3.</w:t>
            </w:r>
            <w:r w:rsidR="007E294C">
              <w:rPr>
                <w:rFonts w:eastAsiaTheme="minorEastAsia" w:cstheme="minorBidi"/>
                <w:b w:val="0"/>
                <w:bCs w:val="0"/>
                <w:noProof/>
              </w:rPr>
              <w:tab/>
            </w:r>
            <w:r w:rsidR="007E294C" w:rsidRPr="00CD56EC">
              <w:rPr>
                <w:rStyle w:val="Hyperlink"/>
                <w:noProof/>
              </w:rPr>
              <w:t>Bill complexity and accessibility</w:t>
            </w:r>
            <w:r w:rsidR="007E294C">
              <w:rPr>
                <w:noProof/>
                <w:webHidden/>
              </w:rPr>
              <w:tab/>
            </w:r>
            <w:r w:rsidR="007E294C">
              <w:rPr>
                <w:noProof/>
                <w:webHidden/>
              </w:rPr>
              <w:fldChar w:fldCharType="begin"/>
            </w:r>
            <w:r w:rsidR="007E294C">
              <w:rPr>
                <w:noProof/>
                <w:webHidden/>
              </w:rPr>
              <w:instrText xml:space="preserve"> PAGEREF _Toc86091073 \h </w:instrText>
            </w:r>
            <w:r w:rsidR="007E294C">
              <w:rPr>
                <w:noProof/>
                <w:webHidden/>
              </w:rPr>
            </w:r>
            <w:r w:rsidR="007E294C">
              <w:rPr>
                <w:noProof/>
                <w:webHidden/>
              </w:rPr>
              <w:fldChar w:fldCharType="separate"/>
            </w:r>
            <w:r w:rsidR="007E294C">
              <w:rPr>
                <w:noProof/>
                <w:webHidden/>
              </w:rPr>
              <w:t>6</w:t>
            </w:r>
            <w:r w:rsidR="007E294C">
              <w:rPr>
                <w:noProof/>
                <w:webHidden/>
              </w:rPr>
              <w:fldChar w:fldCharType="end"/>
            </w:r>
          </w:hyperlink>
        </w:p>
        <w:p w14:paraId="1A154B4E" w14:textId="07B9B4EB" w:rsidR="007E294C" w:rsidRDefault="006A612C">
          <w:pPr>
            <w:pStyle w:val="TOC3"/>
            <w:tabs>
              <w:tab w:val="left" w:pos="1100"/>
              <w:tab w:val="right" w:leader="underscore" w:pos="9338"/>
            </w:tabs>
            <w:rPr>
              <w:rFonts w:eastAsiaTheme="minorEastAsia" w:cstheme="minorBidi"/>
              <w:noProof/>
              <w:sz w:val="22"/>
              <w:szCs w:val="22"/>
            </w:rPr>
          </w:pPr>
          <w:hyperlink w:anchor="_Toc86091074" w:history="1">
            <w:r w:rsidR="007E294C" w:rsidRPr="00CD56EC">
              <w:rPr>
                <w:rStyle w:val="Hyperlink"/>
                <w:noProof/>
                <w:lang w:val="en-US" w:eastAsia="en-US"/>
              </w:rPr>
              <w:t>3.1.</w:t>
            </w:r>
            <w:r w:rsidR="007E294C">
              <w:rPr>
                <w:rFonts w:eastAsiaTheme="minorEastAsia" w:cstheme="minorBidi"/>
                <w:noProof/>
                <w:sz w:val="22"/>
                <w:szCs w:val="22"/>
              </w:rPr>
              <w:tab/>
            </w:r>
            <w:r w:rsidR="007E294C" w:rsidRPr="00CD56EC">
              <w:rPr>
                <w:rStyle w:val="Hyperlink"/>
                <w:noProof/>
                <w:lang w:val="en-US" w:eastAsia="en-US"/>
              </w:rPr>
              <w:t>Academic literature: complexity</w:t>
            </w:r>
            <w:r w:rsidR="007E294C">
              <w:rPr>
                <w:noProof/>
                <w:webHidden/>
              </w:rPr>
              <w:tab/>
            </w:r>
            <w:r w:rsidR="007E294C">
              <w:rPr>
                <w:noProof/>
                <w:webHidden/>
              </w:rPr>
              <w:fldChar w:fldCharType="begin"/>
            </w:r>
            <w:r w:rsidR="007E294C">
              <w:rPr>
                <w:noProof/>
                <w:webHidden/>
              </w:rPr>
              <w:instrText xml:space="preserve"> PAGEREF _Toc86091074 \h </w:instrText>
            </w:r>
            <w:r w:rsidR="007E294C">
              <w:rPr>
                <w:noProof/>
                <w:webHidden/>
              </w:rPr>
            </w:r>
            <w:r w:rsidR="007E294C">
              <w:rPr>
                <w:noProof/>
                <w:webHidden/>
              </w:rPr>
              <w:fldChar w:fldCharType="separate"/>
            </w:r>
            <w:r w:rsidR="007E294C">
              <w:rPr>
                <w:noProof/>
                <w:webHidden/>
              </w:rPr>
              <w:t>6</w:t>
            </w:r>
            <w:r w:rsidR="007E294C">
              <w:rPr>
                <w:noProof/>
                <w:webHidden/>
              </w:rPr>
              <w:fldChar w:fldCharType="end"/>
            </w:r>
          </w:hyperlink>
        </w:p>
        <w:p w14:paraId="3DF69F97" w14:textId="50F128FC" w:rsidR="007E294C" w:rsidRDefault="006A612C">
          <w:pPr>
            <w:pStyle w:val="TOC3"/>
            <w:tabs>
              <w:tab w:val="left" w:pos="1100"/>
              <w:tab w:val="right" w:leader="underscore" w:pos="9338"/>
            </w:tabs>
            <w:rPr>
              <w:rFonts w:eastAsiaTheme="minorEastAsia" w:cstheme="minorBidi"/>
              <w:noProof/>
              <w:sz w:val="22"/>
              <w:szCs w:val="22"/>
            </w:rPr>
          </w:pPr>
          <w:hyperlink w:anchor="_Toc86091075" w:history="1">
            <w:r w:rsidR="007E294C" w:rsidRPr="00CD56EC">
              <w:rPr>
                <w:rStyle w:val="Hyperlink"/>
                <w:noProof/>
                <w:lang w:val="en-US" w:eastAsia="en-US"/>
              </w:rPr>
              <w:t>3.2.</w:t>
            </w:r>
            <w:r w:rsidR="007E294C">
              <w:rPr>
                <w:rFonts w:eastAsiaTheme="minorEastAsia" w:cstheme="minorBidi"/>
                <w:noProof/>
                <w:sz w:val="22"/>
                <w:szCs w:val="22"/>
              </w:rPr>
              <w:tab/>
            </w:r>
            <w:r w:rsidR="007E294C" w:rsidRPr="00CD56EC">
              <w:rPr>
                <w:rStyle w:val="Hyperlink"/>
                <w:noProof/>
                <w:lang w:val="en-US" w:eastAsia="en-US"/>
              </w:rPr>
              <w:t>Stakeholder feedback to AEMC: complexity</w:t>
            </w:r>
            <w:r w:rsidR="007E294C">
              <w:rPr>
                <w:noProof/>
                <w:webHidden/>
              </w:rPr>
              <w:tab/>
            </w:r>
            <w:r w:rsidR="007E294C">
              <w:rPr>
                <w:noProof/>
                <w:webHidden/>
              </w:rPr>
              <w:fldChar w:fldCharType="begin"/>
            </w:r>
            <w:r w:rsidR="007E294C">
              <w:rPr>
                <w:noProof/>
                <w:webHidden/>
              </w:rPr>
              <w:instrText xml:space="preserve"> PAGEREF _Toc86091075 \h </w:instrText>
            </w:r>
            <w:r w:rsidR="007E294C">
              <w:rPr>
                <w:noProof/>
                <w:webHidden/>
              </w:rPr>
            </w:r>
            <w:r w:rsidR="007E294C">
              <w:rPr>
                <w:noProof/>
                <w:webHidden/>
              </w:rPr>
              <w:fldChar w:fldCharType="separate"/>
            </w:r>
            <w:r w:rsidR="007E294C">
              <w:rPr>
                <w:noProof/>
                <w:webHidden/>
              </w:rPr>
              <w:t>9</w:t>
            </w:r>
            <w:r w:rsidR="007E294C">
              <w:rPr>
                <w:noProof/>
                <w:webHidden/>
              </w:rPr>
              <w:fldChar w:fldCharType="end"/>
            </w:r>
          </w:hyperlink>
        </w:p>
        <w:p w14:paraId="39553CCC" w14:textId="50B9CEF7" w:rsidR="007E294C" w:rsidRDefault="006A612C">
          <w:pPr>
            <w:pStyle w:val="TOC2"/>
            <w:tabs>
              <w:tab w:val="left" w:pos="660"/>
              <w:tab w:val="right" w:leader="underscore" w:pos="9338"/>
            </w:tabs>
            <w:rPr>
              <w:rFonts w:eastAsiaTheme="minorEastAsia" w:cstheme="minorBidi"/>
              <w:b w:val="0"/>
              <w:bCs w:val="0"/>
              <w:noProof/>
            </w:rPr>
          </w:pPr>
          <w:hyperlink w:anchor="_Toc86091076" w:history="1">
            <w:r w:rsidR="007E294C" w:rsidRPr="00CD56EC">
              <w:rPr>
                <w:rStyle w:val="Hyperlink"/>
                <w:noProof/>
              </w:rPr>
              <w:t>4.</w:t>
            </w:r>
            <w:r w:rsidR="007E294C">
              <w:rPr>
                <w:rFonts w:eastAsiaTheme="minorEastAsia" w:cstheme="minorBidi"/>
                <w:b w:val="0"/>
                <w:bCs w:val="0"/>
                <w:noProof/>
              </w:rPr>
              <w:tab/>
            </w:r>
            <w:r w:rsidR="007E294C" w:rsidRPr="00CD56EC">
              <w:rPr>
                <w:rStyle w:val="Hyperlink"/>
                <w:noProof/>
              </w:rPr>
              <w:t>Energy efficiency</w:t>
            </w:r>
            <w:r w:rsidR="007E294C">
              <w:rPr>
                <w:noProof/>
                <w:webHidden/>
              </w:rPr>
              <w:tab/>
            </w:r>
            <w:r w:rsidR="007E294C">
              <w:rPr>
                <w:noProof/>
                <w:webHidden/>
              </w:rPr>
              <w:fldChar w:fldCharType="begin"/>
            </w:r>
            <w:r w:rsidR="007E294C">
              <w:rPr>
                <w:noProof/>
                <w:webHidden/>
              </w:rPr>
              <w:instrText xml:space="preserve"> PAGEREF _Toc86091076 \h </w:instrText>
            </w:r>
            <w:r w:rsidR="007E294C">
              <w:rPr>
                <w:noProof/>
                <w:webHidden/>
              </w:rPr>
            </w:r>
            <w:r w:rsidR="007E294C">
              <w:rPr>
                <w:noProof/>
                <w:webHidden/>
              </w:rPr>
              <w:fldChar w:fldCharType="separate"/>
            </w:r>
            <w:r w:rsidR="007E294C">
              <w:rPr>
                <w:noProof/>
                <w:webHidden/>
              </w:rPr>
              <w:t>12</w:t>
            </w:r>
            <w:r w:rsidR="007E294C">
              <w:rPr>
                <w:noProof/>
                <w:webHidden/>
              </w:rPr>
              <w:fldChar w:fldCharType="end"/>
            </w:r>
          </w:hyperlink>
        </w:p>
        <w:p w14:paraId="160A28E4" w14:textId="412C8069" w:rsidR="007E294C" w:rsidRDefault="006A612C">
          <w:pPr>
            <w:pStyle w:val="TOC3"/>
            <w:tabs>
              <w:tab w:val="left" w:pos="1100"/>
              <w:tab w:val="right" w:leader="underscore" w:pos="9338"/>
            </w:tabs>
            <w:rPr>
              <w:rFonts w:eastAsiaTheme="minorEastAsia" w:cstheme="minorBidi"/>
              <w:noProof/>
              <w:sz w:val="22"/>
              <w:szCs w:val="22"/>
            </w:rPr>
          </w:pPr>
          <w:hyperlink w:anchor="_Toc86091077" w:history="1">
            <w:r w:rsidR="007E294C" w:rsidRPr="00CD56EC">
              <w:rPr>
                <w:rStyle w:val="Hyperlink"/>
                <w:noProof/>
                <w:lang w:val="en-US" w:eastAsia="en-US"/>
              </w:rPr>
              <w:t>4.1.</w:t>
            </w:r>
            <w:r w:rsidR="007E294C">
              <w:rPr>
                <w:rFonts w:eastAsiaTheme="minorEastAsia" w:cstheme="minorBidi"/>
                <w:noProof/>
                <w:sz w:val="22"/>
                <w:szCs w:val="22"/>
              </w:rPr>
              <w:tab/>
            </w:r>
            <w:r w:rsidR="007E294C" w:rsidRPr="00CD56EC">
              <w:rPr>
                <w:rStyle w:val="Hyperlink"/>
                <w:noProof/>
                <w:lang w:val="en-US" w:eastAsia="en-US"/>
              </w:rPr>
              <w:t>Academic literature: efficiency</w:t>
            </w:r>
            <w:r w:rsidR="007E294C">
              <w:rPr>
                <w:noProof/>
                <w:webHidden/>
              </w:rPr>
              <w:tab/>
            </w:r>
            <w:r w:rsidR="007E294C">
              <w:rPr>
                <w:noProof/>
                <w:webHidden/>
              </w:rPr>
              <w:fldChar w:fldCharType="begin"/>
            </w:r>
            <w:r w:rsidR="007E294C">
              <w:rPr>
                <w:noProof/>
                <w:webHidden/>
              </w:rPr>
              <w:instrText xml:space="preserve"> PAGEREF _Toc86091077 \h </w:instrText>
            </w:r>
            <w:r w:rsidR="007E294C">
              <w:rPr>
                <w:noProof/>
                <w:webHidden/>
              </w:rPr>
            </w:r>
            <w:r w:rsidR="007E294C">
              <w:rPr>
                <w:noProof/>
                <w:webHidden/>
              </w:rPr>
              <w:fldChar w:fldCharType="separate"/>
            </w:r>
            <w:r w:rsidR="007E294C">
              <w:rPr>
                <w:noProof/>
                <w:webHidden/>
              </w:rPr>
              <w:t>12</w:t>
            </w:r>
            <w:r w:rsidR="007E294C">
              <w:rPr>
                <w:noProof/>
                <w:webHidden/>
              </w:rPr>
              <w:fldChar w:fldCharType="end"/>
            </w:r>
          </w:hyperlink>
        </w:p>
        <w:p w14:paraId="1ECF70F2" w14:textId="3D75D54D" w:rsidR="007E294C" w:rsidRDefault="006A612C">
          <w:pPr>
            <w:pStyle w:val="TOC3"/>
            <w:tabs>
              <w:tab w:val="left" w:pos="1100"/>
              <w:tab w:val="right" w:leader="underscore" w:pos="9338"/>
            </w:tabs>
            <w:rPr>
              <w:rFonts w:eastAsiaTheme="minorEastAsia" w:cstheme="minorBidi"/>
              <w:noProof/>
              <w:sz w:val="22"/>
              <w:szCs w:val="22"/>
            </w:rPr>
          </w:pPr>
          <w:hyperlink w:anchor="_Toc86091078" w:history="1">
            <w:r w:rsidR="007E294C" w:rsidRPr="00CD56EC">
              <w:rPr>
                <w:rStyle w:val="Hyperlink"/>
                <w:noProof/>
                <w:lang w:val="en-US" w:eastAsia="en-US"/>
              </w:rPr>
              <w:t>4.2.</w:t>
            </w:r>
            <w:r w:rsidR="007E294C">
              <w:rPr>
                <w:rFonts w:eastAsiaTheme="minorEastAsia" w:cstheme="minorBidi"/>
                <w:noProof/>
                <w:sz w:val="22"/>
                <w:szCs w:val="22"/>
              </w:rPr>
              <w:tab/>
            </w:r>
            <w:r w:rsidR="007E294C" w:rsidRPr="00CD56EC">
              <w:rPr>
                <w:rStyle w:val="Hyperlink"/>
                <w:noProof/>
                <w:lang w:val="en-US" w:eastAsia="en-US"/>
              </w:rPr>
              <w:t>Stakeholder feedback to AEMC: efficiency</w:t>
            </w:r>
            <w:r w:rsidR="007E294C">
              <w:rPr>
                <w:noProof/>
                <w:webHidden/>
              </w:rPr>
              <w:tab/>
            </w:r>
            <w:r w:rsidR="007E294C">
              <w:rPr>
                <w:noProof/>
                <w:webHidden/>
              </w:rPr>
              <w:fldChar w:fldCharType="begin"/>
            </w:r>
            <w:r w:rsidR="007E294C">
              <w:rPr>
                <w:noProof/>
                <w:webHidden/>
              </w:rPr>
              <w:instrText xml:space="preserve"> PAGEREF _Toc86091078 \h </w:instrText>
            </w:r>
            <w:r w:rsidR="007E294C">
              <w:rPr>
                <w:noProof/>
                <w:webHidden/>
              </w:rPr>
            </w:r>
            <w:r w:rsidR="007E294C">
              <w:rPr>
                <w:noProof/>
                <w:webHidden/>
              </w:rPr>
              <w:fldChar w:fldCharType="separate"/>
            </w:r>
            <w:r w:rsidR="007E294C">
              <w:rPr>
                <w:noProof/>
                <w:webHidden/>
              </w:rPr>
              <w:t>15</w:t>
            </w:r>
            <w:r w:rsidR="007E294C">
              <w:rPr>
                <w:noProof/>
                <w:webHidden/>
              </w:rPr>
              <w:fldChar w:fldCharType="end"/>
            </w:r>
          </w:hyperlink>
        </w:p>
        <w:p w14:paraId="172CBDA5" w14:textId="6639FE38" w:rsidR="007E294C" w:rsidRDefault="006A612C">
          <w:pPr>
            <w:pStyle w:val="TOC2"/>
            <w:tabs>
              <w:tab w:val="left" w:pos="660"/>
              <w:tab w:val="right" w:leader="underscore" w:pos="9338"/>
            </w:tabs>
            <w:rPr>
              <w:rFonts w:eastAsiaTheme="minorEastAsia" w:cstheme="minorBidi"/>
              <w:b w:val="0"/>
              <w:bCs w:val="0"/>
              <w:noProof/>
            </w:rPr>
          </w:pPr>
          <w:hyperlink w:anchor="_Toc86091079" w:history="1">
            <w:r w:rsidR="007E294C" w:rsidRPr="00CD56EC">
              <w:rPr>
                <w:rStyle w:val="Hyperlink"/>
                <w:noProof/>
              </w:rPr>
              <w:t>5.</w:t>
            </w:r>
            <w:r w:rsidR="007E294C">
              <w:rPr>
                <w:rFonts w:eastAsiaTheme="minorEastAsia" w:cstheme="minorBidi"/>
                <w:b w:val="0"/>
                <w:bCs w:val="0"/>
                <w:noProof/>
              </w:rPr>
              <w:tab/>
            </w:r>
            <w:r w:rsidR="007E294C" w:rsidRPr="00CD56EC">
              <w:rPr>
                <w:rStyle w:val="Hyperlink"/>
                <w:noProof/>
              </w:rPr>
              <w:t>Comparison and switching</w:t>
            </w:r>
            <w:r w:rsidR="007E294C">
              <w:rPr>
                <w:noProof/>
                <w:webHidden/>
              </w:rPr>
              <w:tab/>
            </w:r>
            <w:r w:rsidR="007E294C">
              <w:rPr>
                <w:noProof/>
                <w:webHidden/>
              </w:rPr>
              <w:fldChar w:fldCharType="begin"/>
            </w:r>
            <w:r w:rsidR="007E294C">
              <w:rPr>
                <w:noProof/>
                <w:webHidden/>
              </w:rPr>
              <w:instrText xml:space="preserve"> PAGEREF _Toc86091079 \h </w:instrText>
            </w:r>
            <w:r w:rsidR="007E294C">
              <w:rPr>
                <w:noProof/>
                <w:webHidden/>
              </w:rPr>
            </w:r>
            <w:r w:rsidR="007E294C">
              <w:rPr>
                <w:noProof/>
                <w:webHidden/>
              </w:rPr>
              <w:fldChar w:fldCharType="separate"/>
            </w:r>
            <w:r w:rsidR="007E294C">
              <w:rPr>
                <w:noProof/>
                <w:webHidden/>
              </w:rPr>
              <w:t>19</w:t>
            </w:r>
            <w:r w:rsidR="007E294C">
              <w:rPr>
                <w:noProof/>
                <w:webHidden/>
              </w:rPr>
              <w:fldChar w:fldCharType="end"/>
            </w:r>
          </w:hyperlink>
        </w:p>
        <w:p w14:paraId="2A743298" w14:textId="50975768" w:rsidR="007E294C" w:rsidRDefault="006A612C">
          <w:pPr>
            <w:pStyle w:val="TOC3"/>
            <w:tabs>
              <w:tab w:val="left" w:pos="1100"/>
              <w:tab w:val="right" w:leader="underscore" w:pos="9338"/>
            </w:tabs>
            <w:rPr>
              <w:rFonts w:eastAsiaTheme="minorEastAsia" w:cstheme="minorBidi"/>
              <w:noProof/>
              <w:sz w:val="22"/>
              <w:szCs w:val="22"/>
            </w:rPr>
          </w:pPr>
          <w:hyperlink w:anchor="_Toc86091080" w:history="1">
            <w:r w:rsidR="007E294C" w:rsidRPr="00CD56EC">
              <w:rPr>
                <w:rStyle w:val="Hyperlink"/>
                <w:noProof/>
                <w:lang w:val="en-US" w:eastAsia="en-US"/>
              </w:rPr>
              <w:t>5.1.</w:t>
            </w:r>
            <w:r w:rsidR="007E294C">
              <w:rPr>
                <w:rFonts w:eastAsiaTheme="minorEastAsia" w:cstheme="minorBidi"/>
                <w:noProof/>
                <w:sz w:val="22"/>
                <w:szCs w:val="22"/>
              </w:rPr>
              <w:tab/>
            </w:r>
            <w:r w:rsidR="007E294C" w:rsidRPr="00CD56EC">
              <w:rPr>
                <w:rStyle w:val="Hyperlink"/>
                <w:noProof/>
                <w:lang w:val="en-US" w:eastAsia="en-US"/>
              </w:rPr>
              <w:t>Academic literature: switching</w:t>
            </w:r>
            <w:r w:rsidR="007E294C">
              <w:rPr>
                <w:noProof/>
                <w:webHidden/>
              </w:rPr>
              <w:tab/>
            </w:r>
            <w:r w:rsidR="007E294C">
              <w:rPr>
                <w:noProof/>
                <w:webHidden/>
              </w:rPr>
              <w:fldChar w:fldCharType="begin"/>
            </w:r>
            <w:r w:rsidR="007E294C">
              <w:rPr>
                <w:noProof/>
                <w:webHidden/>
              </w:rPr>
              <w:instrText xml:space="preserve"> PAGEREF _Toc86091080 \h </w:instrText>
            </w:r>
            <w:r w:rsidR="007E294C">
              <w:rPr>
                <w:noProof/>
                <w:webHidden/>
              </w:rPr>
            </w:r>
            <w:r w:rsidR="007E294C">
              <w:rPr>
                <w:noProof/>
                <w:webHidden/>
              </w:rPr>
              <w:fldChar w:fldCharType="separate"/>
            </w:r>
            <w:r w:rsidR="007E294C">
              <w:rPr>
                <w:noProof/>
                <w:webHidden/>
              </w:rPr>
              <w:t>19</w:t>
            </w:r>
            <w:r w:rsidR="007E294C">
              <w:rPr>
                <w:noProof/>
                <w:webHidden/>
              </w:rPr>
              <w:fldChar w:fldCharType="end"/>
            </w:r>
          </w:hyperlink>
        </w:p>
        <w:p w14:paraId="46C5A7EB" w14:textId="6E0B69E7" w:rsidR="007E294C" w:rsidRDefault="006A612C">
          <w:pPr>
            <w:pStyle w:val="TOC3"/>
            <w:tabs>
              <w:tab w:val="left" w:pos="1100"/>
              <w:tab w:val="right" w:leader="underscore" w:pos="9338"/>
            </w:tabs>
            <w:rPr>
              <w:rFonts w:eastAsiaTheme="minorEastAsia" w:cstheme="minorBidi"/>
              <w:noProof/>
              <w:sz w:val="22"/>
              <w:szCs w:val="22"/>
            </w:rPr>
          </w:pPr>
          <w:hyperlink w:anchor="_Toc86091081" w:history="1">
            <w:r w:rsidR="007E294C" w:rsidRPr="00CD56EC">
              <w:rPr>
                <w:rStyle w:val="Hyperlink"/>
                <w:noProof/>
                <w:lang w:val="en-US" w:eastAsia="en-US"/>
              </w:rPr>
              <w:t>5.2.</w:t>
            </w:r>
            <w:r w:rsidR="007E294C">
              <w:rPr>
                <w:rFonts w:eastAsiaTheme="minorEastAsia" w:cstheme="minorBidi"/>
                <w:noProof/>
                <w:sz w:val="22"/>
                <w:szCs w:val="22"/>
              </w:rPr>
              <w:tab/>
            </w:r>
            <w:r w:rsidR="007E294C" w:rsidRPr="00CD56EC">
              <w:rPr>
                <w:rStyle w:val="Hyperlink"/>
                <w:noProof/>
                <w:lang w:val="en-US" w:eastAsia="en-US"/>
              </w:rPr>
              <w:t>Stakeholder feedback to AEMC: switching</w:t>
            </w:r>
            <w:r w:rsidR="007E294C">
              <w:rPr>
                <w:noProof/>
                <w:webHidden/>
              </w:rPr>
              <w:tab/>
            </w:r>
            <w:r w:rsidR="007E294C">
              <w:rPr>
                <w:noProof/>
                <w:webHidden/>
              </w:rPr>
              <w:fldChar w:fldCharType="begin"/>
            </w:r>
            <w:r w:rsidR="007E294C">
              <w:rPr>
                <w:noProof/>
                <w:webHidden/>
              </w:rPr>
              <w:instrText xml:space="preserve"> PAGEREF _Toc86091081 \h </w:instrText>
            </w:r>
            <w:r w:rsidR="007E294C">
              <w:rPr>
                <w:noProof/>
                <w:webHidden/>
              </w:rPr>
            </w:r>
            <w:r w:rsidR="007E294C">
              <w:rPr>
                <w:noProof/>
                <w:webHidden/>
              </w:rPr>
              <w:fldChar w:fldCharType="separate"/>
            </w:r>
            <w:r w:rsidR="007E294C">
              <w:rPr>
                <w:noProof/>
                <w:webHidden/>
              </w:rPr>
              <w:t>21</w:t>
            </w:r>
            <w:r w:rsidR="007E294C">
              <w:rPr>
                <w:noProof/>
                <w:webHidden/>
              </w:rPr>
              <w:fldChar w:fldCharType="end"/>
            </w:r>
          </w:hyperlink>
        </w:p>
        <w:p w14:paraId="27C7ACC7" w14:textId="02DC7F66" w:rsidR="007E294C" w:rsidRDefault="006A612C">
          <w:pPr>
            <w:pStyle w:val="TOC2"/>
            <w:tabs>
              <w:tab w:val="left" w:pos="660"/>
              <w:tab w:val="right" w:leader="underscore" w:pos="9338"/>
            </w:tabs>
            <w:rPr>
              <w:rFonts w:eastAsiaTheme="minorEastAsia" w:cstheme="minorBidi"/>
              <w:b w:val="0"/>
              <w:bCs w:val="0"/>
              <w:noProof/>
            </w:rPr>
          </w:pPr>
          <w:hyperlink w:anchor="_Toc86091082" w:history="1">
            <w:r w:rsidR="007E294C" w:rsidRPr="00CD56EC">
              <w:rPr>
                <w:rStyle w:val="Hyperlink"/>
                <w:noProof/>
              </w:rPr>
              <w:t>6.</w:t>
            </w:r>
            <w:r w:rsidR="007E294C">
              <w:rPr>
                <w:rFonts w:eastAsiaTheme="minorEastAsia" w:cstheme="minorBidi"/>
                <w:b w:val="0"/>
                <w:bCs w:val="0"/>
                <w:noProof/>
              </w:rPr>
              <w:tab/>
            </w:r>
            <w:r w:rsidR="007E294C" w:rsidRPr="00CD56EC">
              <w:rPr>
                <w:rStyle w:val="Hyperlink"/>
                <w:noProof/>
              </w:rPr>
              <w:t>References</w:t>
            </w:r>
            <w:r w:rsidR="007E294C">
              <w:rPr>
                <w:noProof/>
                <w:webHidden/>
              </w:rPr>
              <w:tab/>
            </w:r>
            <w:r w:rsidR="007E294C">
              <w:rPr>
                <w:noProof/>
                <w:webHidden/>
              </w:rPr>
              <w:fldChar w:fldCharType="begin"/>
            </w:r>
            <w:r w:rsidR="007E294C">
              <w:rPr>
                <w:noProof/>
                <w:webHidden/>
              </w:rPr>
              <w:instrText xml:space="preserve"> PAGEREF _Toc86091082 \h </w:instrText>
            </w:r>
            <w:r w:rsidR="007E294C">
              <w:rPr>
                <w:noProof/>
                <w:webHidden/>
              </w:rPr>
            </w:r>
            <w:r w:rsidR="007E294C">
              <w:rPr>
                <w:noProof/>
                <w:webHidden/>
              </w:rPr>
              <w:fldChar w:fldCharType="separate"/>
            </w:r>
            <w:r w:rsidR="007E294C">
              <w:rPr>
                <w:noProof/>
                <w:webHidden/>
              </w:rPr>
              <w:t>24</w:t>
            </w:r>
            <w:r w:rsidR="007E294C">
              <w:rPr>
                <w:noProof/>
                <w:webHidden/>
              </w:rPr>
              <w:fldChar w:fldCharType="end"/>
            </w:r>
          </w:hyperlink>
        </w:p>
        <w:p w14:paraId="323C0FEE" w14:textId="0F85B3F7" w:rsidR="007E294C" w:rsidRDefault="006A612C">
          <w:pPr>
            <w:pStyle w:val="TOC3"/>
            <w:tabs>
              <w:tab w:val="left" w:pos="1100"/>
              <w:tab w:val="right" w:leader="underscore" w:pos="9338"/>
            </w:tabs>
            <w:rPr>
              <w:rFonts w:eastAsiaTheme="minorEastAsia" w:cstheme="minorBidi"/>
              <w:noProof/>
              <w:sz w:val="22"/>
              <w:szCs w:val="22"/>
            </w:rPr>
          </w:pPr>
          <w:hyperlink w:anchor="_Toc86091083" w:history="1">
            <w:r w:rsidR="007E294C" w:rsidRPr="00CD56EC">
              <w:rPr>
                <w:rStyle w:val="Hyperlink"/>
                <w:noProof/>
              </w:rPr>
              <w:t>6.1.</w:t>
            </w:r>
            <w:r w:rsidR="007E294C">
              <w:rPr>
                <w:rFonts w:eastAsiaTheme="minorEastAsia" w:cstheme="minorBidi"/>
                <w:noProof/>
                <w:sz w:val="22"/>
                <w:szCs w:val="22"/>
              </w:rPr>
              <w:tab/>
            </w:r>
            <w:r w:rsidR="007E294C" w:rsidRPr="00CD56EC">
              <w:rPr>
                <w:rStyle w:val="Hyperlink"/>
                <w:noProof/>
              </w:rPr>
              <w:t>Academic Literature</w:t>
            </w:r>
            <w:r w:rsidR="007E294C">
              <w:rPr>
                <w:noProof/>
                <w:webHidden/>
              </w:rPr>
              <w:tab/>
            </w:r>
            <w:r w:rsidR="007E294C">
              <w:rPr>
                <w:noProof/>
                <w:webHidden/>
              </w:rPr>
              <w:fldChar w:fldCharType="begin"/>
            </w:r>
            <w:r w:rsidR="007E294C">
              <w:rPr>
                <w:noProof/>
                <w:webHidden/>
              </w:rPr>
              <w:instrText xml:space="preserve"> PAGEREF _Toc86091083 \h </w:instrText>
            </w:r>
            <w:r w:rsidR="007E294C">
              <w:rPr>
                <w:noProof/>
                <w:webHidden/>
              </w:rPr>
            </w:r>
            <w:r w:rsidR="007E294C">
              <w:rPr>
                <w:noProof/>
                <w:webHidden/>
              </w:rPr>
              <w:fldChar w:fldCharType="separate"/>
            </w:r>
            <w:r w:rsidR="007E294C">
              <w:rPr>
                <w:noProof/>
                <w:webHidden/>
              </w:rPr>
              <w:t>24</w:t>
            </w:r>
            <w:r w:rsidR="007E294C">
              <w:rPr>
                <w:noProof/>
                <w:webHidden/>
              </w:rPr>
              <w:fldChar w:fldCharType="end"/>
            </w:r>
          </w:hyperlink>
        </w:p>
        <w:p w14:paraId="453BFBCC" w14:textId="51D6C6D1" w:rsidR="007E294C" w:rsidRDefault="006A612C">
          <w:pPr>
            <w:pStyle w:val="TOC3"/>
            <w:tabs>
              <w:tab w:val="left" w:pos="1100"/>
              <w:tab w:val="right" w:leader="underscore" w:pos="9338"/>
            </w:tabs>
            <w:rPr>
              <w:rFonts w:eastAsiaTheme="minorEastAsia" w:cstheme="minorBidi"/>
              <w:noProof/>
              <w:sz w:val="22"/>
              <w:szCs w:val="22"/>
            </w:rPr>
          </w:pPr>
          <w:hyperlink w:anchor="_Toc86091084" w:history="1">
            <w:r w:rsidR="007E294C" w:rsidRPr="00CD56EC">
              <w:rPr>
                <w:rStyle w:val="Hyperlink"/>
                <w:noProof/>
              </w:rPr>
              <w:t>6.2.</w:t>
            </w:r>
            <w:r w:rsidR="007E294C">
              <w:rPr>
                <w:rFonts w:eastAsiaTheme="minorEastAsia" w:cstheme="minorBidi"/>
                <w:noProof/>
                <w:sz w:val="22"/>
                <w:szCs w:val="22"/>
              </w:rPr>
              <w:tab/>
            </w:r>
            <w:r w:rsidR="007E294C" w:rsidRPr="00CD56EC">
              <w:rPr>
                <w:rStyle w:val="Hyperlink"/>
                <w:noProof/>
              </w:rPr>
              <w:t>Submissions to AEMC consultation</w:t>
            </w:r>
            <w:r w:rsidR="007E294C">
              <w:rPr>
                <w:noProof/>
                <w:webHidden/>
              </w:rPr>
              <w:tab/>
            </w:r>
            <w:r w:rsidR="007E294C">
              <w:rPr>
                <w:noProof/>
                <w:webHidden/>
              </w:rPr>
              <w:fldChar w:fldCharType="begin"/>
            </w:r>
            <w:r w:rsidR="007E294C">
              <w:rPr>
                <w:noProof/>
                <w:webHidden/>
              </w:rPr>
              <w:instrText xml:space="preserve"> PAGEREF _Toc86091084 \h </w:instrText>
            </w:r>
            <w:r w:rsidR="007E294C">
              <w:rPr>
                <w:noProof/>
                <w:webHidden/>
              </w:rPr>
            </w:r>
            <w:r w:rsidR="007E294C">
              <w:rPr>
                <w:noProof/>
                <w:webHidden/>
              </w:rPr>
              <w:fldChar w:fldCharType="separate"/>
            </w:r>
            <w:r w:rsidR="007E294C">
              <w:rPr>
                <w:noProof/>
                <w:webHidden/>
              </w:rPr>
              <w:t>27</w:t>
            </w:r>
            <w:r w:rsidR="007E294C">
              <w:rPr>
                <w:noProof/>
                <w:webHidden/>
              </w:rPr>
              <w:fldChar w:fldCharType="end"/>
            </w:r>
          </w:hyperlink>
        </w:p>
        <w:p w14:paraId="46837AC3" w14:textId="26BA68B9" w:rsidR="002A3E8C" w:rsidRDefault="007E294C" w:rsidP="007E294C">
          <w:pPr>
            <w:pStyle w:val="TOC1"/>
            <w:tabs>
              <w:tab w:val="left" w:pos="440"/>
            </w:tabs>
            <w:rPr>
              <w:b w:val="0"/>
              <w:noProof/>
            </w:rPr>
          </w:pPr>
          <w:r>
            <w:rPr>
              <w:b w:val="0"/>
              <w:bCs w:val="0"/>
              <w:noProof/>
              <w:sz w:val="22"/>
              <w:szCs w:val="22"/>
            </w:rPr>
            <w:fldChar w:fldCharType="end"/>
          </w:r>
        </w:p>
      </w:sdtContent>
    </w:sdt>
    <w:p w14:paraId="0CF913D3" w14:textId="77777777" w:rsidR="00222C74" w:rsidRDefault="00222C74">
      <w:pPr>
        <w:spacing w:after="0" w:line="240" w:lineRule="auto"/>
        <w:rPr>
          <w:rFonts w:asciiTheme="majorHAnsi" w:hAnsiTheme="majorHAnsi"/>
          <w:b/>
          <w:color w:val="178A79" w:themeColor="accent3" w:themeShade="BF"/>
          <w:sz w:val="24"/>
          <w:lang w:val="en-US" w:eastAsia="en-US"/>
        </w:rPr>
      </w:pPr>
      <w:bookmarkStart w:id="1" w:name="_Toc68611254"/>
      <w:bookmarkStart w:id="2" w:name="_Toc68611275"/>
      <w:bookmarkStart w:id="3" w:name="_Toc68621172"/>
      <w:bookmarkStart w:id="4" w:name="_Toc68621213"/>
      <w:bookmarkStart w:id="5" w:name="_Toc68700447"/>
      <w:bookmarkStart w:id="6" w:name="_Toc68775860"/>
      <w:r>
        <w:br w:type="page"/>
      </w:r>
    </w:p>
    <w:p w14:paraId="4DC7FB14" w14:textId="5D3CAB55" w:rsidR="002A3E8C" w:rsidRPr="00A2734D" w:rsidRDefault="00F73A84" w:rsidP="00D61091">
      <w:pPr>
        <w:pStyle w:val="Heading2"/>
      </w:pPr>
      <w:bookmarkStart w:id="7" w:name="_Toc68789265"/>
      <w:bookmarkStart w:id="8" w:name="_Toc68791933"/>
      <w:bookmarkStart w:id="9" w:name="_Toc86091071"/>
      <w:r>
        <w:lastRenderedPageBreak/>
        <w:t>Executive s</w:t>
      </w:r>
      <w:r w:rsidR="002A3E8C">
        <w:t>ummary</w:t>
      </w:r>
      <w:bookmarkEnd w:id="1"/>
      <w:bookmarkEnd w:id="2"/>
      <w:bookmarkEnd w:id="3"/>
      <w:bookmarkEnd w:id="4"/>
      <w:bookmarkEnd w:id="5"/>
      <w:bookmarkEnd w:id="6"/>
      <w:bookmarkEnd w:id="7"/>
      <w:bookmarkEnd w:id="8"/>
      <w:bookmarkEnd w:id="9"/>
    </w:p>
    <w:p w14:paraId="29877F20" w14:textId="25E61AB0" w:rsidR="009F4361" w:rsidRDefault="002A3E8C" w:rsidP="002202D5">
      <w:r>
        <w:t xml:space="preserve">On 18 March 2021, the Australian Energy Market Commission (AEMC) released its final rule determination tasking the Australian Energy Regulator (AER) with </w:t>
      </w:r>
      <w:r w:rsidR="005D0D1C">
        <w:t>developing</w:t>
      </w:r>
      <w:r>
        <w:t xml:space="preserve"> a set of guidelines for retailers </w:t>
      </w:r>
      <w:r w:rsidR="00443792">
        <w:t>determining</w:t>
      </w:r>
      <w:r>
        <w:t xml:space="preserve"> bill content and billing requirements</w:t>
      </w:r>
      <w:r w:rsidR="004D3857">
        <w:t xml:space="preserve"> (AEMC</w:t>
      </w:r>
      <w:r w:rsidR="00533F7C">
        <w:t>,</w:t>
      </w:r>
      <w:r w:rsidR="004D3857">
        <w:t xml:space="preserve"> 2021)</w:t>
      </w:r>
      <w:r>
        <w:t xml:space="preserve">. BETA prepared this literature review to help identify </w:t>
      </w:r>
      <w:r w:rsidR="00DC129F">
        <w:t xml:space="preserve">a) </w:t>
      </w:r>
      <w:r>
        <w:t xml:space="preserve">the major issues with </w:t>
      </w:r>
      <w:r w:rsidR="007A1DAC">
        <w:t xml:space="preserve">energy </w:t>
      </w:r>
      <w:r>
        <w:t xml:space="preserve">bills, </w:t>
      </w:r>
      <w:r w:rsidR="00DC129F">
        <w:t xml:space="preserve">b) </w:t>
      </w:r>
      <w:r>
        <w:t xml:space="preserve">proven methods of improving bills, and </w:t>
      </w:r>
      <w:r w:rsidR="009F4361">
        <w:t>c) </w:t>
      </w:r>
      <w:r w:rsidR="007A1DAC">
        <w:t xml:space="preserve">remaining </w:t>
      </w:r>
      <w:r>
        <w:t>gaps in the literature</w:t>
      </w:r>
      <w:r w:rsidR="009F4361">
        <w:t xml:space="preserve">. </w:t>
      </w:r>
      <w:r w:rsidR="003F5286">
        <w:t>While t</w:t>
      </w:r>
      <w:r w:rsidR="003F5286" w:rsidRPr="007A1DAC">
        <w:t xml:space="preserve">his literature review aims to cover most of the key research relevant to </w:t>
      </w:r>
      <w:r w:rsidR="003F5286">
        <w:t xml:space="preserve">identifying gaps in relation to energy </w:t>
      </w:r>
      <w:r w:rsidR="003F5286" w:rsidRPr="007A1DAC">
        <w:t>bill content</w:t>
      </w:r>
      <w:r w:rsidR="003F5286">
        <w:t>s</w:t>
      </w:r>
      <w:r w:rsidR="003F5286" w:rsidRPr="007A1DAC">
        <w:t xml:space="preserve"> and billing requirements</w:t>
      </w:r>
      <w:r w:rsidR="003F5286">
        <w:t xml:space="preserve">, </w:t>
      </w:r>
      <w:r w:rsidR="003F5286" w:rsidRPr="007A1DAC">
        <w:t xml:space="preserve">it </w:t>
      </w:r>
      <w:r w:rsidR="003F5286">
        <w:t xml:space="preserve">was not a full systematic review and so </w:t>
      </w:r>
      <w:r w:rsidR="003F5286" w:rsidRPr="007A1DAC">
        <w:t>does not claim to be comprehensive.</w:t>
      </w:r>
      <w:r w:rsidR="00CB417C">
        <w:rPr>
          <w:rStyle w:val="FootnoteReference"/>
        </w:rPr>
        <w:footnoteReference w:id="2"/>
      </w:r>
    </w:p>
    <w:p w14:paraId="18F4AD35" w14:textId="752C9CFD" w:rsidR="009F4361" w:rsidRDefault="009F4361" w:rsidP="002202D5">
      <w:r>
        <w:t xml:space="preserve">BETA and the AER subsequently developed a research plan to address </w:t>
      </w:r>
      <w:r w:rsidR="007A1DAC">
        <w:t xml:space="preserve">the </w:t>
      </w:r>
      <w:r>
        <w:t>gaps identified in the literature review.</w:t>
      </w:r>
      <w:r w:rsidR="0077347A">
        <w:rPr>
          <w:rStyle w:val="FootnoteReference"/>
        </w:rPr>
        <w:footnoteReference w:id="3"/>
      </w:r>
      <w:r>
        <w:t xml:space="preserve"> </w:t>
      </w:r>
      <w:r w:rsidR="00686800">
        <w:t>This literature review examines three bill content</w:t>
      </w:r>
      <w:r w:rsidR="00812E6B">
        <w:t xml:space="preserve"> areas</w:t>
      </w:r>
      <w:r w:rsidR="00091495">
        <w:t xml:space="preserve">: </w:t>
      </w:r>
    </w:p>
    <w:p w14:paraId="5FE53463" w14:textId="51354029" w:rsidR="009F4361" w:rsidRDefault="00D605FC" w:rsidP="000B2E2A">
      <w:pPr>
        <w:pStyle w:val="ListParagraph"/>
        <w:numPr>
          <w:ilvl w:val="0"/>
          <w:numId w:val="19"/>
        </w:numPr>
      </w:pPr>
      <w:r>
        <w:t>B</w:t>
      </w:r>
      <w:r w:rsidR="00091495">
        <w:t>i</w:t>
      </w:r>
      <w:r>
        <w:t>ll complexity and accessibility</w:t>
      </w:r>
      <w:r w:rsidR="00091495">
        <w:t xml:space="preserve"> </w:t>
      </w:r>
    </w:p>
    <w:p w14:paraId="3169118D" w14:textId="346C8DB2" w:rsidR="009F4361" w:rsidRDefault="00D605FC" w:rsidP="000B2E2A">
      <w:pPr>
        <w:pStyle w:val="ListParagraph"/>
        <w:numPr>
          <w:ilvl w:val="0"/>
          <w:numId w:val="19"/>
        </w:numPr>
      </w:pPr>
      <w:r>
        <w:t>E</w:t>
      </w:r>
      <w:r w:rsidR="00091495">
        <w:t>nergy efficiency information in bills</w:t>
      </w:r>
    </w:p>
    <w:p w14:paraId="5BFEEAE0" w14:textId="11A42C22" w:rsidR="009F4361" w:rsidRDefault="00D605FC" w:rsidP="000B2E2A">
      <w:pPr>
        <w:pStyle w:val="ListParagraph"/>
        <w:numPr>
          <w:ilvl w:val="0"/>
          <w:numId w:val="19"/>
        </w:numPr>
      </w:pPr>
      <w:r>
        <w:t>B</w:t>
      </w:r>
      <w:r w:rsidR="00091495">
        <w:t xml:space="preserve">ills as </w:t>
      </w:r>
      <w:r w:rsidR="009F4361">
        <w:t>a tool for promoting switching</w:t>
      </w:r>
    </w:p>
    <w:p w14:paraId="158FB106" w14:textId="28F39DED" w:rsidR="00091495" w:rsidRDefault="00091495" w:rsidP="009F4361">
      <w:r>
        <w:t>For each</w:t>
      </w:r>
      <w:r w:rsidR="00DC129F">
        <w:t xml:space="preserve"> </w:t>
      </w:r>
      <w:r w:rsidR="00E039C9">
        <w:t>area</w:t>
      </w:r>
      <w:r>
        <w:t xml:space="preserve"> we have </w:t>
      </w:r>
      <w:r w:rsidR="003F7A0B">
        <w:t>summarised</w:t>
      </w:r>
      <w:r>
        <w:t xml:space="preserve"> findings from </w:t>
      </w:r>
      <w:r w:rsidRPr="002202D5">
        <w:t>the literature</w:t>
      </w:r>
      <w:r w:rsidR="00510467">
        <w:t xml:space="preserve">, </w:t>
      </w:r>
      <w:r w:rsidRPr="002202D5">
        <w:t>as well as feedback</w:t>
      </w:r>
      <w:r w:rsidR="00686800" w:rsidRPr="00684D8C">
        <w:t xml:space="preserve"> </w:t>
      </w:r>
      <w:r w:rsidR="00200B24" w:rsidRPr="00684D8C">
        <w:t>provided by</w:t>
      </w:r>
      <w:r w:rsidR="00686800" w:rsidRPr="00684D8C">
        <w:t xml:space="preserve"> stakeholders </w:t>
      </w:r>
      <w:r w:rsidR="00684D8C">
        <w:t>during</w:t>
      </w:r>
      <w:r w:rsidRPr="002202D5">
        <w:t xml:space="preserve"> the AEMC submission process.</w:t>
      </w:r>
      <w:r>
        <w:t xml:space="preserve"> </w:t>
      </w:r>
      <w:r w:rsidR="00F94F06">
        <w:t xml:space="preserve">Relevant behavioural insights are also highlighted which will be utilised to inform the development of billing interventions in the next stage of this research. </w:t>
      </w:r>
    </w:p>
    <w:p w14:paraId="41779068" w14:textId="423B5BDC" w:rsidR="00091495" w:rsidRDefault="005C0E1F" w:rsidP="002202D5">
      <w:r w:rsidRPr="006E421F">
        <w:rPr>
          <w:b/>
        </w:rPr>
        <w:t>Complex bill content and structures</w:t>
      </w:r>
      <w:r>
        <w:t xml:space="preserve"> are </w:t>
      </w:r>
      <w:r w:rsidR="00121CAE">
        <w:t>confusing</w:t>
      </w:r>
      <w:r>
        <w:t xml:space="preserve"> for consumers in the energy market. </w:t>
      </w:r>
      <w:r w:rsidR="00A93FF1">
        <w:t>R</w:t>
      </w:r>
      <w:r>
        <w:t>etailers and consumer groups</w:t>
      </w:r>
      <w:r w:rsidR="00A93FF1">
        <w:t xml:space="preserve"> contest what causes this confusion</w:t>
      </w:r>
      <w:r>
        <w:t xml:space="preserve">, but there are </w:t>
      </w:r>
      <w:r w:rsidR="00A93FF1">
        <w:t xml:space="preserve">matters where </w:t>
      </w:r>
      <w:r w:rsidR="00930D89">
        <w:t>evidence in the literature is clear on the</w:t>
      </w:r>
      <w:r w:rsidR="00A93FF1">
        <w:t xml:space="preserve"> change</w:t>
      </w:r>
      <w:r w:rsidR="00930D89">
        <w:t xml:space="preserve">s that can </w:t>
      </w:r>
      <w:r w:rsidR="00121CAE">
        <w:t>improve</w:t>
      </w:r>
      <w:r w:rsidR="00A93FF1">
        <w:t xml:space="preserve"> energy bills</w:t>
      </w:r>
      <w:r>
        <w:t xml:space="preserve">. Replacing text with graphs, using conversational language, reducing the amount of information, and providing important information on the first page are proven ways to </w:t>
      </w:r>
      <w:r w:rsidR="00A93FF1">
        <w:t>improve bill</w:t>
      </w:r>
      <w:r>
        <w:t xml:space="preserve"> comprehension. </w:t>
      </w:r>
      <w:r w:rsidR="00541AF1">
        <w:t>Further r</w:t>
      </w:r>
      <w:r w:rsidRPr="00785E4D">
        <w:t xml:space="preserve">esearch should </w:t>
      </w:r>
      <w:r w:rsidR="005D056E">
        <w:t>test</w:t>
      </w:r>
      <w:r>
        <w:t xml:space="preserve"> </w:t>
      </w:r>
      <w:r w:rsidR="00EA194D">
        <w:t xml:space="preserve">whether </w:t>
      </w:r>
      <w:r w:rsidR="006E421F">
        <w:t xml:space="preserve">standard </w:t>
      </w:r>
      <w:r w:rsidR="009432C7">
        <w:t>presentation of</w:t>
      </w:r>
      <w:r w:rsidR="00006F0B">
        <w:t xml:space="preserve"> </w:t>
      </w:r>
      <w:r>
        <w:t>key plan characteristics and plain language definitions of technica</w:t>
      </w:r>
      <w:r w:rsidR="00EA0990">
        <w:t>l terms improve understanding.</w:t>
      </w:r>
    </w:p>
    <w:p w14:paraId="6960C00A" w14:textId="0CA05289" w:rsidR="00C474F8" w:rsidRDefault="005C0E1F" w:rsidP="002202D5">
      <w:r>
        <w:t xml:space="preserve">Providing consumers with feedback on their energy usage </w:t>
      </w:r>
      <w:r w:rsidR="00D37E1F">
        <w:t xml:space="preserve">is an effective way to engage and educate them on their </w:t>
      </w:r>
      <w:r w:rsidR="00D37E1F" w:rsidRPr="006E421F">
        <w:rPr>
          <w:b/>
        </w:rPr>
        <w:t>energy efficiency</w:t>
      </w:r>
      <w:r w:rsidR="00D37E1F">
        <w:t xml:space="preserve">. However, issues with the format and delivery of usage feedback in Australia mean that many consumers </w:t>
      </w:r>
      <w:r w:rsidR="001C5A19">
        <w:t>have</w:t>
      </w:r>
      <w:r w:rsidR="00D37E1F">
        <w:t xml:space="preserve"> problems understanding this information. </w:t>
      </w:r>
      <w:r w:rsidR="00C474F8">
        <w:t xml:space="preserve">Existing research does not clarify the ideal format and mode of delivery for this </w:t>
      </w:r>
      <w:r w:rsidR="00F6628A">
        <w:t xml:space="preserve">and the </w:t>
      </w:r>
      <w:r w:rsidR="00C474F8">
        <w:t>information</w:t>
      </w:r>
      <w:r w:rsidR="00F6628A">
        <w:t xml:space="preserve"> could be improved to help consumers whilst reducing costs for businesses</w:t>
      </w:r>
      <w:r w:rsidR="00C474F8">
        <w:t xml:space="preserve">. </w:t>
      </w:r>
    </w:p>
    <w:p w14:paraId="2FDB322B" w14:textId="0BA74330" w:rsidR="00BA42D6" w:rsidRDefault="005D7A22" w:rsidP="002202D5">
      <w:r>
        <w:lastRenderedPageBreak/>
        <w:t xml:space="preserve">Making bills easier to compare is a crucial step in </w:t>
      </w:r>
      <w:r w:rsidRPr="006E421F">
        <w:rPr>
          <w:b/>
        </w:rPr>
        <w:t>encouraging switching</w:t>
      </w:r>
      <w:r>
        <w:t xml:space="preserve">, but more active promotion of switching services </w:t>
      </w:r>
      <w:r w:rsidR="00376ED2">
        <w:t xml:space="preserve">in bills themselves </w:t>
      </w:r>
      <w:r>
        <w:t xml:space="preserve">also </w:t>
      </w:r>
      <w:r w:rsidR="00D823C1">
        <w:t>motivates</w:t>
      </w:r>
      <w:r>
        <w:t xml:space="preserve"> inert consumers. Standardisation of key terms between retailers will help consumers make better decisions when comparing plans. However, </w:t>
      </w:r>
      <w:r w:rsidR="00376ED2">
        <w:t>switching providers</w:t>
      </w:r>
      <w:r>
        <w:t xml:space="preserve"> is often difficult</w:t>
      </w:r>
      <w:r w:rsidR="00376ED2">
        <w:t>. E</w:t>
      </w:r>
      <w:r>
        <w:t xml:space="preserve">ncouraging </w:t>
      </w:r>
      <w:r w:rsidR="00376ED2">
        <w:t xml:space="preserve">‘within provider’ switching (i.e. to a cheaper plan offered by one’s current retailer) </w:t>
      </w:r>
      <w:r>
        <w:t xml:space="preserve">may be an easier and more effective method for helping consumers. </w:t>
      </w:r>
      <w:r w:rsidR="00376ED2">
        <w:t>So</w:t>
      </w:r>
      <w:r w:rsidR="00534109">
        <w:t>-</w:t>
      </w:r>
      <w:r w:rsidR="00376ED2">
        <w:t>called ‘</w:t>
      </w:r>
      <w:r w:rsidR="00F73A84">
        <w:t>b</w:t>
      </w:r>
      <w:r>
        <w:t>est offer</w:t>
      </w:r>
      <w:r w:rsidR="00376ED2">
        <w:t>’ notices</w:t>
      </w:r>
      <w:r w:rsidR="00EA0990">
        <w:rPr>
          <w:rStyle w:val="FootnoteReference"/>
        </w:rPr>
        <w:footnoteReference w:id="4"/>
      </w:r>
      <w:r>
        <w:t xml:space="preserve"> and other calls to action</w:t>
      </w:r>
      <w:r w:rsidR="00C326F3">
        <w:t xml:space="preserve"> on bills</w:t>
      </w:r>
      <w:r>
        <w:t xml:space="preserve"> need </w:t>
      </w:r>
      <w:r w:rsidR="00C326F3">
        <w:t>further</w:t>
      </w:r>
      <w:r>
        <w:t xml:space="preserve"> investigat</w:t>
      </w:r>
      <w:r w:rsidR="00C326F3">
        <w:t xml:space="preserve">ion </w:t>
      </w:r>
      <w:r>
        <w:t>t</w:t>
      </w:r>
      <w:r w:rsidR="00C326F3">
        <w:t xml:space="preserve">o identify </w:t>
      </w:r>
      <w:r w:rsidR="00820928">
        <w:t>how they can be used to aid</w:t>
      </w:r>
      <w:r w:rsidR="00C326F3">
        <w:t xml:space="preserve"> consumer switching.</w:t>
      </w:r>
      <w:r w:rsidR="00820928">
        <w:t xml:space="preserve"> </w:t>
      </w:r>
    </w:p>
    <w:p w14:paraId="14967D5C" w14:textId="2BA00674" w:rsidR="001D6C31" w:rsidRDefault="007A1DAC" w:rsidP="00973573">
      <w:r>
        <w:t xml:space="preserve">This review identified findings </w:t>
      </w:r>
      <w:r w:rsidR="0077347A">
        <w:t xml:space="preserve">that are supported by </w:t>
      </w:r>
      <w:r w:rsidR="00D605FC">
        <w:t>consisten</w:t>
      </w:r>
      <w:r w:rsidR="0077347A">
        <w:t xml:space="preserve">t </w:t>
      </w:r>
      <w:r>
        <w:t>evidence</w:t>
      </w:r>
      <w:r w:rsidR="00D605FC">
        <w:t xml:space="preserve"> and</w:t>
      </w:r>
      <w:r w:rsidR="003F5286">
        <w:t>/or</w:t>
      </w:r>
      <w:r w:rsidR="00D605FC">
        <w:t xml:space="preserve"> stakeholder feedback</w:t>
      </w:r>
      <w:r>
        <w:t xml:space="preserve">. It also identifies several areas </w:t>
      </w:r>
      <w:r w:rsidR="00F33C1B">
        <w:t xml:space="preserve">that </w:t>
      </w:r>
      <w:r>
        <w:t>would benefit from further research. These ‘gaps’ may reflect inconsistent findings, challenges in generalising findings from other contexts, inconclusive evidence, or simply a lack of evidence.</w:t>
      </w:r>
    </w:p>
    <w:p w14:paraId="35244BC9" w14:textId="1F2C3174" w:rsidR="002E3A9C" w:rsidRPr="002E3A9C" w:rsidRDefault="002E3A9C" w:rsidP="002E3A9C">
      <w:pPr>
        <w:shd w:val="clear" w:color="auto" w:fill="006666"/>
        <w:rPr>
          <w:b/>
          <w:color w:val="FFFFFF" w:themeColor="background1"/>
        </w:rPr>
      </w:pPr>
      <w:r w:rsidRPr="002E3A9C">
        <w:rPr>
          <w:b/>
          <w:color w:val="FFFFFF" w:themeColor="background1"/>
        </w:rPr>
        <w:t>Findings supported by consistent evidence and/or stakeholder feedback</w:t>
      </w:r>
    </w:p>
    <w:p w14:paraId="761DE383" w14:textId="1607EC0E" w:rsidR="002E3A9C" w:rsidRDefault="002E3A9C" w:rsidP="002E3A9C">
      <w:pPr>
        <w:pStyle w:val="ListParagraph"/>
        <w:numPr>
          <w:ilvl w:val="0"/>
          <w:numId w:val="28"/>
        </w:numPr>
        <w:shd w:val="clear" w:color="auto" w:fill="F2F2F2" w:themeFill="background1" w:themeFillShade="F2"/>
      </w:pPr>
      <w:r>
        <w:t>Energy bills include complex content that can make them difficult to understand and cause confusion for consumers.</w:t>
      </w:r>
    </w:p>
    <w:p w14:paraId="73AE0E13" w14:textId="4F47365B" w:rsidR="002E3A9C" w:rsidRDefault="002E3A9C" w:rsidP="002E3A9C">
      <w:pPr>
        <w:pStyle w:val="ListParagraph"/>
        <w:numPr>
          <w:ilvl w:val="0"/>
          <w:numId w:val="28"/>
        </w:numPr>
        <w:shd w:val="clear" w:color="auto" w:fill="F2F2F2" w:themeFill="background1" w:themeFillShade="F2"/>
      </w:pPr>
      <w:r>
        <w:t>Bill simplification, based on evidenced-based behavioural principles, can reduce the cognitive load that bills place on consumers, making them easier to understand and effectively use.</w:t>
      </w:r>
    </w:p>
    <w:p w14:paraId="775EE7E9" w14:textId="47997C9E" w:rsidR="002E3A9C" w:rsidRDefault="002E3A9C" w:rsidP="002E3A9C">
      <w:pPr>
        <w:pStyle w:val="ListParagraph"/>
        <w:numPr>
          <w:ilvl w:val="0"/>
          <w:numId w:val="28"/>
        </w:numPr>
        <w:shd w:val="clear" w:color="auto" w:fill="F2F2F2" w:themeFill="background1" w:themeFillShade="F2"/>
      </w:pPr>
      <w:r>
        <w:t>Drawing on the available literature, stakeholder submissions and broader evidence from behavioural science, we identified four key principles for the design of energy bills:</w:t>
      </w:r>
    </w:p>
    <w:p w14:paraId="0EF3BCF9" w14:textId="29633984" w:rsidR="002E3A9C" w:rsidRDefault="002E3A9C" w:rsidP="002E3A9C">
      <w:pPr>
        <w:pStyle w:val="ListParagraph"/>
        <w:numPr>
          <w:ilvl w:val="0"/>
          <w:numId w:val="30"/>
        </w:numPr>
        <w:shd w:val="clear" w:color="auto" w:fill="F2F2F2" w:themeFill="background1" w:themeFillShade="F2"/>
      </w:pPr>
      <w:r>
        <w:t>Language: Use simple, conversational language.</w:t>
      </w:r>
    </w:p>
    <w:p w14:paraId="37A56284" w14:textId="1116EF38" w:rsidR="002E3A9C" w:rsidRDefault="002E3A9C" w:rsidP="002E3A9C">
      <w:pPr>
        <w:pStyle w:val="ListParagraph"/>
        <w:numPr>
          <w:ilvl w:val="0"/>
          <w:numId w:val="30"/>
        </w:numPr>
        <w:shd w:val="clear" w:color="auto" w:fill="F2F2F2" w:themeFill="background1" w:themeFillShade="F2"/>
      </w:pPr>
      <w:r>
        <w:t>Presentation: Make the bill visually attractive.</w:t>
      </w:r>
    </w:p>
    <w:p w14:paraId="5EC1356C" w14:textId="542E030F" w:rsidR="002E3A9C" w:rsidRDefault="002E3A9C" w:rsidP="002E3A9C">
      <w:pPr>
        <w:pStyle w:val="ListParagraph"/>
        <w:numPr>
          <w:ilvl w:val="0"/>
          <w:numId w:val="30"/>
        </w:numPr>
        <w:shd w:val="clear" w:color="auto" w:fill="F2F2F2" w:themeFill="background1" w:themeFillShade="F2"/>
      </w:pPr>
      <w:r>
        <w:t>Salience: Make the key information salient</w:t>
      </w:r>
    </w:p>
    <w:p w14:paraId="4975766B" w14:textId="6619A61F" w:rsidR="002E3A9C" w:rsidRDefault="002E3A9C" w:rsidP="002E3A9C">
      <w:pPr>
        <w:pStyle w:val="ListParagraph"/>
        <w:numPr>
          <w:ilvl w:val="0"/>
          <w:numId w:val="30"/>
        </w:numPr>
        <w:shd w:val="clear" w:color="auto" w:fill="F2F2F2" w:themeFill="background1" w:themeFillShade="F2"/>
      </w:pPr>
      <w:r>
        <w:t>Structure: Order the information carefully and logically.</w:t>
      </w:r>
    </w:p>
    <w:p w14:paraId="7FEE03E6" w14:textId="77777777" w:rsidR="00D80153" w:rsidRDefault="00D80153">
      <w:pPr>
        <w:spacing w:after="0" w:line="240" w:lineRule="auto"/>
        <w:rPr>
          <w:b/>
          <w:color w:val="FFFFFF" w:themeColor="background1"/>
        </w:rPr>
      </w:pPr>
    </w:p>
    <w:p w14:paraId="6D3AE4E1" w14:textId="77777777" w:rsidR="00D80153" w:rsidRDefault="00D80153">
      <w:pPr>
        <w:spacing w:after="0" w:line="240" w:lineRule="auto"/>
        <w:rPr>
          <w:b/>
          <w:color w:val="FFFFFF" w:themeColor="background1"/>
        </w:rPr>
      </w:pPr>
      <w:r>
        <w:rPr>
          <w:b/>
          <w:color w:val="FFFFFF" w:themeColor="background1"/>
        </w:rPr>
        <w:br w:type="page"/>
      </w:r>
    </w:p>
    <w:p w14:paraId="5B33CFBF" w14:textId="1DD4BE9A" w:rsidR="002E3A9C" w:rsidRPr="002E3A9C" w:rsidRDefault="002E3A9C" w:rsidP="002E3A9C">
      <w:pPr>
        <w:shd w:val="clear" w:color="auto" w:fill="006666"/>
        <w:rPr>
          <w:b/>
          <w:color w:val="FFFFFF" w:themeColor="background1"/>
        </w:rPr>
      </w:pPr>
      <w:r w:rsidRPr="002E3A9C">
        <w:rPr>
          <w:b/>
          <w:color w:val="FFFFFF" w:themeColor="background1"/>
        </w:rPr>
        <w:lastRenderedPageBreak/>
        <w:t>Gaps in the literature</w:t>
      </w:r>
    </w:p>
    <w:p w14:paraId="12EF0AB2" w14:textId="77777777" w:rsidR="002E3A9C" w:rsidRPr="00836E81" w:rsidRDefault="002E3A9C" w:rsidP="002E3A9C">
      <w:pPr>
        <w:pStyle w:val="ListParagraph"/>
        <w:keepNext/>
        <w:numPr>
          <w:ilvl w:val="0"/>
          <w:numId w:val="11"/>
        </w:numPr>
        <w:shd w:val="clear" w:color="auto" w:fill="F2F2F2" w:themeFill="background1" w:themeFillShade="F2"/>
        <w:ind w:left="357" w:hanging="357"/>
        <w:rPr>
          <w:lang w:eastAsia="en-US"/>
        </w:rPr>
      </w:pPr>
      <w:r w:rsidRPr="00836E81">
        <w:rPr>
          <w:lang w:val="en-US" w:eastAsia="en-US"/>
        </w:rPr>
        <w:t xml:space="preserve">Simple </w:t>
      </w:r>
      <w:r w:rsidRPr="0077347A">
        <w:rPr>
          <w:i/>
          <w:lang w:val="en-US" w:eastAsia="en-US"/>
        </w:rPr>
        <w:t>definitions of technical terms</w:t>
      </w:r>
      <w:r w:rsidRPr="00836E81">
        <w:rPr>
          <w:lang w:val="en-US" w:eastAsia="en-US"/>
        </w:rPr>
        <w:t xml:space="preserve"> </w:t>
      </w:r>
      <w:r>
        <w:rPr>
          <w:lang w:val="en-US" w:eastAsia="en-US"/>
        </w:rPr>
        <w:t>(</w:t>
      </w:r>
      <w:r w:rsidRPr="00836E81">
        <w:rPr>
          <w:lang w:val="en-US" w:eastAsia="en-US"/>
        </w:rPr>
        <w:t>e.g</w:t>
      </w:r>
      <w:r>
        <w:rPr>
          <w:lang w:val="en-US" w:eastAsia="en-US"/>
        </w:rPr>
        <w:t>.</w:t>
      </w:r>
      <w:r w:rsidRPr="00836E81">
        <w:rPr>
          <w:lang w:val="en-US" w:eastAsia="en-US"/>
        </w:rPr>
        <w:t xml:space="preserve"> kilowatt-hours, tariffs</w:t>
      </w:r>
      <w:r>
        <w:rPr>
          <w:lang w:val="en-US" w:eastAsia="en-US"/>
        </w:rPr>
        <w:t>)</w:t>
      </w:r>
      <w:r w:rsidRPr="00836E81">
        <w:rPr>
          <w:lang w:val="en-US" w:eastAsia="en-US"/>
        </w:rPr>
        <w:t xml:space="preserve"> should be tested to </w:t>
      </w:r>
      <w:r>
        <w:rPr>
          <w:lang w:val="en-US" w:eastAsia="en-US"/>
        </w:rPr>
        <w:t xml:space="preserve">determine whether they would </w:t>
      </w:r>
      <w:r w:rsidRPr="00836E81">
        <w:rPr>
          <w:lang w:val="en-US" w:eastAsia="en-US"/>
        </w:rPr>
        <w:t xml:space="preserve">improve comprehension of bills </w:t>
      </w:r>
    </w:p>
    <w:p w14:paraId="777A07C2" w14:textId="77777777" w:rsidR="002E3A9C" w:rsidRPr="00480E8B" w:rsidRDefault="002E3A9C" w:rsidP="002E3A9C">
      <w:pPr>
        <w:pStyle w:val="ListParagraph"/>
        <w:keepNext/>
        <w:numPr>
          <w:ilvl w:val="0"/>
          <w:numId w:val="11"/>
        </w:numPr>
        <w:shd w:val="clear" w:color="auto" w:fill="F2F2F2" w:themeFill="background1" w:themeFillShade="F2"/>
        <w:ind w:left="357" w:hanging="357"/>
        <w:rPr>
          <w:b/>
          <w:lang w:val="en-US" w:eastAsia="en-US"/>
        </w:rPr>
      </w:pPr>
      <w:r>
        <w:rPr>
          <w:lang w:val="en-US" w:eastAsia="en-US"/>
        </w:rPr>
        <w:t>The efficacy and format</w:t>
      </w:r>
      <w:r w:rsidRPr="00DC7573">
        <w:rPr>
          <w:lang w:val="en-US" w:eastAsia="en-US"/>
        </w:rPr>
        <w:t xml:space="preserve"> of </w:t>
      </w:r>
      <w:r w:rsidRPr="00176D68">
        <w:rPr>
          <w:i/>
          <w:lang w:val="en-US" w:eastAsia="en-US"/>
        </w:rPr>
        <w:t>peer comparison</w:t>
      </w:r>
      <w:r>
        <w:rPr>
          <w:i/>
          <w:lang w:val="en-US" w:eastAsia="en-US"/>
        </w:rPr>
        <w:t xml:space="preserve"> (benchmarking)</w:t>
      </w:r>
      <w:r w:rsidRPr="00B71445">
        <w:rPr>
          <w:i/>
          <w:lang w:val="en-US" w:eastAsia="en-US"/>
        </w:rPr>
        <w:t xml:space="preserve"> usage graphs</w:t>
      </w:r>
      <w:r w:rsidRPr="00DC7573">
        <w:rPr>
          <w:lang w:val="en-US" w:eastAsia="en-US"/>
        </w:rPr>
        <w:t xml:space="preserve"> </w:t>
      </w:r>
      <w:r>
        <w:rPr>
          <w:lang w:val="en-US" w:eastAsia="en-US"/>
        </w:rPr>
        <w:t>should be tested to</w:t>
      </w:r>
      <w:r w:rsidRPr="00DC7573">
        <w:rPr>
          <w:lang w:val="en-US" w:eastAsia="en-US"/>
        </w:rPr>
        <w:t xml:space="preserve"> improve comprehension for consumers and reduce costs for businesses receiv</w:t>
      </w:r>
      <w:r>
        <w:rPr>
          <w:lang w:val="en-US" w:eastAsia="en-US"/>
        </w:rPr>
        <w:t>ing complaints. However, a real-</w:t>
      </w:r>
      <w:r w:rsidRPr="00DC7573">
        <w:rPr>
          <w:lang w:val="en-US" w:eastAsia="en-US"/>
        </w:rPr>
        <w:t xml:space="preserve">world trial </w:t>
      </w:r>
      <w:r>
        <w:rPr>
          <w:lang w:val="en-US" w:eastAsia="en-US"/>
        </w:rPr>
        <w:t>would be</w:t>
      </w:r>
      <w:r w:rsidRPr="00DC7573">
        <w:rPr>
          <w:lang w:val="en-US" w:eastAsia="en-US"/>
        </w:rPr>
        <w:t xml:space="preserve"> needed to determine </w:t>
      </w:r>
      <w:r>
        <w:rPr>
          <w:lang w:val="en-US" w:eastAsia="en-US"/>
        </w:rPr>
        <w:t xml:space="preserve">their </w:t>
      </w:r>
      <w:r w:rsidRPr="00DC7573">
        <w:rPr>
          <w:lang w:val="en-US" w:eastAsia="en-US"/>
        </w:rPr>
        <w:t>impact on actual usage.</w:t>
      </w:r>
    </w:p>
    <w:p w14:paraId="1F88870E" w14:textId="77777777" w:rsidR="002E3A9C" w:rsidRPr="00BC2312" w:rsidRDefault="002E3A9C" w:rsidP="002E3A9C">
      <w:pPr>
        <w:pStyle w:val="ListParagraph"/>
        <w:keepNext/>
        <w:numPr>
          <w:ilvl w:val="0"/>
          <w:numId w:val="11"/>
        </w:numPr>
        <w:shd w:val="clear" w:color="auto" w:fill="F2F2F2" w:themeFill="background1" w:themeFillShade="F2"/>
        <w:ind w:left="357" w:hanging="357"/>
        <w:rPr>
          <w:b/>
          <w:lang w:val="en-US" w:eastAsia="en-US"/>
        </w:rPr>
      </w:pPr>
      <w:r>
        <w:rPr>
          <w:lang w:val="en-US" w:eastAsia="en-US"/>
        </w:rPr>
        <w:t xml:space="preserve">Different displays of total usage in </w:t>
      </w:r>
      <w:r w:rsidRPr="00B71445">
        <w:rPr>
          <w:i/>
          <w:lang w:val="en-US" w:eastAsia="en-US"/>
        </w:rPr>
        <w:t>historical usage graphs</w:t>
      </w:r>
      <w:r>
        <w:rPr>
          <w:lang w:val="en-US" w:eastAsia="en-US"/>
        </w:rPr>
        <w:t xml:space="preserve"> should be tested to improve comprehension of bills.</w:t>
      </w:r>
    </w:p>
    <w:p w14:paraId="53B1D503" w14:textId="77777777" w:rsidR="002E3A9C" w:rsidRPr="00BC2312" w:rsidRDefault="002E3A9C" w:rsidP="002E3A9C">
      <w:pPr>
        <w:pStyle w:val="ListParagraph"/>
        <w:keepNext/>
        <w:numPr>
          <w:ilvl w:val="0"/>
          <w:numId w:val="11"/>
        </w:numPr>
        <w:shd w:val="clear" w:color="auto" w:fill="F2F2F2" w:themeFill="background1" w:themeFillShade="F2"/>
        <w:ind w:left="357" w:hanging="357"/>
        <w:rPr>
          <w:b/>
          <w:lang w:val="en-US" w:eastAsia="en-US"/>
        </w:rPr>
      </w:pPr>
      <w:r>
        <w:rPr>
          <w:lang w:val="en-US" w:eastAsia="en-US"/>
        </w:rPr>
        <w:t xml:space="preserve">Communication of </w:t>
      </w:r>
      <w:r w:rsidRPr="00B71445">
        <w:rPr>
          <w:i/>
          <w:lang w:val="en-US" w:eastAsia="en-US"/>
        </w:rPr>
        <w:t>solar power</w:t>
      </w:r>
      <w:r>
        <w:rPr>
          <w:lang w:val="en-US" w:eastAsia="en-US"/>
        </w:rPr>
        <w:t xml:space="preserve"> </w:t>
      </w:r>
      <w:r w:rsidRPr="00DC7573">
        <w:rPr>
          <w:lang w:val="en-US" w:eastAsia="en-US"/>
        </w:rPr>
        <w:t xml:space="preserve">in bills </w:t>
      </w:r>
      <w:r>
        <w:rPr>
          <w:lang w:val="en-US" w:eastAsia="en-US"/>
        </w:rPr>
        <w:t>should be tested</w:t>
      </w:r>
      <w:r w:rsidRPr="00DC7573">
        <w:rPr>
          <w:lang w:val="en-US" w:eastAsia="en-US"/>
        </w:rPr>
        <w:t xml:space="preserve"> to help consumers evaluate the value of their solar system, optimise their consumption</w:t>
      </w:r>
      <w:r>
        <w:rPr>
          <w:lang w:val="en-US" w:eastAsia="en-US"/>
        </w:rPr>
        <w:t>,</w:t>
      </w:r>
      <w:r w:rsidRPr="00DC7573">
        <w:rPr>
          <w:lang w:val="en-US" w:eastAsia="en-US"/>
        </w:rPr>
        <w:t xml:space="preserve"> and smooth demand on the grid.</w:t>
      </w:r>
    </w:p>
    <w:p w14:paraId="6845C561" w14:textId="77777777" w:rsidR="002E3A9C" w:rsidRDefault="002E3A9C" w:rsidP="002E3A9C">
      <w:pPr>
        <w:pStyle w:val="ListParagraph"/>
        <w:keepNext/>
        <w:numPr>
          <w:ilvl w:val="0"/>
          <w:numId w:val="11"/>
        </w:numPr>
        <w:shd w:val="clear" w:color="auto" w:fill="F2F2F2" w:themeFill="background1" w:themeFillShade="F2"/>
        <w:ind w:left="357" w:hanging="357"/>
        <w:rPr>
          <w:lang w:val="en-US" w:eastAsia="en-US"/>
        </w:rPr>
      </w:pPr>
      <w:r>
        <w:rPr>
          <w:lang w:val="en-US" w:eastAsia="en-US"/>
        </w:rPr>
        <w:t xml:space="preserve">The presentation of </w:t>
      </w:r>
      <w:r w:rsidRPr="00B71445">
        <w:rPr>
          <w:i/>
          <w:lang w:val="en-US" w:eastAsia="en-US"/>
        </w:rPr>
        <w:t>calls to action</w:t>
      </w:r>
      <w:r>
        <w:rPr>
          <w:lang w:val="en-US" w:eastAsia="en-US"/>
        </w:rPr>
        <w:t xml:space="preserve"> (for switching behaviour) should be tested to ensure understanding while minimising consumer distrust.</w:t>
      </w:r>
    </w:p>
    <w:p w14:paraId="63DD7162" w14:textId="77777777" w:rsidR="002E3A9C" w:rsidRPr="002E3A9C" w:rsidRDefault="002E3A9C" w:rsidP="002E3A9C">
      <w:pPr>
        <w:pStyle w:val="ListParagraph"/>
        <w:keepNext/>
        <w:numPr>
          <w:ilvl w:val="0"/>
          <w:numId w:val="11"/>
        </w:numPr>
        <w:shd w:val="clear" w:color="auto" w:fill="F2F2F2" w:themeFill="background1" w:themeFillShade="F2"/>
        <w:ind w:left="357" w:hanging="357"/>
        <w:rPr>
          <w:b/>
          <w:lang w:val="en-US" w:eastAsia="en-US"/>
        </w:rPr>
      </w:pPr>
      <w:r>
        <w:rPr>
          <w:lang w:val="en-US" w:eastAsia="en-US"/>
        </w:rPr>
        <w:t xml:space="preserve">A </w:t>
      </w:r>
      <w:r w:rsidRPr="009939B7">
        <w:rPr>
          <w:lang w:val="en-US" w:eastAsia="en-US"/>
        </w:rPr>
        <w:t>standardised</w:t>
      </w:r>
      <w:r w:rsidRPr="00DC7573">
        <w:rPr>
          <w:lang w:val="en-US" w:eastAsia="en-US"/>
        </w:rPr>
        <w:t xml:space="preserve"> </w:t>
      </w:r>
      <w:r w:rsidRPr="0077347A">
        <w:rPr>
          <w:i/>
          <w:lang w:val="en-US" w:eastAsia="en-US"/>
        </w:rPr>
        <w:t>summary of</w:t>
      </w:r>
      <w:r w:rsidRPr="00DC7573">
        <w:rPr>
          <w:lang w:val="en-US" w:eastAsia="en-US"/>
        </w:rPr>
        <w:t xml:space="preserve"> </w:t>
      </w:r>
      <w:r w:rsidRPr="00B71445">
        <w:rPr>
          <w:i/>
          <w:lang w:val="en-US" w:eastAsia="en-US"/>
        </w:rPr>
        <w:t>plan characteristics</w:t>
      </w:r>
      <w:r w:rsidRPr="00DC7573">
        <w:rPr>
          <w:lang w:val="en-US" w:eastAsia="en-US"/>
        </w:rPr>
        <w:t xml:space="preserve"> placed on the front page</w:t>
      </w:r>
      <w:r>
        <w:rPr>
          <w:lang w:val="en-US" w:eastAsia="en-US"/>
        </w:rPr>
        <w:t xml:space="preserve"> should be tested for its potential to improve comprehension of a plan</w:t>
      </w:r>
      <w:r w:rsidRPr="00DC7573">
        <w:rPr>
          <w:lang w:val="en-US" w:eastAsia="en-US"/>
        </w:rPr>
        <w:t xml:space="preserve">. </w:t>
      </w:r>
    </w:p>
    <w:p w14:paraId="6FE7A093" w14:textId="0F0F9540" w:rsidR="009B288E" w:rsidRPr="002E3A9C" w:rsidRDefault="002E3A9C" w:rsidP="002E3A9C">
      <w:pPr>
        <w:pStyle w:val="ListParagraph"/>
        <w:keepNext/>
        <w:numPr>
          <w:ilvl w:val="0"/>
          <w:numId w:val="11"/>
        </w:numPr>
        <w:shd w:val="clear" w:color="auto" w:fill="F2F2F2" w:themeFill="background1" w:themeFillShade="F2"/>
        <w:ind w:left="357" w:hanging="357"/>
        <w:rPr>
          <w:b/>
          <w:lang w:val="en-US" w:eastAsia="en-US"/>
        </w:rPr>
      </w:pPr>
      <w:r w:rsidRPr="002E3A9C">
        <w:rPr>
          <w:lang w:val="en-US" w:eastAsia="en-US"/>
        </w:rPr>
        <w:t xml:space="preserve">The impact of </w:t>
      </w:r>
      <w:r w:rsidRPr="002E3A9C">
        <w:rPr>
          <w:i/>
          <w:lang w:val="en-US" w:eastAsia="en-US"/>
        </w:rPr>
        <w:t>moving</w:t>
      </w:r>
      <w:r w:rsidRPr="002E3A9C">
        <w:rPr>
          <w:lang w:val="en-US" w:eastAsia="en-US"/>
        </w:rPr>
        <w:t xml:space="preserve"> </w:t>
      </w:r>
      <w:r w:rsidRPr="002E3A9C">
        <w:rPr>
          <w:i/>
          <w:lang w:val="en-US" w:eastAsia="en-US"/>
        </w:rPr>
        <w:t>non-essential information</w:t>
      </w:r>
      <w:r w:rsidRPr="002E3A9C">
        <w:rPr>
          <w:lang w:val="en-US" w:eastAsia="en-US"/>
        </w:rPr>
        <w:t xml:space="preserve"> off bills and/or delivering it through alternative means (such as a link from the bill to a website) should be tested to determine whether it would improve comprehension.</w:t>
      </w:r>
    </w:p>
    <w:p w14:paraId="2E0E6B39" w14:textId="67447B2D" w:rsidR="000F5CB6" w:rsidRDefault="007561BD" w:rsidP="00276CF6">
      <w:pPr>
        <w:pStyle w:val="Heading2"/>
      </w:pPr>
      <w:r>
        <w:br w:type="column"/>
      </w:r>
      <w:bookmarkStart w:id="10" w:name="_Toc86091072"/>
      <w:r w:rsidR="00276CF6">
        <w:lastRenderedPageBreak/>
        <w:t>Behavioural factors affecting</w:t>
      </w:r>
      <w:r w:rsidR="00905E7B">
        <w:t xml:space="preserve"> the understanding and use of</w:t>
      </w:r>
      <w:r w:rsidR="00276CF6">
        <w:t xml:space="preserve"> energy bill</w:t>
      </w:r>
      <w:r w:rsidR="00905E7B">
        <w:t>s</w:t>
      </w:r>
      <w:bookmarkEnd w:id="10"/>
    </w:p>
    <w:p w14:paraId="30FD2351" w14:textId="52CAED31" w:rsidR="002E3A9C" w:rsidRPr="002E3A9C" w:rsidRDefault="002E3A9C" w:rsidP="002E3A9C">
      <w:pPr>
        <w:shd w:val="clear" w:color="auto" w:fill="006666"/>
        <w:spacing w:after="240"/>
        <w:rPr>
          <w:b/>
          <w:color w:val="FFFFFF" w:themeColor="background1"/>
          <w:lang w:val="en-US" w:eastAsia="en-US"/>
        </w:rPr>
      </w:pPr>
      <w:r w:rsidRPr="002E3A9C">
        <w:rPr>
          <w:b/>
          <w:color w:val="FFFFFF" w:themeColor="background1"/>
        </w:rPr>
        <w:t>Behavioural insights terminology</w:t>
      </w:r>
    </w:p>
    <w:p w14:paraId="2BC12FD8" w14:textId="10BFAE70" w:rsidR="002E3A9C" w:rsidRPr="00994C55" w:rsidRDefault="002E3A9C" w:rsidP="002E3A9C">
      <w:pPr>
        <w:shd w:val="clear" w:color="auto" w:fill="F2F2F2" w:themeFill="background1" w:themeFillShade="F2"/>
        <w:spacing w:after="240"/>
        <w:rPr>
          <w:rStyle w:val="Strong"/>
          <w:rFonts w:cstheme="minorHAnsi"/>
          <w:szCs w:val="20"/>
        </w:rPr>
      </w:pPr>
      <w:r w:rsidRPr="00994C55">
        <w:rPr>
          <w:rStyle w:val="Strong"/>
          <w:rFonts w:cstheme="minorHAnsi"/>
          <w:szCs w:val="20"/>
        </w:rPr>
        <w:t xml:space="preserve">Cognitive overload </w:t>
      </w:r>
      <w:r w:rsidRPr="00994C55">
        <w:rPr>
          <w:rFonts w:cstheme="minorHAnsi"/>
          <w:szCs w:val="20"/>
        </w:rPr>
        <w:t>is a tendency to become overwhelmed by large amounts of information. Cognitive overload may lead us to forget things and delay decisions.</w:t>
      </w:r>
    </w:p>
    <w:p w14:paraId="2D554265" w14:textId="77777777" w:rsidR="002E3A9C" w:rsidRDefault="002E3A9C" w:rsidP="002E3A9C">
      <w:pPr>
        <w:shd w:val="clear" w:color="auto" w:fill="F2F2F2" w:themeFill="background1" w:themeFillShade="F2"/>
        <w:spacing w:after="240"/>
        <w:rPr>
          <w:rStyle w:val="Strong"/>
          <w:rFonts w:cstheme="minorHAnsi"/>
          <w:szCs w:val="20"/>
        </w:rPr>
      </w:pPr>
      <w:r>
        <w:rPr>
          <w:rStyle w:val="Strong"/>
          <w:rFonts w:cstheme="minorHAnsi"/>
          <w:szCs w:val="20"/>
        </w:rPr>
        <w:t>Familiarity heuristic</w:t>
      </w:r>
      <w:r w:rsidRPr="00512078">
        <w:t xml:space="preserve"> </w:t>
      </w:r>
      <w:r w:rsidRPr="00512078">
        <w:rPr>
          <w:rFonts w:eastAsia="OpenSans" w:cstheme="minorHAnsi"/>
          <w:szCs w:val="20"/>
        </w:rPr>
        <w:t xml:space="preserve">is where </w:t>
      </w:r>
      <w:r>
        <w:rPr>
          <w:rFonts w:eastAsia="OpenSans" w:cstheme="minorHAnsi"/>
          <w:szCs w:val="20"/>
        </w:rPr>
        <w:t>familiar things</w:t>
      </w:r>
      <w:r w:rsidRPr="00512078">
        <w:rPr>
          <w:rFonts w:eastAsia="OpenSans" w:cstheme="minorHAnsi"/>
          <w:szCs w:val="20"/>
        </w:rPr>
        <w:t xml:space="preserve"> are favoured over </w:t>
      </w:r>
      <w:r>
        <w:rPr>
          <w:rFonts w:eastAsia="OpenSans" w:cstheme="minorHAnsi"/>
          <w:szCs w:val="20"/>
        </w:rPr>
        <w:t>novel things</w:t>
      </w:r>
      <w:r w:rsidRPr="00512078">
        <w:rPr>
          <w:rFonts w:eastAsia="OpenSans" w:cstheme="minorHAnsi"/>
          <w:szCs w:val="20"/>
        </w:rPr>
        <w:t>. This is because familiar things typically feel like they pose a lower risk.</w:t>
      </w:r>
    </w:p>
    <w:p w14:paraId="3AE0D6C3" w14:textId="77777777" w:rsidR="002E3A9C" w:rsidRPr="00994C55" w:rsidRDefault="002E3A9C" w:rsidP="002E3A9C">
      <w:pPr>
        <w:shd w:val="clear" w:color="auto" w:fill="F2F2F2" w:themeFill="background1" w:themeFillShade="F2"/>
        <w:spacing w:after="240"/>
        <w:rPr>
          <w:rStyle w:val="Strong"/>
          <w:rFonts w:cstheme="minorHAnsi"/>
          <w:szCs w:val="20"/>
        </w:rPr>
      </w:pPr>
      <w:r w:rsidRPr="00994C55">
        <w:rPr>
          <w:rStyle w:val="Strong"/>
          <w:rFonts w:cstheme="minorHAnsi"/>
          <w:szCs w:val="20"/>
        </w:rPr>
        <w:t xml:space="preserve">Framing </w:t>
      </w:r>
      <w:r w:rsidRPr="00512078">
        <w:rPr>
          <w:rFonts w:cstheme="minorHAnsi"/>
          <w:szCs w:val="20"/>
        </w:rPr>
        <w:t>is the way a choice or option is presented. Framing can highlight either the positive</w:t>
      </w:r>
      <w:r w:rsidRPr="00994C55">
        <w:rPr>
          <w:rFonts w:eastAsia="OpenSans" w:cstheme="minorHAnsi"/>
          <w:szCs w:val="20"/>
        </w:rPr>
        <w:t xml:space="preserve"> or the negative aspects of the same</w:t>
      </w:r>
      <w:r w:rsidRPr="00994C55">
        <w:rPr>
          <w:rFonts w:cstheme="minorHAnsi"/>
          <w:bCs/>
          <w:szCs w:val="20"/>
        </w:rPr>
        <w:t xml:space="preserve"> </w:t>
      </w:r>
      <w:r w:rsidRPr="00994C55">
        <w:rPr>
          <w:rFonts w:eastAsia="OpenSans" w:cstheme="minorHAnsi"/>
          <w:szCs w:val="20"/>
        </w:rPr>
        <w:t>decision, leading to changes in relative attractiveness.</w:t>
      </w:r>
    </w:p>
    <w:p w14:paraId="5E9BC7E9" w14:textId="77777777" w:rsidR="002E3A9C" w:rsidRDefault="002E3A9C" w:rsidP="002E3A9C">
      <w:pPr>
        <w:shd w:val="clear" w:color="auto" w:fill="F2F2F2" w:themeFill="background1" w:themeFillShade="F2"/>
        <w:spacing w:after="240"/>
        <w:rPr>
          <w:rStyle w:val="Strong"/>
          <w:rFonts w:cstheme="minorHAnsi"/>
          <w:b w:val="0"/>
          <w:szCs w:val="20"/>
        </w:rPr>
      </w:pPr>
      <w:r w:rsidRPr="00994C55">
        <w:rPr>
          <w:rStyle w:val="Strong"/>
          <w:rFonts w:cstheme="minorHAnsi"/>
          <w:szCs w:val="20"/>
        </w:rPr>
        <w:t xml:space="preserve">Hassle costs (or friction costs) </w:t>
      </w:r>
      <w:r w:rsidRPr="00512078">
        <w:rPr>
          <w:rFonts w:eastAsia="OpenSans" w:cstheme="minorHAnsi"/>
          <w:szCs w:val="20"/>
        </w:rPr>
        <w:t xml:space="preserve">are the non-financial costs associated with choosing or switching. </w:t>
      </w:r>
    </w:p>
    <w:p w14:paraId="19512404" w14:textId="77777777" w:rsidR="002E3A9C" w:rsidRPr="00994C55" w:rsidRDefault="002E3A9C" w:rsidP="002E3A9C">
      <w:pPr>
        <w:shd w:val="clear" w:color="auto" w:fill="F2F2F2" w:themeFill="background1" w:themeFillShade="F2"/>
        <w:spacing w:after="240"/>
        <w:rPr>
          <w:rStyle w:val="Strong"/>
          <w:rFonts w:cstheme="minorHAnsi"/>
          <w:szCs w:val="20"/>
        </w:rPr>
      </w:pPr>
      <w:r w:rsidRPr="00994C55">
        <w:rPr>
          <w:rStyle w:val="Strong"/>
          <w:rFonts w:cstheme="minorHAnsi"/>
          <w:szCs w:val="20"/>
        </w:rPr>
        <w:t xml:space="preserve">Loss aversion </w:t>
      </w:r>
      <w:r w:rsidRPr="00994C55">
        <w:rPr>
          <w:rFonts w:cstheme="minorHAnsi"/>
          <w:szCs w:val="20"/>
        </w:rPr>
        <w:t>is encapsulated in the expression ‘losses loom larger than gains’ as the pain of a loss is psychologically about twice as powerful as the pleasure of an equivalent gain. Loss aversion can result in not switching if the losses (such as the time to search) weigh more heavily than the potential financial gains</w:t>
      </w:r>
      <w:r>
        <w:rPr>
          <w:rFonts w:cstheme="minorHAnsi"/>
          <w:szCs w:val="20"/>
        </w:rPr>
        <w:t>.</w:t>
      </w:r>
    </w:p>
    <w:p w14:paraId="58DF7648" w14:textId="77777777" w:rsidR="002E3A9C" w:rsidRPr="00994C55" w:rsidRDefault="002E3A9C" w:rsidP="002E3A9C">
      <w:pPr>
        <w:shd w:val="clear" w:color="auto" w:fill="F2F2F2" w:themeFill="background1" w:themeFillShade="F2"/>
        <w:spacing w:after="240"/>
        <w:rPr>
          <w:rStyle w:val="Strong"/>
          <w:rFonts w:cstheme="minorHAnsi"/>
          <w:szCs w:val="20"/>
        </w:rPr>
      </w:pPr>
      <w:r w:rsidRPr="00994C55">
        <w:rPr>
          <w:rStyle w:val="Strong"/>
          <w:rFonts w:cstheme="minorHAnsi"/>
          <w:szCs w:val="20"/>
        </w:rPr>
        <w:t xml:space="preserve">Omission-commission bias </w:t>
      </w:r>
      <w:r w:rsidRPr="00994C55">
        <w:rPr>
          <w:rFonts w:cstheme="minorHAnsi"/>
          <w:szCs w:val="20"/>
        </w:rPr>
        <w:t>is when people feel more pain from an error if they actively committed time and effort to make the choice rather than if they passively omitted to make a choice.</w:t>
      </w:r>
    </w:p>
    <w:p w14:paraId="0FC99747" w14:textId="77777777" w:rsidR="002E3A9C" w:rsidRDefault="002E3A9C" w:rsidP="002E3A9C">
      <w:pPr>
        <w:shd w:val="clear" w:color="auto" w:fill="F2F2F2" w:themeFill="background1" w:themeFillShade="F2"/>
        <w:spacing w:after="240"/>
        <w:rPr>
          <w:rFonts w:cstheme="minorHAnsi"/>
          <w:szCs w:val="20"/>
        </w:rPr>
      </w:pPr>
      <w:r w:rsidRPr="00994C55">
        <w:rPr>
          <w:rFonts w:cstheme="minorHAnsi"/>
          <w:b/>
          <w:bCs/>
          <w:szCs w:val="20"/>
        </w:rPr>
        <w:t xml:space="preserve">Over-confidence and planning fallacy </w:t>
      </w:r>
      <w:r w:rsidRPr="00994C55">
        <w:rPr>
          <w:rFonts w:cstheme="minorHAnsi"/>
          <w:szCs w:val="20"/>
        </w:rPr>
        <w:t xml:space="preserve">are when people incorrectly anticipate they will take </w:t>
      </w:r>
      <w:r>
        <w:rPr>
          <w:rFonts w:cstheme="minorHAnsi"/>
          <w:szCs w:val="20"/>
        </w:rPr>
        <w:t>action</w:t>
      </w:r>
      <w:r w:rsidRPr="00994C55">
        <w:rPr>
          <w:rFonts w:cstheme="minorHAnsi"/>
          <w:szCs w:val="20"/>
        </w:rPr>
        <w:t xml:space="preserve"> later (for example, to find a new deal when an introductory contract expires), but then do not actually take any action </w:t>
      </w:r>
      <w:r>
        <w:rPr>
          <w:rFonts w:cstheme="minorHAnsi"/>
          <w:szCs w:val="20"/>
        </w:rPr>
        <w:t>when the time comes</w:t>
      </w:r>
      <w:r w:rsidRPr="00994C55">
        <w:rPr>
          <w:rFonts w:cstheme="minorHAnsi"/>
          <w:szCs w:val="20"/>
        </w:rPr>
        <w:t xml:space="preserve">. </w:t>
      </w:r>
    </w:p>
    <w:p w14:paraId="43BD4095" w14:textId="77777777" w:rsidR="002E3A9C" w:rsidRPr="00994C55" w:rsidRDefault="002E3A9C" w:rsidP="002E3A9C">
      <w:pPr>
        <w:shd w:val="clear" w:color="auto" w:fill="F2F2F2" w:themeFill="background1" w:themeFillShade="F2"/>
        <w:spacing w:after="240"/>
        <w:rPr>
          <w:rFonts w:cstheme="minorHAnsi"/>
          <w:szCs w:val="20"/>
        </w:rPr>
      </w:pPr>
      <w:r w:rsidRPr="00994C55">
        <w:rPr>
          <w:rFonts w:cstheme="minorHAnsi"/>
          <w:b/>
          <w:bCs/>
          <w:szCs w:val="20"/>
        </w:rPr>
        <w:t xml:space="preserve">Present bias </w:t>
      </w:r>
      <w:r w:rsidRPr="00994C55">
        <w:rPr>
          <w:rFonts w:cstheme="minorHAnsi"/>
          <w:szCs w:val="20"/>
        </w:rPr>
        <w:t xml:space="preserve">is where people inflate the immediate implications of their decisions when compared with future impacts. This is linked with procrastination, which can occur because people put off decisions, even those in their best interests. </w:t>
      </w:r>
    </w:p>
    <w:p w14:paraId="4E635A09" w14:textId="77777777" w:rsidR="002E3A9C" w:rsidRPr="00994C55" w:rsidRDefault="002E3A9C" w:rsidP="002E3A9C">
      <w:pPr>
        <w:shd w:val="clear" w:color="auto" w:fill="F2F2F2" w:themeFill="background1" w:themeFillShade="F2"/>
        <w:spacing w:before="120" w:after="240" w:line="280" w:lineRule="atLeast"/>
        <w:rPr>
          <w:rStyle w:val="Strong"/>
          <w:rFonts w:cstheme="minorHAnsi"/>
          <w:b w:val="0"/>
          <w:szCs w:val="20"/>
        </w:rPr>
      </w:pPr>
      <w:r w:rsidRPr="00994C55">
        <w:rPr>
          <w:rStyle w:val="Strong"/>
          <w:rFonts w:cstheme="minorHAnsi"/>
          <w:szCs w:val="20"/>
        </w:rPr>
        <w:t xml:space="preserve">Salience </w:t>
      </w:r>
      <w:r w:rsidRPr="00DF3AF1">
        <w:rPr>
          <w:rStyle w:val="Strong"/>
          <w:rFonts w:cstheme="minorHAnsi"/>
          <w:b w:val="0"/>
          <w:szCs w:val="20"/>
        </w:rPr>
        <w:t>is</w:t>
      </w:r>
      <w:r w:rsidRPr="00994C55">
        <w:rPr>
          <w:rStyle w:val="Strong"/>
          <w:rFonts w:cstheme="minorHAnsi"/>
          <w:szCs w:val="20"/>
        </w:rPr>
        <w:t xml:space="preserve"> </w:t>
      </w:r>
      <w:r w:rsidRPr="00994C55">
        <w:rPr>
          <w:rFonts w:cstheme="minorHAnsi"/>
          <w:szCs w:val="20"/>
        </w:rPr>
        <w:t xml:space="preserve">the quality of being particularly noticeable or prominent. </w:t>
      </w:r>
    </w:p>
    <w:p w14:paraId="5481F72A" w14:textId="77777777" w:rsidR="002E3A9C" w:rsidRPr="00994C55" w:rsidRDefault="002E3A9C" w:rsidP="002E3A9C">
      <w:pPr>
        <w:shd w:val="clear" w:color="auto" w:fill="F2F2F2" w:themeFill="background1" w:themeFillShade="F2"/>
        <w:spacing w:after="240"/>
        <w:rPr>
          <w:rStyle w:val="Strong"/>
          <w:rFonts w:cstheme="minorHAnsi"/>
          <w:szCs w:val="20"/>
        </w:rPr>
      </w:pPr>
      <w:r w:rsidRPr="00994C55">
        <w:rPr>
          <w:rStyle w:val="Strong"/>
          <w:rFonts w:cstheme="minorHAnsi"/>
          <w:szCs w:val="20"/>
        </w:rPr>
        <w:t xml:space="preserve">Social norms </w:t>
      </w:r>
      <w:r w:rsidRPr="00512078">
        <w:rPr>
          <w:rFonts w:cstheme="minorHAnsi"/>
          <w:szCs w:val="20"/>
          <w:lang w:val="en-US"/>
        </w:rPr>
        <w:t>are the accepted standards of a group.</w:t>
      </w:r>
      <w:r w:rsidRPr="00994C55">
        <w:rPr>
          <w:rStyle w:val="Strong"/>
          <w:rFonts w:cstheme="minorHAnsi"/>
          <w:szCs w:val="20"/>
        </w:rPr>
        <w:t xml:space="preserve"> </w:t>
      </w:r>
      <w:r w:rsidRPr="00512078">
        <w:rPr>
          <w:lang w:val="en-US"/>
        </w:rPr>
        <w:t>People</w:t>
      </w:r>
      <w:r w:rsidRPr="00994C55">
        <w:rPr>
          <w:rFonts w:cstheme="minorHAnsi"/>
          <w:bCs/>
          <w:szCs w:val="20"/>
          <w:lang w:val="en-US"/>
        </w:rPr>
        <w:t xml:space="preserve"> are heavily influenced by the behavio</w:t>
      </w:r>
      <w:r>
        <w:rPr>
          <w:rFonts w:cstheme="minorHAnsi"/>
          <w:bCs/>
          <w:szCs w:val="20"/>
          <w:lang w:val="en-US"/>
        </w:rPr>
        <w:t>u</w:t>
      </w:r>
      <w:r w:rsidRPr="00994C55">
        <w:rPr>
          <w:rFonts w:cstheme="minorHAnsi"/>
          <w:bCs/>
          <w:szCs w:val="20"/>
          <w:lang w:val="en-US"/>
        </w:rPr>
        <w:t>r considered acceptable in a group or by society.</w:t>
      </w:r>
    </w:p>
    <w:p w14:paraId="7230FB4B" w14:textId="77777777" w:rsidR="00D80153" w:rsidRDefault="00D80153">
      <w:pPr>
        <w:spacing w:after="0" w:line="240" w:lineRule="auto"/>
        <w:rPr>
          <w:rFonts w:asciiTheme="majorHAnsi" w:hAnsiTheme="majorHAnsi"/>
          <w:b/>
          <w:color w:val="142E3B"/>
          <w:sz w:val="24"/>
          <w:lang w:val="en-US" w:eastAsia="en-US"/>
        </w:rPr>
      </w:pPr>
      <w:bookmarkStart w:id="11" w:name="_Toc68012724"/>
      <w:bookmarkStart w:id="12" w:name="_Toc68083108"/>
      <w:bookmarkStart w:id="13" w:name="_Toc68602173"/>
      <w:bookmarkStart w:id="14" w:name="_Toc68602225"/>
      <w:bookmarkStart w:id="15" w:name="_Toc68602259"/>
      <w:bookmarkStart w:id="16" w:name="_Toc68602275"/>
      <w:bookmarkStart w:id="17" w:name="_Toc68603518"/>
      <w:bookmarkStart w:id="18" w:name="_Toc68604459"/>
      <w:bookmarkStart w:id="19" w:name="_Toc68606379"/>
      <w:bookmarkStart w:id="20" w:name="_Toc68607268"/>
      <w:bookmarkStart w:id="21" w:name="_Toc68608212"/>
      <w:bookmarkStart w:id="22" w:name="_Toc68610019"/>
      <w:bookmarkStart w:id="23" w:name="_Toc68611255"/>
      <w:bookmarkStart w:id="24" w:name="_Toc68611360"/>
      <w:bookmarkStart w:id="25" w:name="_Toc68611276"/>
      <w:bookmarkStart w:id="26" w:name="_Toc68611377"/>
      <w:bookmarkStart w:id="27" w:name="_Toc68615049"/>
      <w:bookmarkStart w:id="28" w:name="_Toc68615931"/>
      <w:bookmarkStart w:id="29" w:name="_Toc68616329"/>
      <w:bookmarkStart w:id="30" w:name="_Toc68616346"/>
      <w:bookmarkStart w:id="31" w:name="_Toc68616378"/>
      <w:bookmarkStart w:id="32" w:name="_Toc68616558"/>
      <w:bookmarkStart w:id="33" w:name="_Toc68616580"/>
      <w:bookmarkStart w:id="34" w:name="_Toc68616618"/>
      <w:bookmarkStart w:id="35" w:name="_Toc68616649"/>
      <w:bookmarkStart w:id="36" w:name="_Toc68616806"/>
      <w:bookmarkStart w:id="37" w:name="_Toc68617211"/>
      <w:bookmarkStart w:id="38" w:name="_Toc68617311"/>
      <w:bookmarkStart w:id="39" w:name="_Toc68616407"/>
      <w:bookmarkStart w:id="40" w:name="_Toc68616959"/>
      <w:bookmarkStart w:id="41" w:name="_Toc68617835"/>
      <w:bookmarkStart w:id="42" w:name="_Toc68621085"/>
      <w:bookmarkStart w:id="43" w:name="_Toc68611256"/>
      <w:bookmarkStart w:id="44" w:name="_Toc68611277"/>
      <w:bookmarkStart w:id="45" w:name="_Toc68621173"/>
      <w:bookmarkStart w:id="46" w:name="_Toc68621214"/>
      <w:bookmarkStart w:id="47" w:name="_Toc68700448"/>
      <w:bookmarkStart w:id="48" w:name="_Toc68775861"/>
      <w:bookmarkStart w:id="49" w:name="_Toc68789266"/>
      <w:bookmarkStart w:id="50" w:name="_Toc6879193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br w:type="page"/>
      </w:r>
    </w:p>
    <w:p w14:paraId="03F23C02" w14:textId="2288B914" w:rsidR="00F96269" w:rsidRDefault="00350FF2" w:rsidP="007E294C">
      <w:pPr>
        <w:pStyle w:val="Heading2"/>
      </w:pPr>
      <w:bookmarkStart w:id="51" w:name="_Toc86091073"/>
      <w:r>
        <w:lastRenderedPageBreak/>
        <w:t>Bill complexity</w:t>
      </w:r>
      <w:r w:rsidR="00FA4EB9">
        <w:t xml:space="preserve"> and accessibility</w:t>
      </w:r>
      <w:bookmarkEnd w:id="43"/>
      <w:bookmarkEnd w:id="44"/>
      <w:bookmarkEnd w:id="45"/>
      <w:bookmarkEnd w:id="46"/>
      <w:bookmarkEnd w:id="47"/>
      <w:bookmarkEnd w:id="48"/>
      <w:bookmarkEnd w:id="49"/>
      <w:bookmarkEnd w:id="50"/>
      <w:bookmarkEnd w:id="51"/>
    </w:p>
    <w:p w14:paraId="6BB9B669" w14:textId="64B23457" w:rsidR="00261D2C" w:rsidRPr="00261D2C" w:rsidRDefault="00261D2C" w:rsidP="00261D2C">
      <w:pPr>
        <w:shd w:val="clear" w:color="auto" w:fill="006666"/>
        <w:rPr>
          <w:b/>
          <w:color w:val="FFFFFF" w:themeColor="background1"/>
          <w:lang w:val="en-US" w:eastAsia="en-US"/>
        </w:rPr>
      </w:pPr>
      <w:bookmarkStart w:id="52" w:name="_Toc68611279"/>
      <w:bookmarkStart w:id="53" w:name="_Toc68621175"/>
      <w:bookmarkStart w:id="54" w:name="_Toc68621216"/>
      <w:bookmarkStart w:id="55" w:name="_Toc68700450"/>
      <w:bookmarkStart w:id="56" w:name="_Toc68775862"/>
      <w:bookmarkStart w:id="57" w:name="_Toc68789267"/>
      <w:bookmarkStart w:id="58" w:name="_Toc68791935"/>
      <w:r w:rsidRPr="00261D2C">
        <w:rPr>
          <w:b/>
          <w:color w:val="FFFFFF" w:themeColor="background1"/>
        </w:rPr>
        <w:t>Key points: complexity</w:t>
      </w:r>
    </w:p>
    <w:p w14:paraId="6A118979" w14:textId="77777777" w:rsidR="00261D2C" w:rsidRDefault="00261D2C" w:rsidP="00261D2C">
      <w:pPr>
        <w:pStyle w:val="ListParagraph"/>
        <w:numPr>
          <w:ilvl w:val="0"/>
          <w:numId w:val="13"/>
        </w:numPr>
        <w:shd w:val="clear" w:color="auto" w:fill="F2F2F2" w:themeFill="background1" w:themeFillShade="F2"/>
        <w:ind w:left="360"/>
        <w:rPr>
          <w:lang w:val="en-US" w:eastAsia="en-US"/>
        </w:rPr>
      </w:pPr>
      <w:r>
        <w:rPr>
          <w:lang w:val="en-US" w:eastAsia="en-US"/>
        </w:rPr>
        <w:t>Many consumers spend relatively little time engaging with their bills, partially because they find the information confusing and difficult to understand.</w:t>
      </w:r>
    </w:p>
    <w:p w14:paraId="3DD3DCBF" w14:textId="77777777" w:rsidR="00261D2C" w:rsidRDefault="00261D2C" w:rsidP="00261D2C">
      <w:pPr>
        <w:pStyle w:val="ListParagraph"/>
        <w:numPr>
          <w:ilvl w:val="0"/>
          <w:numId w:val="13"/>
        </w:numPr>
        <w:shd w:val="clear" w:color="auto" w:fill="F2F2F2" w:themeFill="background1" w:themeFillShade="F2"/>
        <w:ind w:left="360"/>
        <w:rPr>
          <w:lang w:val="en-US" w:eastAsia="en-US"/>
        </w:rPr>
      </w:pPr>
      <w:r>
        <w:rPr>
          <w:lang w:val="en-US" w:eastAsia="en-US"/>
        </w:rPr>
        <w:t>Cognitive overload and confusion when reading energy bills is partly caused by consumers’ low energy literacy, but can also be caused by complex and inconsistent language, large amounts of information, and confusing layouts.</w:t>
      </w:r>
    </w:p>
    <w:p w14:paraId="03C8538C" w14:textId="77777777" w:rsidR="00261D2C" w:rsidRDefault="00261D2C" w:rsidP="00261D2C">
      <w:pPr>
        <w:pStyle w:val="ListParagraph"/>
        <w:numPr>
          <w:ilvl w:val="0"/>
          <w:numId w:val="13"/>
        </w:numPr>
        <w:shd w:val="clear" w:color="auto" w:fill="F2F2F2" w:themeFill="background1" w:themeFillShade="F2"/>
        <w:ind w:left="360"/>
        <w:rPr>
          <w:lang w:val="en-US" w:eastAsia="en-US"/>
        </w:rPr>
      </w:pPr>
      <w:r>
        <w:rPr>
          <w:lang w:val="en-US" w:eastAsia="en-US"/>
        </w:rPr>
        <w:t>Bills in the market are not meeting best practice standards, with retailers blaming excessive regulation for consumer confusion while consumer groups argue it is due to complex plan characteristics.</w:t>
      </w:r>
    </w:p>
    <w:p w14:paraId="3739D244" w14:textId="77777777" w:rsidR="00261D2C" w:rsidRDefault="00261D2C" w:rsidP="00261D2C">
      <w:pPr>
        <w:pStyle w:val="ListParagraph"/>
        <w:numPr>
          <w:ilvl w:val="0"/>
          <w:numId w:val="13"/>
        </w:numPr>
        <w:shd w:val="clear" w:color="auto" w:fill="F2F2F2" w:themeFill="background1" w:themeFillShade="F2"/>
        <w:ind w:left="360"/>
        <w:rPr>
          <w:lang w:val="en-US" w:eastAsia="en-US"/>
        </w:rPr>
      </w:pPr>
      <w:r>
        <w:rPr>
          <w:lang w:val="en-US" w:eastAsia="en-US"/>
        </w:rPr>
        <w:t>We identified four key principles for the design of energy bills:</w:t>
      </w:r>
    </w:p>
    <w:p w14:paraId="40443B37" w14:textId="77777777" w:rsidR="00261D2C" w:rsidRDefault="00261D2C" w:rsidP="00261D2C">
      <w:pPr>
        <w:pStyle w:val="ListParagraph"/>
        <w:numPr>
          <w:ilvl w:val="0"/>
          <w:numId w:val="32"/>
        </w:numPr>
        <w:shd w:val="clear" w:color="auto" w:fill="F2F2F2" w:themeFill="background1" w:themeFillShade="F2"/>
        <w:rPr>
          <w:lang w:val="en-US" w:eastAsia="en-US"/>
        </w:rPr>
      </w:pPr>
      <w:r>
        <w:rPr>
          <w:lang w:val="en-US" w:eastAsia="en-US"/>
        </w:rPr>
        <w:t xml:space="preserve">Language: </w:t>
      </w:r>
      <w:r w:rsidRPr="00B532FE">
        <w:rPr>
          <w:lang w:val="en-US" w:eastAsia="en-US"/>
        </w:rPr>
        <w:t>Use conversational language and plain English, aiming for a year 7</w:t>
      </w:r>
      <w:r>
        <w:rPr>
          <w:lang w:val="en-US" w:eastAsia="en-US"/>
        </w:rPr>
        <w:noBreakHyphen/>
      </w:r>
      <w:r w:rsidRPr="00B532FE">
        <w:rPr>
          <w:lang w:val="en-US" w:eastAsia="en-US"/>
        </w:rPr>
        <w:t>8 reading level. Remove jargon or technical terms where possible.</w:t>
      </w:r>
    </w:p>
    <w:p w14:paraId="14A095E2" w14:textId="77777777" w:rsidR="00261D2C" w:rsidRDefault="00261D2C" w:rsidP="00261D2C">
      <w:pPr>
        <w:pStyle w:val="ListParagraph"/>
        <w:numPr>
          <w:ilvl w:val="0"/>
          <w:numId w:val="32"/>
        </w:numPr>
        <w:shd w:val="clear" w:color="auto" w:fill="F2F2F2" w:themeFill="background1" w:themeFillShade="F2"/>
        <w:rPr>
          <w:lang w:val="en-US" w:eastAsia="en-US"/>
        </w:rPr>
      </w:pPr>
      <w:r>
        <w:rPr>
          <w:lang w:val="en-US" w:eastAsia="en-US"/>
        </w:rPr>
        <w:t xml:space="preserve">Presentation: </w:t>
      </w:r>
      <w:r w:rsidRPr="00B532FE">
        <w:rPr>
          <w:lang w:val="en-US" w:eastAsia="en-US"/>
        </w:rPr>
        <w:t>Make the bill visually attractive. Use a combination of text, diagrams and tables.</w:t>
      </w:r>
    </w:p>
    <w:p w14:paraId="3D67666A" w14:textId="77777777" w:rsidR="00261D2C" w:rsidRDefault="00261D2C" w:rsidP="00261D2C">
      <w:pPr>
        <w:pStyle w:val="ListParagraph"/>
        <w:numPr>
          <w:ilvl w:val="0"/>
          <w:numId w:val="32"/>
        </w:numPr>
        <w:shd w:val="clear" w:color="auto" w:fill="F2F2F2" w:themeFill="background1" w:themeFillShade="F2"/>
        <w:rPr>
          <w:lang w:val="en-US" w:eastAsia="en-US"/>
        </w:rPr>
      </w:pPr>
      <w:r>
        <w:rPr>
          <w:lang w:val="en-US" w:eastAsia="en-US"/>
        </w:rPr>
        <w:t xml:space="preserve">Salience: </w:t>
      </w:r>
      <w:r w:rsidRPr="00B532FE">
        <w:rPr>
          <w:lang w:val="en-US" w:eastAsia="en-US"/>
        </w:rPr>
        <w:t>Include key information on the front page</w:t>
      </w:r>
      <w:r>
        <w:rPr>
          <w:lang w:val="en-US" w:eastAsia="en-US"/>
        </w:rPr>
        <w:t>. (A</w:t>
      </w:r>
      <w:r w:rsidRPr="00B54478">
        <w:rPr>
          <w:lang w:val="en-US" w:eastAsia="en-US"/>
        </w:rPr>
        <w:t xml:space="preserve">t a minimum, </w:t>
      </w:r>
      <w:r>
        <w:rPr>
          <w:lang w:val="en-US" w:eastAsia="en-US"/>
        </w:rPr>
        <w:t xml:space="preserve">this includes: </w:t>
      </w:r>
      <w:r w:rsidRPr="00B54478">
        <w:rPr>
          <w:lang w:val="en-US" w:eastAsia="en-US"/>
        </w:rPr>
        <w:t>the amount due, billing period, due date, how to pay, and any discounts that have been applied.</w:t>
      </w:r>
      <w:r>
        <w:rPr>
          <w:lang w:val="en-US" w:eastAsia="en-US"/>
        </w:rPr>
        <w:t>)</w:t>
      </w:r>
      <w:r w:rsidRPr="00B532FE">
        <w:rPr>
          <w:lang w:val="en-US" w:eastAsia="en-US"/>
        </w:rPr>
        <w:t xml:space="preserve"> Only include one graphic for the ‘amount due’. Use </w:t>
      </w:r>
      <w:r>
        <w:rPr>
          <w:lang w:val="en-US" w:eastAsia="en-US"/>
        </w:rPr>
        <w:t xml:space="preserve">colour, </w:t>
      </w:r>
      <w:r w:rsidRPr="00B532FE">
        <w:rPr>
          <w:lang w:val="en-US" w:eastAsia="en-US"/>
        </w:rPr>
        <w:t>boxes and bold sparingly to highlight key information.</w:t>
      </w:r>
    </w:p>
    <w:p w14:paraId="313C67A1" w14:textId="1109BB69" w:rsidR="00261D2C" w:rsidRPr="00261D2C" w:rsidRDefault="00261D2C" w:rsidP="00261D2C">
      <w:pPr>
        <w:pStyle w:val="ListParagraph"/>
        <w:numPr>
          <w:ilvl w:val="0"/>
          <w:numId w:val="32"/>
        </w:numPr>
        <w:shd w:val="clear" w:color="auto" w:fill="F2F2F2" w:themeFill="background1" w:themeFillShade="F2"/>
        <w:rPr>
          <w:lang w:val="en-US" w:eastAsia="en-US"/>
        </w:rPr>
      </w:pPr>
      <w:r w:rsidRPr="00261D2C">
        <w:rPr>
          <w:lang w:val="en-US" w:eastAsia="en-US"/>
        </w:rPr>
        <w:t>Structure: Group the bill contents into common themes (e.g. how to pay, understand your bill, understand your plan). Order information carefully and logically, use headings, and draw out key facts.</w:t>
      </w:r>
    </w:p>
    <w:p w14:paraId="48F692C9" w14:textId="549B7A90" w:rsidR="000B14F4" w:rsidRPr="000B14F4" w:rsidRDefault="000560E7" w:rsidP="00A66DFE">
      <w:pPr>
        <w:pStyle w:val="Heading3"/>
        <w:rPr>
          <w:lang w:val="en-US" w:eastAsia="en-US"/>
        </w:rPr>
      </w:pPr>
      <w:bookmarkStart w:id="59" w:name="_Toc86091074"/>
      <w:r>
        <w:rPr>
          <w:lang w:val="en-US" w:eastAsia="en-US"/>
        </w:rPr>
        <w:t xml:space="preserve">Academic </w:t>
      </w:r>
      <w:r w:rsidR="00F73A84">
        <w:rPr>
          <w:lang w:val="en-US" w:eastAsia="en-US"/>
        </w:rPr>
        <w:t>l</w:t>
      </w:r>
      <w:r>
        <w:rPr>
          <w:lang w:val="en-US" w:eastAsia="en-US"/>
        </w:rPr>
        <w:t>iterature</w:t>
      </w:r>
      <w:r w:rsidR="001C3D36">
        <w:rPr>
          <w:lang w:val="en-US" w:eastAsia="en-US"/>
        </w:rPr>
        <w:t>: complexity</w:t>
      </w:r>
      <w:bookmarkEnd w:id="52"/>
      <w:bookmarkEnd w:id="53"/>
      <w:bookmarkEnd w:id="54"/>
      <w:bookmarkEnd w:id="55"/>
      <w:bookmarkEnd w:id="56"/>
      <w:bookmarkEnd w:id="57"/>
      <w:bookmarkEnd w:id="58"/>
      <w:bookmarkEnd w:id="59"/>
    </w:p>
    <w:p w14:paraId="678B25FB" w14:textId="6C33C8B8" w:rsidR="00EA7F0E" w:rsidRDefault="00766DB3" w:rsidP="0062095A">
      <w:pPr>
        <w:pStyle w:val="Heading4"/>
        <w:rPr>
          <w:lang w:val="en-US" w:eastAsia="en-US"/>
        </w:rPr>
      </w:pPr>
      <w:r>
        <w:rPr>
          <w:lang w:val="en-US" w:eastAsia="en-US"/>
        </w:rPr>
        <w:t>A</w:t>
      </w:r>
      <w:r w:rsidR="00EA7F0E">
        <w:rPr>
          <w:lang w:val="en-US" w:eastAsia="en-US"/>
        </w:rPr>
        <w:t>ttention</w:t>
      </w:r>
    </w:p>
    <w:p w14:paraId="1E39301E" w14:textId="02887729" w:rsidR="00855232" w:rsidRDefault="007561BD" w:rsidP="000560E7">
      <w:pPr>
        <w:rPr>
          <w:lang w:val="en-US" w:eastAsia="en-US"/>
        </w:rPr>
      </w:pPr>
      <w:r>
        <w:rPr>
          <w:lang w:val="en-US" w:eastAsia="en-US"/>
        </w:rPr>
        <w:t>C</w:t>
      </w:r>
      <w:r w:rsidR="00A4636B">
        <w:rPr>
          <w:lang w:val="en-US" w:eastAsia="en-US"/>
        </w:rPr>
        <w:t xml:space="preserve">onsumers generally have low levels of energy literacy (Gardner </w:t>
      </w:r>
      <w:r w:rsidR="00F73A84">
        <w:rPr>
          <w:lang w:val="en-US" w:eastAsia="en-US"/>
        </w:rPr>
        <w:t>and</w:t>
      </w:r>
      <w:r w:rsidR="00A4636B">
        <w:rPr>
          <w:lang w:val="en-US" w:eastAsia="en-US"/>
        </w:rPr>
        <w:t xml:space="preserve"> Nil</w:t>
      </w:r>
      <w:r w:rsidR="002D0BAB">
        <w:rPr>
          <w:lang w:val="en-US" w:eastAsia="en-US"/>
        </w:rPr>
        <w:t>s</w:t>
      </w:r>
      <w:r w:rsidR="00A4636B">
        <w:rPr>
          <w:lang w:val="en-US" w:eastAsia="en-US"/>
        </w:rPr>
        <w:t xml:space="preserve">son, 2017). </w:t>
      </w:r>
      <w:r w:rsidR="0028416A">
        <w:rPr>
          <w:lang w:val="en-US" w:eastAsia="en-US"/>
        </w:rPr>
        <w:t>Consumers struggle to describe how electricity is distributed to their homes, and do not know the components of energy costs. There is also a lack of understanding of the differences between standard and market offers</w:t>
      </w:r>
      <w:r w:rsidR="00ED3B38">
        <w:rPr>
          <w:lang w:val="en-US" w:eastAsia="en-US"/>
        </w:rPr>
        <w:t>,</w:t>
      </w:r>
      <w:r w:rsidR="0028416A">
        <w:rPr>
          <w:lang w:val="en-US" w:eastAsia="en-US"/>
        </w:rPr>
        <w:t xml:space="preserve"> and how </w:t>
      </w:r>
      <w:r w:rsidR="00ED3B38">
        <w:rPr>
          <w:lang w:val="en-US" w:eastAsia="en-US"/>
        </w:rPr>
        <w:t>individual</w:t>
      </w:r>
      <w:r w:rsidR="0028416A">
        <w:rPr>
          <w:lang w:val="en-US" w:eastAsia="en-US"/>
        </w:rPr>
        <w:t xml:space="preserve"> behaviour relates to energy costs. </w:t>
      </w:r>
      <w:r w:rsidR="00A4636B">
        <w:rPr>
          <w:lang w:val="en-US" w:eastAsia="en-US"/>
        </w:rPr>
        <w:t>Complex</w:t>
      </w:r>
      <w:r w:rsidR="008C3DEE">
        <w:rPr>
          <w:lang w:val="en-US" w:eastAsia="en-US"/>
        </w:rPr>
        <w:t xml:space="preserve">ity in bills </w:t>
      </w:r>
      <w:r w:rsidR="00A4636B">
        <w:rPr>
          <w:lang w:val="en-US" w:eastAsia="en-US"/>
        </w:rPr>
        <w:t xml:space="preserve">can act as a major barrier to engagement as many consumers may become inattentive and </w:t>
      </w:r>
      <w:r w:rsidR="002C5F07">
        <w:rPr>
          <w:lang w:val="en-US" w:eastAsia="en-US"/>
        </w:rPr>
        <w:t>avoid looking for information that is both beneficial and freely available</w:t>
      </w:r>
      <w:r w:rsidR="00A4636B">
        <w:rPr>
          <w:lang w:val="en-US" w:eastAsia="en-US"/>
        </w:rPr>
        <w:t xml:space="preserve"> (</w:t>
      </w:r>
      <w:r w:rsidR="001C44E7">
        <w:rPr>
          <w:lang w:val="en-US" w:eastAsia="en-US"/>
        </w:rPr>
        <w:t xml:space="preserve">Russell, Hagmann </w:t>
      </w:r>
      <w:r w:rsidR="00F73A84">
        <w:rPr>
          <w:lang w:val="en-US" w:eastAsia="en-US"/>
        </w:rPr>
        <w:t>and</w:t>
      </w:r>
      <w:r w:rsidR="001C44E7">
        <w:rPr>
          <w:lang w:val="en-US" w:eastAsia="en-US"/>
        </w:rPr>
        <w:t xml:space="preserve"> </w:t>
      </w:r>
      <w:r w:rsidR="00A4636B">
        <w:rPr>
          <w:lang w:val="en-US" w:eastAsia="en-US"/>
        </w:rPr>
        <w:t>Lo</w:t>
      </w:r>
      <w:r w:rsidR="001C44E7">
        <w:rPr>
          <w:lang w:val="en-US" w:eastAsia="en-US"/>
        </w:rPr>
        <w:t>e</w:t>
      </w:r>
      <w:r w:rsidR="00A4636B">
        <w:rPr>
          <w:lang w:val="en-US" w:eastAsia="en-US"/>
        </w:rPr>
        <w:t>wenstein</w:t>
      </w:r>
      <w:r w:rsidR="001C44E7">
        <w:rPr>
          <w:lang w:val="en-US" w:eastAsia="en-US"/>
        </w:rPr>
        <w:t>,</w:t>
      </w:r>
      <w:r w:rsidR="00A4636B">
        <w:rPr>
          <w:lang w:val="en-US" w:eastAsia="en-US"/>
        </w:rPr>
        <w:t xml:space="preserve"> 2017).</w:t>
      </w:r>
      <w:r w:rsidR="001D0B21">
        <w:rPr>
          <w:lang w:val="en-US" w:eastAsia="en-US"/>
        </w:rPr>
        <w:t xml:space="preserve"> A lab experiment </w:t>
      </w:r>
      <w:r w:rsidR="00CD4C90" w:rsidRPr="00616C7B">
        <w:rPr>
          <w:lang w:val="en-US" w:eastAsia="en-US"/>
        </w:rPr>
        <w:t>studying</w:t>
      </w:r>
      <w:r w:rsidR="00981D80" w:rsidRPr="00616C7B">
        <w:rPr>
          <w:lang w:val="en-US" w:eastAsia="en-US"/>
        </w:rPr>
        <w:t xml:space="preserve"> inattention and</w:t>
      </w:r>
      <w:r w:rsidR="00CD4C90" w:rsidRPr="00616C7B">
        <w:rPr>
          <w:lang w:val="en-US" w:eastAsia="en-US"/>
        </w:rPr>
        <w:t xml:space="preserve"> consumer engagement</w:t>
      </w:r>
      <w:r w:rsidR="001D0B21" w:rsidRPr="00616C7B">
        <w:rPr>
          <w:lang w:val="en-US" w:eastAsia="en-US"/>
        </w:rPr>
        <w:t xml:space="preserve"> </w:t>
      </w:r>
      <w:r w:rsidR="00981D80" w:rsidRPr="00616C7B">
        <w:rPr>
          <w:lang w:val="en-US" w:eastAsia="en-US"/>
        </w:rPr>
        <w:t xml:space="preserve">in </w:t>
      </w:r>
      <w:r w:rsidR="001D0B21" w:rsidRPr="00616C7B">
        <w:rPr>
          <w:lang w:val="en-US" w:eastAsia="en-US"/>
        </w:rPr>
        <w:t xml:space="preserve">electricity and gas markets supports this </w:t>
      </w:r>
      <w:r w:rsidR="00443792" w:rsidRPr="00616C7B">
        <w:rPr>
          <w:lang w:val="en-US" w:eastAsia="en-US"/>
        </w:rPr>
        <w:t>finding</w:t>
      </w:r>
      <w:r w:rsidR="00707C1D" w:rsidRPr="00616C7B">
        <w:rPr>
          <w:lang w:val="en-US" w:eastAsia="en-US"/>
        </w:rPr>
        <w:t xml:space="preserve"> (Sitzia et al</w:t>
      </w:r>
      <w:r w:rsidR="00F73A84">
        <w:rPr>
          <w:lang w:val="en-US" w:eastAsia="en-US"/>
        </w:rPr>
        <w:t>.</w:t>
      </w:r>
      <w:r w:rsidR="00707C1D" w:rsidRPr="00616C7B">
        <w:rPr>
          <w:lang w:val="en-US" w:eastAsia="en-US"/>
        </w:rPr>
        <w:t>, 2015).</w:t>
      </w:r>
      <w:r w:rsidR="001D0B21" w:rsidRPr="00616C7B">
        <w:rPr>
          <w:lang w:val="en-US" w:eastAsia="en-US"/>
        </w:rPr>
        <w:t xml:space="preserve"> </w:t>
      </w:r>
      <w:r w:rsidR="00981D80" w:rsidRPr="00616C7B">
        <w:rPr>
          <w:lang w:val="en-US" w:eastAsia="en-US"/>
        </w:rPr>
        <w:t xml:space="preserve">The </w:t>
      </w:r>
      <w:r w:rsidR="00707C1D" w:rsidRPr="00616C7B">
        <w:rPr>
          <w:lang w:val="en-US" w:eastAsia="en-US"/>
        </w:rPr>
        <w:t xml:space="preserve">experiment </w:t>
      </w:r>
      <w:r w:rsidR="00172E84" w:rsidRPr="00616C7B">
        <w:rPr>
          <w:lang w:val="en-US" w:eastAsia="en-US"/>
        </w:rPr>
        <w:t xml:space="preserve">finds </w:t>
      </w:r>
      <w:r w:rsidR="00670B19" w:rsidRPr="00616C7B">
        <w:rPr>
          <w:lang w:val="en-US" w:eastAsia="en-US"/>
        </w:rPr>
        <w:t>making participants complete unrelated tasks during the decision process increase</w:t>
      </w:r>
      <w:r w:rsidR="00172E84" w:rsidRPr="00616C7B">
        <w:rPr>
          <w:lang w:val="en-US" w:eastAsia="en-US"/>
        </w:rPr>
        <w:t>s</w:t>
      </w:r>
      <w:r w:rsidR="001D0B21" w:rsidRPr="00616C7B">
        <w:rPr>
          <w:lang w:val="en-US" w:eastAsia="en-US"/>
        </w:rPr>
        <w:t xml:space="preserve"> the number choosing the default option</w:t>
      </w:r>
      <w:r w:rsidR="00616C7B" w:rsidRPr="00616C7B">
        <w:rPr>
          <w:lang w:val="en-US" w:eastAsia="en-US"/>
        </w:rPr>
        <w:t xml:space="preserve"> over superior options.</w:t>
      </w:r>
      <w:r w:rsidR="003629D3">
        <w:rPr>
          <w:lang w:val="en-US" w:eastAsia="en-US"/>
        </w:rPr>
        <w:t xml:space="preserve"> </w:t>
      </w:r>
    </w:p>
    <w:p w14:paraId="5EE5724A" w14:textId="0844D34B" w:rsidR="00116914" w:rsidRDefault="00B54478" w:rsidP="00116914">
      <w:r>
        <w:rPr>
          <w:lang w:val="en-US" w:eastAsia="en-US"/>
        </w:rPr>
        <w:t xml:space="preserve">The bill’s formatting and presentation is important for drawing and holding attention. </w:t>
      </w:r>
      <w:r w:rsidR="00116914">
        <w:rPr>
          <w:lang w:val="en-US" w:eastAsia="en-US"/>
        </w:rPr>
        <w:t xml:space="preserve">Evidence from focus groups suggests that </w:t>
      </w:r>
      <w:r w:rsidR="00116914" w:rsidRPr="00A127D1">
        <w:rPr>
          <w:lang w:val="en-US" w:eastAsia="en-US"/>
        </w:rPr>
        <w:t>a combination of text, diagrams and tables</w:t>
      </w:r>
      <w:r w:rsidR="00116914">
        <w:rPr>
          <w:lang w:val="en-US" w:eastAsia="en-US"/>
        </w:rPr>
        <w:t xml:space="preserve"> may be </w:t>
      </w:r>
      <w:r w:rsidR="00116914" w:rsidRPr="00A127D1">
        <w:rPr>
          <w:lang w:val="en-US" w:eastAsia="en-US"/>
        </w:rPr>
        <w:t xml:space="preserve">more </w:t>
      </w:r>
      <w:r w:rsidR="00116914" w:rsidRPr="00A127D1">
        <w:rPr>
          <w:lang w:val="en-US" w:eastAsia="en-US"/>
        </w:rPr>
        <w:lastRenderedPageBreak/>
        <w:t xml:space="preserve">effective than single-format </w:t>
      </w:r>
      <w:r>
        <w:rPr>
          <w:lang w:val="en-US" w:eastAsia="en-US"/>
        </w:rPr>
        <w:t xml:space="preserve">bill </w:t>
      </w:r>
      <w:r w:rsidR="00116914" w:rsidRPr="00A127D1">
        <w:rPr>
          <w:lang w:val="en-US" w:eastAsia="en-US"/>
        </w:rPr>
        <w:t>presentations (Roberts and Baker, 2003).</w:t>
      </w:r>
      <w:r w:rsidR="00116914">
        <w:rPr>
          <w:lang w:val="en-US" w:eastAsia="en-US"/>
        </w:rPr>
        <w:t xml:space="preserve"> </w:t>
      </w:r>
      <w:r>
        <w:rPr>
          <w:lang w:val="en-US" w:eastAsia="en-US"/>
        </w:rPr>
        <w:t xml:space="preserve">A framework BETA developed for improving the design of government forms (the ‘WISER framework’) is also relevant: it </w:t>
      </w:r>
      <w:r w:rsidR="00116914">
        <w:rPr>
          <w:lang w:val="en-US" w:eastAsia="en-US"/>
        </w:rPr>
        <w:t xml:space="preserve">recommends making </w:t>
      </w:r>
      <w:r>
        <w:rPr>
          <w:lang w:val="en-US" w:eastAsia="en-US"/>
        </w:rPr>
        <w:t xml:space="preserve">the form (or bill) </w:t>
      </w:r>
      <w:r w:rsidR="00116914">
        <w:rPr>
          <w:lang w:val="en-US" w:eastAsia="en-US"/>
        </w:rPr>
        <w:t xml:space="preserve">visually attractive, using boxes and bold sparingly to highlight key information </w:t>
      </w:r>
      <w:r w:rsidR="00116914">
        <w:t>(BETA, 2020). It further recommends ordering information carefully.</w:t>
      </w:r>
    </w:p>
    <w:p w14:paraId="6CE0E0D0" w14:textId="77777777" w:rsidR="00261D2C" w:rsidRPr="00261D2C" w:rsidRDefault="00261D2C" w:rsidP="00261D2C">
      <w:pPr>
        <w:pBdr>
          <w:top w:val="single" w:sz="18" w:space="1" w:color="142E3B" w:themeColor="text2"/>
          <w:left w:val="single" w:sz="18" w:space="4" w:color="142E3B" w:themeColor="text2"/>
          <w:bottom w:val="single" w:sz="18" w:space="1" w:color="142E3B" w:themeColor="text2"/>
          <w:right w:val="single" w:sz="18" w:space="4" w:color="142E3B" w:themeColor="text2"/>
        </w:pBdr>
        <w:shd w:val="clear" w:color="auto" w:fill="F2F2F2" w:themeFill="background1" w:themeFillShade="F2"/>
        <w:rPr>
          <w:color w:val="142E3B" w:themeColor="text2"/>
        </w:rPr>
      </w:pPr>
      <w:r w:rsidRPr="00261D2C">
        <w:rPr>
          <w:b/>
          <w:color w:val="142E3B" w:themeColor="text2"/>
        </w:rPr>
        <w:t>BI box: Make it Easy</w:t>
      </w:r>
      <w:r w:rsidRPr="00261D2C">
        <w:rPr>
          <w:color w:val="142E3B" w:themeColor="text2"/>
        </w:rPr>
        <w:t xml:space="preserve"> </w:t>
      </w:r>
    </w:p>
    <w:p w14:paraId="536AA00A" w14:textId="315B9929" w:rsidR="00261D2C" w:rsidRPr="00261D2C" w:rsidRDefault="00261D2C" w:rsidP="00261D2C">
      <w:pPr>
        <w:pBdr>
          <w:top w:val="single" w:sz="18" w:space="1" w:color="142E3B" w:themeColor="text2"/>
          <w:left w:val="single" w:sz="18" w:space="4" w:color="142E3B" w:themeColor="text2"/>
          <w:bottom w:val="single" w:sz="18" w:space="1" w:color="142E3B" w:themeColor="text2"/>
          <w:right w:val="single" w:sz="18" w:space="4" w:color="142E3B" w:themeColor="text2"/>
        </w:pBdr>
        <w:shd w:val="clear" w:color="auto" w:fill="F2F2F2" w:themeFill="background1" w:themeFillShade="F2"/>
        <w:rPr>
          <w:rFonts w:cstheme="minorHAnsi"/>
          <w:lang w:val="en-US"/>
        </w:rPr>
      </w:pPr>
      <w:r w:rsidRPr="00DF3AF1">
        <w:rPr>
          <w:rFonts w:cstheme="minorHAnsi"/>
          <w:lang w:val="en-US"/>
        </w:rPr>
        <w:t>Presenting information in a simple and salient way – using plain</w:t>
      </w:r>
      <w:r>
        <w:rPr>
          <w:rFonts w:cstheme="minorHAnsi"/>
          <w:lang w:val="en-US"/>
        </w:rPr>
        <w:t xml:space="preserve"> and consistent</w:t>
      </w:r>
      <w:r w:rsidRPr="00DF3AF1">
        <w:rPr>
          <w:rFonts w:cstheme="minorHAnsi"/>
          <w:lang w:val="en-US"/>
        </w:rPr>
        <w:t xml:space="preserve"> English, limiting the </w:t>
      </w:r>
      <w:r>
        <w:rPr>
          <w:rFonts w:cstheme="minorHAnsi"/>
          <w:lang w:val="en-US"/>
        </w:rPr>
        <w:t>amount of information</w:t>
      </w:r>
      <w:r w:rsidRPr="00DF3AF1">
        <w:rPr>
          <w:rFonts w:cstheme="minorHAnsi"/>
          <w:lang w:val="en-US"/>
        </w:rPr>
        <w:t xml:space="preserve"> presented, and </w:t>
      </w:r>
      <w:r>
        <w:rPr>
          <w:rFonts w:cstheme="minorHAnsi"/>
          <w:lang w:val="en-US"/>
        </w:rPr>
        <w:t>utilising white space</w:t>
      </w:r>
      <w:r w:rsidRPr="00DF3AF1">
        <w:rPr>
          <w:rFonts w:cstheme="minorHAnsi"/>
          <w:lang w:val="en-US"/>
        </w:rPr>
        <w:t xml:space="preserve"> – </w:t>
      </w:r>
      <w:r>
        <w:rPr>
          <w:rFonts w:cstheme="minorHAnsi"/>
          <w:lang w:val="en-US"/>
        </w:rPr>
        <w:t>helps</w:t>
      </w:r>
      <w:r w:rsidRPr="00DF3AF1">
        <w:rPr>
          <w:rFonts w:cstheme="minorHAnsi"/>
          <w:lang w:val="en-US"/>
        </w:rPr>
        <w:t xml:space="preserve"> consumers </w:t>
      </w:r>
      <w:r>
        <w:rPr>
          <w:rFonts w:cstheme="minorHAnsi"/>
          <w:lang w:val="en-US"/>
        </w:rPr>
        <w:t>better attend to and understand information presented</w:t>
      </w:r>
      <w:r w:rsidRPr="000C4FE0">
        <w:rPr>
          <w:rFonts w:cstheme="minorHAnsi"/>
          <w:lang w:val="en-US"/>
        </w:rPr>
        <w:t>.</w:t>
      </w:r>
      <w:r w:rsidRPr="00DF3AF1">
        <w:rPr>
          <w:rFonts w:cstheme="minorHAnsi"/>
          <w:lang w:val="en-US"/>
        </w:rPr>
        <w:t xml:space="preserve"> </w:t>
      </w:r>
    </w:p>
    <w:p w14:paraId="2F8ADD77" w14:textId="684548D2" w:rsidR="00A127D1" w:rsidRDefault="00B30485" w:rsidP="00A127D1">
      <w:pPr>
        <w:rPr>
          <w:lang w:val="en-US" w:eastAsia="en-US"/>
        </w:rPr>
      </w:pPr>
      <w:r>
        <w:rPr>
          <w:lang w:val="en-US" w:eastAsia="en-US"/>
        </w:rPr>
        <w:t>Complex terminology reduces consumer attention and limits the information they take out of a bill. Presenting technical terms using graphics improves understanding by raising attention. Furthermore, conversational language in a bill improves attention and understanding. BEWorks (2016</w:t>
      </w:r>
      <w:r w:rsidR="00306869">
        <w:rPr>
          <w:lang w:val="en-US" w:eastAsia="en-US"/>
        </w:rPr>
        <w:t xml:space="preserve"> pp12-13</w:t>
      </w:r>
      <w:r>
        <w:rPr>
          <w:lang w:val="en-US" w:eastAsia="en-US"/>
        </w:rPr>
        <w:t>) show that using a conversational tone (such as ‘What do I owe?’ and ‘When should I pay by?’) improves the understanding of bills.</w:t>
      </w:r>
      <w:r w:rsidR="00D54883">
        <w:rPr>
          <w:lang w:val="en-US" w:eastAsia="en-US"/>
        </w:rPr>
        <w:t xml:space="preserve"> </w:t>
      </w:r>
      <w:r w:rsidR="00B54478">
        <w:rPr>
          <w:lang w:val="en-US" w:eastAsia="en-US"/>
        </w:rPr>
        <w:t>Similarly, BETA’s</w:t>
      </w:r>
      <w:r w:rsidR="00D54883">
        <w:rPr>
          <w:lang w:val="en-US" w:eastAsia="en-US"/>
        </w:rPr>
        <w:t xml:space="preserve"> WISER framework for improving government forms recommends aiming for a year 7</w:t>
      </w:r>
      <w:r w:rsidR="00B54478">
        <w:rPr>
          <w:lang w:val="en-US" w:eastAsia="en-US"/>
        </w:rPr>
        <w:noBreakHyphen/>
      </w:r>
      <w:r w:rsidR="00D54883">
        <w:rPr>
          <w:lang w:val="en-US" w:eastAsia="en-US"/>
        </w:rPr>
        <w:t>8</w:t>
      </w:r>
      <w:r w:rsidR="00B54478">
        <w:rPr>
          <w:lang w:val="en-US" w:eastAsia="en-US"/>
        </w:rPr>
        <w:t> </w:t>
      </w:r>
      <w:r w:rsidR="00D54883">
        <w:rPr>
          <w:lang w:val="en-US" w:eastAsia="en-US"/>
        </w:rPr>
        <w:t>reading level</w:t>
      </w:r>
      <w:r w:rsidR="00B54478">
        <w:rPr>
          <w:lang w:val="en-US" w:eastAsia="en-US"/>
        </w:rPr>
        <w:t>,</w:t>
      </w:r>
      <w:r w:rsidR="00D54883">
        <w:rPr>
          <w:lang w:val="en-US" w:eastAsia="en-US"/>
        </w:rPr>
        <w:t xml:space="preserve"> and removing jargon where possible (BETA</w:t>
      </w:r>
      <w:r w:rsidR="00116914">
        <w:rPr>
          <w:lang w:val="en-US" w:eastAsia="en-US"/>
        </w:rPr>
        <w:t>,</w:t>
      </w:r>
      <w:r w:rsidR="00D54883">
        <w:rPr>
          <w:lang w:val="en-US" w:eastAsia="en-US"/>
        </w:rPr>
        <w:t xml:space="preserve"> 2020).</w:t>
      </w:r>
      <w:r w:rsidR="00A127D1">
        <w:rPr>
          <w:lang w:val="en-US" w:eastAsia="en-US"/>
        </w:rPr>
        <w:t xml:space="preserve"> </w:t>
      </w:r>
    </w:p>
    <w:p w14:paraId="48E40B0D" w14:textId="7989EA11" w:rsidR="00542BCC" w:rsidRDefault="00175944" w:rsidP="0062095A">
      <w:pPr>
        <w:pStyle w:val="Heading4"/>
        <w:rPr>
          <w:lang w:val="en-US" w:eastAsia="en-US"/>
        </w:rPr>
      </w:pPr>
      <w:r>
        <w:rPr>
          <w:lang w:val="en-US" w:eastAsia="en-US"/>
        </w:rPr>
        <w:t>Technical language</w:t>
      </w:r>
    </w:p>
    <w:p w14:paraId="232D43BD" w14:textId="7EE3AAAE" w:rsidR="00A4636B" w:rsidRDefault="008A4266" w:rsidP="000560E7">
      <w:pPr>
        <w:rPr>
          <w:lang w:val="en-US" w:eastAsia="en-US"/>
        </w:rPr>
      </w:pPr>
      <w:r>
        <w:rPr>
          <w:lang w:val="en-US" w:eastAsia="en-US"/>
        </w:rPr>
        <w:t xml:space="preserve">Consumers struggle to understand </w:t>
      </w:r>
      <w:r w:rsidR="000159F9">
        <w:rPr>
          <w:lang w:val="en-US" w:eastAsia="en-US"/>
        </w:rPr>
        <w:t>the</w:t>
      </w:r>
      <w:r>
        <w:rPr>
          <w:lang w:val="en-US" w:eastAsia="en-US"/>
        </w:rPr>
        <w:t xml:space="preserve"> different aspects of electricity tariffs</w:t>
      </w:r>
      <w:r w:rsidR="001375FE">
        <w:rPr>
          <w:lang w:val="en-US" w:eastAsia="en-US"/>
        </w:rPr>
        <w:t xml:space="preserve"> and </w:t>
      </w:r>
      <w:r w:rsidR="000D65C6">
        <w:rPr>
          <w:lang w:val="en-US" w:eastAsia="en-US"/>
        </w:rPr>
        <w:t>cannot distinguish</w:t>
      </w:r>
      <w:r w:rsidR="001375FE">
        <w:rPr>
          <w:lang w:val="en-US" w:eastAsia="en-US"/>
        </w:rPr>
        <w:t xml:space="preserve"> b</w:t>
      </w:r>
      <w:r w:rsidR="00F50B21">
        <w:rPr>
          <w:lang w:val="en-US" w:eastAsia="en-US"/>
        </w:rPr>
        <w:t>e</w:t>
      </w:r>
      <w:r w:rsidR="001375FE">
        <w:rPr>
          <w:lang w:val="en-US" w:eastAsia="en-US"/>
        </w:rPr>
        <w:t>tween</w:t>
      </w:r>
      <w:r w:rsidR="00175944">
        <w:rPr>
          <w:lang w:val="en-US" w:eastAsia="en-US"/>
        </w:rPr>
        <w:t>, for example,</w:t>
      </w:r>
      <w:r w:rsidR="001375FE">
        <w:rPr>
          <w:lang w:val="en-US" w:eastAsia="en-US"/>
        </w:rPr>
        <w:t xml:space="preserve"> </w:t>
      </w:r>
      <w:r w:rsidR="00905E7B">
        <w:rPr>
          <w:lang w:val="en-US" w:eastAsia="en-US"/>
        </w:rPr>
        <w:t>watt (</w:t>
      </w:r>
      <w:r w:rsidR="001375FE">
        <w:rPr>
          <w:lang w:val="en-US" w:eastAsia="en-US"/>
        </w:rPr>
        <w:t>W</w:t>
      </w:r>
      <w:r w:rsidR="00905E7B">
        <w:rPr>
          <w:lang w:val="en-US" w:eastAsia="en-US"/>
        </w:rPr>
        <w:t>)</w:t>
      </w:r>
      <w:r w:rsidR="001375FE">
        <w:rPr>
          <w:lang w:val="en-US" w:eastAsia="en-US"/>
        </w:rPr>
        <w:t xml:space="preserve"> and </w:t>
      </w:r>
      <w:r w:rsidR="00905E7B">
        <w:rPr>
          <w:lang w:val="en-US" w:eastAsia="en-US"/>
        </w:rPr>
        <w:t>kilowatt-hour (</w:t>
      </w:r>
      <w:r w:rsidR="001375FE">
        <w:rPr>
          <w:lang w:val="en-US" w:eastAsia="en-US"/>
        </w:rPr>
        <w:t>kWh</w:t>
      </w:r>
      <w:r w:rsidR="00905E7B">
        <w:rPr>
          <w:lang w:val="en-US" w:eastAsia="en-US"/>
        </w:rPr>
        <w:t xml:space="preserve">; </w:t>
      </w:r>
      <w:r w:rsidR="001375FE">
        <w:rPr>
          <w:lang w:val="en-US" w:eastAsia="en-US"/>
        </w:rPr>
        <w:t>Karjalainen</w:t>
      </w:r>
      <w:r w:rsidR="00244C44">
        <w:rPr>
          <w:lang w:val="en-US" w:eastAsia="en-US"/>
        </w:rPr>
        <w:t>,</w:t>
      </w:r>
      <w:r w:rsidR="001375FE">
        <w:rPr>
          <w:lang w:val="en-US" w:eastAsia="en-US"/>
        </w:rPr>
        <w:t xml:space="preserve"> 2011). </w:t>
      </w:r>
      <w:r w:rsidR="00175944">
        <w:rPr>
          <w:lang w:val="en-US" w:eastAsia="en-US"/>
        </w:rPr>
        <w:t>Furthermore</w:t>
      </w:r>
      <w:r w:rsidR="001375FE">
        <w:rPr>
          <w:lang w:val="en-US" w:eastAsia="en-US"/>
        </w:rPr>
        <w:t>, t</w:t>
      </w:r>
      <w:r w:rsidR="00EE311C">
        <w:rPr>
          <w:lang w:val="en-US" w:eastAsia="en-US"/>
        </w:rPr>
        <w:t xml:space="preserve">he term ‘kWh’ lacks meaning for consumers </w:t>
      </w:r>
      <w:r w:rsidR="00B10751">
        <w:rPr>
          <w:lang w:val="en-US" w:eastAsia="en-US"/>
        </w:rPr>
        <w:t xml:space="preserve">because of its </w:t>
      </w:r>
      <w:r w:rsidR="00B10751" w:rsidRPr="00BA4495">
        <w:rPr>
          <w:lang w:val="en-US" w:eastAsia="en-US"/>
        </w:rPr>
        <w:t>lack of</w:t>
      </w:r>
      <w:r w:rsidR="00EE311C" w:rsidRPr="00BA4495">
        <w:rPr>
          <w:lang w:val="en-US" w:eastAsia="en-US"/>
        </w:rPr>
        <w:t xml:space="preserve"> tangibility to </w:t>
      </w:r>
      <w:r w:rsidR="00BA4495" w:rsidRPr="00BA4495">
        <w:rPr>
          <w:lang w:val="en-US" w:eastAsia="en-US"/>
        </w:rPr>
        <w:t>actual</w:t>
      </w:r>
      <w:r w:rsidR="00EE311C" w:rsidRPr="00BA4495">
        <w:rPr>
          <w:lang w:val="en-US" w:eastAsia="en-US"/>
        </w:rPr>
        <w:t xml:space="preserve"> usage</w:t>
      </w:r>
      <w:r>
        <w:rPr>
          <w:lang w:val="en-US" w:eastAsia="en-US"/>
        </w:rPr>
        <w:t xml:space="preserve"> </w:t>
      </w:r>
      <w:r w:rsidR="00BA4495" w:rsidRPr="00BA4495">
        <w:rPr>
          <w:lang w:val="en-US" w:eastAsia="en-US"/>
        </w:rPr>
        <w:t>activities</w:t>
      </w:r>
      <w:r w:rsidR="00BA4495">
        <w:rPr>
          <w:lang w:val="en-US" w:eastAsia="en-US"/>
        </w:rPr>
        <w:t xml:space="preserve"> </w:t>
      </w:r>
      <w:r>
        <w:rPr>
          <w:lang w:val="en-US" w:eastAsia="en-US"/>
        </w:rPr>
        <w:t>(Ofgem, 2009</w:t>
      </w:r>
      <w:r w:rsidR="00A463D3">
        <w:rPr>
          <w:lang w:val="en-US" w:eastAsia="en-US"/>
        </w:rPr>
        <w:t xml:space="preserve"> pp15-16</w:t>
      </w:r>
      <w:r>
        <w:rPr>
          <w:lang w:val="en-US" w:eastAsia="en-US"/>
        </w:rPr>
        <w:t>)</w:t>
      </w:r>
      <w:r w:rsidR="00EE311C">
        <w:rPr>
          <w:lang w:val="en-US" w:eastAsia="en-US"/>
        </w:rPr>
        <w:t>. Information</w:t>
      </w:r>
      <w:r w:rsidR="000D65C6">
        <w:rPr>
          <w:lang w:val="en-US" w:eastAsia="en-US"/>
        </w:rPr>
        <w:t xml:space="preserve"> – </w:t>
      </w:r>
      <w:r w:rsidR="00EE311C">
        <w:rPr>
          <w:lang w:val="en-US" w:eastAsia="en-US"/>
        </w:rPr>
        <w:t>suc</w:t>
      </w:r>
      <w:r w:rsidR="007561BD">
        <w:rPr>
          <w:lang w:val="en-US" w:eastAsia="en-US"/>
        </w:rPr>
        <w:t>h as how much you can do with 1 </w:t>
      </w:r>
      <w:r w:rsidR="00EE311C">
        <w:rPr>
          <w:lang w:val="en-US" w:eastAsia="en-US"/>
        </w:rPr>
        <w:t xml:space="preserve">kWh of electricity </w:t>
      </w:r>
      <w:r w:rsidR="000D65C6">
        <w:rPr>
          <w:lang w:val="en-US" w:eastAsia="en-US"/>
        </w:rPr>
        <w:t>–</w:t>
      </w:r>
      <w:r w:rsidR="00EE311C">
        <w:rPr>
          <w:lang w:val="en-US" w:eastAsia="en-US"/>
        </w:rPr>
        <w:t xml:space="preserve"> improves the accessibility of </w:t>
      </w:r>
      <w:r w:rsidR="000D65C6">
        <w:rPr>
          <w:lang w:val="en-US" w:eastAsia="en-US"/>
        </w:rPr>
        <w:t>kWh information</w:t>
      </w:r>
      <w:r w:rsidR="00EE311C">
        <w:rPr>
          <w:lang w:val="en-US" w:eastAsia="en-US"/>
        </w:rPr>
        <w:t xml:space="preserve"> by providing concrete examples </w:t>
      </w:r>
      <w:r w:rsidR="00EB2D28">
        <w:rPr>
          <w:lang w:val="en-US" w:eastAsia="en-US"/>
        </w:rPr>
        <w:t xml:space="preserve">of </w:t>
      </w:r>
      <w:r w:rsidR="00EE311C">
        <w:rPr>
          <w:lang w:val="en-US" w:eastAsia="en-US"/>
        </w:rPr>
        <w:t>real</w:t>
      </w:r>
      <w:r w:rsidR="00EB2D28">
        <w:rPr>
          <w:lang w:val="en-US" w:eastAsia="en-US"/>
        </w:rPr>
        <w:t>-</w:t>
      </w:r>
      <w:r w:rsidR="00EE311C">
        <w:rPr>
          <w:lang w:val="en-US" w:eastAsia="en-US"/>
        </w:rPr>
        <w:t>world usage (BEWorks, 2016</w:t>
      </w:r>
      <w:r w:rsidR="00A463D3">
        <w:rPr>
          <w:lang w:val="en-US" w:eastAsia="en-US"/>
        </w:rPr>
        <w:t xml:space="preserve"> pp15-16</w:t>
      </w:r>
      <w:r w:rsidR="00EE311C">
        <w:rPr>
          <w:lang w:val="en-US" w:eastAsia="en-US"/>
        </w:rPr>
        <w:t>).</w:t>
      </w:r>
    </w:p>
    <w:p w14:paraId="0BE63F7E" w14:textId="555FE439" w:rsidR="00223919" w:rsidRDefault="006146E3" w:rsidP="000560E7">
      <w:pPr>
        <w:rPr>
          <w:lang w:val="en-US" w:eastAsia="en-US"/>
        </w:rPr>
      </w:pPr>
      <w:r>
        <w:rPr>
          <w:lang w:val="en-US" w:eastAsia="en-US"/>
        </w:rPr>
        <w:t>Time</w:t>
      </w:r>
      <w:r w:rsidR="00E92663">
        <w:rPr>
          <w:lang w:val="en-US" w:eastAsia="en-US"/>
        </w:rPr>
        <w:t xml:space="preserve"> of Use (TOU) details </w:t>
      </w:r>
      <w:r w:rsidR="00223919">
        <w:rPr>
          <w:lang w:val="en-US" w:eastAsia="en-US"/>
        </w:rPr>
        <w:t>also create confusion.</w:t>
      </w:r>
      <w:r w:rsidR="0030012C">
        <w:rPr>
          <w:lang w:val="en-US" w:eastAsia="en-US"/>
        </w:rPr>
        <w:t xml:space="preserve"> Consumers can fail to interpret the information correctly and make mistakes </w:t>
      </w:r>
      <w:r w:rsidR="00CE125D">
        <w:rPr>
          <w:lang w:val="en-US" w:eastAsia="en-US"/>
        </w:rPr>
        <w:t>mapping</w:t>
      </w:r>
      <w:r w:rsidR="003F05EC">
        <w:rPr>
          <w:lang w:val="en-US" w:eastAsia="en-US"/>
        </w:rPr>
        <w:t xml:space="preserve"> consumption to costs</w:t>
      </w:r>
      <w:r w:rsidR="0030012C">
        <w:rPr>
          <w:lang w:val="en-US" w:eastAsia="en-US"/>
        </w:rPr>
        <w:t>.</w:t>
      </w:r>
      <w:r w:rsidR="00223919">
        <w:rPr>
          <w:lang w:val="en-US" w:eastAsia="en-US"/>
        </w:rPr>
        <w:t xml:space="preserve"> A study from BEWorks (2014</w:t>
      </w:r>
      <w:r w:rsidR="00306869">
        <w:rPr>
          <w:lang w:val="en-US" w:eastAsia="en-US"/>
        </w:rPr>
        <w:t xml:space="preserve"> pp52-54</w:t>
      </w:r>
      <w:r w:rsidR="00223919">
        <w:rPr>
          <w:lang w:val="en-US" w:eastAsia="en-US"/>
        </w:rPr>
        <w:t>) show</w:t>
      </w:r>
      <w:r w:rsidR="00F31DCC">
        <w:rPr>
          <w:lang w:val="en-US" w:eastAsia="en-US"/>
        </w:rPr>
        <w:t>s</w:t>
      </w:r>
      <w:r w:rsidR="00223919">
        <w:rPr>
          <w:lang w:val="en-US" w:eastAsia="en-US"/>
        </w:rPr>
        <w:t xml:space="preserve"> that </w:t>
      </w:r>
      <w:r w:rsidR="000D65C6">
        <w:rPr>
          <w:lang w:val="en-US" w:eastAsia="en-US"/>
        </w:rPr>
        <w:t>consumers have</w:t>
      </w:r>
      <w:r w:rsidR="00223919">
        <w:rPr>
          <w:lang w:val="en-US" w:eastAsia="en-US"/>
        </w:rPr>
        <w:t xml:space="preserve"> </w:t>
      </w:r>
      <w:r w:rsidR="00CE125D">
        <w:rPr>
          <w:lang w:val="en-US" w:eastAsia="en-US"/>
        </w:rPr>
        <w:t xml:space="preserve">better </w:t>
      </w:r>
      <w:r w:rsidR="00223919">
        <w:rPr>
          <w:lang w:val="en-US" w:eastAsia="en-US"/>
        </w:rPr>
        <w:t xml:space="preserve">comprehension and recall of TOU information when traditional TOU terms ‘On-Peak, Mid-Peak, Off-Peak’ </w:t>
      </w:r>
      <w:r w:rsidR="00F31DCC">
        <w:rPr>
          <w:lang w:val="en-US" w:eastAsia="en-US"/>
        </w:rPr>
        <w:t xml:space="preserve">are </w:t>
      </w:r>
      <w:r w:rsidR="00223919">
        <w:rPr>
          <w:lang w:val="en-US" w:eastAsia="en-US"/>
        </w:rPr>
        <w:t>renamed to</w:t>
      </w:r>
      <w:r w:rsidR="00306869">
        <w:rPr>
          <w:lang w:val="en-US" w:eastAsia="en-US"/>
        </w:rPr>
        <w:t>, for example,</w:t>
      </w:r>
      <w:r w:rsidR="00223919">
        <w:rPr>
          <w:lang w:val="en-US" w:eastAsia="en-US"/>
        </w:rPr>
        <w:t xml:space="preserve"> ‘Most expensive,</w:t>
      </w:r>
      <w:r w:rsidR="00707C1D">
        <w:rPr>
          <w:lang w:val="en-US" w:eastAsia="en-US"/>
        </w:rPr>
        <w:t xml:space="preserve"> Average, Least Expensive’. The interventions</w:t>
      </w:r>
      <w:r w:rsidR="00223919">
        <w:rPr>
          <w:lang w:val="en-US" w:eastAsia="en-US"/>
        </w:rPr>
        <w:t xml:space="preserve"> also </w:t>
      </w:r>
      <w:r w:rsidR="00707C1D">
        <w:rPr>
          <w:lang w:val="en-US" w:eastAsia="en-US"/>
        </w:rPr>
        <w:t>increased consumers’</w:t>
      </w:r>
      <w:r w:rsidR="00223919">
        <w:rPr>
          <w:lang w:val="en-US" w:eastAsia="en-US"/>
        </w:rPr>
        <w:t xml:space="preserve"> intentions</w:t>
      </w:r>
      <w:r w:rsidR="008F3F2F">
        <w:rPr>
          <w:lang w:val="en-US" w:eastAsia="en-US"/>
        </w:rPr>
        <w:t xml:space="preserve"> to move consumption to non</w:t>
      </w:r>
      <w:r w:rsidR="008F3F2F">
        <w:rPr>
          <w:lang w:val="en-US" w:eastAsia="en-US"/>
        </w:rPr>
        <w:noBreakHyphen/>
      </w:r>
      <w:r w:rsidR="00223919">
        <w:rPr>
          <w:lang w:val="en-US" w:eastAsia="en-US"/>
        </w:rPr>
        <w:t>peak times of the day.</w:t>
      </w:r>
      <w:r w:rsidR="001422FA">
        <w:rPr>
          <w:lang w:val="en-US" w:eastAsia="en-US"/>
        </w:rPr>
        <w:t xml:space="preserve"> However, they noted that the widespread use of the ‘Peak’ terms had allowed consumers to familiari</w:t>
      </w:r>
      <w:r w:rsidR="00322993">
        <w:rPr>
          <w:lang w:val="en-US" w:eastAsia="en-US"/>
        </w:rPr>
        <w:t>s</w:t>
      </w:r>
      <w:r w:rsidR="001422FA">
        <w:rPr>
          <w:lang w:val="en-US" w:eastAsia="en-US"/>
        </w:rPr>
        <w:t xml:space="preserve">e themselves with the language and learn the meaning over time. </w:t>
      </w:r>
    </w:p>
    <w:p w14:paraId="12A72D97" w14:textId="1EB301B0" w:rsidR="00E8226A" w:rsidRDefault="006A01E8" w:rsidP="0062095A">
      <w:pPr>
        <w:pStyle w:val="Heading4"/>
        <w:rPr>
          <w:lang w:val="en-US" w:eastAsia="en-US"/>
        </w:rPr>
      </w:pPr>
      <w:r>
        <w:rPr>
          <w:lang w:val="en-US" w:eastAsia="en-US"/>
        </w:rPr>
        <w:t>Total content</w:t>
      </w:r>
    </w:p>
    <w:p w14:paraId="51CB067D" w14:textId="26ACF536" w:rsidR="002D5B5C" w:rsidRDefault="002D5B5C" w:rsidP="000560E7">
      <w:pPr>
        <w:rPr>
          <w:lang w:val="en-US" w:eastAsia="en-US"/>
        </w:rPr>
      </w:pPr>
      <w:r w:rsidRPr="002D5B5C">
        <w:rPr>
          <w:lang w:val="en-US" w:eastAsia="en-US"/>
        </w:rPr>
        <w:t>What conten</w:t>
      </w:r>
      <w:r>
        <w:rPr>
          <w:lang w:val="en-US" w:eastAsia="en-US"/>
        </w:rPr>
        <w:t>t should be prioritised on an en</w:t>
      </w:r>
      <w:r w:rsidRPr="002D5B5C">
        <w:rPr>
          <w:lang w:val="en-US" w:eastAsia="en-US"/>
        </w:rPr>
        <w:t xml:space="preserve">ergy bill is a contested question. </w:t>
      </w:r>
      <w:r>
        <w:rPr>
          <w:lang w:val="en-US" w:eastAsia="en-US"/>
        </w:rPr>
        <w:t>R</w:t>
      </w:r>
      <w:r w:rsidRPr="002D5B5C">
        <w:rPr>
          <w:lang w:val="en-US" w:eastAsia="en-US"/>
        </w:rPr>
        <w:t>esearch conducted by retailers, governments and academics</w:t>
      </w:r>
      <w:r>
        <w:rPr>
          <w:lang w:val="en-US" w:eastAsia="en-US"/>
        </w:rPr>
        <w:t xml:space="preserve">, as well as </w:t>
      </w:r>
      <w:r w:rsidRPr="002D5B5C">
        <w:rPr>
          <w:lang w:val="en-US" w:eastAsia="en-US"/>
        </w:rPr>
        <w:t>BETA’s past research</w:t>
      </w:r>
      <w:r>
        <w:rPr>
          <w:lang w:val="en-US" w:eastAsia="en-US"/>
        </w:rPr>
        <w:t xml:space="preserve"> </w:t>
      </w:r>
      <w:r>
        <w:rPr>
          <w:lang w:val="en-US" w:eastAsia="en-US"/>
        </w:rPr>
        <w:lastRenderedPageBreak/>
        <w:t xml:space="preserve">(BETA 2018), </w:t>
      </w:r>
      <w:r w:rsidRPr="002D5B5C">
        <w:rPr>
          <w:lang w:val="en-US" w:eastAsia="en-US"/>
        </w:rPr>
        <w:t>broadly agree</w:t>
      </w:r>
      <w:r w:rsidR="003F5286">
        <w:rPr>
          <w:lang w:val="en-US" w:eastAsia="en-US"/>
        </w:rPr>
        <w:t>s</w:t>
      </w:r>
      <w:r w:rsidRPr="002D5B5C">
        <w:rPr>
          <w:lang w:val="en-US" w:eastAsia="en-US"/>
        </w:rPr>
        <w:t xml:space="preserve"> that</w:t>
      </w:r>
      <w:r>
        <w:rPr>
          <w:lang w:val="en-US" w:eastAsia="en-US"/>
        </w:rPr>
        <w:t>,</w:t>
      </w:r>
      <w:r w:rsidRPr="002D5B5C">
        <w:rPr>
          <w:lang w:val="en-US" w:eastAsia="en-US"/>
        </w:rPr>
        <w:t xml:space="preserve"> at a minimum</w:t>
      </w:r>
      <w:r>
        <w:rPr>
          <w:lang w:val="en-US" w:eastAsia="en-US"/>
        </w:rPr>
        <w:t>,</w:t>
      </w:r>
      <w:r w:rsidRPr="002D5B5C">
        <w:rPr>
          <w:lang w:val="en-US" w:eastAsia="en-US"/>
        </w:rPr>
        <w:t xml:space="preserve"> the front page of the bill should contain information on the amount due, billing period, due date, how to pay, and any discounts that have been applied.</w:t>
      </w:r>
    </w:p>
    <w:p w14:paraId="625EC056" w14:textId="4B689A10" w:rsidR="00984EB4" w:rsidRDefault="00984EB4" w:rsidP="000560E7">
      <w:pPr>
        <w:rPr>
          <w:lang w:val="en-US" w:eastAsia="en-US"/>
        </w:rPr>
      </w:pPr>
      <w:r>
        <w:rPr>
          <w:lang w:val="en-US" w:eastAsia="en-US"/>
        </w:rPr>
        <w:t>Providing more information does not itself lead to increased comprehension</w:t>
      </w:r>
      <w:r w:rsidR="002D5B5C">
        <w:rPr>
          <w:lang w:val="en-US" w:eastAsia="en-US"/>
        </w:rPr>
        <w:t xml:space="preserve"> and can lead to cognitive overload and confusion</w:t>
      </w:r>
      <w:r>
        <w:rPr>
          <w:lang w:val="en-US" w:eastAsia="en-US"/>
        </w:rPr>
        <w:t xml:space="preserve">. For example, BEUC (2017) </w:t>
      </w:r>
      <w:r w:rsidR="0064605F">
        <w:rPr>
          <w:lang w:val="en-US" w:eastAsia="en-US"/>
        </w:rPr>
        <w:t xml:space="preserve">shows </w:t>
      </w:r>
      <w:r>
        <w:rPr>
          <w:lang w:val="en-US" w:eastAsia="en-US"/>
        </w:rPr>
        <w:t xml:space="preserve">that bills in France and the Czech </w:t>
      </w:r>
      <w:r w:rsidRPr="00AD3197">
        <w:rPr>
          <w:lang w:val="en-US" w:eastAsia="en-US"/>
        </w:rPr>
        <w:t xml:space="preserve">Republic </w:t>
      </w:r>
      <w:r w:rsidR="009D034D" w:rsidRPr="00AD3197">
        <w:rPr>
          <w:lang w:val="en-US" w:eastAsia="en-US"/>
        </w:rPr>
        <w:t>are overloaded with content</w:t>
      </w:r>
      <w:r w:rsidRPr="00AD3197">
        <w:rPr>
          <w:lang w:val="en-US" w:eastAsia="en-US"/>
        </w:rPr>
        <w:t xml:space="preserve"> but d</w:t>
      </w:r>
      <w:r w:rsidR="0064605F" w:rsidRPr="00AD3197">
        <w:rPr>
          <w:lang w:val="en-US" w:eastAsia="en-US"/>
        </w:rPr>
        <w:t>o</w:t>
      </w:r>
      <w:r w:rsidRPr="00AD3197">
        <w:rPr>
          <w:lang w:val="en-US" w:eastAsia="en-US"/>
        </w:rPr>
        <w:t xml:space="preserve"> not </w:t>
      </w:r>
      <w:r w:rsidR="009D034D" w:rsidRPr="00AD3197">
        <w:rPr>
          <w:lang w:val="en-US" w:eastAsia="en-US"/>
        </w:rPr>
        <w:t>improve comprehension</w:t>
      </w:r>
      <w:r w:rsidRPr="00AD3197">
        <w:rPr>
          <w:lang w:val="en-US" w:eastAsia="en-US"/>
        </w:rPr>
        <w:t>. They identif</w:t>
      </w:r>
      <w:r w:rsidR="0064605F" w:rsidRPr="00AD3197">
        <w:rPr>
          <w:lang w:val="en-US" w:eastAsia="en-US"/>
        </w:rPr>
        <w:t>y</w:t>
      </w:r>
      <w:r w:rsidRPr="00AD3197">
        <w:rPr>
          <w:lang w:val="en-US" w:eastAsia="en-US"/>
        </w:rPr>
        <w:t xml:space="preserve"> the following problem</w:t>
      </w:r>
      <w:r w:rsidR="005B19C3" w:rsidRPr="00AD3197">
        <w:rPr>
          <w:lang w:val="en-US" w:eastAsia="en-US"/>
        </w:rPr>
        <w:t>s</w:t>
      </w:r>
      <w:r w:rsidRPr="00AD3197">
        <w:rPr>
          <w:lang w:val="en-US" w:eastAsia="en-US"/>
        </w:rPr>
        <w:t xml:space="preserve"> with the format of bills: the large size of electricity bills, confusing layouts, </w:t>
      </w:r>
      <w:r w:rsidR="009D034D" w:rsidRPr="00AD3197">
        <w:rPr>
          <w:lang w:val="en-US" w:eastAsia="en-US"/>
        </w:rPr>
        <w:t>excessive</w:t>
      </w:r>
      <w:r w:rsidRPr="00AD3197">
        <w:rPr>
          <w:lang w:val="en-US" w:eastAsia="en-US"/>
        </w:rPr>
        <w:t xml:space="preserve"> data, and missing </w:t>
      </w:r>
      <w:r w:rsidR="007813DF" w:rsidRPr="00AD3197">
        <w:rPr>
          <w:lang w:val="en-US" w:eastAsia="en-US"/>
        </w:rPr>
        <w:t>references to</w:t>
      </w:r>
      <w:r w:rsidRPr="00AD3197">
        <w:rPr>
          <w:lang w:val="en-US" w:eastAsia="en-US"/>
        </w:rPr>
        <w:t xml:space="preserve"> independent organisations offering energy advice.</w:t>
      </w:r>
      <w:r w:rsidR="007561BD">
        <w:rPr>
          <w:lang w:val="en-US" w:eastAsia="en-US"/>
        </w:rPr>
        <w:t xml:space="preserve"> However, a shorter bill is </w:t>
      </w:r>
      <w:r w:rsidR="002D5B5C">
        <w:rPr>
          <w:lang w:val="en-US" w:eastAsia="en-US"/>
        </w:rPr>
        <w:t xml:space="preserve">also </w:t>
      </w:r>
      <w:r w:rsidR="007561BD">
        <w:rPr>
          <w:lang w:val="en-US" w:eastAsia="en-US"/>
        </w:rPr>
        <w:t xml:space="preserve">not necessarily simpler: </w:t>
      </w:r>
      <w:r w:rsidR="00175944" w:rsidRPr="00175944">
        <w:rPr>
          <w:lang w:val="en-US" w:eastAsia="en-US"/>
        </w:rPr>
        <w:t xml:space="preserve">additional information </w:t>
      </w:r>
      <w:r w:rsidR="002D5B5C">
        <w:rPr>
          <w:lang w:val="en-US" w:eastAsia="en-US"/>
        </w:rPr>
        <w:t xml:space="preserve">that is relevant or useful to energy consumers, and that is presented clearly and with minimal complexity, </w:t>
      </w:r>
      <w:r w:rsidR="00175944" w:rsidRPr="00175944">
        <w:rPr>
          <w:lang w:val="en-US" w:eastAsia="en-US"/>
        </w:rPr>
        <w:t>can make a bill easier to understand</w:t>
      </w:r>
      <w:r w:rsidR="007561BD">
        <w:rPr>
          <w:lang w:val="en-US" w:eastAsia="en-US"/>
        </w:rPr>
        <w:t>.</w:t>
      </w:r>
      <w:r w:rsidR="006A01E8">
        <w:rPr>
          <w:lang w:val="en-US" w:eastAsia="en-US"/>
        </w:rPr>
        <w:t xml:space="preserve"> </w:t>
      </w:r>
    </w:p>
    <w:p w14:paraId="7D886282" w14:textId="5102C4A2" w:rsidR="00E8226A" w:rsidRDefault="00E8226A" w:rsidP="0062095A">
      <w:pPr>
        <w:pStyle w:val="Heading4"/>
        <w:rPr>
          <w:lang w:val="en-US" w:eastAsia="en-US"/>
        </w:rPr>
      </w:pPr>
      <w:r>
        <w:rPr>
          <w:lang w:val="en-US" w:eastAsia="en-US"/>
        </w:rPr>
        <w:t>Layout</w:t>
      </w:r>
    </w:p>
    <w:p w14:paraId="1F180B2A" w14:textId="7D7A0F9A" w:rsidR="00FA4EB9" w:rsidRDefault="00FA4EB9" w:rsidP="00FA4EB9">
      <w:pPr>
        <w:rPr>
          <w:lang w:val="en-US" w:eastAsia="en-US"/>
        </w:rPr>
      </w:pPr>
      <w:r>
        <w:rPr>
          <w:lang w:val="en-US" w:eastAsia="en-US"/>
        </w:rPr>
        <w:t xml:space="preserve">The </w:t>
      </w:r>
      <w:r w:rsidR="00175944">
        <w:rPr>
          <w:lang w:val="en-US" w:eastAsia="en-US"/>
        </w:rPr>
        <w:t xml:space="preserve">bill </w:t>
      </w:r>
      <w:r>
        <w:rPr>
          <w:lang w:val="en-US" w:eastAsia="en-US"/>
        </w:rPr>
        <w:t xml:space="preserve">layout </w:t>
      </w:r>
      <w:r w:rsidR="00984EB4">
        <w:rPr>
          <w:lang w:val="en-US" w:eastAsia="en-US"/>
        </w:rPr>
        <w:t xml:space="preserve">also </w:t>
      </w:r>
      <w:r w:rsidR="00FA5616">
        <w:rPr>
          <w:lang w:val="en-US" w:eastAsia="en-US"/>
        </w:rPr>
        <w:t xml:space="preserve">matters for </w:t>
      </w:r>
      <w:r>
        <w:rPr>
          <w:lang w:val="en-US" w:eastAsia="en-US"/>
        </w:rPr>
        <w:t xml:space="preserve">consumer comprehension and engagement. </w:t>
      </w:r>
      <w:r w:rsidR="00DA35E3">
        <w:rPr>
          <w:lang w:val="en-US" w:eastAsia="en-US"/>
        </w:rPr>
        <w:t>A European Commission</w:t>
      </w:r>
      <w:r>
        <w:rPr>
          <w:lang w:val="en-US" w:eastAsia="en-US"/>
        </w:rPr>
        <w:t xml:space="preserve"> (2018) </w:t>
      </w:r>
      <w:r w:rsidR="00DA35E3">
        <w:rPr>
          <w:lang w:val="en-US" w:eastAsia="en-US"/>
        </w:rPr>
        <w:t>study</w:t>
      </w:r>
      <w:r>
        <w:rPr>
          <w:lang w:val="en-US" w:eastAsia="en-US"/>
        </w:rPr>
        <w:t xml:space="preserve"> </w:t>
      </w:r>
      <w:r w:rsidR="00172E84">
        <w:rPr>
          <w:lang w:val="en-US" w:eastAsia="en-US"/>
        </w:rPr>
        <w:t xml:space="preserve">finds </w:t>
      </w:r>
      <w:r>
        <w:rPr>
          <w:lang w:val="en-US" w:eastAsia="en-US"/>
        </w:rPr>
        <w:t>a ‘best practice’ bill</w:t>
      </w:r>
      <w:r w:rsidR="00172E84">
        <w:rPr>
          <w:lang w:val="en-US" w:eastAsia="en-US"/>
        </w:rPr>
        <w:t>,</w:t>
      </w:r>
      <w:r>
        <w:rPr>
          <w:lang w:val="en-US" w:eastAsia="en-US"/>
        </w:rPr>
        <w:t xml:space="preserve"> </w:t>
      </w:r>
      <w:r w:rsidR="00016A6E">
        <w:rPr>
          <w:lang w:val="en-US" w:eastAsia="en-US"/>
        </w:rPr>
        <w:t>which</w:t>
      </w:r>
      <w:r>
        <w:rPr>
          <w:lang w:val="en-US" w:eastAsia="en-US"/>
        </w:rPr>
        <w:t xml:space="preserve"> clearly and coherently la</w:t>
      </w:r>
      <w:r w:rsidR="00172E84">
        <w:rPr>
          <w:lang w:val="en-US" w:eastAsia="en-US"/>
        </w:rPr>
        <w:t>ys</w:t>
      </w:r>
      <w:r>
        <w:rPr>
          <w:lang w:val="en-US" w:eastAsia="en-US"/>
        </w:rPr>
        <w:t xml:space="preserve"> out </w:t>
      </w:r>
      <w:r w:rsidR="00A07199">
        <w:rPr>
          <w:lang w:val="en-US" w:eastAsia="en-US"/>
        </w:rPr>
        <w:t xml:space="preserve">important </w:t>
      </w:r>
      <w:r>
        <w:rPr>
          <w:lang w:val="en-US" w:eastAsia="en-US"/>
        </w:rPr>
        <w:t>information</w:t>
      </w:r>
      <w:r w:rsidR="00172E84">
        <w:rPr>
          <w:lang w:val="en-US" w:eastAsia="en-US"/>
        </w:rPr>
        <w:t>,</w:t>
      </w:r>
      <w:r>
        <w:rPr>
          <w:lang w:val="en-US" w:eastAsia="en-US"/>
        </w:rPr>
        <w:t xml:space="preserve"> increase</w:t>
      </w:r>
      <w:r w:rsidR="00172E84">
        <w:rPr>
          <w:lang w:val="en-US" w:eastAsia="en-US"/>
        </w:rPr>
        <w:t>s</w:t>
      </w:r>
      <w:r>
        <w:rPr>
          <w:lang w:val="en-US" w:eastAsia="en-US"/>
        </w:rPr>
        <w:t xml:space="preserve"> the number of correct comprehension answers from participants when compared with a ‘current market practice’ layout. At the same time, consumers rate</w:t>
      </w:r>
      <w:r w:rsidR="00FA5616">
        <w:rPr>
          <w:lang w:val="en-US" w:eastAsia="en-US"/>
        </w:rPr>
        <w:t>d</w:t>
      </w:r>
      <w:r>
        <w:rPr>
          <w:lang w:val="en-US" w:eastAsia="en-US"/>
        </w:rPr>
        <w:t xml:space="preserve"> </w:t>
      </w:r>
      <w:r w:rsidR="00DA35E3">
        <w:rPr>
          <w:lang w:val="en-US" w:eastAsia="en-US"/>
        </w:rPr>
        <w:t xml:space="preserve">the ‘best practice’ bill higher </w:t>
      </w:r>
      <w:r w:rsidR="00FA5616">
        <w:rPr>
          <w:lang w:val="en-US" w:eastAsia="en-US"/>
        </w:rPr>
        <w:t>o</w:t>
      </w:r>
      <w:r>
        <w:rPr>
          <w:lang w:val="en-US" w:eastAsia="en-US"/>
        </w:rPr>
        <w:t xml:space="preserve">n subjective measures of how easy </w:t>
      </w:r>
      <w:r w:rsidR="00DA35E3">
        <w:rPr>
          <w:lang w:val="en-US" w:eastAsia="en-US"/>
        </w:rPr>
        <w:t>it</w:t>
      </w:r>
      <w:r>
        <w:rPr>
          <w:lang w:val="en-US" w:eastAsia="en-US"/>
        </w:rPr>
        <w:t xml:space="preserve"> </w:t>
      </w:r>
      <w:r w:rsidR="00172E84">
        <w:rPr>
          <w:lang w:val="en-US" w:eastAsia="en-US"/>
        </w:rPr>
        <w:t xml:space="preserve">is </w:t>
      </w:r>
      <w:r>
        <w:rPr>
          <w:lang w:val="en-US" w:eastAsia="en-US"/>
        </w:rPr>
        <w:t>to understand.</w:t>
      </w:r>
    </w:p>
    <w:p w14:paraId="2258603F" w14:textId="0956003F" w:rsidR="00FA4EB9" w:rsidRDefault="00FA4EB9" w:rsidP="00FA4EB9">
      <w:pPr>
        <w:rPr>
          <w:lang w:val="en-US" w:eastAsia="en-US"/>
        </w:rPr>
      </w:pPr>
      <w:r>
        <w:rPr>
          <w:lang w:val="en-US" w:eastAsia="en-US"/>
        </w:rPr>
        <w:t xml:space="preserve">The most important factor in the layout of a bill is the first page. Consumers primarily look at what is on the front page of </w:t>
      </w:r>
      <w:r w:rsidR="00F169F6">
        <w:rPr>
          <w:lang w:val="en-US" w:eastAsia="en-US"/>
        </w:rPr>
        <w:t xml:space="preserve">a </w:t>
      </w:r>
      <w:r>
        <w:rPr>
          <w:lang w:val="en-US" w:eastAsia="en-US"/>
        </w:rPr>
        <w:t>bill and like having the most important information available upfront (</w:t>
      </w:r>
      <w:r w:rsidR="0083467D">
        <w:rPr>
          <w:lang w:val="en-US" w:eastAsia="en-US"/>
        </w:rPr>
        <w:t>BEWorks, 2016 p21</w:t>
      </w:r>
      <w:r w:rsidR="00A463D3">
        <w:rPr>
          <w:lang w:val="en-US" w:eastAsia="en-US"/>
        </w:rPr>
        <w:t xml:space="preserve">; </w:t>
      </w:r>
      <w:r>
        <w:rPr>
          <w:lang w:val="en-US" w:eastAsia="en-US"/>
        </w:rPr>
        <w:t>Ofgem</w:t>
      </w:r>
      <w:r w:rsidR="00F73A84">
        <w:rPr>
          <w:lang w:val="en-US" w:eastAsia="en-US"/>
        </w:rPr>
        <w:t>,</w:t>
      </w:r>
      <w:r>
        <w:rPr>
          <w:lang w:val="en-US" w:eastAsia="en-US"/>
        </w:rPr>
        <w:t xml:space="preserve"> 2009</w:t>
      </w:r>
      <w:r w:rsidR="00A463D3">
        <w:rPr>
          <w:lang w:val="en-US" w:eastAsia="en-US"/>
        </w:rPr>
        <w:t xml:space="preserve"> pp17&amp;28</w:t>
      </w:r>
      <w:r w:rsidRPr="00401C17">
        <w:rPr>
          <w:lang w:val="en-US" w:eastAsia="en-US"/>
        </w:rPr>
        <w:t xml:space="preserve">). </w:t>
      </w:r>
      <w:r w:rsidR="00362A59" w:rsidRPr="00401C17">
        <w:rPr>
          <w:lang w:val="en-US" w:eastAsia="en-US"/>
        </w:rPr>
        <w:t>BETA’s</w:t>
      </w:r>
      <w:r w:rsidRPr="00401C17">
        <w:rPr>
          <w:lang w:val="en-US" w:eastAsia="en-US"/>
        </w:rPr>
        <w:t xml:space="preserve"> </w:t>
      </w:r>
      <w:r w:rsidR="00C07618" w:rsidRPr="00401C17">
        <w:rPr>
          <w:lang w:val="en-US" w:eastAsia="en-US"/>
        </w:rPr>
        <w:t>previous research</w:t>
      </w:r>
      <w:r w:rsidR="00AE6F4D" w:rsidRPr="00401C17">
        <w:rPr>
          <w:lang w:val="en-US" w:eastAsia="en-US"/>
        </w:rPr>
        <w:t xml:space="preserve"> using eye tracking</w:t>
      </w:r>
      <w:r w:rsidR="00175944">
        <w:rPr>
          <w:lang w:val="en-US" w:eastAsia="en-US"/>
        </w:rPr>
        <w:t xml:space="preserve"> suggests that</w:t>
      </w:r>
      <w:r w:rsidR="00C07618" w:rsidRPr="00401C17">
        <w:rPr>
          <w:lang w:val="en-US" w:eastAsia="en-US"/>
        </w:rPr>
        <w:t xml:space="preserve"> detailed information on the bill </w:t>
      </w:r>
      <w:r w:rsidR="00175944">
        <w:rPr>
          <w:lang w:val="en-US" w:eastAsia="en-US"/>
        </w:rPr>
        <w:t xml:space="preserve">may be </w:t>
      </w:r>
      <w:r w:rsidR="00C07618" w:rsidRPr="00401C17">
        <w:rPr>
          <w:lang w:val="en-US" w:eastAsia="en-US"/>
        </w:rPr>
        <w:t>rarely used</w:t>
      </w:r>
      <w:r w:rsidR="00175944">
        <w:rPr>
          <w:lang w:val="en-US" w:eastAsia="en-US"/>
        </w:rPr>
        <w:t xml:space="preserve"> (BETA, 2018). Although this user testing only involved a very small sample, it found </w:t>
      </w:r>
      <w:r w:rsidR="00865E1C" w:rsidRPr="00401C17">
        <w:rPr>
          <w:lang w:val="en-US" w:eastAsia="en-US"/>
        </w:rPr>
        <w:t>that consumers</w:t>
      </w:r>
      <w:r w:rsidR="00C07618" w:rsidRPr="00401C17">
        <w:rPr>
          <w:lang w:val="en-US" w:eastAsia="en-US"/>
        </w:rPr>
        <w:t xml:space="preserve"> want the bill</w:t>
      </w:r>
      <w:r w:rsidR="00865E1C" w:rsidRPr="00401C17">
        <w:rPr>
          <w:lang w:val="en-US" w:eastAsia="en-US"/>
        </w:rPr>
        <w:t>ing</w:t>
      </w:r>
      <w:r w:rsidR="00C07618" w:rsidRPr="00401C17">
        <w:rPr>
          <w:lang w:val="en-US" w:eastAsia="en-US"/>
        </w:rPr>
        <w:t xml:space="preserve"> period, due date, amount due, and discounts to appear upfront on the bill. </w:t>
      </w:r>
      <w:r w:rsidR="0083467D">
        <w:rPr>
          <w:lang w:val="en-US" w:eastAsia="en-US"/>
        </w:rPr>
        <w:t>In a different context, a</w:t>
      </w:r>
      <w:r w:rsidRPr="00401C17">
        <w:rPr>
          <w:lang w:val="en-US" w:eastAsia="en-US"/>
        </w:rPr>
        <w:t xml:space="preserve"> trial in the UK by the Financial</w:t>
      </w:r>
      <w:r>
        <w:rPr>
          <w:lang w:val="en-US" w:eastAsia="en-US"/>
        </w:rPr>
        <w:t xml:space="preserve"> Conduct Authority (2016) </w:t>
      </w:r>
      <w:r w:rsidR="00172E84">
        <w:rPr>
          <w:lang w:val="en-US" w:eastAsia="en-US"/>
        </w:rPr>
        <w:t xml:space="preserve">shows </w:t>
      </w:r>
      <w:r>
        <w:rPr>
          <w:lang w:val="en-US" w:eastAsia="en-US"/>
        </w:rPr>
        <w:t xml:space="preserve">that a disclosure intervention </w:t>
      </w:r>
      <w:r w:rsidR="00172E84">
        <w:rPr>
          <w:lang w:val="en-US" w:eastAsia="en-US"/>
        </w:rPr>
        <w:t>encouraging</w:t>
      </w:r>
      <w:r w:rsidR="003A2B86">
        <w:rPr>
          <w:lang w:val="en-US" w:eastAsia="en-US"/>
        </w:rPr>
        <w:t xml:space="preserve"> consumer switching</w:t>
      </w:r>
      <w:r>
        <w:rPr>
          <w:lang w:val="en-US" w:eastAsia="en-US"/>
        </w:rPr>
        <w:t xml:space="preserve"> </w:t>
      </w:r>
      <w:r w:rsidR="0083467D">
        <w:rPr>
          <w:lang w:val="en-US" w:eastAsia="en-US"/>
        </w:rPr>
        <w:t xml:space="preserve">between savings accounts </w:t>
      </w:r>
      <w:r>
        <w:rPr>
          <w:lang w:val="en-US" w:eastAsia="en-US"/>
        </w:rPr>
        <w:t>ha</w:t>
      </w:r>
      <w:r w:rsidR="00FA5616">
        <w:rPr>
          <w:lang w:val="en-US" w:eastAsia="en-US"/>
        </w:rPr>
        <w:t>d</w:t>
      </w:r>
      <w:r>
        <w:rPr>
          <w:lang w:val="en-US" w:eastAsia="en-US"/>
        </w:rPr>
        <w:t xml:space="preserve"> </w:t>
      </w:r>
      <w:r w:rsidR="003A2B86">
        <w:rPr>
          <w:lang w:val="en-US" w:eastAsia="en-US"/>
        </w:rPr>
        <w:t>a positive effect</w:t>
      </w:r>
      <w:r>
        <w:rPr>
          <w:lang w:val="en-US" w:eastAsia="en-US"/>
        </w:rPr>
        <w:t xml:space="preserve"> when </w:t>
      </w:r>
      <w:r w:rsidR="003A2B86">
        <w:rPr>
          <w:lang w:val="en-US" w:eastAsia="en-US"/>
        </w:rPr>
        <w:t xml:space="preserve">it </w:t>
      </w:r>
      <w:r w:rsidR="00FA5616">
        <w:rPr>
          <w:lang w:val="en-US" w:eastAsia="en-US"/>
        </w:rPr>
        <w:t xml:space="preserve">was </w:t>
      </w:r>
      <w:r>
        <w:rPr>
          <w:lang w:val="en-US" w:eastAsia="en-US"/>
        </w:rPr>
        <w:t xml:space="preserve">displayed on the front page, but no effect when displayed on the second or third pages. </w:t>
      </w:r>
    </w:p>
    <w:p w14:paraId="2E1DC772" w14:textId="594326A8" w:rsidR="000560E7" w:rsidRPr="000E09FD" w:rsidRDefault="000560E7" w:rsidP="0062095A">
      <w:pPr>
        <w:pStyle w:val="Heading3"/>
        <w:rPr>
          <w:b w:val="0"/>
          <w:lang w:val="en-US" w:eastAsia="en-US"/>
        </w:rPr>
      </w:pPr>
      <w:bookmarkStart w:id="60" w:name="_Toc68611259"/>
      <w:bookmarkStart w:id="61" w:name="_Toc68611280"/>
      <w:bookmarkStart w:id="62" w:name="_Toc68621176"/>
      <w:bookmarkStart w:id="63" w:name="_Toc68621217"/>
      <w:bookmarkStart w:id="64" w:name="_Toc68700451"/>
      <w:bookmarkStart w:id="65" w:name="_Toc68775863"/>
      <w:bookmarkStart w:id="66" w:name="_Toc68789268"/>
      <w:bookmarkStart w:id="67" w:name="_Toc68791936"/>
      <w:bookmarkStart w:id="68" w:name="_Toc86091075"/>
      <w:r>
        <w:rPr>
          <w:lang w:val="en-US" w:eastAsia="en-US"/>
        </w:rPr>
        <w:lastRenderedPageBreak/>
        <w:t xml:space="preserve">Stakeholder </w:t>
      </w:r>
      <w:r w:rsidR="00F73A84">
        <w:rPr>
          <w:lang w:val="en-US" w:eastAsia="en-US"/>
        </w:rPr>
        <w:t>f</w:t>
      </w:r>
      <w:r>
        <w:rPr>
          <w:lang w:val="en-US" w:eastAsia="en-US"/>
        </w:rPr>
        <w:t>eedback to AEMC</w:t>
      </w:r>
      <w:r w:rsidR="001C3D36">
        <w:rPr>
          <w:lang w:val="en-US" w:eastAsia="en-US"/>
        </w:rPr>
        <w:t>: complexity</w:t>
      </w:r>
      <w:bookmarkEnd w:id="60"/>
      <w:bookmarkEnd w:id="61"/>
      <w:bookmarkEnd w:id="62"/>
      <w:bookmarkEnd w:id="63"/>
      <w:bookmarkEnd w:id="64"/>
      <w:bookmarkEnd w:id="65"/>
      <w:r w:rsidR="006D1028">
        <w:rPr>
          <w:rStyle w:val="FootnoteReference"/>
        </w:rPr>
        <w:footnoteReference w:id="5"/>
      </w:r>
      <w:bookmarkEnd w:id="66"/>
      <w:bookmarkEnd w:id="67"/>
      <w:bookmarkEnd w:id="68"/>
    </w:p>
    <w:p w14:paraId="431D9439" w14:textId="0A52E539" w:rsidR="00902E76" w:rsidRDefault="00902E76" w:rsidP="00856856">
      <w:pPr>
        <w:pStyle w:val="Heading4"/>
        <w:rPr>
          <w:lang w:val="en-US" w:eastAsia="en-US"/>
        </w:rPr>
      </w:pPr>
      <w:r>
        <w:rPr>
          <w:lang w:val="en-US" w:eastAsia="en-US"/>
        </w:rPr>
        <w:t>Tariff structure</w:t>
      </w:r>
    </w:p>
    <w:p w14:paraId="455FBC4C" w14:textId="5DB739C0" w:rsidR="000E4454" w:rsidRDefault="001869A5" w:rsidP="009278FB">
      <w:pPr>
        <w:rPr>
          <w:lang w:val="en-US" w:eastAsia="en-US"/>
        </w:rPr>
      </w:pPr>
      <w:r w:rsidRPr="00F31E26">
        <w:rPr>
          <w:lang w:val="en-US" w:eastAsia="en-US"/>
        </w:rPr>
        <w:t xml:space="preserve">In their </w:t>
      </w:r>
      <w:r w:rsidRPr="009278FB">
        <w:t xml:space="preserve">submissions to the AEMC, </w:t>
      </w:r>
      <w:r w:rsidR="00F461B6">
        <w:t>e</w:t>
      </w:r>
      <w:r w:rsidRPr="009278FB">
        <w:t xml:space="preserve">nergy retailers broadly agree that energy bills are too long and too complex, but laid the blame for this </w:t>
      </w:r>
      <w:r w:rsidR="008057D4">
        <w:t>on</w:t>
      </w:r>
      <w:r w:rsidR="008057D4" w:rsidRPr="009278FB">
        <w:t xml:space="preserve"> </w:t>
      </w:r>
      <w:r w:rsidRPr="009278FB">
        <w:t xml:space="preserve">regulation creep within the existing </w:t>
      </w:r>
      <w:r w:rsidR="00902E76">
        <w:t>National Energy Retail Rules (</w:t>
      </w:r>
      <w:r w:rsidRPr="009278FB">
        <w:t>NERR</w:t>
      </w:r>
      <w:r w:rsidR="00902E76">
        <w:t>)</w:t>
      </w:r>
      <w:r w:rsidR="003A3968">
        <w:t xml:space="preserve"> </w:t>
      </w:r>
      <w:r w:rsidR="00CB037F" w:rsidRPr="009278FB">
        <w:t>(AGL submission, 2020)</w:t>
      </w:r>
      <w:r w:rsidRPr="009278FB">
        <w:t xml:space="preserve">. </w:t>
      </w:r>
      <w:r w:rsidR="00CB037F" w:rsidRPr="009278FB">
        <w:t>Alin</w:t>
      </w:r>
      <w:r w:rsidR="004E405F" w:rsidRPr="009278FB">
        <w:t xml:space="preserve">ta (2020) </w:t>
      </w:r>
      <w:r w:rsidR="004E405F" w:rsidRPr="00725B41">
        <w:t>s</w:t>
      </w:r>
      <w:r w:rsidR="00236750" w:rsidRPr="00725B41">
        <w:t>tate</w:t>
      </w:r>
      <w:r w:rsidR="00902E76" w:rsidRPr="00725B41">
        <w:t>s</w:t>
      </w:r>
      <w:r w:rsidR="004E405F" w:rsidRPr="00725B41">
        <w:t xml:space="preserve"> that “excess</w:t>
      </w:r>
      <w:r w:rsidR="004E405F" w:rsidRPr="009278FB">
        <w:t xml:space="preserve"> </w:t>
      </w:r>
      <w:r w:rsidR="00CB037F" w:rsidRPr="009278FB">
        <w:t xml:space="preserve">of regulation is what has caused the bills to be as complex as they currently are”. </w:t>
      </w:r>
      <w:r w:rsidR="00BC5A8F" w:rsidRPr="009278FB">
        <w:t>Several retailers referred to their own consumer research findings, in which customers expressed</w:t>
      </w:r>
      <w:r w:rsidR="00CB037F" w:rsidRPr="009278FB">
        <w:t xml:space="preserve"> a preference for shorter bills. For example, Energy</w:t>
      </w:r>
      <w:r w:rsidR="00F73A84">
        <w:t xml:space="preserve"> </w:t>
      </w:r>
      <w:r w:rsidR="00CB037F" w:rsidRPr="009278FB">
        <w:t>Australia’s</w:t>
      </w:r>
      <w:r w:rsidR="00160D10" w:rsidRPr="009278FB">
        <w:t xml:space="preserve"> (2020)</w:t>
      </w:r>
      <w:r w:rsidR="00CB037F" w:rsidRPr="009278FB">
        <w:t xml:space="preserve"> research </w:t>
      </w:r>
      <w:r w:rsidR="00172E84">
        <w:t>finds</w:t>
      </w:r>
      <w:r w:rsidR="00172E84" w:rsidRPr="009278FB">
        <w:t xml:space="preserve"> </w:t>
      </w:r>
      <w:r w:rsidR="00CB037F" w:rsidRPr="009278FB">
        <w:t>that customers want to know</w:t>
      </w:r>
      <w:r w:rsidR="003F5286">
        <w:t>:</w:t>
      </w:r>
      <w:r w:rsidR="00CB037F" w:rsidRPr="009278FB">
        <w:t xml:space="preserve"> </w:t>
      </w:r>
      <w:r w:rsidR="003F5286">
        <w:t>“</w:t>
      </w:r>
      <w:r w:rsidR="00CB037F" w:rsidRPr="009278FB">
        <w:t xml:space="preserve">Who is it for and from?”; </w:t>
      </w:r>
      <w:r w:rsidR="00902E76">
        <w:t>a</w:t>
      </w:r>
      <w:r w:rsidR="00902E76" w:rsidRPr="009278FB">
        <w:t xml:space="preserve">mount </w:t>
      </w:r>
      <w:r w:rsidR="00CB037F" w:rsidRPr="009278FB">
        <w:t xml:space="preserve">due, due date, and how to pay; </w:t>
      </w:r>
      <w:r w:rsidR="00F00E35">
        <w:t>b</w:t>
      </w:r>
      <w:r w:rsidR="00CB037F" w:rsidRPr="009278FB">
        <w:t>reakdo</w:t>
      </w:r>
      <w:r w:rsidR="004E405F" w:rsidRPr="009278FB">
        <w:t>wn of the costs involved</w:t>
      </w:r>
      <w:r w:rsidR="003F5286">
        <w:t>;</w:t>
      </w:r>
      <w:r w:rsidR="004E405F" w:rsidRPr="009278FB">
        <w:t xml:space="preserve"> itemis</w:t>
      </w:r>
      <w:r w:rsidR="00CB037F" w:rsidRPr="009278FB">
        <w:t>ed usage</w:t>
      </w:r>
      <w:r w:rsidR="003F5286">
        <w:t>;</w:t>
      </w:r>
      <w:r w:rsidR="00CB037F" w:rsidRPr="009278FB">
        <w:t xml:space="preserve"> benefits/discounts applied and rate changes; </w:t>
      </w:r>
      <w:r w:rsidR="003F5286">
        <w:t xml:space="preserve">and </w:t>
      </w:r>
      <w:r w:rsidR="00902E76">
        <w:t>us</w:t>
      </w:r>
      <w:r w:rsidR="00902E76" w:rsidRPr="009278FB">
        <w:t xml:space="preserve">age </w:t>
      </w:r>
      <w:r w:rsidR="00CB037F" w:rsidRPr="009278FB">
        <w:t>summaries a</w:t>
      </w:r>
      <w:r w:rsidR="009448D1">
        <w:t xml:space="preserve">nd comparisons (year on year). </w:t>
      </w:r>
      <w:r w:rsidR="00CB037F" w:rsidRPr="009278FB">
        <w:t>Likewise, Momentum Energy (2020) recommends mandating essential information for inclusion in the bill and “allowing a retailer to provide access to the other elements</w:t>
      </w:r>
      <w:r w:rsidR="00CB037F" w:rsidRPr="00F31E26">
        <w:rPr>
          <w:lang w:val="en-US" w:eastAsia="en-US"/>
        </w:rPr>
        <w:t xml:space="preserve"> of Rule 25 in a manner which is more in line with customer preferences”</w:t>
      </w:r>
      <w:r w:rsidR="00DC7235" w:rsidRPr="00F31E26">
        <w:rPr>
          <w:lang w:val="en-US" w:eastAsia="en-US"/>
        </w:rPr>
        <w:t xml:space="preserve"> to reduce complexity</w:t>
      </w:r>
      <w:r w:rsidR="00CB037F" w:rsidRPr="00F31E26">
        <w:rPr>
          <w:lang w:val="en-US" w:eastAsia="en-US"/>
        </w:rPr>
        <w:t>.</w:t>
      </w:r>
      <w:r w:rsidR="004E405F" w:rsidRPr="00F31E26">
        <w:rPr>
          <w:lang w:val="en-US" w:eastAsia="en-US"/>
        </w:rPr>
        <w:t xml:space="preserve"> </w:t>
      </w:r>
    </w:p>
    <w:p w14:paraId="77BE2C23" w14:textId="65F37643" w:rsidR="00DC7235" w:rsidRPr="009278FB" w:rsidRDefault="004E405F" w:rsidP="009278FB">
      <w:pPr>
        <w:rPr>
          <w:lang w:val="en-US" w:eastAsia="en-US"/>
        </w:rPr>
      </w:pPr>
      <w:r w:rsidRPr="00F31E26">
        <w:rPr>
          <w:lang w:val="en-US" w:eastAsia="en-US"/>
        </w:rPr>
        <w:t xml:space="preserve">While </w:t>
      </w:r>
      <w:r w:rsidR="00837AAD">
        <w:rPr>
          <w:lang w:val="en-US" w:eastAsia="en-US"/>
        </w:rPr>
        <w:t xml:space="preserve">energy retailers suggest that </w:t>
      </w:r>
      <w:r w:rsidRPr="00F31E26">
        <w:rPr>
          <w:lang w:val="en-US" w:eastAsia="en-US"/>
        </w:rPr>
        <w:t xml:space="preserve">customers might </w:t>
      </w:r>
      <w:r w:rsidRPr="009278FB">
        <w:rPr>
          <w:lang w:val="en-US" w:eastAsia="en-US"/>
        </w:rPr>
        <w:t xml:space="preserve">prefer </w:t>
      </w:r>
      <w:r w:rsidRPr="00F31E26">
        <w:rPr>
          <w:lang w:val="en-US" w:eastAsia="en-US"/>
        </w:rPr>
        <w:t xml:space="preserve">to see a simple </w:t>
      </w:r>
      <w:r w:rsidR="0039644D">
        <w:rPr>
          <w:lang w:val="en-US" w:eastAsia="en-US"/>
        </w:rPr>
        <w:t xml:space="preserve">bill most of the time, </w:t>
      </w:r>
      <w:r w:rsidR="008057D4">
        <w:rPr>
          <w:lang w:val="en-US" w:eastAsia="en-US"/>
        </w:rPr>
        <w:t xml:space="preserve">the </w:t>
      </w:r>
      <w:r w:rsidR="00DC7235" w:rsidRPr="00F31E26">
        <w:rPr>
          <w:lang w:val="en-US" w:eastAsia="en-US"/>
        </w:rPr>
        <w:t xml:space="preserve">Queensland Council of Social Services </w:t>
      </w:r>
      <w:r w:rsidR="008057D4">
        <w:rPr>
          <w:lang w:val="en-US" w:eastAsia="en-US"/>
        </w:rPr>
        <w:t xml:space="preserve">(2020) </w:t>
      </w:r>
      <w:r w:rsidR="00DC7235" w:rsidRPr="00F31E26">
        <w:rPr>
          <w:lang w:val="en-US" w:eastAsia="en-US"/>
        </w:rPr>
        <w:t xml:space="preserve">points out that </w:t>
      </w:r>
      <w:r w:rsidR="008057D4">
        <w:rPr>
          <w:lang w:val="en-US" w:eastAsia="en-US"/>
        </w:rPr>
        <w:t>an</w:t>
      </w:r>
      <w:r w:rsidR="008057D4" w:rsidRPr="00F31E26">
        <w:rPr>
          <w:lang w:val="en-US" w:eastAsia="en-US"/>
        </w:rPr>
        <w:t xml:space="preserve"> </w:t>
      </w:r>
      <w:r w:rsidR="00DC7235" w:rsidRPr="00F31E26">
        <w:rPr>
          <w:lang w:val="en-US" w:eastAsia="en-US"/>
        </w:rPr>
        <w:t xml:space="preserve">energy bill is </w:t>
      </w:r>
      <w:r w:rsidR="008057D4">
        <w:rPr>
          <w:lang w:val="en-US" w:eastAsia="en-US"/>
        </w:rPr>
        <w:t>a</w:t>
      </w:r>
      <w:r w:rsidR="00DC7235" w:rsidRPr="00F31E26">
        <w:rPr>
          <w:lang w:val="en-US" w:eastAsia="en-US"/>
        </w:rPr>
        <w:t xml:space="preserve"> starting point </w:t>
      </w:r>
      <w:r w:rsidRPr="00F31E26">
        <w:rPr>
          <w:lang w:val="en-US" w:eastAsia="en-US"/>
        </w:rPr>
        <w:t xml:space="preserve">when considering switching plans or </w:t>
      </w:r>
      <w:r w:rsidR="00943F3C" w:rsidRPr="00F31E26">
        <w:rPr>
          <w:lang w:val="en-US" w:eastAsia="en-US"/>
        </w:rPr>
        <w:t xml:space="preserve">deciding to invest </w:t>
      </w:r>
      <w:r w:rsidRPr="00F31E26">
        <w:rPr>
          <w:lang w:val="en-US" w:eastAsia="en-US"/>
        </w:rPr>
        <w:t>in solar or batteries</w:t>
      </w:r>
      <w:r w:rsidR="00DC7235" w:rsidRPr="00F31E26">
        <w:rPr>
          <w:lang w:val="en-US" w:eastAsia="en-US"/>
        </w:rPr>
        <w:t xml:space="preserve">, </w:t>
      </w:r>
      <w:r w:rsidR="00D71C75">
        <w:rPr>
          <w:lang w:val="en-US" w:eastAsia="en-US"/>
        </w:rPr>
        <w:t xml:space="preserve">and that </w:t>
      </w:r>
      <w:r w:rsidR="00DC7235" w:rsidRPr="009278FB">
        <w:rPr>
          <w:lang w:val="en-US" w:eastAsia="en-US"/>
        </w:rPr>
        <w:t>“</w:t>
      </w:r>
      <w:r w:rsidR="00D71C75">
        <w:rPr>
          <w:lang w:val="en-US" w:eastAsia="en-US"/>
        </w:rPr>
        <w:t>i</w:t>
      </w:r>
      <w:r w:rsidR="00DC7235" w:rsidRPr="009278FB">
        <w:rPr>
          <w:lang w:val="en-US" w:eastAsia="en-US"/>
        </w:rPr>
        <w:t>f the bill is not understandable or not sufficiently comparable, these can be barriers to taking action or making decisions”</w:t>
      </w:r>
      <w:r w:rsidR="00F31E26" w:rsidRPr="009278FB">
        <w:rPr>
          <w:lang w:val="en-US" w:eastAsia="en-US"/>
        </w:rPr>
        <w:t xml:space="preserve"> (2020).</w:t>
      </w:r>
      <w:r w:rsidR="00DC7235" w:rsidRPr="009278FB">
        <w:rPr>
          <w:lang w:val="en-US" w:eastAsia="en-US"/>
        </w:rPr>
        <w:t xml:space="preserve"> Essential Services </w:t>
      </w:r>
      <w:r w:rsidR="000E4454">
        <w:rPr>
          <w:lang w:val="en-US" w:eastAsia="en-US"/>
        </w:rPr>
        <w:t>C</w:t>
      </w:r>
      <w:r w:rsidR="00DC7235" w:rsidRPr="009278FB">
        <w:rPr>
          <w:lang w:val="en-US" w:eastAsia="en-US"/>
        </w:rPr>
        <w:t>onsultative Group members reported that clients facing hardship and experiencing difficulties with bill payment had major difficulty understanding their bills</w:t>
      </w:r>
      <w:r w:rsidR="0039644D">
        <w:rPr>
          <w:lang w:val="en-US" w:eastAsia="en-US"/>
        </w:rPr>
        <w:t>. These difficulties are</w:t>
      </w:r>
      <w:r w:rsidR="00DC7235" w:rsidRPr="009278FB">
        <w:rPr>
          <w:lang w:val="en-US" w:eastAsia="en-US"/>
        </w:rPr>
        <w:t xml:space="preserve"> due to </w:t>
      </w:r>
      <w:r w:rsidR="0039644D">
        <w:rPr>
          <w:lang w:val="en-US" w:eastAsia="en-US"/>
        </w:rPr>
        <w:t>bills</w:t>
      </w:r>
      <w:r w:rsidR="006D38F9">
        <w:rPr>
          <w:lang w:val="en-US" w:eastAsia="en-US"/>
        </w:rPr>
        <w:t>’</w:t>
      </w:r>
      <w:r w:rsidR="00DC7235" w:rsidRPr="009278FB">
        <w:rPr>
          <w:lang w:val="en-US" w:eastAsia="en-US"/>
        </w:rPr>
        <w:t xml:space="preserve"> overall complexity, inconsistent and changing formats, information density</w:t>
      </w:r>
      <w:r w:rsidR="00902E76">
        <w:rPr>
          <w:lang w:val="en-US" w:eastAsia="en-US"/>
        </w:rPr>
        <w:t>,</w:t>
      </w:r>
      <w:r w:rsidR="00DC7235" w:rsidRPr="006D38F9">
        <w:rPr>
          <w:lang w:val="en-US" w:eastAsia="en-US"/>
        </w:rPr>
        <w:t xml:space="preserve"> illogical </w:t>
      </w:r>
      <w:r w:rsidR="00902E76" w:rsidRPr="006D38F9">
        <w:rPr>
          <w:lang w:val="en-US" w:eastAsia="en-US"/>
        </w:rPr>
        <w:t>organis</w:t>
      </w:r>
      <w:r w:rsidR="00902E76">
        <w:rPr>
          <w:lang w:val="en-US" w:eastAsia="en-US"/>
        </w:rPr>
        <w:t>ation</w:t>
      </w:r>
      <w:r w:rsidR="00DC7235" w:rsidRPr="009278FB">
        <w:rPr>
          <w:lang w:val="en-US" w:eastAsia="en-US"/>
        </w:rPr>
        <w:t xml:space="preserve">, and gaps in the bill content </w:t>
      </w:r>
      <w:r w:rsidR="00DC7235" w:rsidRPr="00F31E26">
        <w:rPr>
          <w:lang w:val="en-US" w:eastAsia="en-US"/>
        </w:rPr>
        <w:t xml:space="preserve">(Queensland Council of Social Services, 2020). </w:t>
      </w:r>
    </w:p>
    <w:p w14:paraId="555A2092" w14:textId="35AC25F9" w:rsidR="000E4454" w:rsidRDefault="00160D10" w:rsidP="000560E7">
      <w:pPr>
        <w:rPr>
          <w:lang w:val="en-US" w:eastAsia="en-US"/>
        </w:rPr>
      </w:pPr>
      <w:r>
        <w:rPr>
          <w:lang w:val="en-US" w:eastAsia="en-US"/>
        </w:rPr>
        <w:t xml:space="preserve">Although </w:t>
      </w:r>
      <w:r w:rsidR="00A37587">
        <w:rPr>
          <w:lang w:val="en-US" w:eastAsia="en-US"/>
        </w:rPr>
        <w:t>energy</w:t>
      </w:r>
      <w:r>
        <w:rPr>
          <w:lang w:val="en-US" w:eastAsia="en-US"/>
        </w:rPr>
        <w:t xml:space="preserve"> retailers blame the complexity of bills on the </w:t>
      </w:r>
      <w:r w:rsidR="00943F3C">
        <w:rPr>
          <w:lang w:val="en-US" w:eastAsia="en-US"/>
        </w:rPr>
        <w:t xml:space="preserve">existing </w:t>
      </w:r>
      <w:r>
        <w:rPr>
          <w:lang w:val="en-US" w:eastAsia="en-US"/>
        </w:rPr>
        <w:t>regulations, there are additional sources of complexity. Accurassi (2020), a company that runs a comparison service, and Powerpal (2020), a company that installs h</w:t>
      </w:r>
      <w:r w:rsidR="00943F3C">
        <w:rPr>
          <w:lang w:val="en-US" w:eastAsia="en-US"/>
        </w:rPr>
        <w:t>ome energy monitors, have</w:t>
      </w:r>
      <w:r>
        <w:rPr>
          <w:lang w:val="en-US" w:eastAsia="en-US"/>
        </w:rPr>
        <w:t xml:space="preserve"> experience trying to read and interpret bills from different companies</w:t>
      </w:r>
      <w:r w:rsidR="006230CA">
        <w:rPr>
          <w:lang w:val="en-US" w:eastAsia="en-US"/>
        </w:rPr>
        <w:t xml:space="preserve">. Accurassi </w:t>
      </w:r>
      <w:r>
        <w:rPr>
          <w:lang w:val="en-US" w:eastAsia="en-US"/>
        </w:rPr>
        <w:t>attribute</w:t>
      </w:r>
      <w:r w:rsidR="006230CA">
        <w:rPr>
          <w:lang w:val="en-US" w:eastAsia="en-US"/>
        </w:rPr>
        <w:t>s</w:t>
      </w:r>
      <w:r>
        <w:rPr>
          <w:lang w:val="en-US" w:eastAsia="en-US"/>
        </w:rPr>
        <w:t xml:space="preserve"> the complexity in comprehending energy bills to “multiple pages, multiple periods which contain rate var</w:t>
      </w:r>
      <w:r w:rsidR="00943F3C">
        <w:rPr>
          <w:lang w:val="en-US" w:eastAsia="en-US"/>
        </w:rPr>
        <w:t xml:space="preserve">iations (eg. </w:t>
      </w:r>
      <w:r w:rsidR="008A4488">
        <w:rPr>
          <w:lang w:val="en-US" w:eastAsia="en-US"/>
        </w:rPr>
        <w:t>especially</w:t>
      </w:r>
      <w:r w:rsidR="00943F3C">
        <w:rPr>
          <w:lang w:val="en-US" w:eastAsia="en-US"/>
        </w:rPr>
        <w:t xml:space="preserve"> f</w:t>
      </w:r>
      <w:r>
        <w:rPr>
          <w:lang w:val="en-US" w:eastAsia="en-US"/>
        </w:rPr>
        <w:t>or three</w:t>
      </w:r>
      <w:r w:rsidR="00304F20">
        <w:rPr>
          <w:lang w:val="en-US" w:eastAsia="en-US"/>
        </w:rPr>
        <w:t>-</w:t>
      </w:r>
      <w:r>
        <w:rPr>
          <w:lang w:val="en-US" w:eastAsia="en-US"/>
        </w:rPr>
        <w:t>monthly bills), complex to understand plan types,</w:t>
      </w:r>
      <w:r w:rsidR="00943F3C">
        <w:rPr>
          <w:lang w:val="en-US" w:eastAsia="en-US"/>
        </w:rPr>
        <w:t xml:space="preserve"> and</w:t>
      </w:r>
      <w:r>
        <w:rPr>
          <w:lang w:val="en-US" w:eastAsia="en-US"/>
        </w:rPr>
        <w:t xml:space="preserve"> rate types</w:t>
      </w:r>
      <w:r w:rsidR="006230CA">
        <w:rPr>
          <w:lang w:val="en-US" w:eastAsia="en-US"/>
        </w:rPr>
        <w:t>”. Similarly, Powerpal says</w:t>
      </w:r>
      <w:r>
        <w:rPr>
          <w:lang w:val="en-US" w:eastAsia="en-US"/>
        </w:rPr>
        <w:t xml:space="preserve"> </w:t>
      </w:r>
      <w:r w:rsidR="006230CA">
        <w:rPr>
          <w:lang w:val="en-US" w:eastAsia="en-US"/>
        </w:rPr>
        <w:t>“</w:t>
      </w:r>
      <w:r>
        <w:rPr>
          <w:lang w:val="en-US" w:eastAsia="en-US"/>
        </w:rPr>
        <w:t xml:space="preserve">there is a lack of consistency as to how pricing structures and conditional discounts are presented between </w:t>
      </w:r>
      <w:r w:rsidR="00902E76">
        <w:rPr>
          <w:lang w:val="en-US" w:eastAsia="en-US"/>
        </w:rPr>
        <w:t>retailers</w:t>
      </w:r>
      <w:r>
        <w:rPr>
          <w:lang w:val="en-US" w:eastAsia="en-US"/>
        </w:rPr>
        <w:t xml:space="preserve"> which makes it challenging to accurately read tariff information from bills”</w:t>
      </w:r>
      <w:r w:rsidR="006230CA">
        <w:rPr>
          <w:lang w:val="en-US" w:eastAsia="en-US"/>
        </w:rPr>
        <w:t>.</w:t>
      </w:r>
    </w:p>
    <w:p w14:paraId="1A7FA9FC" w14:textId="0F0EA488" w:rsidR="00902E76" w:rsidRDefault="00902E76" w:rsidP="00856856">
      <w:pPr>
        <w:pStyle w:val="Heading4"/>
        <w:rPr>
          <w:lang w:val="en-US" w:eastAsia="en-US"/>
        </w:rPr>
      </w:pPr>
      <w:r>
        <w:rPr>
          <w:lang w:val="en-US" w:eastAsia="en-US"/>
        </w:rPr>
        <w:lastRenderedPageBreak/>
        <w:t>Technical language</w:t>
      </w:r>
    </w:p>
    <w:p w14:paraId="7DC1BF02" w14:textId="1FE9E4A6" w:rsidR="00943F3C" w:rsidRDefault="00160D10" w:rsidP="000560E7">
      <w:pPr>
        <w:rPr>
          <w:lang w:val="en-US" w:eastAsia="en-US"/>
        </w:rPr>
      </w:pPr>
      <w:r>
        <w:rPr>
          <w:lang w:val="en-US" w:eastAsia="en-US"/>
        </w:rPr>
        <w:t>Th</w:t>
      </w:r>
      <w:r w:rsidR="00392297">
        <w:rPr>
          <w:lang w:val="en-US" w:eastAsia="en-US"/>
        </w:rPr>
        <w:t>e</w:t>
      </w:r>
      <w:r w:rsidR="00E35B88">
        <w:rPr>
          <w:lang w:val="en-US" w:eastAsia="en-US"/>
        </w:rPr>
        <w:t xml:space="preserve"> Energy and Water Ombudsmen for</w:t>
      </w:r>
      <w:r>
        <w:rPr>
          <w:lang w:val="en-US" w:eastAsia="en-US"/>
        </w:rPr>
        <w:t xml:space="preserve"> </w:t>
      </w:r>
      <w:r w:rsidR="00A37587">
        <w:rPr>
          <w:lang w:val="en-US" w:eastAsia="en-US"/>
        </w:rPr>
        <w:t>South Australia</w:t>
      </w:r>
      <w:r>
        <w:rPr>
          <w:lang w:val="en-US" w:eastAsia="en-US"/>
        </w:rPr>
        <w:t xml:space="preserve">, </w:t>
      </w:r>
      <w:r w:rsidR="00A37587">
        <w:rPr>
          <w:lang w:val="en-US" w:eastAsia="en-US"/>
        </w:rPr>
        <w:t>New South Wales</w:t>
      </w:r>
      <w:r>
        <w:rPr>
          <w:lang w:val="en-US" w:eastAsia="en-US"/>
        </w:rPr>
        <w:t xml:space="preserve">, Queensland and Victoria </w:t>
      </w:r>
      <w:r w:rsidR="00392297">
        <w:rPr>
          <w:lang w:val="en-US" w:eastAsia="en-US"/>
        </w:rPr>
        <w:t>prepared a joint submission</w:t>
      </w:r>
      <w:r w:rsidR="005B0AB6">
        <w:rPr>
          <w:lang w:val="en-US" w:eastAsia="en-US"/>
        </w:rPr>
        <w:t xml:space="preserve"> </w:t>
      </w:r>
      <w:r>
        <w:rPr>
          <w:lang w:val="en-US" w:eastAsia="en-US"/>
        </w:rPr>
        <w:t>based on their complaints data</w:t>
      </w:r>
      <w:r w:rsidR="000E4454">
        <w:rPr>
          <w:lang w:val="en-US" w:eastAsia="en-US"/>
        </w:rPr>
        <w:t xml:space="preserve"> (</w:t>
      </w:r>
      <w:r w:rsidR="00E35B88">
        <w:rPr>
          <w:lang w:val="en-US" w:eastAsia="en-US"/>
        </w:rPr>
        <w:t xml:space="preserve">EWON, EWOV, EWOQ and EWOSA, </w:t>
      </w:r>
      <w:r w:rsidR="000E4454">
        <w:rPr>
          <w:lang w:val="en-US" w:eastAsia="en-US"/>
        </w:rPr>
        <w:t>2020)</w:t>
      </w:r>
      <w:r>
        <w:rPr>
          <w:lang w:val="en-US" w:eastAsia="en-US"/>
        </w:rPr>
        <w:t>.</w:t>
      </w:r>
      <w:r w:rsidR="006226E4">
        <w:rPr>
          <w:lang w:val="en-US" w:eastAsia="en-US"/>
        </w:rPr>
        <w:t xml:space="preserve"> </w:t>
      </w:r>
      <w:r w:rsidR="005B0AB6">
        <w:rPr>
          <w:lang w:val="en-US" w:eastAsia="en-US"/>
        </w:rPr>
        <w:t>T</w:t>
      </w:r>
      <w:r w:rsidR="006226E4">
        <w:rPr>
          <w:lang w:val="en-US" w:eastAsia="en-US"/>
        </w:rPr>
        <w:t xml:space="preserve">hey mention that nomenclature is confusing (controlled load tariffs are often confused with off-peak tariffs) </w:t>
      </w:r>
      <w:r w:rsidR="008057D4">
        <w:rPr>
          <w:lang w:val="en-US" w:eastAsia="en-US"/>
        </w:rPr>
        <w:t>and</w:t>
      </w:r>
      <w:r w:rsidR="006226E4">
        <w:rPr>
          <w:lang w:val="en-US" w:eastAsia="en-US"/>
        </w:rPr>
        <w:t xml:space="preserve"> tariffs are not clearly labelled</w:t>
      </w:r>
      <w:r w:rsidR="008057D4">
        <w:rPr>
          <w:lang w:val="en-US" w:eastAsia="en-US"/>
        </w:rPr>
        <w:t>. F</w:t>
      </w:r>
      <w:r w:rsidR="006226E4">
        <w:rPr>
          <w:lang w:val="en-US" w:eastAsia="en-US"/>
        </w:rPr>
        <w:t>or example</w:t>
      </w:r>
      <w:r w:rsidR="008057D4">
        <w:rPr>
          <w:lang w:val="en-US" w:eastAsia="en-US"/>
        </w:rPr>
        <w:t>,</w:t>
      </w:r>
      <w:r w:rsidR="006226E4">
        <w:rPr>
          <w:lang w:val="en-US" w:eastAsia="en-US"/>
        </w:rPr>
        <w:t xml:space="preserve"> business tariffs are not explicitly </w:t>
      </w:r>
      <w:r w:rsidR="00943F3C">
        <w:rPr>
          <w:lang w:val="en-US" w:eastAsia="en-US"/>
        </w:rPr>
        <w:t xml:space="preserve">described </w:t>
      </w:r>
      <w:r w:rsidR="006226E4">
        <w:rPr>
          <w:lang w:val="en-US" w:eastAsia="en-US"/>
        </w:rPr>
        <w:t>on a customers</w:t>
      </w:r>
      <w:r w:rsidR="005B0AB6">
        <w:rPr>
          <w:lang w:val="en-US" w:eastAsia="en-US"/>
        </w:rPr>
        <w:t>’</w:t>
      </w:r>
      <w:r w:rsidR="006226E4">
        <w:rPr>
          <w:lang w:val="en-US" w:eastAsia="en-US"/>
        </w:rPr>
        <w:t xml:space="preserve"> bill, </w:t>
      </w:r>
      <w:r w:rsidR="005B0AB6">
        <w:rPr>
          <w:lang w:val="en-US" w:eastAsia="en-US"/>
        </w:rPr>
        <w:t>causing</w:t>
      </w:r>
      <w:r w:rsidR="006226E4">
        <w:rPr>
          <w:lang w:val="en-US" w:eastAsia="en-US"/>
        </w:rPr>
        <w:t xml:space="preserve"> some customers to be charged at the wrong rate for extended periods.</w:t>
      </w:r>
      <w:r w:rsidR="00187973">
        <w:rPr>
          <w:lang w:val="en-US" w:eastAsia="en-US"/>
        </w:rPr>
        <w:t xml:space="preserve"> </w:t>
      </w:r>
    </w:p>
    <w:p w14:paraId="0C3D7B94" w14:textId="4642180C" w:rsidR="00187973" w:rsidRDefault="00187973" w:rsidP="00187973">
      <w:r>
        <w:rPr>
          <w:lang w:val="en-US" w:eastAsia="en-US"/>
        </w:rPr>
        <w:t>The proposal to standardise</w:t>
      </w:r>
      <w:r w:rsidR="006226E4">
        <w:rPr>
          <w:lang w:val="en-US" w:eastAsia="en-US"/>
        </w:rPr>
        <w:t xml:space="preserve"> the</w:t>
      </w:r>
      <w:r>
        <w:rPr>
          <w:lang w:val="en-US" w:eastAsia="en-US"/>
        </w:rPr>
        <w:t xml:space="preserve"> technical language</w:t>
      </w:r>
      <w:r w:rsidR="00E37C32">
        <w:rPr>
          <w:lang w:val="en-US" w:eastAsia="en-US"/>
        </w:rPr>
        <w:t xml:space="preserve"> used</w:t>
      </w:r>
      <w:r>
        <w:rPr>
          <w:lang w:val="en-US" w:eastAsia="en-US"/>
        </w:rPr>
        <w:t xml:space="preserve"> </w:t>
      </w:r>
      <w:r w:rsidRPr="00865492">
        <w:rPr>
          <w:lang w:val="en-US" w:eastAsia="en-US"/>
        </w:rPr>
        <w:t xml:space="preserve">in </w:t>
      </w:r>
      <w:r w:rsidR="00A37587" w:rsidRPr="00865492">
        <w:rPr>
          <w:lang w:val="en-US" w:eastAsia="en-US"/>
        </w:rPr>
        <w:t>e</w:t>
      </w:r>
      <w:r>
        <w:rPr>
          <w:lang w:val="en-US" w:eastAsia="en-US"/>
        </w:rPr>
        <w:t>nergy bills enjoys broad support from</w:t>
      </w:r>
      <w:r w:rsidR="000E4454">
        <w:rPr>
          <w:lang w:val="en-US" w:eastAsia="en-US"/>
        </w:rPr>
        <w:t xml:space="preserve"> across</w:t>
      </w:r>
      <w:r>
        <w:rPr>
          <w:lang w:val="en-US" w:eastAsia="en-US"/>
        </w:rPr>
        <w:t xml:space="preserve"> the submissions</w:t>
      </w:r>
      <w:r w:rsidR="00705667">
        <w:rPr>
          <w:lang w:val="en-US" w:eastAsia="en-US"/>
        </w:rPr>
        <w:t>.</w:t>
      </w:r>
      <w:r>
        <w:rPr>
          <w:lang w:val="en-US" w:eastAsia="en-US"/>
        </w:rPr>
        <w:t xml:space="preserve"> Origin (2020) notes that “</w:t>
      </w:r>
      <w:r>
        <w:t>AER ought to establish a direction</w:t>
      </w:r>
      <w:r w:rsidR="00BE5FD0">
        <w:t>-</w:t>
      </w:r>
      <w:r>
        <w:t xml:space="preserve">setting out consistent and simple nomenclature not just for bills, but for use in all communications accessed by the </w:t>
      </w:r>
      <w:r w:rsidRPr="00865492">
        <w:t xml:space="preserve">customer such as Plan information documents and </w:t>
      </w:r>
      <w:r w:rsidR="000E4454" w:rsidRPr="00865492">
        <w:t>En</w:t>
      </w:r>
      <w:r w:rsidRPr="00865492">
        <w:t xml:space="preserve">ergy </w:t>
      </w:r>
      <w:r w:rsidR="000E4454" w:rsidRPr="00865492">
        <w:t>Made E</w:t>
      </w:r>
      <w:r w:rsidRPr="00865492">
        <w:t xml:space="preserve">asy.” AGL (2020) points out a table in </w:t>
      </w:r>
      <w:r w:rsidR="00A37587" w:rsidRPr="00865492">
        <w:t>the Retail Pricing Information Guidelines (</w:t>
      </w:r>
      <w:r w:rsidRPr="00865492">
        <w:t>RPIG</w:t>
      </w:r>
      <w:r w:rsidR="00A37587" w:rsidRPr="00865492">
        <w:t>)</w:t>
      </w:r>
      <w:r w:rsidR="000E4454" w:rsidRPr="00865492">
        <w:t xml:space="preserve"> already</w:t>
      </w:r>
      <w:r w:rsidRPr="00865492">
        <w:t xml:space="preserve"> covering energy language standardisation. While many submissions</w:t>
      </w:r>
      <w:r>
        <w:t xml:space="preserve"> draw attention to problematic terms and the desirability of plain language terms or presenting complex terms with clear definitions, no evidence indicat</w:t>
      </w:r>
      <w:r w:rsidR="00BE5FD0">
        <w:t>ed</w:t>
      </w:r>
      <w:r>
        <w:t xml:space="preserve"> which terms are preferable or objectively </w:t>
      </w:r>
      <w:r w:rsidR="00BE5FD0">
        <w:t>better</w:t>
      </w:r>
      <w:r w:rsidR="00864DFA">
        <w:t>.</w:t>
      </w:r>
      <w:r>
        <w:t xml:space="preserve"> </w:t>
      </w:r>
    </w:p>
    <w:p w14:paraId="6E387FC0" w14:textId="28D87947" w:rsidR="00393175" w:rsidRDefault="00A37587">
      <w:r w:rsidRPr="00A12D8F">
        <w:rPr>
          <w:lang w:val="en-US" w:eastAsia="en-US"/>
        </w:rPr>
        <w:t xml:space="preserve">Consumers </w:t>
      </w:r>
      <w:r>
        <w:rPr>
          <w:lang w:val="en-US" w:eastAsia="en-US"/>
        </w:rPr>
        <w:t>struggle with the</w:t>
      </w:r>
      <w:r w:rsidRPr="00A12D8F">
        <w:rPr>
          <w:lang w:val="en-US" w:eastAsia="en-US"/>
        </w:rPr>
        <w:t xml:space="preserve"> term </w:t>
      </w:r>
      <w:r w:rsidRPr="00B72411">
        <w:rPr>
          <w:lang w:val="en-US" w:eastAsia="en-US"/>
        </w:rPr>
        <w:t>kilowat</w:t>
      </w:r>
      <w:r w:rsidR="003D02A7">
        <w:rPr>
          <w:lang w:val="en-US" w:eastAsia="en-US"/>
        </w:rPr>
        <w:t>t-</w:t>
      </w:r>
      <w:r w:rsidRPr="00B72411">
        <w:rPr>
          <w:lang w:val="en-US" w:eastAsia="en-US"/>
        </w:rPr>
        <w:t>hours</w:t>
      </w:r>
      <w:r>
        <w:rPr>
          <w:i/>
          <w:lang w:val="en-US" w:eastAsia="en-US"/>
        </w:rPr>
        <w:t>.</w:t>
      </w:r>
      <w:r>
        <w:rPr>
          <w:lang w:val="en-US" w:eastAsia="en-US"/>
        </w:rPr>
        <w:t xml:space="preserve"> Powerpal (2020) states that “The breakdo</w:t>
      </w:r>
      <w:r w:rsidR="003D02A7">
        <w:rPr>
          <w:lang w:val="en-US" w:eastAsia="en-US"/>
        </w:rPr>
        <w:t>wn of</w:t>
      </w:r>
      <w:r>
        <w:rPr>
          <w:lang w:val="en-US" w:eastAsia="en-US"/>
        </w:rPr>
        <w:t xml:space="preserve"> consumption and charges on bills use complex terms such as kWh, controlled load and peak/offpeak/shoulder along with a collection of seemingly random billing periods which can be hard for even trained professionals to interpret”. The Energy Project (2020) suggests when abbreviations are used in a bill, a short glossary should be added to provide definitions. </w:t>
      </w:r>
    </w:p>
    <w:p w14:paraId="111BF708" w14:textId="71FC07B6" w:rsidR="00393175" w:rsidRDefault="00393175" w:rsidP="00B72411">
      <w:pPr>
        <w:pStyle w:val="Heading4"/>
      </w:pPr>
      <w:r>
        <w:t>Layout</w:t>
      </w:r>
    </w:p>
    <w:p w14:paraId="7EE3C605" w14:textId="28311074" w:rsidR="0095374B" w:rsidRDefault="0095374B" w:rsidP="000560E7">
      <w:pPr>
        <w:rPr>
          <w:lang w:val="en-US" w:eastAsia="en-US"/>
        </w:rPr>
      </w:pPr>
      <w:r>
        <w:rPr>
          <w:lang w:val="en-US" w:eastAsia="en-US"/>
        </w:rPr>
        <w:t xml:space="preserve">Uniting Communities </w:t>
      </w:r>
      <w:r w:rsidR="00F76534">
        <w:rPr>
          <w:lang w:val="en-US" w:eastAsia="en-US"/>
        </w:rPr>
        <w:t xml:space="preserve">(2020) </w:t>
      </w:r>
      <w:r>
        <w:rPr>
          <w:lang w:val="en-US" w:eastAsia="en-US"/>
        </w:rPr>
        <w:t xml:space="preserve">and </w:t>
      </w:r>
      <w:r w:rsidR="00A37587">
        <w:rPr>
          <w:lang w:val="en-US" w:eastAsia="en-US"/>
        </w:rPr>
        <w:t>T</w:t>
      </w:r>
      <w:r>
        <w:rPr>
          <w:lang w:val="en-US" w:eastAsia="en-US"/>
        </w:rPr>
        <w:t xml:space="preserve">he Energy Project </w:t>
      </w:r>
      <w:r w:rsidR="00F76534">
        <w:rPr>
          <w:lang w:val="en-US" w:eastAsia="en-US"/>
        </w:rPr>
        <w:t xml:space="preserve">(2020) </w:t>
      </w:r>
      <w:r>
        <w:rPr>
          <w:lang w:val="en-US" w:eastAsia="en-US"/>
        </w:rPr>
        <w:t>support vulnerable consumers to improve energy efficiency and negotiate a better deal on their bills. Their experience assisting with the interpretation of multiple bills has led them to state: “the lack of direction concerning billing formats has led to bills that are complicated, confusing and difficult to digest”. They reviewed seven current retailer billing templates and highlighted a range of issues and solutions. In particular, they recommend standardi</w:t>
      </w:r>
      <w:r w:rsidR="00422072">
        <w:rPr>
          <w:lang w:val="en-US" w:eastAsia="en-US"/>
        </w:rPr>
        <w:t>s</w:t>
      </w:r>
      <w:r>
        <w:rPr>
          <w:lang w:val="en-US" w:eastAsia="en-US"/>
        </w:rPr>
        <w:t>ing the</w:t>
      </w:r>
      <w:r w:rsidDel="00422072">
        <w:rPr>
          <w:lang w:val="en-US" w:eastAsia="en-US"/>
        </w:rPr>
        <w:t xml:space="preserve"> </w:t>
      </w:r>
      <w:r>
        <w:rPr>
          <w:lang w:val="en-US" w:eastAsia="en-US"/>
        </w:rPr>
        <w:t xml:space="preserve">information and layout of the </w:t>
      </w:r>
      <w:r w:rsidR="000E4454">
        <w:rPr>
          <w:lang w:val="en-US" w:eastAsia="en-US"/>
        </w:rPr>
        <w:t>first</w:t>
      </w:r>
      <w:r>
        <w:rPr>
          <w:lang w:val="en-US" w:eastAsia="en-US"/>
        </w:rPr>
        <w:t xml:space="preserve"> page </w:t>
      </w:r>
      <w:r w:rsidR="0024763A">
        <w:rPr>
          <w:lang w:val="en-US" w:eastAsia="en-US"/>
        </w:rPr>
        <w:t xml:space="preserve">to </w:t>
      </w:r>
      <w:r>
        <w:rPr>
          <w:lang w:val="en-US" w:eastAsia="en-US"/>
        </w:rPr>
        <w:t xml:space="preserve">present essential information only. </w:t>
      </w:r>
    </w:p>
    <w:p w14:paraId="7EBBA920" w14:textId="0346897F" w:rsidR="0059600C" w:rsidRDefault="0017378F" w:rsidP="000560E7">
      <w:pPr>
        <w:rPr>
          <w:lang w:val="en-US" w:eastAsia="en-US"/>
        </w:rPr>
      </w:pPr>
      <w:r w:rsidRPr="0015393D">
        <w:rPr>
          <w:lang w:val="en-US" w:eastAsia="en-US"/>
        </w:rPr>
        <w:t xml:space="preserve">Most </w:t>
      </w:r>
      <w:r w:rsidR="00A37587" w:rsidRPr="0015393D">
        <w:rPr>
          <w:lang w:val="en-US" w:eastAsia="en-US"/>
        </w:rPr>
        <w:t>energy</w:t>
      </w:r>
      <w:r w:rsidRPr="0015393D">
        <w:rPr>
          <w:lang w:val="en-US" w:eastAsia="en-US"/>
        </w:rPr>
        <w:t xml:space="preserve"> retailers</w:t>
      </w:r>
      <w:r>
        <w:rPr>
          <w:lang w:val="en-US" w:eastAsia="en-US"/>
        </w:rPr>
        <w:t xml:space="preserve"> who provided submissions </w:t>
      </w:r>
      <w:r>
        <w:rPr>
          <w:i/>
          <w:lang w:val="en-US" w:eastAsia="en-US"/>
        </w:rPr>
        <w:t>do not</w:t>
      </w:r>
      <w:r>
        <w:rPr>
          <w:lang w:val="en-US" w:eastAsia="en-US"/>
        </w:rPr>
        <w:t xml:space="preserve"> support </w:t>
      </w:r>
      <w:r w:rsidRPr="00C40E31">
        <w:rPr>
          <w:lang w:val="en-US" w:eastAsia="en-US"/>
        </w:rPr>
        <w:t>prescription</w:t>
      </w:r>
      <w:r>
        <w:rPr>
          <w:lang w:val="en-US" w:eastAsia="en-US"/>
        </w:rPr>
        <w:t xml:space="preserve"> of the layout and formatting of bills, but there are </w:t>
      </w:r>
      <w:r w:rsidR="00607C7F">
        <w:rPr>
          <w:lang w:val="en-US" w:eastAsia="en-US"/>
        </w:rPr>
        <w:t xml:space="preserve">some </w:t>
      </w:r>
      <w:r>
        <w:rPr>
          <w:lang w:val="en-US" w:eastAsia="en-US"/>
        </w:rPr>
        <w:t xml:space="preserve">exceptions. Next Business Energy </w:t>
      </w:r>
      <w:r w:rsidR="00F76534">
        <w:rPr>
          <w:lang w:val="en-US" w:eastAsia="en-US"/>
        </w:rPr>
        <w:t>(2020)</w:t>
      </w:r>
      <w:r w:rsidR="00F73A84">
        <w:rPr>
          <w:lang w:val="en-US" w:eastAsia="en-US"/>
        </w:rPr>
        <w:t xml:space="preserve"> </w:t>
      </w:r>
      <w:r>
        <w:rPr>
          <w:lang w:val="en-US" w:eastAsia="en-US"/>
        </w:rPr>
        <w:t>supports consistent positioning of N</w:t>
      </w:r>
      <w:r w:rsidR="00393175">
        <w:rPr>
          <w:lang w:val="en-US" w:eastAsia="en-US"/>
        </w:rPr>
        <w:t xml:space="preserve">ational </w:t>
      </w:r>
      <w:r>
        <w:rPr>
          <w:lang w:val="en-US" w:eastAsia="en-US"/>
        </w:rPr>
        <w:t>M</w:t>
      </w:r>
      <w:r w:rsidR="00393175">
        <w:rPr>
          <w:lang w:val="en-US" w:eastAsia="en-US"/>
        </w:rPr>
        <w:t>eter Identification (</w:t>
      </w:r>
      <w:r>
        <w:rPr>
          <w:lang w:val="en-US" w:eastAsia="en-US"/>
        </w:rPr>
        <w:t>NMI</w:t>
      </w:r>
      <w:r w:rsidR="00393175">
        <w:rPr>
          <w:lang w:val="en-US" w:eastAsia="en-US"/>
        </w:rPr>
        <w:t>)</w:t>
      </w:r>
      <w:r>
        <w:rPr>
          <w:lang w:val="en-US" w:eastAsia="en-US"/>
        </w:rPr>
        <w:t xml:space="preserve"> information. </w:t>
      </w:r>
      <w:r w:rsidR="007813B4">
        <w:rPr>
          <w:lang w:val="en-US" w:eastAsia="en-US"/>
        </w:rPr>
        <w:t>Energy Australia supports</w:t>
      </w:r>
      <w:r w:rsidR="00C22E8D">
        <w:rPr>
          <w:lang w:val="en-US" w:eastAsia="en-US"/>
        </w:rPr>
        <w:t xml:space="preserve"> limiting the size of the bill to two pages</w:t>
      </w:r>
      <w:r w:rsidR="00613D2D">
        <w:rPr>
          <w:lang w:val="en-US" w:eastAsia="en-US"/>
        </w:rPr>
        <w:t xml:space="preserve"> and placing key information on the first page</w:t>
      </w:r>
      <w:r w:rsidR="00C22E8D">
        <w:rPr>
          <w:lang w:val="en-US" w:eastAsia="en-US"/>
        </w:rPr>
        <w:t xml:space="preserve">. </w:t>
      </w:r>
      <w:r>
        <w:rPr>
          <w:lang w:val="en-US" w:eastAsia="en-US"/>
        </w:rPr>
        <w:t xml:space="preserve">Consistent layout of essential information on the first page is broadly supported by </w:t>
      </w:r>
      <w:r w:rsidR="00A37587">
        <w:rPr>
          <w:lang w:val="en-US" w:eastAsia="en-US"/>
        </w:rPr>
        <w:t>Ombudsman</w:t>
      </w:r>
      <w:r>
        <w:rPr>
          <w:lang w:val="en-US" w:eastAsia="en-US"/>
        </w:rPr>
        <w:t xml:space="preserve"> schemes, Accurassi, </w:t>
      </w:r>
      <w:r w:rsidR="00C22E8D">
        <w:rPr>
          <w:lang w:val="en-US" w:eastAsia="en-US"/>
        </w:rPr>
        <w:t>the Public Interest Advocacy Centre, Combined Pensioners and Superannuants Association of NSW Inc</w:t>
      </w:r>
      <w:r w:rsidR="00F73A84">
        <w:rPr>
          <w:lang w:val="en-US" w:eastAsia="en-US"/>
        </w:rPr>
        <w:t>.</w:t>
      </w:r>
      <w:r w:rsidR="00C22E8D">
        <w:rPr>
          <w:lang w:val="en-US" w:eastAsia="en-US"/>
        </w:rPr>
        <w:t>, and Uniting Communities/The Energy Project.</w:t>
      </w:r>
    </w:p>
    <w:p w14:paraId="4C14F04C" w14:textId="0B1D481E" w:rsidR="00ED47CC" w:rsidRDefault="00C22E8D" w:rsidP="000560E7">
      <w:pPr>
        <w:rPr>
          <w:lang w:val="en-US" w:eastAsia="en-US"/>
        </w:rPr>
      </w:pPr>
      <w:r>
        <w:rPr>
          <w:lang w:val="en-US" w:eastAsia="en-US"/>
        </w:rPr>
        <w:lastRenderedPageBreak/>
        <w:t xml:space="preserve">The Energy Project notes that inconsistent formats </w:t>
      </w:r>
      <w:r w:rsidR="00C40E31">
        <w:rPr>
          <w:lang w:val="en-US" w:eastAsia="en-US"/>
        </w:rPr>
        <w:t>should be fixed through</w:t>
      </w:r>
      <w:r>
        <w:rPr>
          <w:lang w:val="en-US" w:eastAsia="en-US"/>
        </w:rPr>
        <w:t xml:space="preserve"> standardi</w:t>
      </w:r>
      <w:r w:rsidR="007C669E">
        <w:rPr>
          <w:lang w:val="en-US" w:eastAsia="en-US"/>
        </w:rPr>
        <w:t>s</w:t>
      </w:r>
      <w:r>
        <w:rPr>
          <w:lang w:val="en-US" w:eastAsia="en-US"/>
        </w:rPr>
        <w:t xml:space="preserve">ation </w:t>
      </w:r>
      <w:r w:rsidR="00C40E31">
        <w:rPr>
          <w:lang w:val="en-US" w:eastAsia="en-US"/>
        </w:rPr>
        <w:t>in</w:t>
      </w:r>
      <w:r>
        <w:rPr>
          <w:lang w:val="en-US" w:eastAsia="en-US"/>
        </w:rPr>
        <w:t xml:space="preserve"> the information and layout of the first page of bills: “</w:t>
      </w:r>
      <w:r w:rsidR="00180E87">
        <w:rPr>
          <w:lang w:val="en-US" w:eastAsia="en-US"/>
        </w:rPr>
        <w:t>In our view, the first page of an energy bill is the most important page of the bill. It is often the only page consumers will read (for a variety of reasons) and as such, should contain essential information only” (</w:t>
      </w:r>
      <w:r w:rsidR="00F76534">
        <w:rPr>
          <w:lang w:val="en-US" w:eastAsia="en-US"/>
        </w:rPr>
        <w:t xml:space="preserve">Energy Project, </w:t>
      </w:r>
      <w:r w:rsidR="00180E87">
        <w:rPr>
          <w:lang w:val="en-US" w:eastAsia="en-US"/>
        </w:rPr>
        <w:t>2020).</w:t>
      </w:r>
      <w:r w:rsidR="00E927F7">
        <w:rPr>
          <w:lang w:val="en-US" w:eastAsia="en-US"/>
        </w:rPr>
        <w:t xml:space="preserve"> </w:t>
      </w:r>
    </w:p>
    <w:p w14:paraId="52075AA5" w14:textId="6F51B3D9" w:rsidR="00400642" w:rsidRDefault="00400642">
      <w:pPr>
        <w:spacing w:after="0" w:line="240" w:lineRule="auto"/>
        <w:rPr>
          <w:rFonts w:asciiTheme="majorHAnsi" w:hAnsiTheme="majorHAnsi"/>
          <w:b/>
          <w:color w:val="178A79" w:themeColor="accent3" w:themeShade="BF"/>
          <w:sz w:val="24"/>
          <w:lang w:val="en-US" w:eastAsia="en-US"/>
        </w:rPr>
      </w:pPr>
    </w:p>
    <w:p w14:paraId="258A213B" w14:textId="77777777" w:rsidR="00261D2C" w:rsidRDefault="00261D2C" w:rsidP="00261D2C">
      <w:pPr>
        <w:shd w:val="clear" w:color="auto" w:fill="006666"/>
        <w:spacing w:line="240" w:lineRule="auto"/>
        <w:rPr>
          <w:b/>
          <w:color w:val="FFFFFF" w:themeColor="background1"/>
        </w:rPr>
      </w:pPr>
      <w:bookmarkStart w:id="69" w:name="_Toc68611281"/>
      <w:bookmarkStart w:id="70" w:name="_Toc68621177"/>
      <w:bookmarkStart w:id="71" w:name="_Toc68621218"/>
      <w:bookmarkStart w:id="72" w:name="_Toc68700452"/>
      <w:bookmarkStart w:id="73" w:name="_Toc68775864"/>
      <w:bookmarkStart w:id="74" w:name="_Toc68789269"/>
      <w:bookmarkStart w:id="75" w:name="_Toc68791937"/>
      <w:r w:rsidRPr="00261D2C">
        <w:rPr>
          <w:b/>
          <w:color w:val="FFFFFF" w:themeColor="background1"/>
        </w:rPr>
        <w:t>Reflections</w:t>
      </w:r>
    </w:p>
    <w:p w14:paraId="6763B62B" w14:textId="2A269761" w:rsidR="00261D2C" w:rsidRPr="00261D2C" w:rsidRDefault="00261D2C" w:rsidP="00261D2C">
      <w:pPr>
        <w:pStyle w:val="ListParagraph"/>
        <w:numPr>
          <w:ilvl w:val="0"/>
          <w:numId w:val="33"/>
        </w:numPr>
        <w:shd w:val="clear" w:color="auto" w:fill="F2F2F2" w:themeFill="background1" w:themeFillShade="F2"/>
        <w:spacing w:line="240" w:lineRule="auto"/>
        <w:ind w:left="357" w:hanging="357"/>
        <w:rPr>
          <w:lang w:val="en-US" w:eastAsia="en-US"/>
        </w:rPr>
      </w:pPr>
      <w:r w:rsidRPr="00261D2C">
        <w:rPr>
          <w:lang w:val="en-US" w:eastAsia="en-US"/>
        </w:rPr>
        <w:t>Evidence for standardisation of nomenclature, simplification of bills, and placement of essential information on the first page is strong and supported by both the literature and stakeholder submissions.</w:t>
      </w:r>
    </w:p>
    <w:p w14:paraId="77507452" w14:textId="77777777" w:rsidR="00261D2C" w:rsidRPr="002B438D" w:rsidRDefault="00261D2C" w:rsidP="00261D2C">
      <w:pPr>
        <w:pStyle w:val="ListParagraph"/>
        <w:keepNext/>
        <w:keepLines/>
        <w:numPr>
          <w:ilvl w:val="0"/>
          <w:numId w:val="12"/>
        </w:numPr>
        <w:shd w:val="clear" w:color="auto" w:fill="F2F2F2" w:themeFill="background1" w:themeFillShade="F2"/>
        <w:ind w:left="357" w:hanging="357"/>
        <w:rPr>
          <w:lang w:val="en-US" w:eastAsia="en-US"/>
        </w:rPr>
      </w:pPr>
      <w:r>
        <w:rPr>
          <w:lang w:val="en-US" w:eastAsia="en-US"/>
        </w:rPr>
        <w:t>Consumers generally learn terminology over time and will benefit from the consistent use of terms between retailers, however, it will help to identify which technical terms should be replaced with a consistent approach across the industry.</w:t>
      </w:r>
    </w:p>
    <w:p w14:paraId="648B72C9" w14:textId="77777777" w:rsidR="00261D2C" w:rsidRDefault="00261D2C" w:rsidP="00261D2C">
      <w:pPr>
        <w:pStyle w:val="ListParagraph"/>
        <w:keepNext/>
        <w:keepLines/>
        <w:numPr>
          <w:ilvl w:val="0"/>
          <w:numId w:val="12"/>
        </w:numPr>
        <w:shd w:val="clear" w:color="auto" w:fill="F2F2F2" w:themeFill="background1" w:themeFillShade="F2"/>
        <w:ind w:left="357" w:hanging="357"/>
        <w:rPr>
          <w:lang w:val="en-US" w:eastAsia="en-US"/>
        </w:rPr>
      </w:pPr>
      <w:r>
        <w:rPr>
          <w:lang w:val="en-US" w:eastAsia="en-US"/>
        </w:rPr>
        <w:t>Research that explores t</w:t>
      </w:r>
      <w:r w:rsidRPr="00FA1BA9">
        <w:rPr>
          <w:lang w:val="en-US" w:eastAsia="en-US"/>
        </w:rPr>
        <w:t xml:space="preserve">he use of alternative mediums, particularly through digital technologies, </w:t>
      </w:r>
      <w:r>
        <w:rPr>
          <w:lang w:val="en-US" w:eastAsia="en-US"/>
        </w:rPr>
        <w:t>will</w:t>
      </w:r>
      <w:r w:rsidRPr="00DC7573">
        <w:rPr>
          <w:lang w:val="en-US" w:eastAsia="en-US"/>
        </w:rPr>
        <w:t xml:space="preserve"> help highlight ways in which information could be removed and bills made simpler without customers losing access to important information</w:t>
      </w:r>
      <w:r>
        <w:rPr>
          <w:lang w:val="en-US" w:eastAsia="en-US"/>
        </w:rPr>
        <w:t>.</w:t>
      </w:r>
    </w:p>
    <w:p w14:paraId="54BF72BE" w14:textId="77777777" w:rsidR="00261D2C" w:rsidRDefault="00261D2C" w:rsidP="00261D2C">
      <w:pPr>
        <w:pStyle w:val="ListParagraph"/>
        <w:keepNext/>
        <w:keepLines/>
        <w:numPr>
          <w:ilvl w:val="0"/>
          <w:numId w:val="12"/>
        </w:numPr>
        <w:shd w:val="clear" w:color="auto" w:fill="F2F2F2" w:themeFill="background1" w:themeFillShade="F2"/>
        <w:ind w:left="357" w:hanging="357"/>
        <w:rPr>
          <w:lang w:val="en-US" w:eastAsia="en-US"/>
        </w:rPr>
      </w:pPr>
      <w:r w:rsidRPr="00FB3F67">
        <w:rPr>
          <w:lang w:val="en-US" w:eastAsia="en-US"/>
        </w:rPr>
        <w:t>Complexity in plan characteristics is not</w:t>
      </w:r>
      <w:r w:rsidRPr="003D6284">
        <w:rPr>
          <w:i/>
          <w:lang w:val="en-US" w:eastAsia="en-US"/>
        </w:rPr>
        <w:t xml:space="preserve"> </w:t>
      </w:r>
      <w:r w:rsidRPr="00FB3F67">
        <w:rPr>
          <w:i/>
          <w:lang w:val="en-US" w:eastAsia="en-US"/>
        </w:rPr>
        <w:t>caused</w:t>
      </w:r>
      <w:r w:rsidRPr="00FB3F67">
        <w:rPr>
          <w:lang w:val="en-US" w:eastAsia="en-US"/>
        </w:rPr>
        <w:t xml:space="preserve"> by energy bills, so simplifying bills will not necessarily make it easier to understand the plan</w:t>
      </w:r>
      <w:r>
        <w:rPr>
          <w:lang w:val="en-US" w:eastAsia="en-US"/>
        </w:rPr>
        <w:t>,</w:t>
      </w:r>
      <w:r w:rsidRPr="00FB3F67">
        <w:rPr>
          <w:lang w:val="en-US" w:eastAsia="en-US"/>
        </w:rPr>
        <w:t xml:space="preserve"> but there is still an opportunity for bills to be used to address this </w:t>
      </w:r>
      <w:r w:rsidRPr="00FB3F67" w:rsidDel="00FB3F67">
        <w:rPr>
          <w:lang w:val="en-US" w:eastAsia="en-US"/>
        </w:rPr>
        <w:t>proble</w:t>
      </w:r>
      <w:r w:rsidDel="00FB3F67">
        <w:rPr>
          <w:lang w:val="en-US" w:eastAsia="en-US"/>
        </w:rPr>
        <w:t>m</w:t>
      </w:r>
      <w:r>
        <w:rPr>
          <w:lang w:val="en-US" w:eastAsia="en-US"/>
        </w:rPr>
        <w:t>.</w:t>
      </w:r>
    </w:p>
    <w:p w14:paraId="60CE4668" w14:textId="77777777" w:rsidR="00261D2C" w:rsidRDefault="00261D2C" w:rsidP="00261D2C">
      <w:pPr>
        <w:pStyle w:val="ListParagraph"/>
        <w:keepNext/>
        <w:keepLines/>
        <w:numPr>
          <w:ilvl w:val="0"/>
          <w:numId w:val="12"/>
        </w:numPr>
        <w:shd w:val="clear" w:color="auto" w:fill="F2F2F2" w:themeFill="background1" w:themeFillShade="F2"/>
        <w:ind w:left="357" w:hanging="357"/>
        <w:rPr>
          <w:lang w:val="en-US" w:eastAsia="en-US"/>
        </w:rPr>
      </w:pPr>
      <w:r w:rsidRPr="00DC7573">
        <w:rPr>
          <w:lang w:val="en-US" w:eastAsia="en-US"/>
        </w:rPr>
        <w:t>In most energy bills, plan characteristics (variations in rates, periods, discounts) are not</w:t>
      </w:r>
      <w:r>
        <w:rPr>
          <w:lang w:val="en-US" w:eastAsia="en-US"/>
        </w:rPr>
        <w:t xml:space="preserve"> described explicitly</w:t>
      </w:r>
      <w:r w:rsidRPr="00DC7573">
        <w:rPr>
          <w:lang w:val="en-US" w:eastAsia="en-US"/>
        </w:rPr>
        <w:t xml:space="preserve"> but appear within t</w:t>
      </w:r>
      <w:r>
        <w:rPr>
          <w:lang w:val="en-US" w:eastAsia="en-US"/>
        </w:rPr>
        <w:t>he invoice as a line item, whilst customers on TOU tariffs are rarely provided with any information about when their rates change. (This reflection was based on our review of a range of actual energy bills, rather than on the academic literature or stakeholder submissions.)</w:t>
      </w:r>
    </w:p>
    <w:p w14:paraId="68AD513F" w14:textId="419A8ADE" w:rsidR="00C61A1D" w:rsidRPr="00261D2C" w:rsidRDefault="00261D2C" w:rsidP="00261D2C">
      <w:pPr>
        <w:pStyle w:val="ListParagraph"/>
        <w:keepNext/>
        <w:keepLines/>
        <w:numPr>
          <w:ilvl w:val="0"/>
          <w:numId w:val="12"/>
        </w:numPr>
        <w:shd w:val="clear" w:color="auto" w:fill="F2F2F2" w:themeFill="background1" w:themeFillShade="F2"/>
        <w:ind w:left="357" w:hanging="357"/>
        <w:rPr>
          <w:lang w:val="en-US" w:eastAsia="en-US"/>
        </w:rPr>
      </w:pPr>
      <w:r w:rsidRPr="00261D2C">
        <w:rPr>
          <w:lang w:val="en-US" w:eastAsia="en-US"/>
        </w:rPr>
        <w:t>Developing and testing key plan information statements on bills could help solve issues with cognitive overload by providing consumers with an easy-to-understand summary of their plan.</w:t>
      </w:r>
      <w:r w:rsidR="00C61A1D">
        <w:br w:type="page"/>
      </w:r>
    </w:p>
    <w:p w14:paraId="55FD5E6F" w14:textId="0E2374E3" w:rsidR="000560E7" w:rsidRDefault="00F73A84" w:rsidP="00A46C1C">
      <w:pPr>
        <w:pStyle w:val="Heading2"/>
      </w:pPr>
      <w:bookmarkStart w:id="76" w:name="_Toc86091076"/>
      <w:r>
        <w:lastRenderedPageBreak/>
        <w:t>Energy e</w:t>
      </w:r>
      <w:r w:rsidR="000560E7">
        <w:t>fficiency</w:t>
      </w:r>
      <w:bookmarkEnd w:id="69"/>
      <w:bookmarkEnd w:id="70"/>
      <w:bookmarkEnd w:id="71"/>
      <w:bookmarkEnd w:id="72"/>
      <w:bookmarkEnd w:id="73"/>
      <w:bookmarkEnd w:id="74"/>
      <w:bookmarkEnd w:id="75"/>
      <w:bookmarkEnd w:id="76"/>
    </w:p>
    <w:p w14:paraId="4C3012E8" w14:textId="73EFF8C4" w:rsidR="00261D2C" w:rsidRPr="00261D2C" w:rsidRDefault="00261D2C" w:rsidP="00261D2C">
      <w:pPr>
        <w:shd w:val="clear" w:color="auto" w:fill="006666"/>
        <w:rPr>
          <w:b/>
          <w:color w:val="FFFFFF" w:themeColor="background1"/>
          <w:lang w:val="en-US" w:eastAsia="en-US"/>
        </w:rPr>
      </w:pPr>
      <w:r w:rsidRPr="00261D2C">
        <w:rPr>
          <w:b/>
          <w:color w:val="FFFFFF" w:themeColor="background1"/>
        </w:rPr>
        <w:t>Key points: energy efficiency</w:t>
      </w:r>
    </w:p>
    <w:p w14:paraId="11D36AA0" w14:textId="70DF93A5" w:rsidR="00261D2C" w:rsidRDefault="00261D2C" w:rsidP="00261D2C">
      <w:pPr>
        <w:pStyle w:val="ListParagraph"/>
        <w:numPr>
          <w:ilvl w:val="0"/>
          <w:numId w:val="14"/>
        </w:numPr>
        <w:shd w:val="clear" w:color="auto" w:fill="F2F2F2" w:themeFill="background1" w:themeFillShade="F2"/>
        <w:rPr>
          <w:lang w:val="en-US" w:eastAsia="en-US"/>
        </w:rPr>
      </w:pPr>
      <w:r>
        <w:rPr>
          <w:lang w:val="en-US" w:eastAsia="en-US"/>
        </w:rPr>
        <w:t xml:space="preserve">Energy consumption and efficiency information is currently shared through bills in two main ways: historical energy usage charts and peer comparison (benchmarking) charts. </w:t>
      </w:r>
    </w:p>
    <w:p w14:paraId="76AE35F7" w14:textId="628BF774" w:rsidR="00261D2C" w:rsidRPr="00D80153" w:rsidRDefault="00D80153" w:rsidP="00D80153">
      <w:pPr>
        <w:pStyle w:val="ListParagraph"/>
        <w:numPr>
          <w:ilvl w:val="0"/>
          <w:numId w:val="14"/>
        </w:numPr>
        <w:shd w:val="clear" w:color="auto" w:fill="F2F2F2" w:themeFill="background1" w:themeFillShade="F2"/>
        <w:rPr>
          <w:lang w:val="en-US" w:eastAsia="en-US"/>
        </w:rPr>
      </w:pPr>
      <w:r w:rsidRPr="00D80153">
        <w:rPr>
          <w:lang w:val="en-US" w:eastAsia="en-US"/>
        </w:rPr>
        <w:t xml:space="preserve">A recent literature review by CSIRO concluded that: “Presenting electricity consumption benchmarks on household bills is likely to benefit some, but not all, customers.” It made </w:t>
      </w:r>
      <w:r>
        <w:rPr>
          <w:lang w:val="en-US" w:eastAsia="en-US"/>
        </w:rPr>
        <w:t xml:space="preserve">a series of </w:t>
      </w:r>
      <w:r w:rsidRPr="00D80153">
        <w:rPr>
          <w:lang w:val="en-US" w:eastAsia="en-US"/>
        </w:rPr>
        <w:t>recommendations to improve benchmark design and delivery</w:t>
      </w:r>
      <w:r>
        <w:rPr>
          <w:lang w:val="en-US" w:eastAsia="en-US"/>
        </w:rPr>
        <w:t>. This includes techniques that may address potential ‘boomerang effects’ for consumers who have below</w:t>
      </w:r>
      <w:r>
        <w:rPr>
          <w:lang w:val="en-US" w:eastAsia="en-US"/>
        </w:rPr>
        <w:noBreakHyphen/>
        <w:t>average usage.</w:t>
      </w:r>
      <w:r w:rsidRPr="00D80153" w:rsidDel="00D80153">
        <w:rPr>
          <w:lang w:val="en-US" w:eastAsia="en-US"/>
        </w:rPr>
        <w:t xml:space="preserve"> </w:t>
      </w:r>
    </w:p>
    <w:p w14:paraId="14594DA1" w14:textId="77777777" w:rsidR="00261D2C" w:rsidRDefault="00261D2C" w:rsidP="00261D2C">
      <w:pPr>
        <w:pStyle w:val="ListParagraph"/>
        <w:numPr>
          <w:ilvl w:val="0"/>
          <w:numId w:val="14"/>
        </w:numPr>
        <w:shd w:val="clear" w:color="auto" w:fill="F2F2F2" w:themeFill="background1" w:themeFillShade="F2"/>
        <w:rPr>
          <w:lang w:val="en-US" w:eastAsia="en-US"/>
        </w:rPr>
      </w:pPr>
      <w:r>
        <w:rPr>
          <w:lang w:val="en-US" w:eastAsia="en-US"/>
        </w:rPr>
        <w:t>Retailers and Ombudsmen point to large numbers of complaints about peer comparisons on bills and the cost this has on both firms and consumers.</w:t>
      </w:r>
    </w:p>
    <w:p w14:paraId="43C48D44" w14:textId="77777777" w:rsidR="00261D2C" w:rsidRDefault="00261D2C" w:rsidP="00261D2C">
      <w:pPr>
        <w:pStyle w:val="ListParagraph"/>
        <w:numPr>
          <w:ilvl w:val="0"/>
          <w:numId w:val="14"/>
        </w:numPr>
        <w:shd w:val="clear" w:color="auto" w:fill="F2F2F2" w:themeFill="background1" w:themeFillShade="F2"/>
        <w:rPr>
          <w:lang w:val="en-US" w:eastAsia="en-US"/>
        </w:rPr>
      </w:pPr>
      <w:r>
        <w:rPr>
          <w:lang w:val="en-US" w:eastAsia="en-US"/>
        </w:rPr>
        <w:t>Other interventions such as smart meters and in-home displays (IHDs) have much larger impacts on energy efficiency than other types of usage feedback.</w:t>
      </w:r>
    </w:p>
    <w:p w14:paraId="0147E250" w14:textId="5DA5FC15" w:rsidR="00261D2C" w:rsidRPr="00261D2C" w:rsidRDefault="00261D2C" w:rsidP="00261D2C">
      <w:pPr>
        <w:pStyle w:val="ListParagraph"/>
        <w:numPr>
          <w:ilvl w:val="0"/>
          <w:numId w:val="14"/>
        </w:numPr>
        <w:shd w:val="clear" w:color="auto" w:fill="F2F2F2" w:themeFill="background1" w:themeFillShade="F2"/>
        <w:rPr>
          <w:lang w:val="en-US" w:eastAsia="en-US"/>
        </w:rPr>
      </w:pPr>
      <w:r w:rsidRPr="00261D2C">
        <w:rPr>
          <w:lang w:val="en-US" w:eastAsia="en-US"/>
        </w:rPr>
        <w:t>Information on bills does not capture the entire usage story for solar customers resulting in a significant amount of customers failing to get accurate energy usage data in their bills</w:t>
      </w:r>
    </w:p>
    <w:p w14:paraId="0D3D6C20" w14:textId="7B9C174B" w:rsidR="000560E7" w:rsidRDefault="000560E7" w:rsidP="0062095A">
      <w:pPr>
        <w:pStyle w:val="Heading3"/>
        <w:rPr>
          <w:lang w:val="en-US" w:eastAsia="en-US"/>
        </w:rPr>
      </w:pPr>
      <w:bookmarkStart w:id="77" w:name="_Toc68611283"/>
      <w:bookmarkStart w:id="78" w:name="_Toc68621179"/>
      <w:bookmarkStart w:id="79" w:name="_Toc68621220"/>
      <w:bookmarkStart w:id="80" w:name="_Toc68700454"/>
      <w:bookmarkStart w:id="81" w:name="_Toc68775865"/>
      <w:bookmarkStart w:id="82" w:name="_Toc68789270"/>
      <w:bookmarkStart w:id="83" w:name="_Toc68791938"/>
      <w:bookmarkStart w:id="84" w:name="_Toc86091077"/>
      <w:r>
        <w:rPr>
          <w:lang w:val="en-US" w:eastAsia="en-US"/>
        </w:rPr>
        <w:t xml:space="preserve">Academic </w:t>
      </w:r>
      <w:r w:rsidR="00F73A84">
        <w:rPr>
          <w:lang w:val="en-US" w:eastAsia="en-US"/>
        </w:rPr>
        <w:t>l</w:t>
      </w:r>
      <w:r>
        <w:rPr>
          <w:lang w:val="en-US" w:eastAsia="en-US"/>
        </w:rPr>
        <w:t>iterature</w:t>
      </w:r>
      <w:r w:rsidR="00D85120">
        <w:rPr>
          <w:lang w:val="en-US" w:eastAsia="en-US"/>
        </w:rPr>
        <w:t>: efficiency</w:t>
      </w:r>
      <w:bookmarkEnd w:id="77"/>
      <w:bookmarkEnd w:id="78"/>
      <w:bookmarkEnd w:id="79"/>
      <w:bookmarkEnd w:id="80"/>
      <w:bookmarkEnd w:id="81"/>
      <w:bookmarkEnd w:id="82"/>
      <w:bookmarkEnd w:id="83"/>
      <w:bookmarkEnd w:id="84"/>
    </w:p>
    <w:p w14:paraId="6DEA64A5" w14:textId="7B3817FD" w:rsidR="00961AF6" w:rsidRPr="00961AF6" w:rsidRDefault="00961AF6" w:rsidP="0062095A">
      <w:pPr>
        <w:pStyle w:val="Heading4"/>
        <w:rPr>
          <w:lang w:val="en-US" w:eastAsia="en-US"/>
        </w:rPr>
      </w:pPr>
      <w:r>
        <w:rPr>
          <w:lang w:val="en-US" w:eastAsia="en-US"/>
        </w:rPr>
        <w:t>Usage feedback</w:t>
      </w:r>
    </w:p>
    <w:p w14:paraId="77F36748" w14:textId="154F6F9F" w:rsidR="00E07473" w:rsidRDefault="005C4214" w:rsidP="005C4214">
      <w:pPr>
        <w:rPr>
          <w:lang w:val="en-US" w:eastAsia="en-US"/>
        </w:rPr>
      </w:pPr>
      <w:r>
        <w:rPr>
          <w:lang w:val="en-US" w:eastAsia="en-US"/>
        </w:rPr>
        <w:t>There is some evidence that usage feedback on bills have a small impact on encouraging energy efficiency. A real</w:t>
      </w:r>
      <w:r>
        <w:rPr>
          <w:lang w:val="en-US" w:eastAsia="en-US"/>
        </w:rPr>
        <w:noBreakHyphen/>
        <w:t>world trial with 700 households in Helsinki in 1990-92 tested the impact of sending – alongside the bill – a feedback letter containing information about historical consumption (Arvola et al., 1993). Consumers who received the feedback letter reduce</w:t>
      </w:r>
      <w:r w:rsidR="004C44AC">
        <w:rPr>
          <w:lang w:val="en-US" w:eastAsia="en-US"/>
        </w:rPr>
        <w:t>d</w:t>
      </w:r>
      <w:r>
        <w:rPr>
          <w:lang w:val="en-US" w:eastAsia="en-US"/>
        </w:rPr>
        <w:t xml:space="preserve"> their electricity usage by around 1.5 per cent compared to those who did not. </w:t>
      </w:r>
    </w:p>
    <w:p w14:paraId="64A58F3E" w14:textId="55C02EE8" w:rsidR="005C4214" w:rsidRDefault="005C4214" w:rsidP="005C4214">
      <w:pPr>
        <w:rPr>
          <w:lang w:val="en-US" w:eastAsia="en-US"/>
        </w:rPr>
      </w:pPr>
      <w:r>
        <w:rPr>
          <w:lang w:val="en-US" w:eastAsia="en-US"/>
        </w:rPr>
        <w:t xml:space="preserve">A recent online experiment conducted in multiple EU countries tested variations in how usage feedback was presented on an energy bill, varying by: location (first or second page), detail (monthly or quarterly), and benchmark (relative to historical usage or an average household) (EU, 2018 Section 7.3). </w:t>
      </w:r>
      <w:r w:rsidR="00E07473">
        <w:rPr>
          <w:lang w:val="en-US" w:eastAsia="en-US"/>
        </w:rPr>
        <w:t xml:space="preserve">It did not find evidence that these variations in how </w:t>
      </w:r>
      <w:r>
        <w:rPr>
          <w:lang w:val="en-US" w:eastAsia="en-US"/>
        </w:rPr>
        <w:t xml:space="preserve">consumption data </w:t>
      </w:r>
      <w:r w:rsidR="00E07473">
        <w:rPr>
          <w:lang w:val="en-US" w:eastAsia="en-US"/>
        </w:rPr>
        <w:t xml:space="preserve">was presented </w:t>
      </w:r>
      <w:r>
        <w:rPr>
          <w:lang w:val="en-US" w:eastAsia="en-US"/>
        </w:rPr>
        <w:t xml:space="preserve">had </w:t>
      </w:r>
      <w:r w:rsidR="00E07473">
        <w:rPr>
          <w:lang w:val="en-US" w:eastAsia="en-US"/>
        </w:rPr>
        <w:t xml:space="preserve">an </w:t>
      </w:r>
      <w:r w:rsidR="000579C2">
        <w:rPr>
          <w:lang w:val="en-US" w:eastAsia="en-US"/>
        </w:rPr>
        <w:t xml:space="preserve">impact </w:t>
      </w:r>
      <w:r>
        <w:rPr>
          <w:lang w:val="en-US" w:eastAsia="en-US"/>
        </w:rPr>
        <w:t>on participants’ understanding of their energy usage or</w:t>
      </w:r>
      <w:r w:rsidR="00E07473">
        <w:rPr>
          <w:lang w:val="en-US" w:eastAsia="en-US"/>
        </w:rPr>
        <w:t xml:space="preserve"> their</w:t>
      </w:r>
      <w:r>
        <w:rPr>
          <w:lang w:val="en-US" w:eastAsia="en-US"/>
        </w:rPr>
        <w:t xml:space="preserve"> intention to</w:t>
      </w:r>
      <w:r w:rsidR="00E07473">
        <w:rPr>
          <w:lang w:val="en-US" w:eastAsia="en-US"/>
        </w:rPr>
        <w:t xml:space="preserve"> manage their energy consumption</w:t>
      </w:r>
      <w:r>
        <w:rPr>
          <w:lang w:val="en-US" w:eastAsia="en-US"/>
        </w:rPr>
        <w:t>.</w:t>
      </w:r>
    </w:p>
    <w:p w14:paraId="39375E0A" w14:textId="47D02738" w:rsidR="00961AF6" w:rsidRDefault="00961AF6" w:rsidP="0062095A">
      <w:pPr>
        <w:pStyle w:val="Heading4"/>
        <w:rPr>
          <w:lang w:val="en-US" w:eastAsia="en-US"/>
        </w:rPr>
      </w:pPr>
      <w:r>
        <w:rPr>
          <w:lang w:val="en-US" w:eastAsia="en-US"/>
        </w:rPr>
        <w:t>Peer comparisons</w:t>
      </w:r>
      <w:r w:rsidR="00516ADA">
        <w:rPr>
          <w:lang w:val="en-US" w:eastAsia="en-US"/>
        </w:rPr>
        <w:t xml:space="preserve"> (benchmarking)</w:t>
      </w:r>
    </w:p>
    <w:p w14:paraId="5E8AF04A" w14:textId="6211608B" w:rsidR="00846FA1" w:rsidRPr="00846FA1" w:rsidRDefault="00846FA1" w:rsidP="00846FA1">
      <w:pPr>
        <w:rPr>
          <w:lang w:val="en-US" w:eastAsia="en-US"/>
        </w:rPr>
      </w:pPr>
      <w:r w:rsidRPr="00846FA1">
        <w:rPr>
          <w:lang w:val="en-US" w:eastAsia="en-US"/>
        </w:rPr>
        <w:t xml:space="preserve">This section summarises the findings of a recent, thorough review of the literature on </w:t>
      </w:r>
      <w:r>
        <w:rPr>
          <w:lang w:val="en-US" w:eastAsia="en-US"/>
        </w:rPr>
        <w:t>electricity bill</w:t>
      </w:r>
      <w:r w:rsidRPr="00846FA1">
        <w:rPr>
          <w:lang w:val="en-US" w:eastAsia="en-US"/>
        </w:rPr>
        <w:t xml:space="preserve"> </w:t>
      </w:r>
      <w:r>
        <w:rPr>
          <w:lang w:val="en-US" w:eastAsia="en-US"/>
        </w:rPr>
        <w:t xml:space="preserve">benchmarks </w:t>
      </w:r>
      <w:r w:rsidRPr="00846FA1">
        <w:rPr>
          <w:lang w:val="en-US" w:eastAsia="en-US"/>
        </w:rPr>
        <w:t>(Frederiks</w:t>
      </w:r>
      <w:r w:rsidR="00A200FC">
        <w:rPr>
          <w:lang w:val="en-US" w:eastAsia="en-US"/>
        </w:rPr>
        <w:t>,</w:t>
      </w:r>
      <w:r w:rsidRPr="00846FA1">
        <w:rPr>
          <w:lang w:val="en-US" w:eastAsia="en-US"/>
        </w:rPr>
        <w:t xml:space="preserve"> 2021). That review concluded that:</w:t>
      </w:r>
    </w:p>
    <w:p w14:paraId="13311F3A" w14:textId="3683CF93" w:rsidR="00846FA1" w:rsidRPr="00846FA1" w:rsidRDefault="00846FA1" w:rsidP="00846FA1">
      <w:pPr>
        <w:ind w:left="720"/>
        <w:rPr>
          <w:lang w:val="en-US" w:eastAsia="en-US"/>
        </w:rPr>
      </w:pPr>
      <w:r w:rsidRPr="00846FA1">
        <w:rPr>
          <w:lang w:val="en-US" w:eastAsia="en-US"/>
        </w:rPr>
        <w:t xml:space="preserve">“Presenting electricity consumption benchmarks on household bills is likely to benefit some, but not all, customers. Some segments of the population may respond in different </w:t>
      </w:r>
      <w:r w:rsidRPr="00846FA1">
        <w:rPr>
          <w:lang w:val="en-US" w:eastAsia="en-US"/>
        </w:rPr>
        <w:lastRenderedPageBreak/>
        <w:t>ways to the benchmarks, with evidence suggesting that there may be a subset of households (e.g. below-average energy consumers) who do not benefit from the current design and delivery of this information.” (Frederiks</w:t>
      </w:r>
      <w:r w:rsidR="00A200FC">
        <w:rPr>
          <w:lang w:val="en-US" w:eastAsia="en-US"/>
        </w:rPr>
        <w:t>,</w:t>
      </w:r>
      <w:r w:rsidRPr="00846FA1">
        <w:rPr>
          <w:lang w:val="en-US" w:eastAsia="en-US"/>
        </w:rPr>
        <w:t xml:space="preserve"> 2021, p</w:t>
      </w:r>
      <w:r w:rsidR="00122F4B">
        <w:rPr>
          <w:lang w:val="en-US" w:eastAsia="en-US"/>
        </w:rPr>
        <w:t>v</w:t>
      </w:r>
      <w:r w:rsidRPr="00846FA1">
        <w:rPr>
          <w:lang w:val="en-US" w:eastAsia="en-US"/>
        </w:rPr>
        <w:t>)</w:t>
      </w:r>
    </w:p>
    <w:p w14:paraId="449FE238" w14:textId="391E1305" w:rsidR="00846FA1" w:rsidRPr="00846FA1" w:rsidRDefault="00846FA1" w:rsidP="00846FA1">
      <w:pPr>
        <w:rPr>
          <w:lang w:val="en-US" w:eastAsia="en-US"/>
        </w:rPr>
      </w:pPr>
      <w:r w:rsidRPr="00846FA1">
        <w:rPr>
          <w:lang w:val="en-US" w:eastAsia="en-US"/>
        </w:rPr>
        <w:t>Th</w:t>
      </w:r>
      <w:r w:rsidR="000579C2">
        <w:rPr>
          <w:lang w:val="en-US" w:eastAsia="en-US"/>
        </w:rPr>
        <w:t>e</w:t>
      </w:r>
      <w:r w:rsidRPr="00846FA1">
        <w:rPr>
          <w:lang w:val="en-US" w:eastAsia="en-US"/>
        </w:rPr>
        <w:t xml:space="preserve"> literature review adds</w:t>
      </w:r>
      <w:r>
        <w:rPr>
          <w:lang w:val="en-US" w:eastAsia="en-US"/>
        </w:rPr>
        <w:t>, however,</w:t>
      </w:r>
      <w:r w:rsidRPr="00846FA1">
        <w:rPr>
          <w:lang w:val="en-US" w:eastAsia="en-US"/>
        </w:rPr>
        <w:t xml:space="preserve"> that two sets of factors may moderate the effects of benchmark data on consumers. First, the efficacy of benchmarks may be affected by their design and delivery, such as: the visibility and credibility of information, choice of reference or comparison group, or the</w:t>
      </w:r>
      <w:r w:rsidR="00122F4B">
        <w:rPr>
          <w:lang w:val="en-US" w:eastAsia="en-US"/>
        </w:rPr>
        <w:t xml:space="preserve"> </w:t>
      </w:r>
      <w:r w:rsidRPr="00846FA1">
        <w:rPr>
          <w:lang w:val="en-US" w:eastAsia="en-US"/>
        </w:rPr>
        <w:t>mode and frequency of delivery.</w:t>
      </w:r>
      <w:r w:rsidR="00122F4B">
        <w:rPr>
          <w:lang w:val="en-US" w:eastAsia="en-US"/>
        </w:rPr>
        <w:t xml:space="preserve"> </w:t>
      </w:r>
      <w:r w:rsidRPr="00846FA1">
        <w:rPr>
          <w:lang w:val="en-US" w:eastAsia="en-US"/>
        </w:rPr>
        <w:t>Second, the efficacy of benchmarks is likely to be affected by the individual characteristics of consumers, such as their baseline level of consumption and the extent to which their behaviour deviates from the benchmark.</w:t>
      </w:r>
    </w:p>
    <w:p w14:paraId="44B66718" w14:textId="2BEA852A" w:rsidR="00846FA1" w:rsidRPr="00846FA1" w:rsidRDefault="00846FA1" w:rsidP="00846FA1">
      <w:pPr>
        <w:rPr>
          <w:lang w:val="en-US" w:eastAsia="en-US"/>
        </w:rPr>
      </w:pPr>
      <w:r>
        <w:rPr>
          <w:lang w:val="en-US" w:eastAsia="en-US"/>
        </w:rPr>
        <w:t xml:space="preserve">The literature review concludes with a series of recommendations </w:t>
      </w:r>
      <w:r w:rsidRPr="00846FA1">
        <w:rPr>
          <w:lang w:val="en-US" w:eastAsia="en-US"/>
        </w:rPr>
        <w:t xml:space="preserve">for the future design and delivery of energy consumption benchmarks in Australia </w:t>
      </w:r>
      <w:r>
        <w:rPr>
          <w:lang w:val="en-US" w:eastAsia="en-US"/>
        </w:rPr>
        <w:t>(Frederiks, 2021 Section 4.1).</w:t>
      </w:r>
      <w:r w:rsidR="000800BC">
        <w:rPr>
          <w:lang w:val="en-US" w:eastAsia="en-US"/>
        </w:rPr>
        <w:t xml:space="preserve"> At a general level, it endorses </w:t>
      </w:r>
      <w:r w:rsidR="00122F4B">
        <w:rPr>
          <w:lang w:val="en-US" w:eastAsia="en-US"/>
        </w:rPr>
        <w:t xml:space="preserve">a </w:t>
      </w:r>
      <w:r w:rsidR="000800BC">
        <w:rPr>
          <w:lang w:val="en-US" w:eastAsia="en-US"/>
        </w:rPr>
        <w:t xml:space="preserve">current AER guidance note (AER, 2020), which recommends that retailers </w:t>
      </w:r>
      <w:r w:rsidR="000800BC" w:rsidRPr="00846FA1">
        <w:rPr>
          <w:lang w:val="en-US" w:eastAsia="en-US"/>
        </w:rPr>
        <w:t>use ‘graphical and/or pictorial formats to present the benchmarks in a way that is easy for customers to understand’.</w:t>
      </w:r>
      <w:r w:rsidR="000800BC">
        <w:rPr>
          <w:lang w:val="en-US" w:eastAsia="en-US"/>
        </w:rPr>
        <w:t xml:space="preserve"> In addition, it makes the following recommendations.</w:t>
      </w:r>
    </w:p>
    <w:p w14:paraId="249DDB03" w14:textId="56C242ED" w:rsidR="00846FA1" w:rsidRPr="00846FA1" w:rsidRDefault="00846FA1" w:rsidP="00846FA1">
      <w:pPr>
        <w:rPr>
          <w:lang w:val="en-US" w:eastAsia="en-US"/>
        </w:rPr>
      </w:pPr>
      <w:r w:rsidRPr="00840FCB">
        <w:rPr>
          <w:i/>
          <w:lang w:val="en-US" w:eastAsia="en-US"/>
        </w:rPr>
        <w:t>Visibility and placement of information</w:t>
      </w:r>
      <w:r w:rsidRPr="00846FA1">
        <w:rPr>
          <w:lang w:val="en-US" w:eastAsia="en-US"/>
        </w:rPr>
        <w:t xml:space="preserve">: benchmarks should be clearly visible and prominently displayed on consumers’ bills. </w:t>
      </w:r>
    </w:p>
    <w:p w14:paraId="15B104DF" w14:textId="77777777" w:rsidR="00846FA1" w:rsidRPr="00846FA1" w:rsidRDefault="00846FA1" w:rsidP="00846FA1">
      <w:pPr>
        <w:rPr>
          <w:lang w:val="en-US" w:eastAsia="en-US"/>
        </w:rPr>
      </w:pPr>
      <w:r w:rsidRPr="00840FCB">
        <w:rPr>
          <w:i/>
          <w:lang w:val="en-US" w:eastAsia="en-US"/>
        </w:rPr>
        <w:t>Credibility and trustworthiness of information</w:t>
      </w:r>
      <w:r w:rsidRPr="00846FA1">
        <w:rPr>
          <w:lang w:val="en-US" w:eastAsia="en-US"/>
        </w:rPr>
        <w:t xml:space="preserve">: there are low levels of consumer trust in the retail energy sector so having the benchmarks associated with or endorsed by a reputable official source (e.g. government, consumer watchdog or consumer advocacy group) may help to enhance consumer trust and confidence in the information </w:t>
      </w:r>
    </w:p>
    <w:p w14:paraId="4314A080" w14:textId="1066A3BA" w:rsidR="00846FA1" w:rsidRPr="00846FA1" w:rsidRDefault="00846FA1" w:rsidP="00846FA1">
      <w:pPr>
        <w:rPr>
          <w:lang w:val="en-US" w:eastAsia="en-US"/>
        </w:rPr>
      </w:pPr>
      <w:r w:rsidRPr="00840FCB">
        <w:rPr>
          <w:i/>
          <w:lang w:val="en-US" w:eastAsia="en-US"/>
        </w:rPr>
        <w:t>Meaningfulness and interpretability of information</w:t>
      </w:r>
      <w:r w:rsidRPr="00846FA1">
        <w:rPr>
          <w:lang w:val="en-US" w:eastAsia="en-US"/>
        </w:rPr>
        <w:t xml:space="preserve">: </w:t>
      </w:r>
      <w:r w:rsidR="000800BC">
        <w:rPr>
          <w:lang w:val="en-US" w:eastAsia="en-US"/>
        </w:rPr>
        <w:t>C</w:t>
      </w:r>
      <w:r w:rsidRPr="00846FA1">
        <w:rPr>
          <w:lang w:val="en-US" w:eastAsia="en-US"/>
        </w:rPr>
        <w:t xml:space="preserve">onsider what type of information is most meaningful and interpretable to individuals. For example, displaying the benchmarks in terms of dollars/money spent may make the information more meaningful, relevant and interpretable. </w:t>
      </w:r>
    </w:p>
    <w:p w14:paraId="095E1EE7" w14:textId="753187D3" w:rsidR="00846FA1" w:rsidRPr="00846FA1" w:rsidRDefault="00846FA1" w:rsidP="00846FA1">
      <w:pPr>
        <w:rPr>
          <w:lang w:val="en-US" w:eastAsia="en-US"/>
        </w:rPr>
      </w:pPr>
      <w:r w:rsidRPr="00840FCB">
        <w:rPr>
          <w:i/>
          <w:lang w:val="en-US" w:eastAsia="en-US"/>
        </w:rPr>
        <w:t>Relevance and personalisation of information</w:t>
      </w:r>
      <w:r w:rsidRPr="00846FA1">
        <w:rPr>
          <w:lang w:val="en-US" w:eastAsia="en-US"/>
        </w:rPr>
        <w:t xml:space="preserve">: </w:t>
      </w:r>
      <w:r w:rsidR="000800BC">
        <w:rPr>
          <w:lang w:val="en-US" w:eastAsia="en-US"/>
        </w:rPr>
        <w:t>T</w:t>
      </w:r>
      <w:r w:rsidRPr="00846FA1">
        <w:rPr>
          <w:lang w:val="en-US" w:eastAsia="en-US"/>
        </w:rPr>
        <w:t xml:space="preserve">he reference/comparison group should be as similar to the consumer as practically possible and relevant to their own identity. </w:t>
      </w:r>
    </w:p>
    <w:p w14:paraId="7AD43392" w14:textId="7E4082C5" w:rsidR="00846FA1" w:rsidRPr="00846FA1" w:rsidRDefault="00A200FC" w:rsidP="00846FA1">
      <w:pPr>
        <w:rPr>
          <w:lang w:val="en-US" w:eastAsia="en-US"/>
        </w:rPr>
      </w:pPr>
      <w:r w:rsidRPr="00840FCB">
        <w:rPr>
          <w:i/>
          <w:lang w:val="en-US" w:eastAsia="en-US"/>
        </w:rPr>
        <w:t>Combine</w:t>
      </w:r>
      <w:r w:rsidR="00846FA1" w:rsidRPr="00840FCB">
        <w:rPr>
          <w:i/>
          <w:lang w:val="en-US" w:eastAsia="en-US"/>
        </w:rPr>
        <w:t xml:space="preserve"> descriptive and injunctive norms</w:t>
      </w:r>
      <w:r w:rsidR="00846FA1" w:rsidRPr="00846FA1">
        <w:rPr>
          <w:lang w:val="en-US" w:eastAsia="en-US"/>
        </w:rPr>
        <w:t>: To reduce the risk of a ‘boomerang’ effect among low energy users who are already performing better than the average in terms of energy conservation, it is important to combine the benchmark data (akin to a descriptive norm) with an injunctive norm that offers social approval and positive reinforcement for desirable behaviour</w:t>
      </w:r>
      <w:r w:rsidR="00846FA1">
        <w:rPr>
          <w:lang w:val="en-US" w:eastAsia="en-US"/>
        </w:rPr>
        <w:t xml:space="preserve"> (for </w:t>
      </w:r>
      <w:r w:rsidR="00846FA1" w:rsidRPr="00846FA1">
        <w:rPr>
          <w:lang w:val="en-US" w:eastAsia="en-US"/>
        </w:rPr>
        <w:t xml:space="preserve">example, a smiley face or words of </w:t>
      </w:r>
      <w:r w:rsidR="00846FA1">
        <w:rPr>
          <w:lang w:val="en-US" w:eastAsia="en-US"/>
        </w:rPr>
        <w:t>encouragement)</w:t>
      </w:r>
      <w:r w:rsidR="00846FA1" w:rsidRPr="00846FA1">
        <w:rPr>
          <w:lang w:val="en-US" w:eastAsia="en-US"/>
        </w:rPr>
        <w:t xml:space="preserve">. </w:t>
      </w:r>
    </w:p>
    <w:p w14:paraId="39CB55F6" w14:textId="528B2015" w:rsidR="00846FA1" w:rsidRPr="00846FA1" w:rsidRDefault="00846FA1" w:rsidP="00846FA1">
      <w:pPr>
        <w:rPr>
          <w:lang w:val="en-US" w:eastAsia="en-US"/>
        </w:rPr>
      </w:pPr>
      <w:r w:rsidRPr="00840FCB">
        <w:rPr>
          <w:i/>
          <w:lang w:val="en-US" w:eastAsia="en-US"/>
        </w:rPr>
        <w:t>Consider the reference group</w:t>
      </w:r>
      <w:r w:rsidRPr="00846FA1">
        <w:rPr>
          <w:lang w:val="en-US" w:eastAsia="en-US"/>
        </w:rPr>
        <w:t xml:space="preserve">: </w:t>
      </w:r>
      <w:r w:rsidR="000800BC">
        <w:rPr>
          <w:lang w:val="en-US" w:eastAsia="en-US"/>
        </w:rPr>
        <w:t>W</w:t>
      </w:r>
      <w:r w:rsidRPr="00846FA1">
        <w:rPr>
          <w:lang w:val="en-US" w:eastAsia="en-US"/>
        </w:rPr>
        <w:t xml:space="preserve">hen displaying benchmark data, a household’s energy consumption can either be compared to the ‘average’ consumption of the reference group or to a higher-performing group (e.g. the most efficient 20% of households from the reference group). Consideration should be given to the potential benefits of the latter. </w:t>
      </w:r>
    </w:p>
    <w:p w14:paraId="48AD83D3" w14:textId="37EDC264" w:rsidR="00846FA1" w:rsidRPr="00846FA1" w:rsidRDefault="00846FA1" w:rsidP="00846FA1">
      <w:pPr>
        <w:rPr>
          <w:lang w:val="en-US" w:eastAsia="en-US"/>
        </w:rPr>
      </w:pPr>
      <w:r w:rsidRPr="00840FCB">
        <w:rPr>
          <w:i/>
          <w:lang w:val="en-US" w:eastAsia="en-US"/>
        </w:rPr>
        <w:lastRenderedPageBreak/>
        <w:t>Add practical energy-saving tips</w:t>
      </w:r>
      <w:r w:rsidRPr="00846FA1">
        <w:rPr>
          <w:lang w:val="en-US" w:eastAsia="en-US"/>
        </w:rPr>
        <w:t xml:space="preserve">: </w:t>
      </w:r>
      <w:r w:rsidR="000800BC">
        <w:rPr>
          <w:lang w:val="en-US" w:eastAsia="en-US"/>
        </w:rPr>
        <w:t>C</w:t>
      </w:r>
      <w:r>
        <w:rPr>
          <w:lang w:val="en-US" w:eastAsia="en-US"/>
        </w:rPr>
        <w:t xml:space="preserve">onsider </w:t>
      </w:r>
      <w:r w:rsidRPr="00846FA1">
        <w:rPr>
          <w:lang w:val="en-US" w:eastAsia="en-US"/>
        </w:rPr>
        <w:t xml:space="preserve">including simple, easy, and practical advice alongside the benchmarks to inform consumers about what steps can be taken to save energy. </w:t>
      </w:r>
    </w:p>
    <w:p w14:paraId="2A863C9F" w14:textId="54A1A190" w:rsidR="004C3C9D" w:rsidRDefault="00846FA1" w:rsidP="00846FA1">
      <w:pPr>
        <w:rPr>
          <w:lang w:val="en-US" w:eastAsia="en-US"/>
        </w:rPr>
      </w:pPr>
      <w:r w:rsidRPr="00840FCB">
        <w:rPr>
          <w:i/>
          <w:lang w:val="en-US" w:eastAsia="en-US"/>
        </w:rPr>
        <w:t>Standardisation of information across retailers</w:t>
      </w:r>
      <w:r w:rsidRPr="00846FA1">
        <w:rPr>
          <w:lang w:val="en-US" w:eastAsia="en-US"/>
        </w:rPr>
        <w:t xml:space="preserve">: Australian energy retailers currently present benchmark data on customer bills in different ways. </w:t>
      </w:r>
      <w:r w:rsidR="000800BC">
        <w:rPr>
          <w:lang w:val="en-US" w:eastAsia="en-US"/>
        </w:rPr>
        <w:t>T</w:t>
      </w:r>
      <w:r w:rsidRPr="00846FA1">
        <w:rPr>
          <w:lang w:val="en-US" w:eastAsia="en-US"/>
        </w:rPr>
        <w:t>here may be value in exploring whether retailers can agree on a single, standardised format for displaying energy consumption benchmarks on the bills of residential customers.</w:t>
      </w:r>
    </w:p>
    <w:p w14:paraId="5CABAFDF" w14:textId="77777777" w:rsidR="00261D2C" w:rsidRPr="00261D2C" w:rsidRDefault="00261D2C" w:rsidP="00261D2C">
      <w:pPr>
        <w:pBdr>
          <w:top w:val="single" w:sz="18" w:space="1" w:color="142E3B" w:themeColor="text2"/>
          <w:left w:val="single" w:sz="18" w:space="4" w:color="142E3B" w:themeColor="text2"/>
          <w:bottom w:val="single" w:sz="18" w:space="1" w:color="142E3B" w:themeColor="text2"/>
          <w:right w:val="single" w:sz="18" w:space="4" w:color="142E3B" w:themeColor="text2"/>
        </w:pBdr>
        <w:shd w:val="clear" w:color="auto" w:fill="F2F2F2" w:themeFill="background1" w:themeFillShade="F2"/>
        <w:rPr>
          <w:color w:val="142E3B" w:themeColor="text2"/>
        </w:rPr>
      </w:pPr>
      <w:r w:rsidRPr="00261D2C">
        <w:rPr>
          <w:b/>
          <w:color w:val="142E3B" w:themeColor="text2"/>
        </w:rPr>
        <w:t>BI box: Peer comparison</w:t>
      </w:r>
      <w:r w:rsidRPr="00261D2C">
        <w:rPr>
          <w:color w:val="142E3B" w:themeColor="text2"/>
        </w:rPr>
        <w:t xml:space="preserve"> </w:t>
      </w:r>
    </w:p>
    <w:p w14:paraId="312095CD" w14:textId="02B0DF4A" w:rsidR="00261D2C" w:rsidRPr="00261D2C" w:rsidRDefault="00261D2C" w:rsidP="00261D2C">
      <w:pPr>
        <w:pBdr>
          <w:top w:val="single" w:sz="18" w:space="1" w:color="142E3B" w:themeColor="text2"/>
          <w:left w:val="single" w:sz="18" w:space="4" w:color="142E3B" w:themeColor="text2"/>
          <w:bottom w:val="single" w:sz="18" w:space="1" w:color="142E3B" w:themeColor="text2"/>
          <w:right w:val="single" w:sz="18" w:space="4" w:color="142E3B" w:themeColor="text2"/>
        </w:pBdr>
        <w:shd w:val="clear" w:color="auto" w:fill="F2F2F2" w:themeFill="background1" w:themeFillShade="F2"/>
        <w:rPr>
          <w:rFonts w:cstheme="minorHAnsi"/>
          <w:lang w:val="en-US"/>
        </w:rPr>
      </w:pPr>
      <w:r w:rsidRPr="00750126">
        <w:rPr>
          <w:rFonts w:cstheme="minorHAnsi"/>
        </w:rPr>
        <w:t>Social comparisons can be powerful driver</w:t>
      </w:r>
      <w:r>
        <w:rPr>
          <w:rFonts w:cstheme="minorHAnsi"/>
        </w:rPr>
        <w:t>s</w:t>
      </w:r>
      <w:r w:rsidRPr="00750126">
        <w:rPr>
          <w:rFonts w:cstheme="minorHAnsi"/>
        </w:rPr>
        <w:t xml:space="preserve"> of human behaviour. </w:t>
      </w:r>
      <w:r w:rsidRPr="00750126">
        <w:rPr>
          <w:rFonts w:cstheme="minorHAnsi"/>
          <w:lang w:val="en-US"/>
        </w:rPr>
        <w:t xml:space="preserve">Cialdini’s (1987) work suggests norms are more influential when people can identify their similarity with the peer group. A well-known UK </w:t>
      </w:r>
      <w:r w:rsidRPr="00202C6D">
        <w:rPr>
          <w:rFonts w:cstheme="minorHAnsi"/>
          <w:lang w:val="en-US"/>
        </w:rPr>
        <w:t>Behavioural Insights Team</w:t>
      </w:r>
      <w:r w:rsidRPr="00750126">
        <w:rPr>
          <w:rFonts w:cstheme="minorHAnsi"/>
          <w:lang w:val="en-US"/>
        </w:rPr>
        <w:t xml:space="preserve"> trial found including the statement “9 out of 10 people pay their tax on time” in communications with individuals who owed taxes increased payment rates by 15 per cent. The effect </w:t>
      </w:r>
      <w:r>
        <w:rPr>
          <w:rFonts w:cstheme="minorHAnsi"/>
          <w:lang w:val="en-US"/>
        </w:rPr>
        <w:t>was strongest with localised</w:t>
      </w:r>
      <w:r w:rsidRPr="00750126">
        <w:rPr>
          <w:rFonts w:cstheme="minorHAnsi"/>
          <w:lang w:val="en-US"/>
        </w:rPr>
        <w:t xml:space="preserve"> social norms – “9 out of 10 people in [your county of residence] pay their tax on time” (</w:t>
      </w:r>
      <w:r>
        <w:rPr>
          <w:rFonts w:cstheme="minorHAnsi"/>
          <w:lang w:val="en-US"/>
        </w:rPr>
        <w:t>BIT</w:t>
      </w:r>
      <w:r w:rsidRPr="00750126">
        <w:rPr>
          <w:rFonts w:cstheme="minorHAnsi"/>
          <w:lang w:val="en-US"/>
        </w:rPr>
        <w:t>, 2012).</w:t>
      </w:r>
    </w:p>
    <w:p w14:paraId="00F2A600" w14:textId="0EDEF907" w:rsidR="00961AF6" w:rsidRDefault="00961AF6" w:rsidP="0062095A">
      <w:pPr>
        <w:pStyle w:val="Heading4"/>
        <w:rPr>
          <w:lang w:val="en-US" w:eastAsia="en-US"/>
        </w:rPr>
      </w:pPr>
      <w:r>
        <w:rPr>
          <w:lang w:val="en-US" w:eastAsia="en-US"/>
        </w:rPr>
        <w:t>Real</w:t>
      </w:r>
      <w:r w:rsidR="00DD5ECF">
        <w:rPr>
          <w:lang w:val="en-US" w:eastAsia="en-US"/>
        </w:rPr>
        <w:t>-</w:t>
      </w:r>
      <w:r>
        <w:rPr>
          <w:lang w:val="en-US" w:eastAsia="en-US"/>
        </w:rPr>
        <w:t>time information</w:t>
      </w:r>
    </w:p>
    <w:p w14:paraId="4DAC05B7" w14:textId="32E7E30C" w:rsidR="006572BB" w:rsidRDefault="006572BB" w:rsidP="006572BB">
      <w:pPr>
        <w:rPr>
          <w:lang w:val="en-US" w:eastAsia="en-US"/>
        </w:rPr>
      </w:pPr>
      <w:r>
        <w:rPr>
          <w:lang w:val="en-US" w:eastAsia="en-US"/>
        </w:rPr>
        <w:t xml:space="preserve">Direct feedback through in-home displays (IHDs) </w:t>
      </w:r>
      <w:r w:rsidR="00F73A84">
        <w:rPr>
          <w:lang w:val="en-US" w:eastAsia="en-US"/>
        </w:rPr>
        <w:t xml:space="preserve">was </w:t>
      </w:r>
      <w:r>
        <w:rPr>
          <w:lang w:val="en-US" w:eastAsia="en-US"/>
        </w:rPr>
        <w:t xml:space="preserve">the most effective way to drive increased energy efficiency activity. Providing real-time household electricity feedback through IHDs </w:t>
      </w:r>
      <w:r w:rsidR="002A1828">
        <w:rPr>
          <w:lang w:val="en-US" w:eastAsia="en-US"/>
        </w:rPr>
        <w:t>r</w:t>
      </w:r>
      <w:r w:rsidR="001F477E">
        <w:rPr>
          <w:lang w:val="en-US" w:eastAsia="en-US"/>
        </w:rPr>
        <w:t>educe</w:t>
      </w:r>
      <w:r w:rsidR="00F73A84">
        <w:rPr>
          <w:lang w:val="en-US" w:eastAsia="en-US"/>
        </w:rPr>
        <w:t>d</w:t>
      </w:r>
      <w:r w:rsidR="001F477E">
        <w:rPr>
          <w:lang w:val="en-US" w:eastAsia="en-US"/>
        </w:rPr>
        <w:t xml:space="preserve"> energy usage by up to 9 per cent</w:t>
      </w:r>
      <w:r>
        <w:rPr>
          <w:lang w:val="en-US" w:eastAsia="en-US"/>
        </w:rPr>
        <w:t xml:space="preserve"> (Schultz et al</w:t>
      </w:r>
      <w:r w:rsidR="00F73A84">
        <w:rPr>
          <w:lang w:val="en-US" w:eastAsia="en-US"/>
        </w:rPr>
        <w:t>.</w:t>
      </w:r>
      <w:r>
        <w:rPr>
          <w:lang w:val="en-US" w:eastAsia="en-US"/>
        </w:rPr>
        <w:t xml:space="preserve">, 2015). </w:t>
      </w:r>
      <w:r w:rsidR="00280B77">
        <w:rPr>
          <w:lang w:val="en-US" w:eastAsia="en-US"/>
        </w:rPr>
        <w:t xml:space="preserve">The displays </w:t>
      </w:r>
      <w:r w:rsidR="00F73A84">
        <w:rPr>
          <w:lang w:val="en-US" w:eastAsia="en-US"/>
        </w:rPr>
        <w:t>wer</w:t>
      </w:r>
      <w:r w:rsidR="002A1828">
        <w:rPr>
          <w:lang w:val="en-US" w:eastAsia="en-US"/>
        </w:rPr>
        <w:t xml:space="preserve">e </w:t>
      </w:r>
      <w:r w:rsidR="00457DBE">
        <w:rPr>
          <w:lang w:val="en-US" w:eastAsia="en-US"/>
        </w:rPr>
        <w:t xml:space="preserve">most </w:t>
      </w:r>
      <w:r>
        <w:rPr>
          <w:lang w:val="en-US" w:eastAsia="en-US"/>
        </w:rPr>
        <w:t xml:space="preserve">effective when </w:t>
      </w:r>
      <w:r w:rsidR="00363A02">
        <w:rPr>
          <w:lang w:val="en-US" w:eastAsia="en-US"/>
        </w:rPr>
        <w:t xml:space="preserve">they </w:t>
      </w:r>
      <w:r>
        <w:rPr>
          <w:lang w:val="en-US" w:eastAsia="en-US"/>
        </w:rPr>
        <w:t>combine</w:t>
      </w:r>
      <w:r w:rsidR="00F73A84">
        <w:rPr>
          <w:lang w:val="en-US" w:eastAsia="en-US"/>
        </w:rPr>
        <w:t>d</w:t>
      </w:r>
      <w:r>
        <w:rPr>
          <w:lang w:val="en-US" w:eastAsia="en-US"/>
        </w:rPr>
        <w:t xml:space="preserve"> usage feedback with the cost of the electricity or normative feedback comparing them to the usage of similar households. </w:t>
      </w:r>
      <w:r w:rsidR="00280B77">
        <w:rPr>
          <w:lang w:val="en-US" w:eastAsia="en-US"/>
        </w:rPr>
        <w:t xml:space="preserve">Jessoe </w:t>
      </w:r>
      <w:r w:rsidR="00710FBA">
        <w:rPr>
          <w:lang w:val="en-US" w:eastAsia="en-US"/>
        </w:rPr>
        <w:t xml:space="preserve">and Rapson </w:t>
      </w:r>
      <w:r w:rsidR="00280B77">
        <w:rPr>
          <w:lang w:val="en-US" w:eastAsia="en-US"/>
        </w:rPr>
        <w:t xml:space="preserve">(2014) also </w:t>
      </w:r>
      <w:r w:rsidR="00F73A84">
        <w:rPr>
          <w:lang w:val="en-US" w:eastAsia="en-US"/>
        </w:rPr>
        <w:t xml:space="preserve">found </w:t>
      </w:r>
      <w:r w:rsidR="00280B77">
        <w:rPr>
          <w:lang w:val="en-US" w:eastAsia="en-US"/>
        </w:rPr>
        <w:t xml:space="preserve">that households with IHDs alongside a price increase warning </w:t>
      </w:r>
      <w:r w:rsidR="00457DBE">
        <w:rPr>
          <w:lang w:val="en-US" w:eastAsia="en-US"/>
        </w:rPr>
        <w:t>reduced</w:t>
      </w:r>
      <w:r w:rsidR="00280B77">
        <w:rPr>
          <w:lang w:val="en-US" w:eastAsia="en-US"/>
        </w:rPr>
        <w:t xml:space="preserve"> usage by around 10 percentage points more during peak demand events than households who only receive price warnings.</w:t>
      </w:r>
    </w:p>
    <w:p w14:paraId="7045F712" w14:textId="6F8CDC8F" w:rsidR="00252729" w:rsidRDefault="006572BB" w:rsidP="006572BB">
      <w:pPr>
        <w:rPr>
          <w:lang w:val="en-US" w:eastAsia="en-US"/>
        </w:rPr>
      </w:pPr>
      <w:r>
        <w:rPr>
          <w:lang w:val="en-US" w:eastAsia="en-US"/>
        </w:rPr>
        <w:t xml:space="preserve">A meta-analysis of the effects of non-price interventions on energy conservation (Andor </w:t>
      </w:r>
      <w:r w:rsidR="00F73A84">
        <w:rPr>
          <w:lang w:val="en-US" w:eastAsia="en-US"/>
        </w:rPr>
        <w:t>and</w:t>
      </w:r>
      <w:r>
        <w:rPr>
          <w:lang w:val="en-US" w:eastAsia="en-US"/>
        </w:rPr>
        <w:t xml:space="preserve"> Fels, 2018) supports these conclusions. They find that the most effective behavioural interventions are real-time feedback through online and in-home displays</w:t>
      </w:r>
      <w:r w:rsidR="00363A02">
        <w:rPr>
          <w:lang w:val="en-US" w:eastAsia="en-US"/>
        </w:rPr>
        <w:t>, which</w:t>
      </w:r>
      <w:r>
        <w:rPr>
          <w:lang w:val="en-US" w:eastAsia="en-US"/>
        </w:rPr>
        <w:t xml:space="preserve"> had a higher effect than letters.</w:t>
      </w:r>
    </w:p>
    <w:p w14:paraId="7AE47C8B" w14:textId="77777777" w:rsidR="00261D2C" w:rsidRPr="00261D2C" w:rsidRDefault="00261D2C" w:rsidP="00D80153">
      <w:pPr>
        <w:keepNext/>
        <w:pBdr>
          <w:top w:val="single" w:sz="18" w:space="1" w:color="142E3B" w:themeColor="text2"/>
          <w:left w:val="single" w:sz="18" w:space="4" w:color="142E3B" w:themeColor="text2"/>
          <w:bottom w:val="single" w:sz="18" w:space="1" w:color="142E3B" w:themeColor="text2"/>
          <w:right w:val="single" w:sz="18" w:space="4" w:color="142E3B" w:themeColor="text2"/>
        </w:pBdr>
        <w:shd w:val="clear" w:color="auto" w:fill="F2F2F2" w:themeFill="background1" w:themeFillShade="F2"/>
        <w:rPr>
          <w:color w:val="142E3B" w:themeColor="text2"/>
        </w:rPr>
      </w:pPr>
      <w:r w:rsidRPr="00261D2C">
        <w:rPr>
          <w:b/>
          <w:color w:val="142E3B" w:themeColor="text2"/>
        </w:rPr>
        <w:t>BI box: Timely information</w:t>
      </w:r>
      <w:r w:rsidRPr="00261D2C">
        <w:rPr>
          <w:color w:val="142E3B" w:themeColor="text2"/>
        </w:rPr>
        <w:t xml:space="preserve"> </w:t>
      </w:r>
    </w:p>
    <w:p w14:paraId="2A8ADB4E" w14:textId="77777777" w:rsidR="00261D2C" w:rsidRDefault="00261D2C" w:rsidP="00D80153">
      <w:pPr>
        <w:keepNext/>
        <w:pBdr>
          <w:top w:val="single" w:sz="18" w:space="1" w:color="142E3B" w:themeColor="text2"/>
          <w:left w:val="single" w:sz="18" w:space="4" w:color="142E3B" w:themeColor="text2"/>
          <w:bottom w:val="single" w:sz="18" w:space="1" w:color="142E3B" w:themeColor="text2"/>
          <w:right w:val="single" w:sz="18" w:space="4" w:color="142E3B" w:themeColor="text2"/>
        </w:pBdr>
        <w:shd w:val="clear" w:color="auto" w:fill="F2F2F2" w:themeFill="background1" w:themeFillShade="F2"/>
      </w:pPr>
      <w:r>
        <w:t>There is usually a limited window to alter an individual’s behaviour during the decision making process. Ed</w:t>
      </w:r>
      <w:r w:rsidRPr="007218CD">
        <w:t xml:space="preserve">ucation delivered at </w:t>
      </w:r>
      <w:r>
        <w:t>the</w:t>
      </w:r>
      <w:r w:rsidRPr="007218CD">
        <w:t xml:space="preserve"> precise moment</w:t>
      </w:r>
      <w:r>
        <w:t xml:space="preserve"> it is needed most will</w:t>
      </w:r>
      <w:r w:rsidRPr="007218CD">
        <w:t xml:space="preserve"> improve the quality of </w:t>
      </w:r>
      <w:r>
        <w:t>the</w:t>
      </w:r>
      <w:r w:rsidRPr="007218CD">
        <w:t xml:space="preserve"> application</w:t>
      </w:r>
      <w:r>
        <w:t xml:space="preserve"> </w:t>
      </w:r>
      <w:sdt>
        <w:sdtPr>
          <w:id w:val="-164866360"/>
          <w:citation/>
        </w:sdtPr>
        <w:sdtEndPr/>
        <w:sdtContent>
          <w:r>
            <w:fldChar w:fldCharType="begin"/>
          </w:r>
          <w:r>
            <w:instrText xml:space="preserve"> CITATION Shl15 \l 3081 </w:instrText>
          </w:r>
          <w:r>
            <w:fldChar w:fldCharType="separate"/>
          </w:r>
          <w:r>
            <w:rPr>
              <w:noProof/>
            </w:rPr>
            <w:t>(Benartzi, 2015)</w:t>
          </w:r>
          <w:r>
            <w:fldChar w:fldCharType="end"/>
          </w:r>
        </w:sdtContent>
      </w:sdt>
      <w:r w:rsidRPr="007218CD">
        <w:t>.</w:t>
      </w:r>
    </w:p>
    <w:p w14:paraId="34565F1B" w14:textId="77777777" w:rsidR="00591132" w:rsidRDefault="00591132" w:rsidP="00591132">
      <w:pPr>
        <w:pStyle w:val="Heading4"/>
        <w:rPr>
          <w:lang w:val="en-US" w:eastAsia="en-US"/>
        </w:rPr>
      </w:pPr>
      <w:r>
        <w:rPr>
          <w:lang w:val="en-US" w:eastAsia="en-US"/>
        </w:rPr>
        <w:t>Smart meters</w:t>
      </w:r>
    </w:p>
    <w:p w14:paraId="651B5104" w14:textId="3B906B9E" w:rsidR="00755EFA" w:rsidRDefault="00F73A84" w:rsidP="00591132">
      <w:pPr>
        <w:rPr>
          <w:lang w:val="en-US" w:eastAsia="en-US"/>
        </w:rPr>
      </w:pPr>
      <w:r>
        <w:rPr>
          <w:lang w:val="en-US" w:eastAsia="en-US"/>
        </w:rPr>
        <w:t>A large</w:t>
      </w:r>
      <w:r>
        <w:rPr>
          <w:lang w:val="en-US" w:eastAsia="en-US"/>
        </w:rPr>
        <w:noBreakHyphen/>
      </w:r>
      <w:r w:rsidR="00591132">
        <w:rPr>
          <w:lang w:val="en-US" w:eastAsia="en-US"/>
        </w:rPr>
        <w:t xml:space="preserve">scale real-world study by Ofgem and UK energy retailers (2011) shows that interventions using smart meters are frequently successful and have large energy savings. The </w:t>
      </w:r>
      <w:r w:rsidR="00591132">
        <w:rPr>
          <w:lang w:val="en-US" w:eastAsia="en-US"/>
        </w:rPr>
        <w:lastRenderedPageBreak/>
        <w:t xml:space="preserve">effectiveness was due to more sophisticated real-time displays and more frequent and accurate historic feedback and billing. </w:t>
      </w:r>
    </w:p>
    <w:p w14:paraId="0BEAC308" w14:textId="2F1D8BD7" w:rsidR="00961AF6" w:rsidRDefault="00961AF6" w:rsidP="0062095A">
      <w:pPr>
        <w:pStyle w:val="Heading4"/>
        <w:rPr>
          <w:lang w:val="en-US" w:eastAsia="en-US"/>
        </w:rPr>
      </w:pPr>
      <w:r>
        <w:rPr>
          <w:lang w:val="en-US" w:eastAsia="en-US"/>
        </w:rPr>
        <w:t>Billing programs</w:t>
      </w:r>
    </w:p>
    <w:p w14:paraId="577DE987" w14:textId="2A833F81" w:rsidR="005851BD" w:rsidRDefault="005851BD" w:rsidP="006572BB">
      <w:pPr>
        <w:rPr>
          <w:lang w:val="en-US" w:eastAsia="en-US"/>
        </w:rPr>
      </w:pPr>
      <w:r>
        <w:rPr>
          <w:lang w:val="en-US" w:eastAsia="en-US"/>
        </w:rPr>
        <w:t xml:space="preserve">Bill smoothing and direct debit policies reduce the salience of usage and </w:t>
      </w:r>
      <w:r w:rsidR="00D525C6">
        <w:rPr>
          <w:lang w:val="en-US" w:eastAsia="en-US"/>
        </w:rPr>
        <w:t>increase the</w:t>
      </w:r>
      <w:r w:rsidR="00BF5002">
        <w:rPr>
          <w:lang w:val="en-US" w:eastAsia="en-US"/>
        </w:rPr>
        <w:t xml:space="preserve"> total</w:t>
      </w:r>
      <w:r w:rsidR="00D525C6">
        <w:rPr>
          <w:lang w:val="en-US" w:eastAsia="en-US"/>
        </w:rPr>
        <w:t xml:space="preserve"> amount of </w:t>
      </w:r>
      <w:r w:rsidR="00363AAD">
        <w:rPr>
          <w:lang w:val="en-US" w:eastAsia="en-US"/>
        </w:rPr>
        <w:t xml:space="preserve">energy </w:t>
      </w:r>
      <w:r w:rsidR="00F461B6">
        <w:rPr>
          <w:lang w:val="en-US" w:eastAsia="en-US"/>
        </w:rPr>
        <w:t>consumers</w:t>
      </w:r>
      <w:r w:rsidR="00D525C6">
        <w:rPr>
          <w:lang w:val="en-US" w:eastAsia="en-US"/>
        </w:rPr>
        <w:t xml:space="preserve"> use</w:t>
      </w:r>
      <w:r>
        <w:rPr>
          <w:lang w:val="en-US" w:eastAsia="en-US"/>
        </w:rPr>
        <w:t xml:space="preserve">. Sexton (2015) shows that enrollment into automatic bill payment programs induces a 4 per cent increase in electricity consumption. </w:t>
      </w:r>
      <w:r w:rsidR="00A42D37">
        <w:rPr>
          <w:lang w:val="en-US" w:eastAsia="en-US"/>
        </w:rPr>
        <w:t xml:space="preserve">Similarly, </w:t>
      </w:r>
      <w:r w:rsidR="00D80785">
        <w:rPr>
          <w:lang w:val="en-US" w:eastAsia="en-US"/>
        </w:rPr>
        <w:t xml:space="preserve">bill smoothing </w:t>
      </w:r>
      <w:r w:rsidR="00F73A84">
        <w:rPr>
          <w:lang w:val="en-US" w:eastAsia="en-US"/>
        </w:rPr>
        <w:t>caused a 6</w:t>
      </w:r>
      <w:r w:rsidR="00F73A84">
        <w:rPr>
          <w:lang w:val="en-US" w:eastAsia="en-US"/>
        </w:rPr>
        <w:noBreakHyphen/>
      </w:r>
      <w:r w:rsidR="00A42D37">
        <w:rPr>
          <w:lang w:val="en-US" w:eastAsia="en-US"/>
        </w:rPr>
        <w:t xml:space="preserve">7 per cent increase in electricity consumption. </w:t>
      </w:r>
      <w:r>
        <w:rPr>
          <w:lang w:val="en-US" w:eastAsia="en-US"/>
        </w:rPr>
        <w:t xml:space="preserve">He concludes that these </w:t>
      </w:r>
      <w:r w:rsidR="00A42D37">
        <w:rPr>
          <w:lang w:val="en-US" w:eastAsia="en-US"/>
        </w:rPr>
        <w:t xml:space="preserve">billing </w:t>
      </w:r>
      <w:r>
        <w:rPr>
          <w:lang w:val="en-US" w:eastAsia="en-US"/>
        </w:rPr>
        <w:t>programs interfere with energy and environmental policy goals</w:t>
      </w:r>
      <w:r w:rsidR="00A42D37">
        <w:rPr>
          <w:lang w:val="en-US" w:eastAsia="en-US"/>
        </w:rPr>
        <w:t xml:space="preserve"> and increase residential consumers</w:t>
      </w:r>
      <w:r w:rsidR="00F461B6">
        <w:rPr>
          <w:lang w:val="en-US" w:eastAsia="en-US"/>
        </w:rPr>
        <w:t>’</w:t>
      </w:r>
      <w:r w:rsidR="00A42D37">
        <w:rPr>
          <w:lang w:val="en-US" w:eastAsia="en-US"/>
        </w:rPr>
        <w:t xml:space="preserve"> bills by around $47 per year.</w:t>
      </w:r>
    </w:p>
    <w:p w14:paraId="64481CE9" w14:textId="3F646DC3" w:rsidR="00B21B5C" w:rsidRDefault="00630B53" w:rsidP="000B182D">
      <w:pPr>
        <w:pStyle w:val="Heading4"/>
        <w:rPr>
          <w:lang w:val="en-US" w:eastAsia="en-US"/>
        </w:rPr>
      </w:pPr>
      <w:r>
        <w:rPr>
          <w:lang w:val="en-US" w:eastAsia="en-US"/>
        </w:rPr>
        <w:t xml:space="preserve">Other </w:t>
      </w:r>
      <w:r w:rsidR="002A7725">
        <w:rPr>
          <w:lang w:val="en-US" w:eastAsia="en-US"/>
        </w:rPr>
        <w:t>interventions</w:t>
      </w:r>
    </w:p>
    <w:p w14:paraId="7B7C820F" w14:textId="3D506158" w:rsidR="00B21B5C" w:rsidRDefault="00507E7F" w:rsidP="00B21B5C">
      <w:pPr>
        <w:rPr>
          <w:lang w:val="en-US" w:eastAsia="en-US"/>
        </w:rPr>
      </w:pPr>
      <w:r>
        <w:rPr>
          <w:lang w:val="en-US" w:eastAsia="en-US"/>
        </w:rPr>
        <w:t xml:space="preserve">In the real-world study by Ofgem and UK energy retailers (2011), </w:t>
      </w:r>
      <w:r w:rsidR="00B21B5C">
        <w:rPr>
          <w:lang w:val="en-US" w:eastAsia="en-US"/>
        </w:rPr>
        <w:t xml:space="preserve">apart from two exceptions </w:t>
      </w:r>
      <w:r w:rsidR="009002DE">
        <w:rPr>
          <w:lang w:val="en-US" w:eastAsia="en-US"/>
        </w:rPr>
        <w:t>with minor effect sizes, there wa</w:t>
      </w:r>
      <w:r w:rsidR="00B21B5C">
        <w:rPr>
          <w:lang w:val="en-US" w:eastAsia="en-US"/>
        </w:rPr>
        <w:t xml:space="preserve">s no reduction in energy consumption </w:t>
      </w:r>
      <w:r w:rsidR="00F73A84">
        <w:rPr>
          <w:lang w:val="en-US" w:eastAsia="en-US"/>
        </w:rPr>
        <w:t xml:space="preserve">from </w:t>
      </w:r>
      <w:r w:rsidR="00B21B5C">
        <w:rPr>
          <w:lang w:val="en-US" w:eastAsia="en-US"/>
        </w:rPr>
        <w:t xml:space="preserve">interventions </w:t>
      </w:r>
      <w:r>
        <w:rPr>
          <w:lang w:val="en-US" w:eastAsia="en-US"/>
        </w:rPr>
        <w:t xml:space="preserve">including </w:t>
      </w:r>
      <w:r w:rsidR="00B21B5C">
        <w:rPr>
          <w:lang w:val="en-US" w:eastAsia="en-US"/>
        </w:rPr>
        <w:t xml:space="preserve">energy efficiency advice, self-reading of meters and financial incentives to save energy. </w:t>
      </w:r>
    </w:p>
    <w:p w14:paraId="72966C9C" w14:textId="276F535B" w:rsidR="00B21B5C" w:rsidRDefault="00F73A84" w:rsidP="00B21B5C">
      <w:pPr>
        <w:rPr>
          <w:lang w:val="en-US" w:eastAsia="en-US"/>
        </w:rPr>
      </w:pPr>
      <w:r>
        <w:rPr>
          <w:lang w:val="en-US" w:eastAsia="en-US"/>
        </w:rPr>
        <w:t>A</w:t>
      </w:r>
      <w:r w:rsidR="00507E7F">
        <w:rPr>
          <w:lang w:val="en-US" w:eastAsia="en-US"/>
        </w:rPr>
        <w:t xml:space="preserve"> meta-analysis of the effects of non-price interventions on energy conservation (Andor </w:t>
      </w:r>
      <w:r>
        <w:rPr>
          <w:lang w:val="en-US" w:eastAsia="en-US"/>
        </w:rPr>
        <w:t xml:space="preserve">and Fels, 2018) found that </w:t>
      </w:r>
      <w:r w:rsidR="00B21B5C">
        <w:rPr>
          <w:lang w:val="en-US" w:eastAsia="en-US"/>
        </w:rPr>
        <w:t>commitment devices, goal setting and labelling had the potential to reduce energy consu</w:t>
      </w:r>
      <w:r w:rsidR="00B516C3">
        <w:rPr>
          <w:lang w:val="en-US" w:eastAsia="en-US"/>
        </w:rPr>
        <w:t>mption to a small degree</w:t>
      </w:r>
      <w:r>
        <w:rPr>
          <w:lang w:val="en-US" w:eastAsia="en-US"/>
        </w:rPr>
        <w:t>. H</w:t>
      </w:r>
      <w:r w:rsidR="00B516C3">
        <w:rPr>
          <w:lang w:val="en-US" w:eastAsia="en-US"/>
        </w:rPr>
        <w:t>o</w:t>
      </w:r>
      <w:r w:rsidR="00B21B5C">
        <w:rPr>
          <w:lang w:val="en-US" w:eastAsia="en-US"/>
        </w:rPr>
        <w:t xml:space="preserve">wever none of the 44 studies included in the analysis tested these methods in the context of energy billing. </w:t>
      </w:r>
    </w:p>
    <w:p w14:paraId="5DB9C968" w14:textId="14400EBD" w:rsidR="000560E7" w:rsidRPr="000E09FD" w:rsidRDefault="000560E7" w:rsidP="0062095A">
      <w:pPr>
        <w:pStyle w:val="Heading3"/>
        <w:rPr>
          <w:b w:val="0"/>
          <w:lang w:val="en-US" w:eastAsia="en-US"/>
        </w:rPr>
      </w:pPr>
      <w:bookmarkStart w:id="85" w:name="_Toc68611284"/>
      <w:bookmarkStart w:id="86" w:name="_Toc68621180"/>
      <w:bookmarkStart w:id="87" w:name="_Toc68621221"/>
      <w:bookmarkStart w:id="88" w:name="_Toc68700455"/>
      <w:bookmarkStart w:id="89" w:name="_Toc68775866"/>
      <w:bookmarkStart w:id="90" w:name="_Toc68789271"/>
      <w:bookmarkStart w:id="91" w:name="_Toc68791939"/>
      <w:bookmarkStart w:id="92" w:name="_Toc86091078"/>
      <w:r>
        <w:rPr>
          <w:lang w:val="en-US" w:eastAsia="en-US"/>
        </w:rPr>
        <w:t xml:space="preserve">Stakeholder </w:t>
      </w:r>
      <w:r w:rsidR="00F73A84">
        <w:rPr>
          <w:lang w:val="en-US" w:eastAsia="en-US"/>
        </w:rPr>
        <w:t>f</w:t>
      </w:r>
      <w:r>
        <w:rPr>
          <w:lang w:val="en-US" w:eastAsia="en-US"/>
        </w:rPr>
        <w:t>eedback to AEMC</w:t>
      </w:r>
      <w:r w:rsidR="001051FF">
        <w:rPr>
          <w:lang w:val="en-US" w:eastAsia="en-US"/>
        </w:rPr>
        <w:t xml:space="preserve">: </w:t>
      </w:r>
      <w:r w:rsidR="00EF7075">
        <w:rPr>
          <w:lang w:val="en-US" w:eastAsia="en-US"/>
        </w:rPr>
        <w:t>efficiency</w:t>
      </w:r>
      <w:bookmarkEnd w:id="85"/>
      <w:bookmarkEnd w:id="86"/>
      <w:bookmarkEnd w:id="87"/>
      <w:bookmarkEnd w:id="88"/>
      <w:bookmarkEnd w:id="89"/>
      <w:bookmarkEnd w:id="90"/>
      <w:bookmarkEnd w:id="91"/>
      <w:bookmarkEnd w:id="92"/>
    </w:p>
    <w:p w14:paraId="3B707A04" w14:textId="08CBD7E8" w:rsidR="000560E7" w:rsidRDefault="00B34315" w:rsidP="000560E7">
      <w:pPr>
        <w:rPr>
          <w:lang w:val="en-US" w:eastAsia="en-US"/>
        </w:rPr>
      </w:pPr>
      <w:r>
        <w:rPr>
          <w:lang w:val="en-US" w:eastAsia="en-US"/>
        </w:rPr>
        <w:t xml:space="preserve">Content in the submissions </w:t>
      </w:r>
      <w:r w:rsidR="00B35401">
        <w:rPr>
          <w:lang w:val="en-US" w:eastAsia="en-US"/>
        </w:rPr>
        <w:t>concerning</w:t>
      </w:r>
      <w:r>
        <w:rPr>
          <w:lang w:val="en-US" w:eastAsia="en-US"/>
        </w:rPr>
        <w:t xml:space="preserve"> energy efficiency relate</w:t>
      </w:r>
      <w:r w:rsidR="00591A0C">
        <w:rPr>
          <w:lang w:val="en-US" w:eastAsia="en-US"/>
        </w:rPr>
        <w:t>s</w:t>
      </w:r>
      <w:r>
        <w:rPr>
          <w:lang w:val="en-US" w:eastAsia="en-US"/>
        </w:rPr>
        <w:t xml:space="preserve"> to </w:t>
      </w:r>
      <w:r w:rsidR="00E32347">
        <w:rPr>
          <w:lang w:val="en-US" w:eastAsia="en-US"/>
        </w:rPr>
        <w:t>three</w:t>
      </w:r>
      <w:r>
        <w:rPr>
          <w:lang w:val="en-US" w:eastAsia="en-US"/>
        </w:rPr>
        <w:t xml:space="preserve"> main issues</w:t>
      </w:r>
      <w:r w:rsidR="007727FE">
        <w:rPr>
          <w:lang w:val="en-US" w:eastAsia="en-US"/>
        </w:rPr>
        <w:t xml:space="preserve"> (beyond the </w:t>
      </w:r>
      <w:r w:rsidR="00000DA5">
        <w:rPr>
          <w:lang w:val="en-US" w:eastAsia="en-US"/>
        </w:rPr>
        <w:t>comprehension of</w:t>
      </w:r>
      <w:r w:rsidR="00410386">
        <w:rPr>
          <w:lang w:val="en-US" w:eastAsia="en-US"/>
        </w:rPr>
        <w:t xml:space="preserve"> </w:t>
      </w:r>
      <w:r w:rsidR="00F73A84">
        <w:rPr>
          <w:lang w:val="en-US" w:eastAsia="en-US"/>
        </w:rPr>
        <w:t xml:space="preserve">kilowatt </w:t>
      </w:r>
      <w:r w:rsidR="007727FE">
        <w:rPr>
          <w:lang w:val="en-US" w:eastAsia="en-US"/>
        </w:rPr>
        <w:t>hours</w:t>
      </w:r>
      <w:r w:rsidR="000D407B">
        <w:rPr>
          <w:lang w:val="en-US" w:eastAsia="en-US"/>
        </w:rPr>
        <w:t xml:space="preserve"> </w:t>
      </w:r>
      <w:r w:rsidR="007727FE">
        <w:rPr>
          <w:lang w:val="en-US" w:eastAsia="en-US"/>
        </w:rPr>
        <w:t>discussed earlier)</w:t>
      </w:r>
      <w:r>
        <w:rPr>
          <w:lang w:val="en-US" w:eastAsia="en-US"/>
        </w:rPr>
        <w:t>:</w:t>
      </w:r>
    </w:p>
    <w:p w14:paraId="7258010A" w14:textId="64A1C7A8" w:rsidR="007463F1" w:rsidRDefault="00A12D8F" w:rsidP="000B2E2A">
      <w:pPr>
        <w:pStyle w:val="ListParagraph"/>
        <w:numPr>
          <w:ilvl w:val="0"/>
          <w:numId w:val="7"/>
        </w:numPr>
        <w:rPr>
          <w:lang w:val="en-US" w:eastAsia="en-US"/>
        </w:rPr>
      </w:pPr>
      <w:r>
        <w:rPr>
          <w:lang w:val="en-US" w:eastAsia="en-US"/>
        </w:rPr>
        <w:t xml:space="preserve">Energy </w:t>
      </w:r>
      <w:r w:rsidR="00E32347">
        <w:rPr>
          <w:lang w:val="en-US" w:eastAsia="en-US"/>
        </w:rPr>
        <w:t>peer</w:t>
      </w:r>
      <w:r w:rsidR="00F73A84">
        <w:rPr>
          <w:lang w:val="en-US" w:eastAsia="en-US"/>
        </w:rPr>
        <w:t xml:space="preserve"> </w:t>
      </w:r>
      <w:r w:rsidR="00E32347">
        <w:rPr>
          <w:lang w:val="en-US" w:eastAsia="en-US"/>
        </w:rPr>
        <w:t xml:space="preserve">comparison </w:t>
      </w:r>
      <w:r>
        <w:rPr>
          <w:lang w:val="en-US" w:eastAsia="en-US"/>
        </w:rPr>
        <w:t>charts</w:t>
      </w:r>
      <w:r w:rsidR="00E32347">
        <w:rPr>
          <w:lang w:val="en-US" w:eastAsia="en-US"/>
        </w:rPr>
        <w:t xml:space="preserve"> (also known as benchmarking charts)</w:t>
      </w:r>
    </w:p>
    <w:p w14:paraId="51A51163" w14:textId="1F89F055" w:rsidR="00A12D8F" w:rsidRDefault="00E32347" w:rsidP="000B2E2A">
      <w:pPr>
        <w:pStyle w:val="ListParagraph"/>
        <w:numPr>
          <w:ilvl w:val="0"/>
          <w:numId w:val="7"/>
        </w:numPr>
        <w:rPr>
          <w:lang w:val="en-US" w:eastAsia="en-US"/>
        </w:rPr>
      </w:pPr>
      <w:r>
        <w:rPr>
          <w:lang w:val="en-US" w:eastAsia="en-US"/>
        </w:rPr>
        <w:t>Historical e</w:t>
      </w:r>
      <w:r w:rsidR="007463F1">
        <w:rPr>
          <w:lang w:val="en-US" w:eastAsia="en-US"/>
        </w:rPr>
        <w:t>nergy usage charts</w:t>
      </w:r>
    </w:p>
    <w:p w14:paraId="13861A56" w14:textId="212FF247" w:rsidR="00E32347" w:rsidRPr="00E32347" w:rsidRDefault="00164A4E" w:rsidP="000B2E2A">
      <w:pPr>
        <w:pStyle w:val="ListParagraph"/>
        <w:numPr>
          <w:ilvl w:val="0"/>
          <w:numId w:val="7"/>
        </w:numPr>
        <w:rPr>
          <w:lang w:val="en-US" w:eastAsia="en-US"/>
        </w:rPr>
      </w:pPr>
      <w:r>
        <w:rPr>
          <w:lang w:val="en-US" w:eastAsia="en-US"/>
        </w:rPr>
        <w:t>Solar energy</w:t>
      </w:r>
    </w:p>
    <w:p w14:paraId="5A06B5BD" w14:textId="6FF49768" w:rsidR="00E32347" w:rsidRDefault="00E32347" w:rsidP="00C367E1">
      <w:pPr>
        <w:pStyle w:val="Heading4"/>
        <w:rPr>
          <w:lang w:val="en-US" w:eastAsia="en-US"/>
        </w:rPr>
      </w:pPr>
      <w:r>
        <w:rPr>
          <w:lang w:val="en-US" w:eastAsia="en-US"/>
        </w:rPr>
        <w:t>Peer comparison charts</w:t>
      </w:r>
      <w:r w:rsidR="002D5B5C">
        <w:rPr>
          <w:lang w:val="en-US" w:eastAsia="en-US"/>
        </w:rPr>
        <w:t xml:space="preserve"> (benchmarks)</w:t>
      </w:r>
    </w:p>
    <w:p w14:paraId="03E3C271" w14:textId="69F7F37E" w:rsidR="002D5B5C" w:rsidRDefault="007463F1" w:rsidP="00A12D8F">
      <w:r>
        <w:rPr>
          <w:lang w:val="en-US" w:eastAsia="en-US"/>
        </w:rPr>
        <w:t xml:space="preserve">Energy retailers suggested that consumers </w:t>
      </w:r>
      <w:r w:rsidR="008B7562">
        <w:rPr>
          <w:lang w:val="en-US" w:eastAsia="en-US"/>
        </w:rPr>
        <w:t>generally</w:t>
      </w:r>
      <w:r w:rsidR="004215D6">
        <w:rPr>
          <w:lang w:val="en-US" w:eastAsia="en-US"/>
        </w:rPr>
        <w:t xml:space="preserve"> do not</w:t>
      </w:r>
      <w:r w:rsidR="00EA12D2">
        <w:rPr>
          <w:lang w:val="en-US" w:eastAsia="en-US"/>
        </w:rPr>
        <w:t xml:space="preserve"> like the </w:t>
      </w:r>
      <w:r w:rsidR="00E32347" w:rsidRPr="008B7562">
        <w:rPr>
          <w:lang w:val="en-US" w:eastAsia="en-US"/>
        </w:rPr>
        <w:t xml:space="preserve">peer comparison </w:t>
      </w:r>
      <w:r w:rsidR="00EA12D2" w:rsidRPr="008B7562">
        <w:rPr>
          <w:lang w:val="en-US" w:eastAsia="en-US"/>
        </w:rPr>
        <w:t>charts</w:t>
      </w:r>
      <w:r w:rsidRPr="008B7562">
        <w:rPr>
          <w:lang w:val="en-US" w:eastAsia="en-US"/>
        </w:rPr>
        <w:t xml:space="preserve">. </w:t>
      </w:r>
      <w:r w:rsidR="00DA503B" w:rsidRPr="008B7562">
        <w:t>The</w:t>
      </w:r>
      <w:r w:rsidR="00DA503B">
        <w:t xml:space="preserve"> retailers claim that the </w:t>
      </w:r>
      <w:r w:rsidR="00E32347">
        <w:t xml:space="preserve">peer comparison </w:t>
      </w:r>
      <w:r w:rsidR="00DA503B">
        <w:t>charts have “</w:t>
      </w:r>
      <w:r w:rsidR="00EA12D2">
        <w:t>caused unnecessary consumer</w:t>
      </w:r>
      <w:r w:rsidR="00F73A84">
        <w:t xml:space="preserve"> distrust, complaints and costs</w:t>
      </w:r>
      <w:r w:rsidR="00EA12D2">
        <w:t xml:space="preserve">” (AGL, 2020). </w:t>
      </w:r>
      <w:r w:rsidR="00750BA8">
        <w:t>Energy Australia (2020) and Next Business Energy (2020) echo this sentiment</w:t>
      </w:r>
      <w:r w:rsidR="00EA12D2">
        <w:t xml:space="preserve">. Ergon Energy </w:t>
      </w:r>
      <w:r w:rsidR="00AB4296">
        <w:t xml:space="preserve">(2020) </w:t>
      </w:r>
      <w:r w:rsidR="00EA12D2">
        <w:t xml:space="preserve">describes similar </w:t>
      </w:r>
      <w:r w:rsidR="005A33D9">
        <w:t xml:space="preserve">customer complaints about </w:t>
      </w:r>
      <w:r w:rsidR="00EA12D2">
        <w:t xml:space="preserve">issues with the benchmarking graph </w:t>
      </w:r>
      <w:r w:rsidR="005A33D9">
        <w:t>and claims that</w:t>
      </w:r>
      <w:r w:rsidR="00EA12D2">
        <w:t xml:space="preserve"> </w:t>
      </w:r>
      <w:r w:rsidR="005A33D9">
        <w:t>“</w:t>
      </w:r>
      <w:r w:rsidR="00EA12D2">
        <w:t>each customer is unique and there are too many variables in a household to correctly depict such information on a comparison graph</w:t>
      </w:r>
      <w:r w:rsidR="005A33D9">
        <w:t>”</w:t>
      </w:r>
      <w:r w:rsidR="00EA12D2">
        <w:t xml:space="preserve">. </w:t>
      </w:r>
      <w:r w:rsidR="002E1540">
        <w:t>There was also some agreement f</w:t>
      </w:r>
      <w:r w:rsidR="002D5B5C">
        <w:t xml:space="preserve">rom a consumer perspective, </w:t>
      </w:r>
      <w:r w:rsidR="002E1540">
        <w:t xml:space="preserve">with </w:t>
      </w:r>
      <w:r w:rsidR="002D5B5C">
        <w:t>t</w:t>
      </w:r>
      <w:r w:rsidR="00EA12D2">
        <w:t xml:space="preserve">he joint submission from </w:t>
      </w:r>
      <w:r w:rsidR="00E35B88">
        <w:t xml:space="preserve">four </w:t>
      </w:r>
      <w:r w:rsidR="00A37587">
        <w:t>Ombudsm</w:t>
      </w:r>
      <w:r w:rsidR="00E35B88">
        <w:t>e</w:t>
      </w:r>
      <w:r w:rsidR="00A37587">
        <w:t>n</w:t>
      </w:r>
      <w:r w:rsidR="00EA12D2">
        <w:t xml:space="preserve"> </w:t>
      </w:r>
      <w:r w:rsidR="00AB4296">
        <w:t>(</w:t>
      </w:r>
      <w:r w:rsidR="00E35B88">
        <w:t xml:space="preserve">EWON, EWOV, EWOQ and EWOSA, </w:t>
      </w:r>
      <w:r w:rsidR="00AB4296">
        <w:t>2020</w:t>
      </w:r>
      <w:r w:rsidR="007A374F">
        <w:t>, p.5</w:t>
      </w:r>
      <w:r w:rsidR="00AB4296">
        <w:t xml:space="preserve">) </w:t>
      </w:r>
      <w:r w:rsidR="005A33D9">
        <w:t xml:space="preserve">saying that benchmarking </w:t>
      </w:r>
      <w:r w:rsidR="005A33D9">
        <w:lastRenderedPageBreak/>
        <w:t>graphs cause</w:t>
      </w:r>
      <w:r w:rsidR="00EA12D2" w:rsidRPr="00EA12D2">
        <w:t xml:space="preserve"> </w:t>
      </w:r>
      <w:r w:rsidR="005A33D9">
        <w:t>“</w:t>
      </w:r>
      <w:r w:rsidR="00EA12D2" w:rsidRPr="00EA12D2">
        <w:t>confusion and complaints</w:t>
      </w:r>
      <w:r w:rsidR="005A33D9">
        <w:t>”</w:t>
      </w:r>
      <w:r w:rsidR="00EA12D2" w:rsidRPr="00EA12D2">
        <w:t xml:space="preserve"> </w:t>
      </w:r>
      <w:r w:rsidR="005A33D9">
        <w:t>and that these problems are “no</w:t>
      </w:r>
      <w:r w:rsidR="00EA12D2" w:rsidRPr="00EA12D2">
        <w:t>t seen r</w:t>
      </w:r>
      <w:r w:rsidR="00164A4E">
        <w:t>egarding usage over time charts”.</w:t>
      </w:r>
      <w:r w:rsidR="007A374F">
        <w:t xml:space="preserve"> </w:t>
      </w:r>
    </w:p>
    <w:p w14:paraId="418DD62E" w14:textId="3AFED83E" w:rsidR="009B7A62" w:rsidRDefault="002E1540" w:rsidP="002D5B5C">
      <w:r>
        <w:rPr>
          <w:lang w:val="en-US"/>
        </w:rPr>
        <w:t>O</w:t>
      </w:r>
      <w:r w:rsidR="002D5B5C">
        <w:rPr>
          <w:lang w:val="en-US"/>
        </w:rPr>
        <w:t>ther submissions</w:t>
      </w:r>
      <w:r>
        <w:rPr>
          <w:lang w:val="en-US"/>
        </w:rPr>
        <w:t xml:space="preserve">, by contrast, </w:t>
      </w:r>
      <w:r w:rsidR="002D5B5C">
        <w:rPr>
          <w:lang w:val="en-US"/>
        </w:rPr>
        <w:t>were broadly supportive of peer comparison charts (benchmarks) and focused on how they could be improved. T</w:t>
      </w:r>
      <w:r w:rsidR="00D86C74">
        <w:t xml:space="preserve">he Department </w:t>
      </w:r>
      <w:r w:rsidR="00AB4296">
        <w:t>of Energy and Mining SA (2020) supported</w:t>
      </w:r>
      <w:r w:rsidR="00D86C74">
        <w:t xml:space="preserve"> retention of consumption benchmarking to encoura</w:t>
      </w:r>
      <w:r w:rsidR="002D5B5C">
        <w:t>ge further behavioural changes but suggested the current method of calculating benchmarks should be reviewed</w:t>
      </w:r>
      <w:r>
        <w:t xml:space="preserve"> to determine whether it was fit for purpose</w:t>
      </w:r>
      <w:r w:rsidR="002D5B5C">
        <w:t>. The Public Interest Advocacy Centre (PIAC, 2020) suggested benchmarks should be better presented, and the Queensland Council of Social Services (QCOSS, 2020) proposed they should be standardised.</w:t>
      </w:r>
      <w:r>
        <w:t xml:space="preserve"> </w:t>
      </w:r>
      <w:r w:rsidR="009B7A62">
        <w:t>(Presently</w:t>
      </w:r>
      <w:r w:rsidR="00F73A84">
        <w:t xml:space="preserve"> regulations require</w:t>
      </w:r>
      <w:r w:rsidR="009B7A62">
        <w:t xml:space="preserve"> energy retailers </w:t>
      </w:r>
      <w:r w:rsidR="00F73A84">
        <w:t>to include the benchmark</w:t>
      </w:r>
      <w:r w:rsidR="009B7A62">
        <w:t xml:space="preserve"> in bills but do not set a strict format, saying only that it has to be in either a ‘graphical or tabular format’.) </w:t>
      </w:r>
    </w:p>
    <w:p w14:paraId="6D8A1FC6" w14:textId="7132B670" w:rsidR="002D5B5C" w:rsidRDefault="009B7A62" w:rsidP="002D5B5C">
      <w:r>
        <w:t>T</w:t>
      </w:r>
      <w:r w:rsidR="002D5B5C">
        <w:t xml:space="preserve">he Australian Energy Council </w:t>
      </w:r>
      <w:r w:rsidR="002E1540">
        <w:t xml:space="preserve">(AEC, 2020) </w:t>
      </w:r>
      <w:r>
        <w:t xml:space="preserve">took an intermediate position, proposing </w:t>
      </w:r>
      <w:r w:rsidR="002D5B5C">
        <w:t>that bill benchmarks should be available to customers but not required to be included on bills.</w:t>
      </w:r>
    </w:p>
    <w:p w14:paraId="5F3EA780" w14:textId="77777777" w:rsidR="009B7A62" w:rsidRDefault="00D86C74" w:rsidP="00A12D8F">
      <w:r>
        <w:t xml:space="preserve">The AER </w:t>
      </w:r>
      <w:r w:rsidR="00AB4296">
        <w:t xml:space="preserve">(2021) </w:t>
      </w:r>
      <w:r>
        <w:t xml:space="preserve">states that “in developing the guideline, the AER will […] consider the utility of consumption benchmarks as part of their research to help inform the guideline including how to best present this information”. </w:t>
      </w:r>
      <w:r w:rsidR="007C3957">
        <w:t>T</w:t>
      </w:r>
      <w:r>
        <w:t xml:space="preserve">here are </w:t>
      </w:r>
      <w:r w:rsidR="009B7A62">
        <w:t xml:space="preserve">three </w:t>
      </w:r>
      <w:r w:rsidR="007C3957">
        <w:t xml:space="preserve">key </w:t>
      </w:r>
      <w:r>
        <w:t xml:space="preserve">issues here: </w:t>
      </w:r>
    </w:p>
    <w:p w14:paraId="667BDBDF" w14:textId="77777777" w:rsidR="009B7A62" w:rsidRDefault="009B7A62" w:rsidP="009B7A62">
      <w:pPr>
        <w:pStyle w:val="ListParagraph"/>
        <w:numPr>
          <w:ilvl w:val="0"/>
          <w:numId w:val="7"/>
        </w:numPr>
      </w:pPr>
      <w:r>
        <w:t>Do consumers find benchmark information useful?</w:t>
      </w:r>
    </w:p>
    <w:p w14:paraId="2FA36C04" w14:textId="2EDF5D84" w:rsidR="009B7A62" w:rsidRDefault="009B7A62" w:rsidP="009B7A62">
      <w:pPr>
        <w:pStyle w:val="ListParagraph"/>
        <w:numPr>
          <w:ilvl w:val="0"/>
          <w:numId w:val="7"/>
        </w:numPr>
      </w:pPr>
      <w:r>
        <w:t>W</w:t>
      </w:r>
      <w:r w:rsidR="00D86C74">
        <w:t>hat proportion of consumers struggle to understand the benchmarki</w:t>
      </w:r>
      <w:r w:rsidR="004C64F1">
        <w:t xml:space="preserve">ng </w:t>
      </w:r>
      <w:r>
        <w:t>information?</w:t>
      </w:r>
    </w:p>
    <w:p w14:paraId="4B9E6D14" w14:textId="7844864C" w:rsidR="009B7A62" w:rsidRDefault="009B7A62" w:rsidP="009B7A62">
      <w:pPr>
        <w:pStyle w:val="ListParagraph"/>
        <w:numPr>
          <w:ilvl w:val="0"/>
          <w:numId w:val="7"/>
        </w:numPr>
      </w:pPr>
      <w:r>
        <w:t>T</w:t>
      </w:r>
      <w:r w:rsidR="004C64F1">
        <w:t>o what extent</w:t>
      </w:r>
      <w:r w:rsidR="00D86C74">
        <w:t xml:space="preserve"> </w:t>
      </w:r>
      <w:r w:rsidR="00F73A84">
        <w:t xml:space="preserve">do </w:t>
      </w:r>
      <w:r w:rsidR="00D86C74">
        <w:t>benchmarking graphs influenc</w:t>
      </w:r>
      <w:r w:rsidR="004C64F1">
        <w:t>e energy efficiency behaviours</w:t>
      </w:r>
      <w:r>
        <w:t>?</w:t>
      </w:r>
      <w:r w:rsidR="00D86C74">
        <w:t xml:space="preserve"> </w:t>
      </w:r>
    </w:p>
    <w:p w14:paraId="5C6C849F" w14:textId="6C3F90DE" w:rsidR="00E32347" w:rsidRDefault="00E32347" w:rsidP="00C367E1">
      <w:pPr>
        <w:pStyle w:val="Heading4"/>
      </w:pPr>
      <w:r>
        <w:t>Historical energy usage charts</w:t>
      </w:r>
    </w:p>
    <w:p w14:paraId="2D971D61" w14:textId="21BBDD18" w:rsidR="00E32347" w:rsidRDefault="00AC265D" w:rsidP="00A12D8F">
      <w:r>
        <w:t>C</w:t>
      </w:r>
      <w:r w:rsidR="00E32347">
        <w:t xml:space="preserve">harts </w:t>
      </w:r>
      <w:r w:rsidR="004521D9">
        <w:t>s</w:t>
      </w:r>
      <w:r w:rsidR="00E32347">
        <w:t>how</w:t>
      </w:r>
      <w:r w:rsidR="004521D9">
        <w:t>ing</w:t>
      </w:r>
      <w:r w:rsidR="00E32347">
        <w:t xml:space="preserve"> energy consumption over the previo</w:t>
      </w:r>
      <w:r w:rsidR="00F73A84">
        <w:t xml:space="preserve">us 12 months are generally well </w:t>
      </w:r>
      <w:r w:rsidR="00E32347">
        <w:t>liked by retailers and customers, although some retailers contend that more granular information could be provided through other means. The</w:t>
      </w:r>
      <w:r w:rsidR="004521D9">
        <w:t xml:space="preserve"> charts give</w:t>
      </w:r>
      <w:r w:rsidR="00E32347">
        <w:t xml:space="preserve"> information about seasonal patterns of energy consumption</w:t>
      </w:r>
      <w:r w:rsidR="00194590">
        <w:t xml:space="preserve"> and are rarely the subject of complaints.</w:t>
      </w:r>
    </w:p>
    <w:p w14:paraId="3ABD9D48" w14:textId="30351DEA" w:rsidR="00EA12D2" w:rsidRDefault="00EA12D2" w:rsidP="00A12D8F">
      <w:r>
        <w:t>Aurora Energy (2020) describes an important issue with the usage comparison over 12 months. Not only is the usage comparison quite different when based on a smart meter (monthly) than when based on manual meter reads (quarterly), but sometimes the manual meter reads are replaced by an estimation, which can be very misleading for customers.</w:t>
      </w:r>
    </w:p>
    <w:p w14:paraId="2D4D1FF6" w14:textId="61A7E86E" w:rsidR="00194590" w:rsidRDefault="00194590" w:rsidP="00A12D8F">
      <w:pPr>
        <w:rPr>
          <w:lang w:val="en-US" w:eastAsia="en-US"/>
        </w:rPr>
      </w:pPr>
      <w:r>
        <w:rPr>
          <w:lang w:val="en-US" w:eastAsia="en-US"/>
        </w:rPr>
        <w:t>Presentation of the charts varies, and there seems to be a lack of data showing whether this information is presented</w:t>
      </w:r>
      <w:r w:rsidR="00512917">
        <w:rPr>
          <w:lang w:val="en-US" w:eastAsia="en-US"/>
        </w:rPr>
        <w:t xml:space="preserve"> best</w:t>
      </w:r>
      <w:r>
        <w:rPr>
          <w:lang w:val="en-US" w:eastAsia="en-US"/>
        </w:rPr>
        <w:t xml:space="preserve"> as a bar graph, a line graph, or with the usage broken down as peak or off-peak usage. Discussion of energy consumption charts in the submissions </w:t>
      </w:r>
      <w:r w:rsidR="00236745">
        <w:rPr>
          <w:lang w:val="en-US" w:eastAsia="en-US"/>
        </w:rPr>
        <w:t>cent</w:t>
      </w:r>
      <w:r w:rsidR="00F73A84">
        <w:rPr>
          <w:lang w:val="en-US" w:eastAsia="en-US"/>
        </w:rPr>
        <w:t>re</w:t>
      </w:r>
      <w:r w:rsidR="00236745">
        <w:rPr>
          <w:lang w:val="en-US" w:eastAsia="en-US"/>
        </w:rPr>
        <w:t>s</w:t>
      </w:r>
      <w:r>
        <w:rPr>
          <w:lang w:val="en-US" w:eastAsia="en-US"/>
        </w:rPr>
        <w:t xml:space="preserve"> around consumer preferences and complaints, but lacks evidence on comprehension and impact on consumption.</w:t>
      </w:r>
    </w:p>
    <w:p w14:paraId="72F3534F" w14:textId="19CBBABE" w:rsidR="00194590" w:rsidRPr="00A12D8F" w:rsidRDefault="00194590" w:rsidP="00C367E1">
      <w:pPr>
        <w:pStyle w:val="Heading4"/>
        <w:rPr>
          <w:lang w:val="en-US" w:eastAsia="en-US"/>
        </w:rPr>
      </w:pPr>
      <w:r>
        <w:rPr>
          <w:lang w:val="en-US" w:eastAsia="en-US"/>
        </w:rPr>
        <w:lastRenderedPageBreak/>
        <w:t>Solar energy</w:t>
      </w:r>
    </w:p>
    <w:p w14:paraId="43AA33BF" w14:textId="77777777" w:rsidR="00261D2C" w:rsidRDefault="00164A4E" w:rsidP="00261D2C">
      <w:pPr>
        <w:rPr>
          <w:lang w:val="en-US" w:eastAsia="en-US"/>
        </w:rPr>
      </w:pPr>
      <w:r>
        <w:rPr>
          <w:lang w:val="en-US" w:eastAsia="en-US"/>
        </w:rPr>
        <w:t xml:space="preserve">The joint submission from the </w:t>
      </w:r>
      <w:r w:rsidR="00E35B88">
        <w:rPr>
          <w:lang w:val="en-US" w:eastAsia="en-US"/>
        </w:rPr>
        <w:t xml:space="preserve">four Energy and Water </w:t>
      </w:r>
      <w:r w:rsidR="00A37587">
        <w:rPr>
          <w:lang w:val="en-US" w:eastAsia="en-US"/>
        </w:rPr>
        <w:t>Ombudsm</w:t>
      </w:r>
      <w:r w:rsidR="00E35B88">
        <w:rPr>
          <w:lang w:val="en-US" w:eastAsia="en-US"/>
        </w:rPr>
        <w:t>e</w:t>
      </w:r>
      <w:r w:rsidR="00A37587">
        <w:rPr>
          <w:lang w:val="en-US" w:eastAsia="en-US"/>
        </w:rPr>
        <w:t>n</w:t>
      </w:r>
      <w:r>
        <w:rPr>
          <w:lang w:val="en-US" w:eastAsia="en-US"/>
        </w:rPr>
        <w:t xml:space="preserve"> </w:t>
      </w:r>
      <w:r w:rsidR="00E35B88">
        <w:rPr>
          <w:lang w:val="en-US" w:eastAsia="en-US"/>
        </w:rPr>
        <w:t xml:space="preserve">highlighted </w:t>
      </w:r>
      <w:r>
        <w:rPr>
          <w:lang w:val="en-US" w:eastAsia="en-US"/>
        </w:rPr>
        <w:t xml:space="preserve">customer dissatisfaction with communications about </w:t>
      </w:r>
      <w:r w:rsidRPr="0041299B">
        <w:rPr>
          <w:lang w:val="en-US" w:eastAsia="en-US"/>
        </w:rPr>
        <w:t>solar on energy bills</w:t>
      </w:r>
      <w:r w:rsidR="00331848" w:rsidRPr="0041299B">
        <w:rPr>
          <w:lang w:val="en-US" w:eastAsia="en-US"/>
        </w:rPr>
        <w:t>:</w:t>
      </w:r>
      <w:r>
        <w:rPr>
          <w:lang w:val="en-US" w:eastAsia="en-US"/>
        </w:rPr>
        <w:t xml:space="preserve"> “</w:t>
      </w:r>
      <w:r w:rsidRPr="00164A4E">
        <w:rPr>
          <w:lang w:val="en-US" w:eastAsia="en-US"/>
        </w:rPr>
        <w:t>Customers have provided feedback that the inclusion of solar usage and inputs</w:t>
      </w:r>
      <w:r>
        <w:rPr>
          <w:lang w:val="en-US" w:eastAsia="en-US"/>
        </w:rPr>
        <w:t xml:space="preserve"> on accounts is unclear on many </w:t>
      </w:r>
      <w:r w:rsidRPr="00164A4E">
        <w:rPr>
          <w:lang w:val="en-US" w:eastAsia="en-US"/>
        </w:rPr>
        <w:t>current bills. Customers report wanting clear information on how much solar is used internally as well as</w:t>
      </w:r>
      <w:r>
        <w:rPr>
          <w:lang w:val="en-US" w:eastAsia="en-US"/>
        </w:rPr>
        <w:t xml:space="preserve"> </w:t>
      </w:r>
      <w:r w:rsidRPr="00164A4E">
        <w:rPr>
          <w:lang w:val="en-US" w:eastAsia="en-US"/>
        </w:rPr>
        <w:t xml:space="preserve">the volume exported. </w:t>
      </w:r>
      <w:r w:rsidR="00CD696F">
        <w:rPr>
          <w:lang w:val="en-US" w:eastAsia="en-US"/>
        </w:rPr>
        <w:t xml:space="preserve">It is recommended </w:t>
      </w:r>
      <w:r w:rsidRPr="00164A4E">
        <w:rPr>
          <w:lang w:val="en-US" w:eastAsia="en-US"/>
        </w:rPr>
        <w:t>that future billing requirements establish how solar information can be</w:t>
      </w:r>
      <w:r>
        <w:rPr>
          <w:lang w:val="en-US" w:eastAsia="en-US"/>
        </w:rPr>
        <w:t xml:space="preserve"> </w:t>
      </w:r>
      <w:r w:rsidRPr="00164A4E">
        <w:rPr>
          <w:lang w:val="en-US" w:eastAsia="en-US"/>
        </w:rPr>
        <w:t>provided clearly and simply</w:t>
      </w:r>
      <w:r>
        <w:rPr>
          <w:lang w:val="en-US" w:eastAsia="en-US"/>
        </w:rPr>
        <w:t>” (</w:t>
      </w:r>
      <w:r w:rsidR="00CD696F">
        <w:rPr>
          <w:lang w:val="en-US" w:eastAsia="en-US"/>
        </w:rPr>
        <w:t>EWON, EWOV, EWOQ and EWOSA</w:t>
      </w:r>
      <w:r w:rsidR="00843BDC">
        <w:rPr>
          <w:lang w:val="en-US" w:eastAsia="en-US"/>
        </w:rPr>
        <w:t xml:space="preserve">, </w:t>
      </w:r>
      <w:r>
        <w:rPr>
          <w:lang w:val="en-US" w:eastAsia="en-US"/>
        </w:rPr>
        <w:t xml:space="preserve">2020). </w:t>
      </w:r>
    </w:p>
    <w:p w14:paraId="762EE532" w14:textId="77777777" w:rsidR="00261D2C" w:rsidRDefault="00261D2C">
      <w:pPr>
        <w:spacing w:after="0" w:line="240" w:lineRule="auto"/>
        <w:rPr>
          <w:lang w:val="en-US" w:eastAsia="en-US"/>
        </w:rPr>
      </w:pPr>
      <w:r>
        <w:rPr>
          <w:lang w:val="en-US" w:eastAsia="en-US"/>
        </w:rPr>
        <w:br w:type="page"/>
      </w:r>
    </w:p>
    <w:p w14:paraId="00EE03F8" w14:textId="738FFECD" w:rsidR="00261D2C" w:rsidRPr="00261D2C" w:rsidRDefault="00261D2C" w:rsidP="00261D2C">
      <w:pPr>
        <w:shd w:val="clear" w:color="auto" w:fill="006666"/>
        <w:rPr>
          <w:b/>
          <w:color w:val="FFFFFF" w:themeColor="background1"/>
          <w:lang w:val="en-US" w:eastAsia="en-US"/>
        </w:rPr>
      </w:pPr>
      <w:r w:rsidRPr="00261D2C">
        <w:rPr>
          <w:b/>
          <w:color w:val="FFFFFF" w:themeColor="background1"/>
        </w:rPr>
        <w:lastRenderedPageBreak/>
        <w:t>Reflections</w:t>
      </w:r>
    </w:p>
    <w:p w14:paraId="0B56B9B0" w14:textId="77777777" w:rsidR="00261D2C" w:rsidRDefault="00261D2C" w:rsidP="00261D2C">
      <w:pPr>
        <w:pStyle w:val="ListParagraph"/>
        <w:numPr>
          <w:ilvl w:val="0"/>
          <w:numId w:val="15"/>
        </w:numPr>
        <w:shd w:val="clear" w:color="auto" w:fill="F2F2F2" w:themeFill="background1" w:themeFillShade="F2"/>
        <w:rPr>
          <w:lang w:val="en-US" w:eastAsia="en-US"/>
        </w:rPr>
      </w:pPr>
      <w:r>
        <w:rPr>
          <w:lang w:val="en-US" w:eastAsia="en-US"/>
        </w:rPr>
        <w:t>Energy bills are an important touchpoint for delivering usage information to customers, making them an attractive avenue to use when trying to encourage energy efficiency activities.</w:t>
      </w:r>
    </w:p>
    <w:p w14:paraId="191E5CA6" w14:textId="77777777" w:rsidR="00261D2C" w:rsidRDefault="00261D2C" w:rsidP="00261D2C">
      <w:pPr>
        <w:pStyle w:val="ListParagraph"/>
        <w:numPr>
          <w:ilvl w:val="0"/>
          <w:numId w:val="15"/>
        </w:numPr>
        <w:shd w:val="clear" w:color="auto" w:fill="F2F2F2" w:themeFill="background1" w:themeFillShade="F2"/>
        <w:rPr>
          <w:lang w:val="en-US" w:eastAsia="en-US"/>
        </w:rPr>
      </w:pPr>
      <w:r>
        <w:rPr>
          <w:lang w:val="en-US" w:eastAsia="en-US"/>
        </w:rPr>
        <w:t>Consumers consistently say they primarily use their bill as a means to pay for their energy, raising questions about how much they engage with energy efficiency information.</w:t>
      </w:r>
    </w:p>
    <w:p w14:paraId="3CD4F943" w14:textId="77777777" w:rsidR="00261D2C" w:rsidRDefault="00261D2C" w:rsidP="00261D2C">
      <w:pPr>
        <w:pStyle w:val="ListParagraph"/>
        <w:numPr>
          <w:ilvl w:val="0"/>
          <w:numId w:val="15"/>
        </w:numPr>
        <w:shd w:val="clear" w:color="auto" w:fill="F2F2F2" w:themeFill="background1" w:themeFillShade="F2"/>
        <w:rPr>
          <w:lang w:val="en-US" w:eastAsia="en-US"/>
        </w:rPr>
      </w:pPr>
      <w:r>
        <w:rPr>
          <w:lang w:val="en-US" w:eastAsia="en-US"/>
        </w:rPr>
        <w:t>A lack of clear evidence raises doubts that consumers are reacting to peer comparisons in their bills the same way as when presented in energy reports. Further research is needed to clarify if consumers find peer comparisons useful in bills, if it actually changes behaviour (and, if so, whether it creates ‘boomerang effects’ in the wrong direction), and if they could be improved by comparing consumers to their most efficient neighbours.</w:t>
      </w:r>
    </w:p>
    <w:p w14:paraId="516B5894" w14:textId="77777777" w:rsidR="00261D2C" w:rsidRPr="00A83D03" w:rsidRDefault="00261D2C" w:rsidP="00261D2C">
      <w:pPr>
        <w:pStyle w:val="ListParagraph"/>
        <w:numPr>
          <w:ilvl w:val="0"/>
          <w:numId w:val="15"/>
        </w:numPr>
        <w:shd w:val="clear" w:color="auto" w:fill="F2F2F2" w:themeFill="background1" w:themeFillShade="F2"/>
        <w:rPr>
          <w:b/>
          <w:lang w:val="en-US" w:eastAsia="en-US"/>
        </w:rPr>
      </w:pPr>
      <w:r>
        <w:rPr>
          <w:lang w:val="en-US" w:eastAsia="en-US"/>
        </w:rPr>
        <w:t>While usage information can help consumers to make more energy-efficient decisions, the effect sizes are small when compared to other interventions such as smart meters and IHDs.</w:t>
      </w:r>
      <w:r>
        <w:t xml:space="preserve"> </w:t>
      </w:r>
      <w:r w:rsidRPr="00E8454C">
        <w:rPr>
          <w:lang w:val="en-US" w:eastAsia="en-US"/>
        </w:rPr>
        <w:t>Improvements to bills that encourage the adoption of these systems could be a more effective method of increasing energy efficiency across the population</w:t>
      </w:r>
      <w:r>
        <w:rPr>
          <w:lang w:val="en-US" w:eastAsia="en-US"/>
        </w:rPr>
        <w:t>.</w:t>
      </w:r>
    </w:p>
    <w:p w14:paraId="1E320C6B" w14:textId="77777777" w:rsidR="00261D2C" w:rsidRDefault="00261D2C" w:rsidP="00261D2C">
      <w:pPr>
        <w:pStyle w:val="ListParagraph"/>
        <w:numPr>
          <w:ilvl w:val="0"/>
          <w:numId w:val="15"/>
        </w:numPr>
        <w:shd w:val="clear" w:color="auto" w:fill="F2F2F2" w:themeFill="background1" w:themeFillShade="F2"/>
        <w:rPr>
          <w:lang w:val="en-US" w:eastAsia="en-US"/>
        </w:rPr>
      </w:pPr>
      <w:r>
        <w:rPr>
          <w:lang w:val="en-US" w:eastAsia="en-US"/>
        </w:rPr>
        <w:t>Lack of effective solar data on bills prevents customers from making the most of their solar by shifting usage times to save money and reduce pressure on the grid in peak demand times.</w:t>
      </w:r>
    </w:p>
    <w:p w14:paraId="179AFF4C" w14:textId="77777777" w:rsidR="00261D2C" w:rsidRPr="00261D2C" w:rsidRDefault="00261D2C" w:rsidP="00261D2C">
      <w:pPr>
        <w:pStyle w:val="ListParagraph"/>
        <w:numPr>
          <w:ilvl w:val="0"/>
          <w:numId w:val="15"/>
        </w:numPr>
        <w:shd w:val="clear" w:color="auto" w:fill="F2F2F2" w:themeFill="background1" w:themeFillShade="F2"/>
        <w:rPr>
          <w:b/>
          <w:lang w:val="en-US" w:eastAsia="en-US"/>
        </w:rPr>
      </w:pPr>
      <w:r w:rsidRPr="00A83D03">
        <w:rPr>
          <w:lang w:val="en-US" w:eastAsia="en-US"/>
        </w:rPr>
        <w:t xml:space="preserve">Consumers with solar panels do not receive information on their bills about their self-consumption. This potentially results in an underestimation </w:t>
      </w:r>
      <w:r>
        <w:rPr>
          <w:lang w:val="en-US" w:eastAsia="en-US"/>
        </w:rPr>
        <w:t xml:space="preserve">of their total energy usage and </w:t>
      </w:r>
      <w:r w:rsidRPr="00A83D03">
        <w:rPr>
          <w:lang w:val="en-US" w:eastAsia="en-US"/>
        </w:rPr>
        <w:t xml:space="preserve">the value of their solar PV system. </w:t>
      </w:r>
    </w:p>
    <w:p w14:paraId="46D4D961" w14:textId="23DAAFE7" w:rsidR="00261D2C" w:rsidRPr="00261D2C" w:rsidRDefault="00261D2C" w:rsidP="00261D2C">
      <w:pPr>
        <w:pStyle w:val="ListParagraph"/>
        <w:numPr>
          <w:ilvl w:val="0"/>
          <w:numId w:val="15"/>
        </w:numPr>
        <w:shd w:val="clear" w:color="auto" w:fill="F2F2F2" w:themeFill="background1" w:themeFillShade="F2"/>
        <w:rPr>
          <w:b/>
          <w:lang w:val="en-US" w:eastAsia="en-US"/>
        </w:rPr>
      </w:pPr>
      <w:r w:rsidRPr="00261D2C">
        <w:rPr>
          <w:lang w:val="en-US" w:eastAsia="en-US"/>
        </w:rPr>
        <w:t>It may not be possible for data about internal solar usage to be communicated on the bill, however, with 21 per cent of Australian households having solar panels, this is a clear area for improvement in energy bills.</w:t>
      </w:r>
    </w:p>
    <w:p w14:paraId="3B6FDF93" w14:textId="47F6D139" w:rsidR="00261D2C" w:rsidRDefault="00261D2C" w:rsidP="00261D2C">
      <w:pPr>
        <w:rPr>
          <w:lang w:val="en-US" w:eastAsia="en-US"/>
        </w:rPr>
      </w:pPr>
    </w:p>
    <w:p w14:paraId="7B384595" w14:textId="77777777" w:rsidR="00261D2C" w:rsidRDefault="00261D2C">
      <w:pPr>
        <w:spacing w:after="0" w:line="240" w:lineRule="auto"/>
        <w:rPr>
          <w:lang w:val="en-US" w:eastAsia="en-US"/>
        </w:rPr>
      </w:pPr>
      <w:r>
        <w:rPr>
          <w:lang w:val="en-US" w:eastAsia="en-US"/>
        </w:rPr>
        <w:br w:type="page"/>
      </w:r>
    </w:p>
    <w:p w14:paraId="0FA66247" w14:textId="4C236644" w:rsidR="005D75A5" w:rsidRDefault="00350FF2" w:rsidP="007E294C">
      <w:pPr>
        <w:pStyle w:val="Heading2"/>
      </w:pPr>
      <w:bookmarkStart w:id="93" w:name="_Toc68611285"/>
      <w:bookmarkStart w:id="94" w:name="_Toc68621181"/>
      <w:bookmarkStart w:id="95" w:name="_Toc68621222"/>
      <w:bookmarkStart w:id="96" w:name="_Toc68700456"/>
      <w:bookmarkStart w:id="97" w:name="_Toc68775867"/>
      <w:bookmarkStart w:id="98" w:name="_Toc68789272"/>
      <w:bookmarkStart w:id="99" w:name="_Toc68791940"/>
      <w:bookmarkStart w:id="100" w:name="_Toc86091079"/>
      <w:r>
        <w:lastRenderedPageBreak/>
        <w:t xml:space="preserve">Comparison and </w:t>
      </w:r>
      <w:r w:rsidR="00F73A84">
        <w:t>s</w:t>
      </w:r>
      <w:r w:rsidR="000560E7">
        <w:t>witching</w:t>
      </w:r>
      <w:bookmarkEnd w:id="93"/>
      <w:bookmarkEnd w:id="94"/>
      <w:bookmarkEnd w:id="95"/>
      <w:bookmarkEnd w:id="96"/>
      <w:bookmarkEnd w:id="97"/>
      <w:bookmarkEnd w:id="98"/>
      <w:bookmarkEnd w:id="99"/>
      <w:bookmarkEnd w:id="100"/>
    </w:p>
    <w:p w14:paraId="318EC13F" w14:textId="075B712D" w:rsidR="00261D2C" w:rsidRPr="00261D2C" w:rsidRDefault="00261D2C" w:rsidP="00261D2C">
      <w:pPr>
        <w:shd w:val="clear" w:color="auto" w:fill="006666"/>
        <w:rPr>
          <w:b/>
          <w:color w:val="FFFFFF" w:themeColor="background1"/>
        </w:rPr>
      </w:pPr>
      <w:r w:rsidRPr="00261D2C">
        <w:rPr>
          <w:b/>
          <w:color w:val="FFFFFF" w:themeColor="background1"/>
        </w:rPr>
        <w:t>Key points: comparison and switching</w:t>
      </w:r>
    </w:p>
    <w:p w14:paraId="30786C0D" w14:textId="468DD7CE" w:rsidR="00261D2C" w:rsidRDefault="00261D2C" w:rsidP="00261D2C">
      <w:pPr>
        <w:pStyle w:val="ListParagraph"/>
        <w:keepNext/>
        <w:keepLines/>
        <w:numPr>
          <w:ilvl w:val="0"/>
          <w:numId w:val="16"/>
        </w:numPr>
        <w:shd w:val="clear" w:color="auto" w:fill="F2F2F2" w:themeFill="background1" w:themeFillShade="F2"/>
        <w:rPr>
          <w:lang w:val="en-US" w:eastAsia="en-US"/>
        </w:rPr>
      </w:pPr>
      <w:r w:rsidRPr="00B209E6">
        <w:rPr>
          <w:lang w:val="en-US"/>
        </w:rPr>
        <w:t xml:space="preserve">There is significant literature on general switching costs </w:t>
      </w:r>
      <w:r>
        <w:rPr>
          <w:lang w:val="en-US"/>
        </w:rPr>
        <w:t xml:space="preserve">or friction costs </w:t>
      </w:r>
      <w:r w:rsidRPr="00B209E6">
        <w:rPr>
          <w:lang w:val="en-US"/>
        </w:rPr>
        <w:t xml:space="preserve">in service markets. </w:t>
      </w:r>
      <w:r>
        <w:rPr>
          <w:lang w:val="en-US"/>
        </w:rPr>
        <w:t>One key cost is the time and effort to gather and evaluate information to switch</w:t>
      </w:r>
      <w:r w:rsidR="00D80153">
        <w:rPr>
          <w:lang w:val="en-US"/>
        </w:rPr>
        <w:t xml:space="preserve"> but there are several others</w:t>
      </w:r>
      <w:r>
        <w:rPr>
          <w:lang w:val="en-US"/>
        </w:rPr>
        <w:t>.</w:t>
      </w:r>
    </w:p>
    <w:p w14:paraId="16D5FB9A" w14:textId="77777777" w:rsidR="00261D2C" w:rsidRDefault="00261D2C" w:rsidP="00261D2C">
      <w:pPr>
        <w:pStyle w:val="ListParagraph"/>
        <w:keepNext/>
        <w:keepLines/>
        <w:numPr>
          <w:ilvl w:val="0"/>
          <w:numId w:val="16"/>
        </w:numPr>
        <w:shd w:val="clear" w:color="auto" w:fill="F2F2F2" w:themeFill="background1" w:themeFillShade="F2"/>
        <w:rPr>
          <w:lang w:val="en-US" w:eastAsia="en-US"/>
        </w:rPr>
      </w:pPr>
      <w:r>
        <w:rPr>
          <w:lang w:val="en-US" w:eastAsia="en-US"/>
        </w:rPr>
        <w:t>The structure of and information on bills play an important role in making the switching process easier and acting as a trigger for consumers to act.</w:t>
      </w:r>
    </w:p>
    <w:p w14:paraId="2A22045C" w14:textId="77777777" w:rsidR="00261D2C" w:rsidRDefault="00261D2C" w:rsidP="00261D2C">
      <w:pPr>
        <w:pStyle w:val="ListParagraph"/>
        <w:keepNext/>
        <w:keepLines/>
        <w:numPr>
          <w:ilvl w:val="0"/>
          <w:numId w:val="16"/>
        </w:numPr>
        <w:shd w:val="clear" w:color="auto" w:fill="F2F2F2" w:themeFill="background1" w:themeFillShade="F2"/>
        <w:rPr>
          <w:lang w:val="en-US" w:eastAsia="en-US"/>
        </w:rPr>
      </w:pPr>
      <w:r>
        <w:rPr>
          <w:lang w:val="en-US" w:eastAsia="en-US"/>
        </w:rPr>
        <w:t>Including QR codes or links to comparison services significantly reduces the amount of effort required to look for a plan.</w:t>
      </w:r>
    </w:p>
    <w:p w14:paraId="760E06D9" w14:textId="77777777" w:rsidR="00261D2C" w:rsidRDefault="00261D2C" w:rsidP="00261D2C">
      <w:pPr>
        <w:pStyle w:val="ListParagraph"/>
        <w:keepNext/>
        <w:keepLines/>
        <w:numPr>
          <w:ilvl w:val="0"/>
          <w:numId w:val="16"/>
        </w:numPr>
        <w:shd w:val="clear" w:color="auto" w:fill="F2F2F2" w:themeFill="background1" w:themeFillShade="F2"/>
        <w:rPr>
          <w:lang w:val="en-US" w:eastAsia="en-US"/>
        </w:rPr>
      </w:pPr>
      <w:r>
        <w:rPr>
          <w:lang w:val="en-US" w:eastAsia="en-US"/>
        </w:rPr>
        <w:t>Standardising terminology removes some switching costs by reducing the time and effort required to compare different plans and is broadly supported by all stakeholders.</w:t>
      </w:r>
    </w:p>
    <w:p w14:paraId="3462FE44" w14:textId="77777777" w:rsidR="00261D2C" w:rsidRDefault="00261D2C" w:rsidP="00261D2C">
      <w:pPr>
        <w:pStyle w:val="ListParagraph"/>
        <w:keepNext/>
        <w:keepLines/>
        <w:numPr>
          <w:ilvl w:val="0"/>
          <w:numId w:val="16"/>
        </w:numPr>
        <w:shd w:val="clear" w:color="auto" w:fill="F2F2F2" w:themeFill="background1" w:themeFillShade="F2"/>
        <w:rPr>
          <w:lang w:val="en-US" w:eastAsia="en-US"/>
        </w:rPr>
      </w:pPr>
      <w:r>
        <w:rPr>
          <w:lang w:val="en-US" w:eastAsia="en-US"/>
        </w:rPr>
        <w:t>Calls to action work best when presenting lower rates or more savings available and when consumers are given only one alternative option, rather than many.</w:t>
      </w:r>
    </w:p>
    <w:p w14:paraId="07F6D9A8" w14:textId="2BAA03DD" w:rsidR="00261D2C" w:rsidRPr="00261D2C" w:rsidRDefault="00261D2C" w:rsidP="00261D2C">
      <w:pPr>
        <w:pStyle w:val="ListParagraph"/>
        <w:keepNext/>
        <w:keepLines/>
        <w:numPr>
          <w:ilvl w:val="0"/>
          <w:numId w:val="16"/>
        </w:numPr>
        <w:shd w:val="clear" w:color="auto" w:fill="F2F2F2" w:themeFill="background1" w:themeFillShade="F2"/>
        <w:rPr>
          <w:lang w:val="en-US" w:eastAsia="en-US"/>
        </w:rPr>
      </w:pPr>
      <w:r w:rsidRPr="00261D2C">
        <w:rPr>
          <w:lang w:val="en-US" w:eastAsia="en-US"/>
        </w:rPr>
        <w:t>Letters and emails are other proven methods of increasing switching rates in the energy market.</w:t>
      </w:r>
    </w:p>
    <w:p w14:paraId="79F18177" w14:textId="1101CD1E" w:rsidR="000560E7" w:rsidRDefault="00F73A84" w:rsidP="0062095A">
      <w:pPr>
        <w:pStyle w:val="Heading3"/>
        <w:rPr>
          <w:lang w:val="en-US" w:eastAsia="en-US"/>
        </w:rPr>
      </w:pPr>
      <w:bookmarkStart w:id="101" w:name="_Toc68611287"/>
      <w:bookmarkStart w:id="102" w:name="_Toc68621183"/>
      <w:bookmarkStart w:id="103" w:name="_Toc68621224"/>
      <w:bookmarkStart w:id="104" w:name="_Toc68700458"/>
      <w:bookmarkStart w:id="105" w:name="_Toc68775869"/>
      <w:bookmarkStart w:id="106" w:name="_Toc68789273"/>
      <w:bookmarkStart w:id="107" w:name="_Toc68791941"/>
      <w:bookmarkStart w:id="108" w:name="_Toc86091080"/>
      <w:r>
        <w:rPr>
          <w:lang w:val="en-US" w:eastAsia="en-US"/>
        </w:rPr>
        <w:t>Academic l</w:t>
      </w:r>
      <w:r w:rsidR="000560E7">
        <w:rPr>
          <w:lang w:val="en-US" w:eastAsia="en-US"/>
        </w:rPr>
        <w:t>iterature</w:t>
      </w:r>
      <w:bookmarkEnd w:id="101"/>
      <w:bookmarkEnd w:id="102"/>
      <w:bookmarkEnd w:id="103"/>
      <w:bookmarkEnd w:id="104"/>
      <w:bookmarkEnd w:id="105"/>
      <w:r w:rsidR="008F1D61">
        <w:rPr>
          <w:lang w:val="en-US" w:eastAsia="en-US"/>
        </w:rPr>
        <w:t>: switching</w:t>
      </w:r>
      <w:bookmarkEnd w:id="106"/>
      <w:bookmarkEnd w:id="107"/>
      <w:bookmarkEnd w:id="108"/>
    </w:p>
    <w:p w14:paraId="73F35C87" w14:textId="2C35B177" w:rsidR="00D70B5D" w:rsidRDefault="00D70B5D" w:rsidP="00D70B5D">
      <w:pPr>
        <w:pStyle w:val="Heading4"/>
        <w:rPr>
          <w:lang w:val="en-US" w:eastAsia="en-US"/>
        </w:rPr>
      </w:pPr>
      <w:r>
        <w:rPr>
          <w:lang w:val="en-US" w:eastAsia="en-US"/>
        </w:rPr>
        <w:t>General barriers to comparison and switching</w:t>
      </w:r>
    </w:p>
    <w:p w14:paraId="21D6D89F" w14:textId="4C1CF338" w:rsidR="002C5E38" w:rsidRPr="002C5E38" w:rsidRDefault="001B1477" w:rsidP="002C5E38">
      <w:pPr>
        <w:rPr>
          <w:lang w:val="en-US" w:eastAsia="en-US"/>
        </w:rPr>
      </w:pPr>
      <w:r w:rsidRPr="00F1794F">
        <w:rPr>
          <w:lang w:val="en-US" w:eastAsia="en-US"/>
        </w:rPr>
        <w:t xml:space="preserve">There are </w:t>
      </w:r>
      <w:r>
        <w:rPr>
          <w:lang w:val="en-US" w:eastAsia="en-US"/>
        </w:rPr>
        <w:t>many barriers to switching</w:t>
      </w:r>
      <w:r w:rsidR="00335807">
        <w:rPr>
          <w:lang w:val="en-US" w:eastAsia="en-US"/>
        </w:rPr>
        <w:t xml:space="preserve"> (</w:t>
      </w:r>
      <w:r w:rsidR="00335807">
        <w:rPr>
          <w:lang w:eastAsia="en-US"/>
        </w:rPr>
        <w:t>Jones et al., 2002)</w:t>
      </w:r>
      <w:r>
        <w:rPr>
          <w:lang w:val="en-US" w:eastAsia="en-US"/>
        </w:rPr>
        <w:t>.</w:t>
      </w:r>
      <w:r w:rsidR="002C5E38">
        <w:rPr>
          <w:lang w:val="en-US" w:eastAsia="en-US"/>
        </w:rPr>
        <w:t xml:space="preserve"> </w:t>
      </w:r>
      <w:r w:rsidR="002C5E38" w:rsidRPr="002C5E38">
        <w:rPr>
          <w:lang w:val="en-US" w:eastAsia="en-US"/>
        </w:rPr>
        <w:t>First, searching for and comparing alternative products takes time and effort, especially when there are many suppliers in the market and the product is complex in nature.</w:t>
      </w:r>
      <w:r w:rsidR="002C5E38">
        <w:rPr>
          <w:lang w:val="en-US" w:eastAsia="en-US"/>
        </w:rPr>
        <w:t xml:space="preserve"> Consumers </w:t>
      </w:r>
      <w:r w:rsidR="002C5E38">
        <w:rPr>
          <w:lang w:eastAsia="en-US"/>
        </w:rPr>
        <w:t xml:space="preserve">have to search for alternatives, sift through the available information, and then evaluate the options. </w:t>
      </w:r>
      <w:r w:rsidR="002C5E38" w:rsidRPr="002C5E38">
        <w:rPr>
          <w:lang w:val="en-US" w:eastAsia="en-US"/>
        </w:rPr>
        <w:t xml:space="preserve"> </w:t>
      </w:r>
    </w:p>
    <w:p w14:paraId="4A411F9B" w14:textId="2ACD1CCF" w:rsidR="002C5E38" w:rsidRPr="002C5E38" w:rsidRDefault="002C5E38" w:rsidP="002C5E38">
      <w:pPr>
        <w:rPr>
          <w:lang w:val="en-US" w:eastAsia="en-US"/>
        </w:rPr>
      </w:pPr>
      <w:r w:rsidRPr="002C5E38">
        <w:rPr>
          <w:lang w:val="en-US" w:eastAsia="en-US"/>
        </w:rPr>
        <w:t>Second, there are the fees and transaction costs involved in the actual process of disconnecti</w:t>
      </w:r>
      <w:r>
        <w:rPr>
          <w:lang w:val="en-US" w:eastAsia="en-US"/>
        </w:rPr>
        <w:t>ng or re-connecti</w:t>
      </w:r>
      <w:r w:rsidRPr="002C5E38">
        <w:rPr>
          <w:lang w:val="en-US" w:eastAsia="en-US"/>
        </w:rPr>
        <w:t>n</w:t>
      </w:r>
      <w:r>
        <w:rPr>
          <w:lang w:val="en-US" w:eastAsia="en-US"/>
        </w:rPr>
        <w:t>g an energy service.</w:t>
      </w:r>
      <w:r w:rsidR="00335807">
        <w:rPr>
          <w:lang w:val="en-US" w:eastAsia="en-US"/>
        </w:rPr>
        <w:t xml:space="preserve"> </w:t>
      </w:r>
      <w:r w:rsidR="00335807">
        <w:rPr>
          <w:lang w:eastAsia="en-US"/>
        </w:rPr>
        <w:t xml:space="preserve">When changing service providers, customers may perceive initial costs such as set-up and closing fees (or switching fees) to be too great even if, over time, they would be financially better off if they switched. Schleich, Faure &amp; Gassmann (2018) provide empirical evidence for such ‘present bias’ within the electrical contract switching context, with more patient individuals showing increased propensity to switch. </w:t>
      </w:r>
      <w:r>
        <w:rPr>
          <w:lang w:val="en-US" w:eastAsia="en-US"/>
        </w:rPr>
        <w:t xml:space="preserve"> </w:t>
      </w:r>
      <w:r w:rsidRPr="002C5E38">
        <w:rPr>
          <w:lang w:val="en-US" w:eastAsia="en-US"/>
        </w:rPr>
        <w:t xml:space="preserve"> </w:t>
      </w:r>
    </w:p>
    <w:p w14:paraId="3F6660F7" w14:textId="1472837F" w:rsidR="002C5E38" w:rsidRDefault="004F66F5" w:rsidP="002C5E38">
      <w:pPr>
        <w:rPr>
          <w:lang w:val="en-US" w:eastAsia="en-US"/>
        </w:rPr>
      </w:pPr>
      <w:r>
        <w:rPr>
          <w:lang w:val="en-US" w:eastAsia="en-US"/>
        </w:rPr>
        <w:t>T</w:t>
      </w:r>
      <w:r w:rsidR="002C5E38" w:rsidRPr="002C5E38">
        <w:rPr>
          <w:lang w:val="en-US" w:eastAsia="en-US"/>
        </w:rPr>
        <w:t xml:space="preserve">here </w:t>
      </w:r>
      <w:r>
        <w:rPr>
          <w:lang w:val="en-US" w:eastAsia="en-US"/>
        </w:rPr>
        <w:t xml:space="preserve">may be additional </w:t>
      </w:r>
      <w:r w:rsidR="002C5E38" w:rsidRPr="002C5E38">
        <w:rPr>
          <w:lang w:val="en-US" w:eastAsia="en-US"/>
        </w:rPr>
        <w:t xml:space="preserve">psychological and behavioural barriers to switching. Some consumers have a bias towards the status quo </w:t>
      </w:r>
      <w:r w:rsidR="002C5E38">
        <w:rPr>
          <w:lang w:val="en-US" w:eastAsia="en-US"/>
        </w:rPr>
        <w:t xml:space="preserve">i.e. </w:t>
      </w:r>
      <w:r w:rsidR="002C5E38" w:rsidRPr="002C5E38">
        <w:rPr>
          <w:lang w:val="en-US" w:eastAsia="en-US"/>
        </w:rPr>
        <w:t xml:space="preserve">their current retailer </w:t>
      </w:r>
      <w:r w:rsidR="002C5E38">
        <w:rPr>
          <w:lang w:eastAsia="en-US"/>
        </w:rPr>
        <w:t>(Dub</w:t>
      </w:r>
      <w:r w:rsidR="000579C2" w:rsidRPr="000579C2">
        <w:rPr>
          <w:lang w:eastAsia="en-US"/>
        </w:rPr>
        <w:t>é</w:t>
      </w:r>
      <w:r w:rsidR="002C5E38">
        <w:rPr>
          <w:lang w:eastAsia="en-US"/>
        </w:rPr>
        <w:t xml:space="preserve"> et al., 2010; Guney &amp; Richter, 2018). This may be due to a disposition towards brand loyalty (Dick &amp; Basu, 1994; </w:t>
      </w:r>
      <w:r w:rsidR="002C5E38">
        <w:t>Hortaçsu</w:t>
      </w:r>
      <w:r w:rsidR="000579C2">
        <w:t xml:space="preserve"> et al.</w:t>
      </w:r>
      <w:r w:rsidR="002C5E38">
        <w:t>, 2017</w:t>
      </w:r>
      <w:r w:rsidR="002C5E38">
        <w:rPr>
          <w:lang w:eastAsia="en-US"/>
        </w:rPr>
        <w:t xml:space="preserve">). Alternatively, a preference status quo </w:t>
      </w:r>
      <w:r w:rsidR="00335807">
        <w:rPr>
          <w:lang w:eastAsia="en-US"/>
        </w:rPr>
        <w:t xml:space="preserve">may reflect fears associated with being worse off if they switch </w:t>
      </w:r>
      <w:r w:rsidR="002C5E38">
        <w:rPr>
          <w:lang w:eastAsia="en-US"/>
        </w:rPr>
        <w:t>(Burnham</w:t>
      </w:r>
      <w:r w:rsidR="000579C2">
        <w:rPr>
          <w:lang w:eastAsia="en-US"/>
        </w:rPr>
        <w:t xml:space="preserve"> et al.</w:t>
      </w:r>
      <w:r w:rsidR="002C5E38">
        <w:rPr>
          <w:lang w:eastAsia="en-US"/>
        </w:rPr>
        <w:t xml:space="preserve">, 2003). </w:t>
      </w:r>
      <w:r w:rsidR="00335807">
        <w:rPr>
          <w:lang w:eastAsia="en-US"/>
        </w:rPr>
        <w:t>For example, p</w:t>
      </w:r>
      <w:r w:rsidR="00335807" w:rsidRPr="00F85F92">
        <w:rPr>
          <w:lang w:eastAsia="en-US"/>
        </w:rPr>
        <w:t>revious BETA research found that 56% of people were concerned switching could lead them to a worse plan (BETA, 2018)</w:t>
      </w:r>
      <w:r w:rsidR="00335807">
        <w:rPr>
          <w:lang w:eastAsia="en-US"/>
        </w:rPr>
        <w:t xml:space="preserve">. </w:t>
      </w:r>
      <w:r w:rsidR="002C5E38" w:rsidRPr="002C5E38">
        <w:rPr>
          <w:lang w:val="en-US" w:eastAsia="en-US"/>
        </w:rPr>
        <w:t xml:space="preserve">Finally, consumers may </w:t>
      </w:r>
      <w:r w:rsidR="00335807">
        <w:rPr>
          <w:lang w:val="en-US" w:eastAsia="en-US"/>
        </w:rPr>
        <w:t xml:space="preserve">simply </w:t>
      </w:r>
      <w:r w:rsidR="002C5E38" w:rsidRPr="002C5E38">
        <w:rPr>
          <w:lang w:val="en-US" w:eastAsia="en-US"/>
        </w:rPr>
        <w:t xml:space="preserve">think all retailers are </w:t>
      </w:r>
      <w:r w:rsidR="00335807">
        <w:rPr>
          <w:lang w:val="en-US" w:eastAsia="en-US"/>
        </w:rPr>
        <w:t>‘</w:t>
      </w:r>
      <w:r w:rsidR="002C5E38" w:rsidRPr="002C5E38">
        <w:rPr>
          <w:lang w:val="en-US" w:eastAsia="en-US"/>
        </w:rPr>
        <w:t>the same</w:t>
      </w:r>
      <w:r w:rsidR="00335807">
        <w:rPr>
          <w:lang w:val="en-US" w:eastAsia="en-US"/>
        </w:rPr>
        <w:t>’</w:t>
      </w:r>
      <w:r w:rsidR="002C5E38" w:rsidRPr="002C5E38">
        <w:rPr>
          <w:lang w:val="en-US" w:eastAsia="en-US"/>
        </w:rPr>
        <w:t xml:space="preserve"> and there is no point to switching.</w:t>
      </w:r>
    </w:p>
    <w:p w14:paraId="0EBE1220" w14:textId="13D25203" w:rsidR="00335807" w:rsidRDefault="00335807" w:rsidP="002C5E38">
      <w:pPr>
        <w:rPr>
          <w:lang w:val="en-US" w:eastAsia="en-US"/>
        </w:rPr>
      </w:pPr>
      <w:r w:rsidRPr="00F85F92">
        <w:rPr>
          <w:lang w:eastAsia="en-US"/>
        </w:rPr>
        <w:lastRenderedPageBreak/>
        <w:t xml:space="preserve">Inserting a ‘call to action’ into a bill, by drawing attention to other market offers, </w:t>
      </w:r>
      <w:r>
        <w:rPr>
          <w:lang w:eastAsia="en-US"/>
        </w:rPr>
        <w:t xml:space="preserve">as well as using standardisation </w:t>
      </w:r>
      <w:r w:rsidRPr="00F85F92">
        <w:rPr>
          <w:lang w:eastAsia="en-US"/>
        </w:rPr>
        <w:t xml:space="preserve">may address </w:t>
      </w:r>
      <w:r>
        <w:rPr>
          <w:lang w:eastAsia="en-US"/>
        </w:rPr>
        <w:t xml:space="preserve">these </w:t>
      </w:r>
      <w:r w:rsidRPr="00F85F92">
        <w:rPr>
          <w:lang w:eastAsia="en-US"/>
        </w:rPr>
        <w:t>barrier</w:t>
      </w:r>
      <w:r>
        <w:rPr>
          <w:lang w:eastAsia="en-US"/>
        </w:rPr>
        <w:t>s</w:t>
      </w:r>
      <w:r w:rsidRPr="00F85F92">
        <w:rPr>
          <w:lang w:eastAsia="en-US"/>
        </w:rPr>
        <w:t xml:space="preserve"> and </w:t>
      </w:r>
      <w:r>
        <w:rPr>
          <w:lang w:eastAsia="en-US"/>
        </w:rPr>
        <w:t>are</w:t>
      </w:r>
      <w:r w:rsidRPr="00F85F92">
        <w:rPr>
          <w:lang w:eastAsia="en-US"/>
        </w:rPr>
        <w:t xml:space="preserve"> discussed further below.</w:t>
      </w:r>
    </w:p>
    <w:p w14:paraId="33335438" w14:textId="0C2EBECE" w:rsidR="00343CE9" w:rsidRPr="00343CE9" w:rsidRDefault="00343CE9" w:rsidP="0062095A">
      <w:pPr>
        <w:pStyle w:val="Heading4"/>
        <w:rPr>
          <w:lang w:val="en-US" w:eastAsia="en-US"/>
        </w:rPr>
      </w:pPr>
      <w:r>
        <w:rPr>
          <w:lang w:val="en-US" w:eastAsia="en-US"/>
        </w:rPr>
        <w:t>Standardisation</w:t>
      </w:r>
    </w:p>
    <w:p w14:paraId="102B7E9D" w14:textId="63607FD5" w:rsidR="006369DE" w:rsidRDefault="007E3835" w:rsidP="000560E7">
      <w:pPr>
        <w:rPr>
          <w:lang w:val="en-US" w:eastAsia="en-US"/>
        </w:rPr>
      </w:pPr>
      <w:r>
        <w:rPr>
          <w:lang w:val="en-US" w:eastAsia="en-US"/>
        </w:rPr>
        <w:t xml:space="preserve">Being able to compare deals </w:t>
      </w:r>
      <w:r w:rsidR="00E41A0C">
        <w:rPr>
          <w:lang w:val="en-US" w:eastAsia="en-US"/>
        </w:rPr>
        <w:t xml:space="preserve">easily </w:t>
      </w:r>
      <w:r>
        <w:rPr>
          <w:lang w:val="en-US" w:eastAsia="en-US"/>
        </w:rPr>
        <w:t>is the first step in driving</w:t>
      </w:r>
      <w:r w:rsidR="001F7799">
        <w:rPr>
          <w:lang w:val="en-US" w:eastAsia="en-US"/>
        </w:rPr>
        <w:t xml:space="preserve"> switching behaviour. </w:t>
      </w:r>
      <w:r>
        <w:rPr>
          <w:lang w:val="en-US" w:eastAsia="en-US"/>
        </w:rPr>
        <w:t>Research</w:t>
      </w:r>
      <w:r w:rsidR="001F7799">
        <w:rPr>
          <w:lang w:val="en-US" w:eastAsia="en-US"/>
        </w:rPr>
        <w:t xml:space="preserve"> in the UK market</w:t>
      </w:r>
      <w:r>
        <w:rPr>
          <w:lang w:val="en-US" w:eastAsia="en-US"/>
        </w:rPr>
        <w:t xml:space="preserve"> (Fletcher, 2016) </w:t>
      </w:r>
      <w:r w:rsidR="00E35B88">
        <w:rPr>
          <w:lang w:val="en-US" w:eastAsia="en-US"/>
        </w:rPr>
        <w:t>showed</w:t>
      </w:r>
      <w:r w:rsidR="00341F1B">
        <w:rPr>
          <w:lang w:val="en-US" w:eastAsia="en-US"/>
        </w:rPr>
        <w:t xml:space="preserve"> </w:t>
      </w:r>
      <w:r>
        <w:rPr>
          <w:lang w:val="en-US" w:eastAsia="en-US"/>
        </w:rPr>
        <w:t xml:space="preserve">a lack of </w:t>
      </w:r>
      <w:r w:rsidR="002E3A2C">
        <w:rPr>
          <w:lang w:val="en-US" w:eastAsia="en-US"/>
        </w:rPr>
        <w:t>standardis</w:t>
      </w:r>
      <w:r w:rsidR="00E35B88">
        <w:rPr>
          <w:lang w:val="en-US" w:eastAsia="en-US"/>
        </w:rPr>
        <w:t>ed language contributed</w:t>
      </w:r>
      <w:r>
        <w:rPr>
          <w:lang w:val="en-US" w:eastAsia="en-US"/>
        </w:rPr>
        <w:t xml:space="preserve"> to communications from </w:t>
      </w:r>
      <w:r w:rsidR="00902E76">
        <w:rPr>
          <w:lang w:val="en-US" w:eastAsia="en-US"/>
        </w:rPr>
        <w:t>retailers</w:t>
      </w:r>
      <w:r>
        <w:rPr>
          <w:lang w:val="en-US" w:eastAsia="en-US"/>
        </w:rPr>
        <w:t xml:space="preserve"> that </w:t>
      </w:r>
      <w:r w:rsidR="00E35B88">
        <w:rPr>
          <w:lang w:val="en-US" w:eastAsia="en-US"/>
        </w:rPr>
        <w:t>wer</w:t>
      </w:r>
      <w:r>
        <w:rPr>
          <w:lang w:val="en-US" w:eastAsia="en-US"/>
        </w:rPr>
        <w:t xml:space="preserve">e not easy to compare. </w:t>
      </w:r>
      <w:r w:rsidR="00341F1B">
        <w:rPr>
          <w:lang w:val="en-US" w:eastAsia="en-US"/>
        </w:rPr>
        <w:t>In general, s</w:t>
      </w:r>
      <w:r w:rsidR="008F0BC1">
        <w:rPr>
          <w:lang w:val="en-US" w:eastAsia="en-US"/>
        </w:rPr>
        <w:t>tandardising language increases consumers’</w:t>
      </w:r>
      <w:r w:rsidR="001F7799">
        <w:rPr>
          <w:lang w:val="en-US" w:eastAsia="en-US"/>
        </w:rPr>
        <w:t xml:space="preserve"> ability to accurately compare offers and </w:t>
      </w:r>
      <w:r w:rsidR="008F0BC1">
        <w:rPr>
          <w:lang w:val="en-US" w:eastAsia="en-US"/>
        </w:rPr>
        <w:t>make</w:t>
      </w:r>
      <w:r w:rsidR="001F7799">
        <w:rPr>
          <w:lang w:val="en-US" w:eastAsia="en-US"/>
        </w:rPr>
        <w:t xml:space="preserve"> better decisions. </w:t>
      </w:r>
    </w:p>
    <w:p w14:paraId="4100A6E5" w14:textId="38CF382D" w:rsidR="000560E7" w:rsidRDefault="006369DE" w:rsidP="000560E7">
      <w:pPr>
        <w:rPr>
          <w:lang w:val="en-US" w:eastAsia="en-US"/>
        </w:rPr>
      </w:pPr>
      <w:r>
        <w:rPr>
          <w:lang w:val="en-US" w:eastAsia="en-US"/>
        </w:rPr>
        <w:t>Th</w:t>
      </w:r>
      <w:r w:rsidR="00A4210C">
        <w:rPr>
          <w:lang w:val="en-US" w:eastAsia="en-US"/>
        </w:rPr>
        <w:t>e benefits of standardisation are</w:t>
      </w:r>
      <w:r>
        <w:rPr>
          <w:lang w:val="en-US" w:eastAsia="en-US"/>
        </w:rPr>
        <w:t xml:space="preserve"> </w:t>
      </w:r>
      <w:r w:rsidR="00A4210C">
        <w:rPr>
          <w:lang w:val="en-US" w:eastAsia="en-US"/>
        </w:rPr>
        <w:t xml:space="preserve">seen </w:t>
      </w:r>
      <w:r>
        <w:rPr>
          <w:lang w:val="en-US" w:eastAsia="en-US"/>
        </w:rPr>
        <w:t xml:space="preserve">in studies of other markets around the world. </w:t>
      </w:r>
      <w:r w:rsidR="001F7799">
        <w:rPr>
          <w:lang w:val="en-US" w:eastAsia="en-US"/>
        </w:rPr>
        <w:t>For example, i</w:t>
      </w:r>
      <w:r w:rsidR="007E3835">
        <w:rPr>
          <w:lang w:val="en-US" w:eastAsia="en-US"/>
        </w:rPr>
        <w:t xml:space="preserve">n the Massachusetts health insurance market, Marzilli and Starc (2016) </w:t>
      </w:r>
      <w:r w:rsidR="00102787">
        <w:rPr>
          <w:lang w:val="en-US" w:eastAsia="en-US"/>
        </w:rPr>
        <w:t xml:space="preserve">find </w:t>
      </w:r>
      <w:r w:rsidR="007E3835">
        <w:rPr>
          <w:lang w:val="en-US" w:eastAsia="en-US"/>
        </w:rPr>
        <w:t xml:space="preserve">that product </w:t>
      </w:r>
      <w:r w:rsidR="002E3A2C">
        <w:rPr>
          <w:lang w:val="en-US" w:eastAsia="en-US"/>
        </w:rPr>
        <w:t>standardis</w:t>
      </w:r>
      <w:r w:rsidR="007E3835">
        <w:rPr>
          <w:lang w:val="en-US" w:eastAsia="en-US"/>
        </w:rPr>
        <w:t>ation improve</w:t>
      </w:r>
      <w:r w:rsidR="00E35B88">
        <w:rPr>
          <w:lang w:val="en-US" w:eastAsia="en-US"/>
        </w:rPr>
        <w:t>d</w:t>
      </w:r>
      <w:r w:rsidR="007E3835">
        <w:rPr>
          <w:lang w:val="en-US" w:eastAsia="en-US"/>
        </w:rPr>
        <w:t xml:space="preserve"> consumers</w:t>
      </w:r>
      <w:r w:rsidR="001F7799">
        <w:rPr>
          <w:lang w:val="en-US" w:eastAsia="en-US"/>
        </w:rPr>
        <w:t>’</w:t>
      </w:r>
      <w:r w:rsidR="007E3835">
        <w:rPr>
          <w:lang w:val="en-US" w:eastAsia="en-US"/>
        </w:rPr>
        <w:t xml:space="preserve"> choices</w:t>
      </w:r>
      <w:r w:rsidR="00844D89">
        <w:rPr>
          <w:lang w:val="en-US" w:eastAsia="en-US"/>
        </w:rPr>
        <w:t xml:space="preserve"> (e.g. a shift towards more generous coverage in their health insurance plan)</w:t>
      </w:r>
      <w:r w:rsidR="002E3A2C">
        <w:rPr>
          <w:lang w:val="en-US" w:eastAsia="en-US"/>
        </w:rPr>
        <w:t>.</w:t>
      </w:r>
      <w:r w:rsidR="001F7799">
        <w:rPr>
          <w:lang w:val="en-US" w:eastAsia="en-US"/>
        </w:rPr>
        <w:t xml:space="preserve"> In contrast, adding</w:t>
      </w:r>
      <w:r w:rsidR="00F73A84">
        <w:rPr>
          <w:lang w:val="en-US" w:eastAsia="en-US"/>
        </w:rPr>
        <w:t xml:space="preserve"> complexity during the decision</w:t>
      </w:r>
      <w:r w:rsidR="00F73A84">
        <w:rPr>
          <w:lang w:val="en-US" w:eastAsia="en-US"/>
        </w:rPr>
        <w:noBreakHyphen/>
      </w:r>
      <w:r w:rsidR="001F7799">
        <w:rPr>
          <w:lang w:val="en-US" w:eastAsia="en-US"/>
        </w:rPr>
        <w:t>making process, such as through bundling or dif</w:t>
      </w:r>
      <w:r w:rsidR="00E35B88">
        <w:rPr>
          <w:lang w:val="en-US" w:eastAsia="en-US"/>
        </w:rPr>
        <w:t>ferent time of use plans, caused</w:t>
      </w:r>
      <w:r w:rsidR="001F7799">
        <w:rPr>
          <w:lang w:val="en-US" w:eastAsia="en-US"/>
        </w:rPr>
        <w:t xml:space="preserve"> a small increase in the number of people who </w:t>
      </w:r>
      <w:r w:rsidR="00E35B88">
        <w:rPr>
          <w:lang w:val="en-US" w:eastAsia="en-US"/>
        </w:rPr>
        <w:t xml:space="preserve">chose </w:t>
      </w:r>
      <w:r w:rsidR="001F7799">
        <w:rPr>
          <w:lang w:val="en-US" w:eastAsia="en-US"/>
        </w:rPr>
        <w:t xml:space="preserve">to stick with the default when there </w:t>
      </w:r>
      <w:r w:rsidR="00E35B88">
        <w:rPr>
          <w:lang w:val="en-US" w:eastAsia="en-US"/>
        </w:rPr>
        <w:t xml:space="preserve">were </w:t>
      </w:r>
      <w:r w:rsidR="001F7799">
        <w:rPr>
          <w:lang w:val="en-US" w:eastAsia="en-US"/>
        </w:rPr>
        <w:t>better offers available (Sitzia et al</w:t>
      </w:r>
      <w:r w:rsidR="00F73A84">
        <w:rPr>
          <w:lang w:val="en-US" w:eastAsia="en-US"/>
        </w:rPr>
        <w:t>.</w:t>
      </w:r>
      <w:r w:rsidR="001F7799">
        <w:rPr>
          <w:lang w:val="en-US" w:eastAsia="en-US"/>
        </w:rPr>
        <w:t>, 2015).</w:t>
      </w:r>
    </w:p>
    <w:p w14:paraId="0129DC37" w14:textId="664276AC" w:rsidR="00343CE9" w:rsidRDefault="00343CE9" w:rsidP="0062095A">
      <w:pPr>
        <w:pStyle w:val="Heading4"/>
        <w:rPr>
          <w:lang w:val="en-US" w:eastAsia="en-US"/>
        </w:rPr>
      </w:pPr>
      <w:r>
        <w:rPr>
          <w:lang w:val="en-US" w:eastAsia="en-US"/>
        </w:rPr>
        <w:t>Number of options</w:t>
      </w:r>
    </w:p>
    <w:p w14:paraId="46916FB1" w14:textId="3F70A1FC" w:rsidR="006C7A62" w:rsidRDefault="00F1478E" w:rsidP="000560E7">
      <w:pPr>
        <w:rPr>
          <w:lang w:val="en-US" w:eastAsia="en-US"/>
        </w:rPr>
      </w:pPr>
      <w:r>
        <w:rPr>
          <w:lang w:val="en-US" w:eastAsia="en-US"/>
        </w:rPr>
        <w:t xml:space="preserve">Cognitive overload </w:t>
      </w:r>
      <w:r w:rsidR="000209EE">
        <w:rPr>
          <w:lang w:val="en-US" w:eastAsia="en-US"/>
        </w:rPr>
        <w:t>means consumers are more likely to switch when given</w:t>
      </w:r>
      <w:r w:rsidR="001F7799">
        <w:rPr>
          <w:lang w:val="en-US" w:eastAsia="en-US"/>
        </w:rPr>
        <w:t xml:space="preserve"> fewer options rather than more. </w:t>
      </w:r>
      <w:r>
        <w:rPr>
          <w:lang w:val="en-US" w:eastAsia="en-US"/>
        </w:rPr>
        <w:t xml:space="preserve">Evidence from laboratory and real-world experiments support this. </w:t>
      </w:r>
      <w:r w:rsidR="001F7799">
        <w:rPr>
          <w:lang w:val="en-US" w:eastAsia="en-US"/>
        </w:rPr>
        <w:t xml:space="preserve">The Financial Conduct Authority (2016) </w:t>
      </w:r>
      <w:r w:rsidR="00844D89">
        <w:rPr>
          <w:lang w:val="en-US" w:eastAsia="en-US"/>
        </w:rPr>
        <w:t xml:space="preserve">found </w:t>
      </w:r>
      <w:r w:rsidR="001F7799">
        <w:rPr>
          <w:lang w:val="en-US" w:eastAsia="en-US"/>
        </w:rPr>
        <w:t xml:space="preserve">that statements </w:t>
      </w:r>
      <w:r w:rsidR="00844D89">
        <w:rPr>
          <w:lang w:val="en-US" w:eastAsia="en-US"/>
        </w:rPr>
        <w:t>that provided</w:t>
      </w:r>
      <w:r w:rsidR="001F7799">
        <w:rPr>
          <w:lang w:val="en-US" w:eastAsia="en-US"/>
        </w:rPr>
        <w:t xml:space="preserve"> two better rates available in the savings market </w:t>
      </w:r>
      <w:r w:rsidR="00B34887">
        <w:rPr>
          <w:lang w:val="en-US" w:eastAsia="en-US"/>
        </w:rPr>
        <w:t xml:space="preserve">lead to </w:t>
      </w:r>
      <w:r w:rsidR="001F7799">
        <w:rPr>
          <w:lang w:val="en-US" w:eastAsia="en-US"/>
        </w:rPr>
        <w:t>less switching than statements only provid</w:t>
      </w:r>
      <w:r w:rsidR="009B3877">
        <w:rPr>
          <w:lang w:val="en-US" w:eastAsia="en-US"/>
        </w:rPr>
        <w:t>ing</w:t>
      </w:r>
      <w:r w:rsidR="001F7799">
        <w:rPr>
          <w:lang w:val="en-US" w:eastAsia="en-US"/>
        </w:rPr>
        <w:t xml:space="preserve"> one better rate option. Sitzia et al</w:t>
      </w:r>
      <w:r w:rsidR="00F73A84">
        <w:rPr>
          <w:lang w:val="en-US" w:eastAsia="en-US"/>
        </w:rPr>
        <w:t>.</w:t>
      </w:r>
      <w:r w:rsidR="001F7799">
        <w:rPr>
          <w:lang w:val="en-US" w:eastAsia="en-US"/>
        </w:rPr>
        <w:t xml:space="preserve"> (2015) also </w:t>
      </w:r>
      <w:r w:rsidR="0038039C">
        <w:rPr>
          <w:lang w:val="en-US" w:eastAsia="en-US"/>
        </w:rPr>
        <w:t>show</w:t>
      </w:r>
      <w:r w:rsidR="00844D89">
        <w:rPr>
          <w:lang w:val="en-US" w:eastAsia="en-US"/>
        </w:rPr>
        <w:t>ed</w:t>
      </w:r>
      <w:r w:rsidR="0038039C">
        <w:rPr>
          <w:lang w:val="en-US" w:eastAsia="en-US"/>
        </w:rPr>
        <w:t xml:space="preserve"> </w:t>
      </w:r>
      <w:r w:rsidR="006C7A62">
        <w:rPr>
          <w:lang w:val="en-US" w:eastAsia="en-US"/>
        </w:rPr>
        <w:t>tha</w:t>
      </w:r>
      <w:r w:rsidR="001F477E">
        <w:rPr>
          <w:lang w:val="en-US" w:eastAsia="en-US"/>
        </w:rPr>
        <w:t>t</w:t>
      </w:r>
      <w:r w:rsidR="00844D89">
        <w:rPr>
          <w:lang w:val="en-US" w:eastAsia="en-US"/>
        </w:rPr>
        <w:t>, when participants were given 24 electricity plans to choose from,</w:t>
      </w:r>
      <w:r w:rsidR="001F477E">
        <w:rPr>
          <w:lang w:val="en-US" w:eastAsia="en-US"/>
        </w:rPr>
        <w:t xml:space="preserve"> over 50 per cent</w:t>
      </w:r>
      <w:r w:rsidR="006C7A62">
        <w:rPr>
          <w:lang w:val="en-US" w:eastAsia="en-US"/>
        </w:rPr>
        <w:t xml:space="preserve"> of </w:t>
      </w:r>
      <w:r w:rsidR="00844D89">
        <w:rPr>
          <w:lang w:val="en-US" w:eastAsia="en-US"/>
        </w:rPr>
        <w:t xml:space="preserve">their </w:t>
      </w:r>
      <w:r w:rsidR="006C7A62">
        <w:rPr>
          <w:lang w:val="en-US" w:eastAsia="en-US"/>
        </w:rPr>
        <w:t xml:space="preserve">choices </w:t>
      </w:r>
      <w:r w:rsidR="00844D89">
        <w:rPr>
          <w:lang w:val="en-US" w:eastAsia="en-US"/>
        </w:rPr>
        <w:t xml:space="preserve">were </w:t>
      </w:r>
      <w:r w:rsidR="006C7A62">
        <w:rPr>
          <w:lang w:val="en-US" w:eastAsia="en-US"/>
        </w:rPr>
        <w:t>suboptimal</w:t>
      </w:r>
      <w:r w:rsidR="00844D89">
        <w:rPr>
          <w:lang w:val="en-US" w:eastAsia="en-US"/>
        </w:rPr>
        <w:t xml:space="preserve">: this fell to </w:t>
      </w:r>
      <w:r w:rsidR="006C7A62">
        <w:rPr>
          <w:lang w:val="en-US" w:eastAsia="en-US"/>
        </w:rPr>
        <w:t xml:space="preserve">around </w:t>
      </w:r>
      <w:r w:rsidR="009B3877">
        <w:rPr>
          <w:lang w:val="en-US" w:eastAsia="en-US"/>
        </w:rPr>
        <w:t>30 per cent</w:t>
      </w:r>
      <w:r w:rsidR="006C7A62">
        <w:rPr>
          <w:lang w:val="en-US" w:eastAsia="en-US"/>
        </w:rPr>
        <w:t xml:space="preserve"> when </w:t>
      </w:r>
      <w:r w:rsidR="00844D89">
        <w:rPr>
          <w:lang w:val="en-US" w:eastAsia="en-US"/>
        </w:rPr>
        <w:t xml:space="preserve">they were given just </w:t>
      </w:r>
      <w:r w:rsidR="006C7A62">
        <w:rPr>
          <w:lang w:val="en-US" w:eastAsia="en-US"/>
        </w:rPr>
        <w:t>4 options.</w:t>
      </w:r>
    </w:p>
    <w:p w14:paraId="550783E0" w14:textId="6D12B033" w:rsidR="00343CE9" w:rsidRDefault="00343CE9" w:rsidP="0062095A">
      <w:pPr>
        <w:pStyle w:val="Heading4"/>
        <w:rPr>
          <w:lang w:val="en-US" w:eastAsia="en-US"/>
        </w:rPr>
      </w:pPr>
      <w:r>
        <w:rPr>
          <w:lang w:val="en-US" w:eastAsia="en-US"/>
        </w:rPr>
        <w:t>Call to action</w:t>
      </w:r>
      <w:r w:rsidR="00C61A1D">
        <w:rPr>
          <w:lang w:val="en-US" w:eastAsia="en-US"/>
        </w:rPr>
        <w:t xml:space="preserve"> and comparison to a ‘best offer’ or reference price</w:t>
      </w:r>
    </w:p>
    <w:p w14:paraId="2506CC30" w14:textId="27A97367" w:rsidR="001F7799" w:rsidRDefault="006C7A62" w:rsidP="000560E7">
      <w:pPr>
        <w:rPr>
          <w:lang w:val="en-US" w:eastAsia="en-US"/>
        </w:rPr>
      </w:pPr>
      <w:r>
        <w:rPr>
          <w:lang w:val="en-US" w:eastAsia="en-US"/>
        </w:rPr>
        <w:t xml:space="preserve">Calls to action on bills such as </w:t>
      </w:r>
      <w:r w:rsidR="00F73A84">
        <w:rPr>
          <w:lang w:val="en-US" w:eastAsia="en-US"/>
        </w:rPr>
        <w:t>‘</w:t>
      </w:r>
      <w:r>
        <w:rPr>
          <w:lang w:val="en-US" w:eastAsia="en-US"/>
        </w:rPr>
        <w:t>best offer</w:t>
      </w:r>
      <w:r w:rsidR="00F73A84">
        <w:rPr>
          <w:lang w:val="en-US" w:eastAsia="en-US"/>
        </w:rPr>
        <w:t>’</w:t>
      </w:r>
      <w:r>
        <w:rPr>
          <w:lang w:val="en-US" w:eastAsia="en-US"/>
        </w:rPr>
        <w:t xml:space="preserve"> information</w:t>
      </w:r>
      <w:r w:rsidR="005F2CCB">
        <w:rPr>
          <w:lang w:val="en-US" w:eastAsia="en-US"/>
        </w:rPr>
        <w:t xml:space="preserve"> can </w:t>
      </w:r>
      <w:r w:rsidR="00C94008">
        <w:rPr>
          <w:lang w:val="en-US" w:eastAsia="en-US"/>
        </w:rPr>
        <w:t>counter</w:t>
      </w:r>
      <w:r w:rsidR="005F2CCB">
        <w:rPr>
          <w:lang w:val="en-US" w:eastAsia="en-US"/>
        </w:rPr>
        <w:t xml:space="preserve"> status</w:t>
      </w:r>
      <w:r w:rsidR="00D41215">
        <w:rPr>
          <w:lang w:val="en-US" w:eastAsia="en-US"/>
        </w:rPr>
        <w:t>-</w:t>
      </w:r>
      <w:r w:rsidR="005F2CCB">
        <w:rPr>
          <w:lang w:val="en-US" w:eastAsia="en-US"/>
        </w:rPr>
        <w:t>quo bias and increase</w:t>
      </w:r>
      <w:r>
        <w:rPr>
          <w:lang w:val="en-US" w:eastAsia="en-US"/>
        </w:rPr>
        <w:t xml:space="preserve"> switching behaviour, </w:t>
      </w:r>
      <w:r w:rsidR="00B7360C">
        <w:rPr>
          <w:lang w:val="en-US" w:eastAsia="en-US"/>
        </w:rPr>
        <w:t xml:space="preserve">but </w:t>
      </w:r>
      <w:r>
        <w:rPr>
          <w:lang w:val="en-US" w:eastAsia="en-US"/>
        </w:rPr>
        <w:t>the effect</w:t>
      </w:r>
      <w:r w:rsidR="005F2CCB">
        <w:rPr>
          <w:lang w:val="en-US" w:eastAsia="en-US"/>
        </w:rPr>
        <w:t>s</w:t>
      </w:r>
      <w:r>
        <w:rPr>
          <w:lang w:val="en-US" w:eastAsia="en-US"/>
        </w:rPr>
        <w:t xml:space="preserve"> of generic encouragements to switch </w:t>
      </w:r>
      <w:r w:rsidR="005F2CCB">
        <w:rPr>
          <w:lang w:val="en-US" w:eastAsia="en-US"/>
        </w:rPr>
        <w:t>are</w:t>
      </w:r>
      <w:r>
        <w:rPr>
          <w:lang w:val="en-US" w:eastAsia="en-US"/>
        </w:rPr>
        <w:t xml:space="preserve"> less clear. Annual statements in the UK savings market </w:t>
      </w:r>
      <w:r w:rsidR="00B7360C">
        <w:rPr>
          <w:lang w:val="en-US" w:eastAsia="en-US"/>
        </w:rPr>
        <w:t xml:space="preserve">with </w:t>
      </w:r>
      <w:r>
        <w:rPr>
          <w:lang w:val="en-US" w:eastAsia="en-US"/>
        </w:rPr>
        <w:t xml:space="preserve">a switching box </w:t>
      </w:r>
      <w:r w:rsidR="00B7360C">
        <w:rPr>
          <w:lang w:val="en-US" w:eastAsia="en-US"/>
        </w:rPr>
        <w:t xml:space="preserve">containing </w:t>
      </w:r>
      <w:r>
        <w:rPr>
          <w:lang w:val="en-US" w:eastAsia="en-US"/>
        </w:rPr>
        <w:t xml:space="preserve">information on the best rates available from your supplier increased switching </w:t>
      </w:r>
      <w:r w:rsidR="001F477E">
        <w:rPr>
          <w:lang w:val="en-US" w:eastAsia="en-US"/>
        </w:rPr>
        <w:t>from 3 per cent</w:t>
      </w:r>
      <w:r>
        <w:rPr>
          <w:lang w:val="en-US" w:eastAsia="en-US"/>
        </w:rPr>
        <w:t xml:space="preserve"> to 6</w:t>
      </w:r>
      <w:r w:rsidR="001F477E">
        <w:rPr>
          <w:lang w:val="en-US" w:eastAsia="en-US"/>
        </w:rPr>
        <w:t xml:space="preserve"> per cent </w:t>
      </w:r>
      <w:r>
        <w:rPr>
          <w:lang w:val="en-US" w:eastAsia="en-US"/>
        </w:rPr>
        <w:t>(FCA</w:t>
      </w:r>
      <w:r w:rsidR="00C61A1D">
        <w:rPr>
          <w:lang w:val="en-US" w:eastAsia="en-US"/>
        </w:rPr>
        <w:t>,</w:t>
      </w:r>
      <w:r>
        <w:rPr>
          <w:lang w:val="en-US" w:eastAsia="en-US"/>
        </w:rPr>
        <w:t xml:space="preserve"> 2016). </w:t>
      </w:r>
      <w:r w:rsidR="000B77F8">
        <w:rPr>
          <w:lang w:val="en-US" w:eastAsia="en-US"/>
        </w:rPr>
        <w:t xml:space="preserve">However, another study (EU, 2018) </w:t>
      </w:r>
      <w:r w:rsidR="00CE5541">
        <w:rPr>
          <w:lang w:val="en-US" w:eastAsia="en-US"/>
        </w:rPr>
        <w:t xml:space="preserve">finds </w:t>
      </w:r>
      <w:r w:rsidR="000B77F8">
        <w:rPr>
          <w:lang w:val="en-US" w:eastAsia="en-US"/>
        </w:rPr>
        <w:t xml:space="preserve">no difference between bills with and without comparison prompts </w:t>
      </w:r>
      <w:r w:rsidR="00CE5541">
        <w:rPr>
          <w:lang w:val="en-US" w:eastAsia="en-US"/>
        </w:rPr>
        <w:t xml:space="preserve">when testing if </w:t>
      </w:r>
      <w:r w:rsidR="000B77F8">
        <w:rPr>
          <w:lang w:val="en-US" w:eastAsia="en-US"/>
        </w:rPr>
        <w:t>participants compare deals or cho</w:t>
      </w:r>
      <w:r w:rsidR="00CE5541">
        <w:rPr>
          <w:lang w:val="en-US" w:eastAsia="en-US"/>
        </w:rPr>
        <w:t>o</w:t>
      </w:r>
      <w:r w:rsidR="000B77F8">
        <w:rPr>
          <w:lang w:val="en-US" w:eastAsia="en-US"/>
        </w:rPr>
        <w:t xml:space="preserve">se the cheapest deal. </w:t>
      </w:r>
    </w:p>
    <w:p w14:paraId="01539136" w14:textId="77777777" w:rsidR="00261D2C" w:rsidRPr="00261D2C" w:rsidRDefault="00261D2C" w:rsidP="00261D2C">
      <w:pPr>
        <w:pBdr>
          <w:top w:val="single" w:sz="18" w:space="1" w:color="142E3B" w:themeColor="text2"/>
          <w:left w:val="single" w:sz="18" w:space="4" w:color="142E3B" w:themeColor="text2"/>
          <w:bottom w:val="single" w:sz="18" w:space="1" w:color="142E3B" w:themeColor="text2"/>
          <w:right w:val="single" w:sz="18" w:space="4" w:color="142E3B" w:themeColor="text2"/>
        </w:pBdr>
        <w:shd w:val="clear" w:color="auto" w:fill="F2F2F2" w:themeFill="background1" w:themeFillShade="F2"/>
        <w:rPr>
          <w:color w:val="142E3B" w:themeColor="text2"/>
        </w:rPr>
      </w:pPr>
      <w:r w:rsidRPr="00261D2C">
        <w:rPr>
          <w:b/>
          <w:color w:val="142E3B" w:themeColor="text2"/>
        </w:rPr>
        <w:t>BI box: Status quo</w:t>
      </w:r>
      <w:r w:rsidRPr="00261D2C">
        <w:rPr>
          <w:color w:val="142E3B" w:themeColor="text2"/>
        </w:rPr>
        <w:t xml:space="preserve"> </w:t>
      </w:r>
    </w:p>
    <w:p w14:paraId="2ABCF8CE" w14:textId="315D1CE9" w:rsidR="00261D2C" w:rsidRPr="00261D2C" w:rsidRDefault="00261D2C" w:rsidP="00261D2C">
      <w:pPr>
        <w:pBdr>
          <w:top w:val="single" w:sz="18" w:space="1" w:color="142E3B" w:themeColor="text2"/>
          <w:left w:val="single" w:sz="18" w:space="4" w:color="142E3B" w:themeColor="text2"/>
          <w:bottom w:val="single" w:sz="18" w:space="1" w:color="142E3B" w:themeColor="text2"/>
          <w:right w:val="single" w:sz="18" w:space="4" w:color="142E3B" w:themeColor="text2"/>
        </w:pBdr>
        <w:shd w:val="clear" w:color="auto" w:fill="F2F2F2" w:themeFill="background1" w:themeFillShade="F2"/>
      </w:pPr>
      <w:r w:rsidRPr="000903A2">
        <w:t xml:space="preserve">Individuals will disproportionately stick with the status quo and maintain </w:t>
      </w:r>
      <w:r>
        <w:t xml:space="preserve">their </w:t>
      </w:r>
      <w:r w:rsidRPr="000903A2">
        <w:t xml:space="preserve">current or previous decision (Samuelson </w:t>
      </w:r>
      <w:r>
        <w:t>and</w:t>
      </w:r>
      <w:r w:rsidRPr="000903A2">
        <w:t xml:space="preserve"> Zeckhauser, 1988). </w:t>
      </w:r>
    </w:p>
    <w:p w14:paraId="185579C4" w14:textId="5C02395E" w:rsidR="002E6839" w:rsidRDefault="002E6839" w:rsidP="002E6839">
      <w:pPr>
        <w:rPr>
          <w:lang w:val="en-US" w:eastAsia="en-US"/>
        </w:rPr>
      </w:pPr>
      <w:r>
        <w:rPr>
          <w:lang w:val="en-US" w:eastAsia="en-US"/>
        </w:rPr>
        <w:lastRenderedPageBreak/>
        <w:t>W</w:t>
      </w:r>
      <w:r w:rsidRPr="00C61A1D">
        <w:rPr>
          <w:lang w:val="en-US" w:eastAsia="en-US"/>
        </w:rPr>
        <w:t xml:space="preserve">hen </w:t>
      </w:r>
      <w:r>
        <w:rPr>
          <w:lang w:val="en-US" w:eastAsia="en-US"/>
        </w:rPr>
        <w:t xml:space="preserve">energy </w:t>
      </w:r>
      <w:r w:rsidRPr="00C61A1D">
        <w:rPr>
          <w:lang w:val="en-US" w:eastAsia="en-US"/>
        </w:rPr>
        <w:t xml:space="preserve">retailers advertise </w:t>
      </w:r>
      <w:r>
        <w:rPr>
          <w:lang w:val="en-US" w:eastAsia="en-US"/>
        </w:rPr>
        <w:t xml:space="preserve">an </w:t>
      </w:r>
      <w:r w:rsidRPr="00C61A1D">
        <w:rPr>
          <w:lang w:val="en-US" w:eastAsia="en-US"/>
        </w:rPr>
        <w:t>ele</w:t>
      </w:r>
      <w:r>
        <w:rPr>
          <w:lang w:val="en-US" w:eastAsia="en-US"/>
        </w:rPr>
        <w:t>ctricity plan</w:t>
      </w:r>
      <w:r w:rsidRPr="00C61A1D">
        <w:rPr>
          <w:lang w:val="en-US" w:eastAsia="en-US"/>
        </w:rPr>
        <w:t xml:space="preserve">, they are required to show how it compares to </w:t>
      </w:r>
      <w:r>
        <w:rPr>
          <w:lang w:val="en-US" w:eastAsia="en-US"/>
        </w:rPr>
        <w:t>a ‘</w:t>
      </w:r>
      <w:r w:rsidRPr="00C61A1D">
        <w:rPr>
          <w:lang w:val="en-US" w:eastAsia="en-US"/>
        </w:rPr>
        <w:t>reference price</w:t>
      </w:r>
      <w:r>
        <w:rPr>
          <w:lang w:val="en-US" w:eastAsia="en-US"/>
        </w:rPr>
        <w:t>’</w:t>
      </w:r>
      <w:r w:rsidRPr="00C61A1D">
        <w:rPr>
          <w:lang w:val="en-US" w:eastAsia="en-US"/>
        </w:rPr>
        <w:t>.</w:t>
      </w:r>
      <w:r>
        <w:rPr>
          <w:lang w:val="en-US" w:eastAsia="en-US"/>
        </w:rPr>
        <w:t xml:space="preserve"> This is a benchmark price for electricity set by the Australian Government based on average electricity use in the relevant area and meant </w:t>
      </w:r>
      <w:r w:rsidRPr="00463F4D">
        <w:rPr>
          <w:lang w:val="en-US" w:eastAsia="en-US"/>
        </w:rPr>
        <w:t>to make it easy for consumers to compare different</w:t>
      </w:r>
      <w:r>
        <w:rPr>
          <w:lang w:val="en-US" w:eastAsia="en-US"/>
        </w:rPr>
        <w:t xml:space="preserve"> electricity plans and prices. A study by the Behavioural Insights Team examined</w:t>
      </w:r>
      <w:r w:rsidRPr="00C61A1D">
        <w:rPr>
          <w:lang w:val="en-US" w:eastAsia="en-US"/>
        </w:rPr>
        <w:t xml:space="preserve"> the best ways for retailers to communicate </w:t>
      </w:r>
      <w:r>
        <w:rPr>
          <w:lang w:val="en-US" w:eastAsia="en-US"/>
        </w:rPr>
        <w:t>this price comparison, and concluded that “</w:t>
      </w:r>
      <w:r w:rsidRPr="00C61A1D">
        <w:rPr>
          <w:lang w:val="en-US" w:eastAsia="en-US"/>
        </w:rPr>
        <w:t>Descriptive language (for example, ‘the benchmark price set by the government’, rather than ‘the reference price’) was most effective in increasing consumer comprehension</w:t>
      </w:r>
      <w:r>
        <w:rPr>
          <w:lang w:val="en-US" w:eastAsia="en-US"/>
        </w:rPr>
        <w:t>” (BIT</w:t>
      </w:r>
      <w:r w:rsidR="00B12509">
        <w:rPr>
          <w:lang w:val="en-US" w:eastAsia="en-US"/>
        </w:rPr>
        <w:t>,</w:t>
      </w:r>
      <w:r>
        <w:rPr>
          <w:lang w:val="en-US" w:eastAsia="en-US"/>
        </w:rPr>
        <w:t xml:space="preserve"> 2020)</w:t>
      </w:r>
      <w:r w:rsidRPr="00C61A1D">
        <w:rPr>
          <w:lang w:val="en-US" w:eastAsia="en-US"/>
        </w:rPr>
        <w:t>.</w:t>
      </w:r>
    </w:p>
    <w:p w14:paraId="691472EF" w14:textId="3C0C72CC" w:rsidR="00343CE9" w:rsidRDefault="00343CE9" w:rsidP="0062095A">
      <w:pPr>
        <w:pStyle w:val="Heading4"/>
        <w:rPr>
          <w:lang w:val="en-US" w:eastAsia="en-US"/>
        </w:rPr>
      </w:pPr>
      <w:r>
        <w:rPr>
          <w:lang w:val="en-US" w:eastAsia="en-US"/>
        </w:rPr>
        <w:t>Non-bill communications</w:t>
      </w:r>
    </w:p>
    <w:p w14:paraId="5F8AD431" w14:textId="3C81FE6B" w:rsidR="00DF3C6E" w:rsidRDefault="005339EF" w:rsidP="000560E7">
      <w:pPr>
        <w:rPr>
          <w:lang w:val="en-US" w:eastAsia="en-US"/>
        </w:rPr>
      </w:pPr>
      <w:r>
        <w:rPr>
          <w:lang w:val="en-US" w:eastAsia="en-US"/>
        </w:rPr>
        <w:t>O</w:t>
      </w:r>
      <w:r w:rsidR="001F477E">
        <w:rPr>
          <w:lang w:val="en-US" w:eastAsia="en-US"/>
        </w:rPr>
        <w:t xml:space="preserve">ther forms of communication outside of the bill </w:t>
      </w:r>
      <w:r>
        <w:rPr>
          <w:lang w:val="en-US" w:eastAsia="en-US"/>
        </w:rPr>
        <w:t xml:space="preserve">can </w:t>
      </w:r>
      <w:r w:rsidR="001F477E">
        <w:rPr>
          <w:lang w:val="en-US" w:eastAsia="en-US"/>
        </w:rPr>
        <w:t>encourage switching. Marzilli et al</w:t>
      </w:r>
      <w:r w:rsidR="00F73A84">
        <w:rPr>
          <w:lang w:val="en-US" w:eastAsia="en-US"/>
        </w:rPr>
        <w:t>.</w:t>
      </w:r>
      <w:r w:rsidR="001F477E">
        <w:rPr>
          <w:lang w:val="en-US" w:eastAsia="en-US"/>
        </w:rPr>
        <w:t xml:space="preserve"> (2017) ran a study using nudges to increase switching in the US health marketplace. They </w:t>
      </w:r>
      <w:r>
        <w:rPr>
          <w:lang w:val="en-US" w:eastAsia="en-US"/>
        </w:rPr>
        <w:t>found</w:t>
      </w:r>
      <w:r w:rsidR="001F477E">
        <w:rPr>
          <w:lang w:val="en-US" w:eastAsia="en-US"/>
        </w:rPr>
        <w:t xml:space="preserve"> letters and emails encouraging the use of an independent switching service increased visits to the website but did not have a significant effect on switching rates. </w:t>
      </w:r>
      <w:r w:rsidR="00904018">
        <w:rPr>
          <w:lang w:val="en-US" w:eastAsia="en-US"/>
        </w:rPr>
        <w:t>A laboratory experiment by the</w:t>
      </w:r>
      <w:r w:rsidR="005168EE">
        <w:rPr>
          <w:lang w:val="en-US" w:eastAsia="en-US"/>
        </w:rPr>
        <w:t xml:space="preserve"> European Commission (2020) also </w:t>
      </w:r>
      <w:r w:rsidR="00624A29">
        <w:rPr>
          <w:lang w:val="en-US" w:eastAsia="en-US"/>
        </w:rPr>
        <w:t>show</w:t>
      </w:r>
      <w:r>
        <w:rPr>
          <w:lang w:val="en-US" w:eastAsia="en-US"/>
        </w:rPr>
        <w:t>ed</w:t>
      </w:r>
      <w:r w:rsidR="00624A29">
        <w:rPr>
          <w:lang w:val="en-US" w:eastAsia="en-US"/>
        </w:rPr>
        <w:t xml:space="preserve"> </w:t>
      </w:r>
      <w:r w:rsidR="005168EE">
        <w:rPr>
          <w:lang w:val="en-US" w:eastAsia="en-US"/>
        </w:rPr>
        <w:t>that removing switching costs and sending reminders can increase switching of financial products.</w:t>
      </w:r>
    </w:p>
    <w:p w14:paraId="77FE580D" w14:textId="382B020E" w:rsidR="000A5D44" w:rsidRDefault="001F477E" w:rsidP="000560E7">
      <w:pPr>
        <w:rPr>
          <w:lang w:val="en-US" w:eastAsia="en-US"/>
        </w:rPr>
      </w:pPr>
      <w:r>
        <w:rPr>
          <w:lang w:val="en-US" w:eastAsia="en-US"/>
        </w:rPr>
        <w:t xml:space="preserve">Similar trials </w:t>
      </w:r>
      <w:r w:rsidR="00DF3C6E">
        <w:rPr>
          <w:lang w:val="en-US" w:eastAsia="en-US"/>
        </w:rPr>
        <w:t xml:space="preserve">conducted in energy markets </w:t>
      </w:r>
      <w:r>
        <w:rPr>
          <w:lang w:val="en-US" w:eastAsia="en-US"/>
        </w:rPr>
        <w:t xml:space="preserve">have also </w:t>
      </w:r>
      <w:r w:rsidR="00DF3C6E">
        <w:rPr>
          <w:lang w:val="en-US" w:eastAsia="en-US"/>
        </w:rPr>
        <w:t>shown the effectiveness of non-bill methods in promoting switching activity</w:t>
      </w:r>
      <w:r>
        <w:rPr>
          <w:lang w:val="en-US" w:eastAsia="en-US"/>
        </w:rPr>
        <w:t>. Ofgem (2017) sent letters to consumers on standing variable tariffs informing them of three cheaper market offers available. The letters increased the average rate of switching to 2.9 per cent from a baseline of 1 per</w:t>
      </w:r>
      <w:r w:rsidR="0040028B">
        <w:rPr>
          <w:lang w:val="en-US" w:eastAsia="en-US"/>
        </w:rPr>
        <w:t xml:space="preserve"> cent and were more effective when sent by the customer</w:t>
      </w:r>
      <w:r w:rsidR="005339EF">
        <w:rPr>
          <w:lang w:val="en-US" w:eastAsia="en-US"/>
        </w:rPr>
        <w:t>’</w:t>
      </w:r>
      <w:r w:rsidR="0040028B">
        <w:rPr>
          <w:lang w:val="en-US" w:eastAsia="en-US"/>
        </w:rPr>
        <w:t>s own supplier than when sent by the regulator.</w:t>
      </w:r>
      <w:r w:rsidR="00B27113">
        <w:rPr>
          <w:lang w:val="en-US" w:eastAsia="en-US"/>
        </w:rPr>
        <w:t xml:space="preserve"> </w:t>
      </w:r>
      <w:r w:rsidR="00723FAE">
        <w:rPr>
          <w:lang w:val="en-US" w:eastAsia="en-US"/>
        </w:rPr>
        <w:t>Similarly, t</w:t>
      </w:r>
      <w:r w:rsidR="00DF3C6E">
        <w:rPr>
          <w:lang w:val="en-US" w:eastAsia="en-US"/>
        </w:rPr>
        <w:t>he Behavioural Insights Team (</w:t>
      </w:r>
      <w:r w:rsidR="00B12509">
        <w:rPr>
          <w:lang w:val="en-US" w:eastAsia="en-US"/>
        </w:rPr>
        <w:t xml:space="preserve">BIT, </w:t>
      </w:r>
      <w:r w:rsidR="00DF3C6E">
        <w:rPr>
          <w:lang w:val="en-US" w:eastAsia="en-US"/>
        </w:rPr>
        <w:t>2015</w:t>
      </w:r>
      <w:r w:rsidR="000C4E36">
        <w:rPr>
          <w:lang w:val="en-US" w:eastAsia="en-US"/>
        </w:rPr>
        <w:t>, pp19</w:t>
      </w:r>
      <w:r w:rsidR="000C4E36">
        <w:rPr>
          <w:lang w:val="en-US" w:eastAsia="en-US"/>
        </w:rPr>
        <w:noBreakHyphen/>
        <w:t>20</w:t>
      </w:r>
      <w:r w:rsidR="00DF3C6E">
        <w:rPr>
          <w:lang w:val="en-US" w:eastAsia="en-US"/>
        </w:rPr>
        <w:t xml:space="preserve">) increased visits to a government website on switching energy retailers by up to 20 per cent through prompts placed on the outside of Winter Fuel Notification letters. </w:t>
      </w:r>
      <w:r w:rsidR="00723FAE">
        <w:rPr>
          <w:lang w:val="en-US" w:eastAsia="en-US"/>
        </w:rPr>
        <w:t>In another trial</w:t>
      </w:r>
      <w:r w:rsidR="00B27113">
        <w:rPr>
          <w:lang w:val="en-US" w:eastAsia="en-US"/>
        </w:rPr>
        <w:t xml:space="preserve">, digital and SMS reminders </w:t>
      </w:r>
      <w:r w:rsidR="00723FAE">
        <w:rPr>
          <w:lang w:val="en-US" w:eastAsia="en-US"/>
        </w:rPr>
        <w:t>increased internal switching in the banking market by</w:t>
      </w:r>
      <w:r w:rsidR="005339EF">
        <w:rPr>
          <w:lang w:val="en-US" w:eastAsia="en-US"/>
        </w:rPr>
        <w:t xml:space="preserve"> 8</w:t>
      </w:r>
      <w:r w:rsidR="005339EF">
        <w:rPr>
          <w:lang w:val="en-US" w:eastAsia="en-US"/>
        </w:rPr>
        <w:noBreakHyphen/>
      </w:r>
      <w:r w:rsidR="00B27113">
        <w:rPr>
          <w:lang w:val="en-US" w:eastAsia="en-US"/>
        </w:rPr>
        <w:t xml:space="preserve">9 percentage </w:t>
      </w:r>
      <w:r w:rsidR="00723FAE">
        <w:rPr>
          <w:lang w:val="en-US" w:eastAsia="en-US"/>
        </w:rPr>
        <w:t>points (FCA</w:t>
      </w:r>
      <w:r w:rsidR="005339EF">
        <w:rPr>
          <w:lang w:val="en-US" w:eastAsia="en-US"/>
        </w:rPr>
        <w:t>,</w:t>
      </w:r>
      <w:r w:rsidR="00723FAE">
        <w:rPr>
          <w:lang w:val="en-US" w:eastAsia="en-US"/>
        </w:rPr>
        <w:t xml:space="preserve"> 2016).</w:t>
      </w:r>
    </w:p>
    <w:p w14:paraId="379587BB" w14:textId="3F49524E" w:rsidR="000560E7" w:rsidRDefault="000560E7" w:rsidP="0062095A">
      <w:pPr>
        <w:pStyle w:val="Heading3"/>
        <w:rPr>
          <w:b w:val="0"/>
          <w:lang w:val="en-US" w:eastAsia="en-US"/>
        </w:rPr>
      </w:pPr>
      <w:bookmarkStart w:id="109" w:name="_Toc68611288"/>
      <w:bookmarkStart w:id="110" w:name="_Toc68621184"/>
      <w:bookmarkStart w:id="111" w:name="_Toc68621225"/>
      <w:bookmarkStart w:id="112" w:name="_Toc68700459"/>
      <w:bookmarkStart w:id="113" w:name="_Toc68775870"/>
      <w:bookmarkStart w:id="114" w:name="_Toc68789274"/>
      <w:bookmarkStart w:id="115" w:name="_Toc68791942"/>
      <w:bookmarkStart w:id="116" w:name="_Toc86091081"/>
      <w:r>
        <w:rPr>
          <w:lang w:val="en-US" w:eastAsia="en-US"/>
        </w:rPr>
        <w:t xml:space="preserve">Stakeholder </w:t>
      </w:r>
      <w:r w:rsidR="005339EF">
        <w:rPr>
          <w:lang w:val="en-US" w:eastAsia="en-US"/>
        </w:rPr>
        <w:t>f</w:t>
      </w:r>
      <w:r>
        <w:rPr>
          <w:lang w:val="en-US" w:eastAsia="en-US"/>
        </w:rPr>
        <w:t>eedback to AEMC</w:t>
      </w:r>
      <w:bookmarkEnd w:id="109"/>
      <w:bookmarkEnd w:id="110"/>
      <w:bookmarkEnd w:id="111"/>
      <w:bookmarkEnd w:id="112"/>
      <w:bookmarkEnd w:id="113"/>
      <w:r w:rsidR="008F1D61">
        <w:rPr>
          <w:lang w:val="en-US" w:eastAsia="en-US"/>
        </w:rPr>
        <w:t>: switching</w:t>
      </w:r>
      <w:bookmarkEnd w:id="114"/>
      <w:bookmarkEnd w:id="115"/>
      <w:bookmarkEnd w:id="116"/>
    </w:p>
    <w:p w14:paraId="262AF225" w14:textId="77FAEEDB" w:rsidR="00F15D03" w:rsidRDefault="00F15D03" w:rsidP="00F15D03">
      <w:pPr>
        <w:rPr>
          <w:lang w:val="en-US" w:eastAsia="en-US"/>
        </w:rPr>
      </w:pPr>
      <w:r>
        <w:rPr>
          <w:lang w:val="en-US" w:eastAsia="en-US"/>
        </w:rPr>
        <w:t xml:space="preserve">In submissions to the AEMC, competition and consumer switching is addressed in </w:t>
      </w:r>
      <w:r w:rsidR="00773A9A">
        <w:rPr>
          <w:lang w:val="en-US" w:eastAsia="en-US"/>
        </w:rPr>
        <w:t xml:space="preserve">three </w:t>
      </w:r>
      <w:r>
        <w:rPr>
          <w:lang w:val="en-US" w:eastAsia="en-US"/>
        </w:rPr>
        <w:t>ways:</w:t>
      </w:r>
    </w:p>
    <w:p w14:paraId="6B4B4748" w14:textId="11F8D179" w:rsidR="00D41215" w:rsidRDefault="00D41215" w:rsidP="000B2E2A">
      <w:pPr>
        <w:pStyle w:val="ListParagraph"/>
        <w:numPr>
          <w:ilvl w:val="0"/>
          <w:numId w:val="8"/>
        </w:numPr>
        <w:rPr>
          <w:lang w:val="en-US" w:eastAsia="en-US"/>
        </w:rPr>
      </w:pPr>
      <w:r>
        <w:rPr>
          <w:lang w:val="en-US" w:eastAsia="en-US"/>
        </w:rPr>
        <w:t>Mandatory inclusion of retailer’s ‘best offer’ information in the bill (if the consumer is not on the optimum plan for their consumption</w:t>
      </w:r>
      <w:r w:rsidR="001230CB">
        <w:rPr>
          <w:lang w:val="en-US" w:eastAsia="en-US"/>
        </w:rPr>
        <w:t xml:space="preserve">) and information about Energy Made Easy (as </w:t>
      </w:r>
      <w:r w:rsidR="00DA688C">
        <w:rPr>
          <w:lang w:val="en-US" w:eastAsia="en-US"/>
        </w:rPr>
        <w:t xml:space="preserve">a </w:t>
      </w:r>
      <w:r w:rsidR="001230CB">
        <w:rPr>
          <w:lang w:val="en-US" w:eastAsia="en-US"/>
        </w:rPr>
        <w:t xml:space="preserve">comparison service) </w:t>
      </w:r>
    </w:p>
    <w:p w14:paraId="7D2BB92B" w14:textId="77777777" w:rsidR="00D41215" w:rsidRDefault="00D41215" w:rsidP="000B2E2A">
      <w:pPr>
        <w:pStyle w:val="ListParagraph"/>
        <w:numPr>
          <w:ilvl w:val="0"/>
          <w:numId w:val="8"/>
        </w:numPr>
        <w:rPr>
          <w:lang w:val="en-US" w:eastAsia="en-US"/>
        </w:rPr>
      </w:pPr>
      <w:r>
        <w:rPr>
          <w:lang w:val="en-US" w:eastAsia="en-US"/>
        </w:rPr>
        <w:t>Presentation of plan information to enable consumers to easily compare their plan characteristics with competitors.</w:t>
      </w:r>
    </w:p>
    <w:p w14:paraId="58984384" w14:textId="3B6C6B53" w:rsidR="00F15D03" w:rsidRDefault="0074218F" w:rsidP="000B2E2A">
      <w:pPr>
        <w:pStyle w:val="ListParagraph"/>
        <w:numPr>
          <w:ilvl w:val="0"/>
          <w:numId w:val="8"/>
        </w:numPr>
        <w:rPr>
          <w:lang w:val="en-US" w:eastAsia="en-US"/>
        </w:rPr>
      </w:pPr>
      <w:r>
        <w:rPr>
          <w:lang w:val="en-US" w:eastAsia="en-US"/>
        </w:rPr>
        <w:t xml:space="preserve">Standardisation </w:t>
      </w:r>
      <w:r w:rsidR="00F15D03">
        <w:rPr>
          <w:lang w:val="en-US" w:eastAsia="en-US"/>
        </w:rPr>
        <w:t>of bills to enable them to be readable (preferably machine</w:t>
      </w:r>
      <w:r w:rsidR="001133C1">
        <w:rPr>
          <w:lang w:val="en-US" w:eastAsia="en-US"/>
        </w:rPr>
        <w:t>-</w:t>
      </w:r>
      <w:r w:rsidR="00F15D03">
        <w:rPr>
          <w:lang w:val="en-US" w:eastAsia="en-US"/>
        </w:rPr>
        <w:t>readable) by consumer switching websites.</w:t>
      </w:r>
    </w:p>
    <w:p w14:paraId="26DE589D" w14:textId="7BC78557" w:rsidR="00D41215" w:rsidRPr="001C4ECD" w:rsidRDefault="00D41215" w:rsidP="005722C8">
      <w:pPr>
        <w:pStyle w:val="Heading4"/>
        <w:rPr>
          <w:lang w:val="en-US" w:eastAsia="en-US"/>
        </w:rPr>
      </w:pPr>
      <w:r>
        <w:rPr>
          <w:lang w:val="en-US" w:eastAsia="en-US"/>
        </w:rPr>
        <w:lastRenderedPageBreak/>
        <w:t>Call</w:t>
      </w:r>
      <w:r w:rsidR="00E51208">
        <w:rPr>
          <w:lang w:val="en-US" w:eastAsia="en-US"/>
        </w:rPr>
        <w:t>s</w:t>
      </w:r>
      <w:r>
        <w:rPr>
          <w:lang w:val="en-US" w:eastAsia="en-US"/>
        </w:rPr>
        <w:t xml:space="preserve"> to action: </w:t>
      </w:r>
      <w:r w:rsidR="005339EF">
        <w:rPr>
          <w:lang w:val="en-US" w:eastAsia="en-US"/>
        </w:rPr>
        <w:t>‘b</w:t>
      </w:r>
      <w:r>
        <w:rPr>
          <w:lang w:val="en-US" w:eastAsia="en-US"/>
        </w:rPr>
        <w:t>est offer</w:t>
      </w:r>
      <w:r w:rsidR="005339EF">
        <w:rPr>
          <w:lang w:val="en-US" w:eastAsia="en-US"/>
        </w:rPr>
        <w:t>’</w:t>
      </w:r>
      <w:r w:rsidR="00E51208">
        <w:rPr>
          <w:lang w:val="en-US" w:eastAsia="en-US"/>
        </w:rPr>
        <w:t xml:space="preserve"> and links to Energy Made Easy</w:t>
      </w:r>
    </w:p>
    <w:p w14:paraId="78EEEB8B" w14:textId="18C2C421" w:rsidR="00F15D03" w:rsidRDefault="00F15D03" w:rsidP="00F15D03">
      <w:pPr>
        <w:rPr>
          <w:noProof/>
        </w:rPr>
      </w:pPr>
      <w:r>
        <w:rPr>
          <w:lang w:val="en-US" w:eastAsia="en-US"/>
        </w:rPr>
        <w:t xml:space="preserve">In their submission, the AER </w:t>
      </w:r>
      <w:r w:rsidR="00470E2A">
        <w:rPr>
          <w:lang w:val="en-US" w:eastAsia="en-US"/>
        </w:rPr>
        <w:t xml:space="preserve">(2021) </w:t>
      </w:r>
      <w:r>
        <w:t xml:space="preserve">says that they will research ‘best offer’ information statements on bills: </w:t>
      </w:r>
      <w:r w:rsidR="00266C85">
        <w:t>“</w:t>
      </w:r>
      <w:r>
        <w:t>We note that the AEMC has received competing submissions on whether a bill should state if the customer is receiving the retailer’s ‘best offer’. Whether the benefits of such a requirement would outweigh the costs is a matter that would need to be carefully considered by the AER in making the proposed guidelines”.</w:t>
      </w:r>
      <w:r w:rsidR="002435E6" w:rsidRPr="002435E6">
        <w:rPr>
          <w:noProof/>
        </w:rPr>
        <w:t xml:space="preserve"> </w:t>
      </w:r>
    </w:p>
    <w:p w14:paraId="733D4B61" w14:textId="77777777" w:rsidR="00261D2C" w:rsidRPr="00261D2C" w:rsidRDefault="00261D2C" w:rsidP="00261D2C">
      <w:pPr>
        <w:pBdr>
          <w:top w:val="single" w:sz="18" w:space="1" w:color="142E3B" w:themeColor="text2"/>
          <w:left w:val="single" w:sz="18" w:space="4" w:color="142E3B" w:themeColor="text2"/>
          <w:bottom w:val="single" w:sz="18" w:space="1" w:color="142E3B" w:themeColor="text2"/>
          <w:right w:val="single" w:sz="18" w:space="4" w:color="142E3B" w:themeColor="text2"/>
        </w:pBdr>
        <w:rPr>
          <w:color w:val="142E3B" w:themeColor="text2"/>
        </w:rPr>
      </w:pPr>
      <w:r w:rsidRPr="00261D2C">
        <w:rPr>
          <w:b/>
          <w:color w:val="142E3B" w:themeColor="text2"/>
        </w:rPr>
        <w:t>BI box: Call to action</w:t>
      </w:r>
      <w:r w:rsidRPr="00261D2C">
        <w:rPr>
          <w:color w:val="142E3B" w:themeColor="text2"/>
        </w:rPr>
        <w:t xml:space="preserve"> </w:t>
      </w:r>
    </w:p>
    <w:p w14:paraId="02EAF604" w14:textId="4EDDE1B1" w:rsidR="00261D2C" w:rsidRPr="008A59B8" w:rsidRDefault="00261D2C" w:rsidP="00261D2C">
      <w:pPr>
        <w:pBdr>
          <w:top w:val="single" w:sz="18" w:space="1" w:color="142E3B" w:themeColor="text2"/>
          <w:left w:val="single" w:sz="18" w:space="4" w:color="142E3B" w:themeColor="text2"/>
          <w:bottom w:val="single" w:sz="18" w:space="1" w:color="142E3B" w:themeColor="text2"/>
          <w:right w:val="single" w:sz="18" w:space="4" w:color="142E3B" w:themeColor="text2"/>
        </w:pBdr>
      </w:pPr>
      <w:r>
        <w:rPr>
          <w:rFonts w:cstheme="minorHAnsi"/>
        </w:rPr>
        <w:t xml:space="preserve">Research suggests </w:t>
      </w:r>
      <w:r w:rsidRPr="00B209E6">
        <w:rPr>
          <w:rFonts w:cstheme="minorHAnsi"/>
        </w:rPr>
        <w:t>“in providing information about benefits or risks of engaging in certain actions, people are far more likely to respond to that information if they are simultaneously provided with clear, explicit information about how to do so” (Heath and Heath, 2010).</w:t>
      </w:r>
    </w:p>
    <w:p w14:paraId="00CF325B" w14:textId="271ADFCE" w:rsidR="00F15D03" w:rsidRDefault="00F15D03" w:rsidP="00F15D03">
      <w:r w:rsidRPr="00BC5886">
        <w:t xml:space="preserve">AGL comments that </w:t>
      </w:r>
      <w:r>
        <w:t>“</w:t>
      </w:r>
      <w:r w:rsidRPr="00BC5886">
        <w:t>the Victorian ‘best offer’ message which is required on customer bills is yet to be reviewed by the Essential Services Commission Victoria as to whether it is effective in delivering better consumer outcomes. We note</w:t>
      </w:r>
      <w:r w:rsidR="00D41215">
        <w:t xml:space="preserve"> </w:t>
      </w:r>
      <w:r w:rsidRPr="00BC5886">
        <w:t xml:space="preserve">submissions to the AEMC’s draft determination, including those by </w:t>
      </w:r>
      <w:r w:rsidR="00A37587">
        <w:t>Ombudsman</w:t>
      </w:r>
      <w:r w:rsidRPr="00BC5886">
        <w:t>, that it has increased customer confusion and distrust of their energy retailers</w:t>
      </w:r>
      <w:r>
        <w:t>” (</w:t>
      </w:r>
      <w:r w:rsidR="00843BDC">
        <w:t xml:space="preserve">AGL, </w:t>
      </w:r>
      <w:r>
        <w:t xml:space="preserve">2001). However, the </w:t>
      </w:r>
      <w:r w:rsidR="00A37587">
        <w:t>Ombudsman</w:t>
      </w:r>
      <w:r>
        <w:t xml:space="preserve">’s submission argues that only a very small sample </w:t>
      </w:r>
      <w:r w:rsidR="004B61EA">
        <w:t>are</w:t>
      </w:r>
      <w:r>
        <w:t xml:space="preserve"> confused by or distrustful of the notice, and that the highly prescriptive requirements in Victoria </w:t>
      </w:r>
      <w:r w:rsidR="004B61EA">
        <w:t>are</w:t>
      </w:r>
      <w:r>
        <w:t xml:space="preserve"> able to be blunted in some cases (not as eye</w:t>
      </w:r>
      <w:r w:rsidR="00266C85">
        <w:noBreakHyphen/>
      </w:r>
      <w:r>
        <w:t>catching as the regulation intends them to be). Energy Australia no</w:t>
      </w:r>
      <w:r w:rsidR="005339EF">
        <w:t>tes that ‘b</w:t>
      </w:r>
      <w:r>
        <w:t xml:space="preserve">est offer’ regulations required 9 months to implement in Victoria, while </w:t>
      </w:r>
      <w:r w:rsidR="00D84422">
        <w:t xml:space="preserve">for </w:t>
      </w:r>
      <w:r>
        <w:t xml:space="preserve">Origin it took </w:t>
      </w:r>
      <w:r w:rsidR="005339EF">
        <w:t xml:space="preserve">4 </w:t>
      </w:r>
      <w:r>
        <w:t>months.</w:t>
      </w:r>
    </w:p>
    <w:p w14:paraId="27CB6E1B" w14:textId="7C9A6C1C" w:rsidR="00F15D03" w:rsidRDefault="00F15D03" w:rsidP="00F15D03">
      <w:r>
        <w:t xml:space="preserve">The Public Interest Advocacy </w:t>
      </w:r>
      <w:r w:rsidR="0064755B">
        <w:t>C</w:t>
      </w:r>
      <w:r>
        <w:t>entre</w:t>
      </w:r>
      <w:r w:rsidR="00F07A03">
        <w:t xml:space="preserve"> (PIAC, 2020)</w:t>
      </w:r>
      <w:r w:rsidR="0019193C">
        <w:t xml:space="preserve">, </w:t>
      </w:r>
      <w:r>
        <w:t>Combined Pensioners and Superannuants Association of NSW Inc</w:t>
      </w:r>
      <w:r w:rsidR="00D41215">
        <w:t>orporated</w:t>
      </w:r>
      <w:r w:rsidR="00F07A03">
        <w:t xml:space="preserve"> (2020)</w:t>
      </w:r>
      <w:r w:rsidR="0019193C">
        <w:t>, and ACT Council of Social Services</w:t>
      </w:r>
      <w:r>
        <w:t xml:space="preserve"> </w:t>
      </w:r>
      <w:r w:rsidR="00F07A03">
        <w:t xml:space="preserve">(2020) </w:t>
      </w:r>
      <w:r w:rsidR="0019193C">
        <w:t xml:space="preserve">all </w:t>
      </w:r>
      <w:r>
        <w:t>believe that bills should present ‘best offer’ information and clearly refer to Energy Made Easy.</w:t>
      </w:r>
      <w:r w:rsidR="00E51208">
        <w:t xml:space="preserve"> At present, links to Energy Made Easy appear in a section of the bill around energy efficiency and don’t refer to the website as a comparison service.</w:t>
      </w:r>
      <w:r w:rsidR="0019193C">
        <w:t xml:space="preserve"> </w:t>
      </w:r>
      <w:r w:rsidR="0019193C" w:rsidRPr="0019193C">
        <w:t xml:space="preserve">Queensland Council of Social Service </w:t>
      </w:r>
      <w:r w:rsidR="005339EF">
        <w:t>(</w:t>
      </w:r>
      <w:r w:rsidR="00F07A03">
        <w:t xml:space="preserve">QCOSS, 2020) </w:t>
      </w:r>
      <w:r w:rsidR="0019193C" w:rsidRPr="0019193C">
        <w:t xml:space="preserve">saw </w:t>
      </w:r>
      <w:r w:rsidR="0019193C">
        <w:t xml:space="preserve">this information </w:t>
      </w:r>
      <w:r w:rsidR="0019193C" w:rsidRPr="0019193C">
        <w:t>as secondary to the primary purpose of the bill and noted it should only be considered where evidence showed it achieves it</w:t>
      </w:r>
      <w:r w:rsidR="005339EF">
        <w:t>s</w:t>
      </w:r>
      <w:r w:rsidR="0019193C" w:rsidRPr="0019193C">
        <w:t xml:space="preserve"> intended switching objective and does not interfere with the </w:t>
      </w:r>
      <w:r w:rsidR="0019193C">
        <w:t xml:space="preserve">bill’s </w:t>
      </w:r>
      <w:r w:rsidR="0019193C" w:rsidRPr="0019193C">
        <w:t>primary purpose.</w:t>
      </w:r>
    </w:p>
    <w:p w14:paraId="2CDDF8E5" w14:textId="64B46F3D" w:rsidR="00C31D31" w:rsidRDefault="00E51208" w:rsidP="005722C8">
      <w:pPr>
        <w:pStyle w:val="Heading4"/>
      </w:pPr>
      <w:r>
        <w:t>Plan comparison</w:t>
      </w:r>
    </w:p>
    <w:p w14:paraId="31EA8BD5" w14:textId="2CB11751" w:rsidR="0041614E" w:rsidRDefault="005722C8" w:rsidP="00017169">
      <w:pPr>
        <w:rPr>
          <w:noProof/>
        </w:rPr>
      </w:pPr>
      <w:r>
        <w:t>P</w:t>
      </w:r>
      <w:r w:rsidR="00C94008">
        <w:t xml:space="preserve">lan and tariff information is rarely included explicitly in bills. The Public Interest Advocacy Centre call for bills to “clearly stipulate what type of tariff and the times that different charges apply”. </w:t>
      </w:r>
      <w:r w:rsidR="00C31D31">
        <w:t>Queensland Council of Social Services described many consumers</w:t>
      </w:r>
      <w:r w:rsidR="00C31D31" w:rsidRPr="00C31D31">
        <w:t xml:space="preserve"> </w:t>
      </w:r>
      <w:r w:rsidR="004B61EA">
        <w:t>being</w:t>
      </w:r>
      <w:r w:rsidR="00C31D31" w:rsidRPr="00C31D31">
        <w:t xml:space="preserve"> misled into thinking that they </w:t>
      </w:r>
      <w:r w:rsidR="004B61EA">
        <w:t>will</w:t>
      </w:r>
      <w:r w:rsidR="00C31D31" w:rsidRPr="00C31D31">
        <w:t xml:space="preserve"> pay less for electricity at off-peak times when they </w:t>
      </w:r>
      <w:r w:rsidR="004B61EA">
        <w:t>are</w:t>
      </w:r>
      <w:r w:rsidR="00C31D31" w:rsidRPr="00C31D31">
        <w:t xml:space="preserve"> </w:t>
      </w:r>
      <w:r w:rsidR="00BB7080">
        <w:t xml:space="preserve">not </w:t>
      </w:r>
      <w:r w:rsidR="00C31D31" w:rsidRPr="00C31D31">
        <w:t xml:space="preserve">on a </w:t>
      </w:r>
      <w:r w:rsidR="00BB7080">
        <w:t>TOU tariff</w:t>
      </w:r>
      <w:r w:rsidR="00C31D31">
        <w:t xml:space="preserve">. </w:t>
      </w:r>
      <w:r w:rsidR="00F15D03">
        <w:t>The Department of Energy and Mining SA recommend that s</w:t>
      </w:r>
      <w:r w:rsidR="00F15D03" w:rsidRPr="00936EB6">
        <w:t>ome space on the bill should be dedicated to promoting the Energy Made Easy service and identifying what bill information can be used in the service</w:t>
      </w:r>
      <w:r w:rsidR="00F15D03">
        <w:rPr>
          <w:lang w:val="en-US" w:eastAsia="en-US"/>
        </w:rPr>
        <w:t>.</w:t>
      </w:r>
      <w:r w:rsidR="00C31D31">
        <w:rPr>
          <w:lang w:val="en-US" w:eastAsia="en-US"/>
        </w:rPr>
        <w:t xml:space="preserve"> When consumers </w:t>
      </w:r>
      <w:r w:rsidR="00C31D31">
        <w:rPr>
          <w:i/>
          <w:lang w:val="en-US" w:eastAsia="en-US"/>
        </w:rPr>
        <w:t>do</w:t>
      </w:r>
      <w:r w:rsidR="00C31D31">
        <w:rPr>
          <w:lang w:val="en-US" w:eastAsia="en-US"/>
        </w:rPr>
        <w:t xml:space="preserve"> use the Energy Made Easy service, </w:t>
      </w:r>
      <w:r w:rsidR="00A6132F">
        <w:rPr>
          <w:lang w:val="en-US" w:eastAsia="en-US"/>
        </w:rPr>
        <w:t xml:space="preserve">(or do any </w:t>
      </w:r>
      <w:r w:rsidR="00A6132F">
        <w:rPr>
          <w:lang w:val="en-US" w:eastAsia="en-US"/>
        </w:rPr>
        <w:lastRenderedPageBreak/>
        <w:t xml:space="preserve">other kind of comparison) </w:t>
      </w:r>
      <w:r w:rsidR="00C31D31">
        <w:rPr>
          <w:lang w:val="en-US" w:eastAsia="en-US"/>
        </w:rPr>
        <w:t>they need to compare the plans displayed with their current plan to make an informed decision. If their existing plan isn’t clearly described on the bill (and may not be easy to find on the retailer website if it is no longer available to new customers) then it becomes very difficult to evaluate.</w:t>
      </w:r>
      <w:r w:rsidR="0041614E" w:rsidRPr="0041614E">
        <w:rPr>
          <w:noProof/>
        </w:rPr>
        <w:t xml:space="preserve"> </w:t>
      </w:r>
    </w:p>
    <w:p w14:paraId="36272CC8" w14:textId="77777777" w:rsidR="00261D2C" w:rsidRPr="000903A2" w:rsidRDefault="00261D2C" w:rsidP="00261D2C">
      <w:pPr>
        <w:pBdr>
          <w:top w:val="single" w:sz="18" w:space="1" w:color="142E3B" w:themeColor="text2"/>
          <w:left w:val="single" w:sz="18" w:space="4" w:color="142E3B" w:themeColor="text2"/>
          <w:bottom w:val="single" w:sz="18" w:space="1" w:color="142E3B" w:themeColor="text2"/>
          <w:right w:val="single" w:sz="18" w:space="4" w:color="142E3B" w:themeColor="text2"/>
        </w:pBdr>
        <w:shd w:val="clear" w:color="auto" w:fill="F2F2F2" w:themeFill="background1" w:themeFillShade="F2"/>
      </w:pPr>
      <w:r w:rsidRPr="000903A2">
        <w:rPr>
          <w:b/>
        </w:rPr>
        <w:t>Plan comparison</w:t>
      </w:r>
    </w:p>
    <w:p w14:paraId="17EDBB04" w14:textId="77777777" w:rsidR="00261D2C" w:rsidRPr="00114934" w:rsidRDefault="00261D2C" w:rsidP="00261D2C">
      <w:pPr>
        <w:pBdr>
          <w:top w:val="single" w:sz="18" w:space="1" w:color="142E3B" w:themeColor="text2"/>
          <w:left w:val="single" w:sz="18" w:space="4" w:color="142E3B" w:themeColor="text2"/>
          <w:bottom w:val="single" w:sz="18" w:space="1" w:color="142E3B" w:themeColor="text2"/>
          <w:right w:val="single" w:sz="18" w:space="4" w:color="142E3B" w:themeColor="text2"/>
        </w:pBdr>
        <w:shd w:val="clear" w:color="auto" w:fill="F2F2F2" w:themeFill="background1" w:themeFillShade="F2"/>
        <w:rPr>
          <w:rFonts w:cstheme="minorHAnsi"/>
          <w:spacing w:val="-1"/>
        </w:rPr>
      </w:pPr>
      <w:r w:rsidRPr="00114934">
        <w:rPr>
          <w:rFonts w:cstheme="minorHAnsi"/>
          <w:spacing w:val="-1"/>
        </w:rPr>
        <w:t xml:space="preserve">Qualitative research in the Australian energy market </w:t>
      </w:r>
      <w:r>
        <w:rPr>
          <w:rFonts w:cstheme="minorHAnsi"/>
          <w:spacing w:val="-1"/>
        </w:rPr>
        <w:t>found</w:t>
      </w:r>
      <w:r w:rsidRPr="00114934">
        <w:rPr>
          <w:rFonts w:cstheme="minorHAnsi"/>
          <w:spacing w:val="-1"/>
        </w:rPr>
        <w:t xml:space="preserve"> many consumers “felt that there was too much choice, and desired greater ease in being able to compare plans” (Gardner and Nilsson, 2017).</w:t>
      </w:r>
    </w:p>
    <w:p w14:paraId="585AD30A" w14:textId="199545E4" w:rsidR="00917F98" w:rsidRDefault="00E51208" w:rsidP="0022003E">
      <w:pPr>
        <w:pStyle w:val="Heading4"/>
        <w:rPr>
          <w:lang w:val="en-US" w:eastAsia="en-US"/>
        </w:rPr>
      </w:pPr>
      <w:r>
        <w:rPr>
          <w:lang w:val="en-US" w:eastAsia="en-US"/>
        </w:rPr>
        <w:t>Making bills machine readable</w:t>
      </w:r>
    </w:p>
    <w:p w14:paraId="745395B4" w14:textId="0D32DFF5" w:rsidR="00EA67E1" w:rsidRDefault="00D41215" w:rsidP="00D41215">
      <w:pPr>
        <w:spacing w:after="0"/>
      </w:pPr>
      <w:r>
        <w:rPr>
          <w:lang w:val="en-US" w:eastAsia="en-US"/>
        </w:rPr>
        <w:t>The ACCC suggests that t</w:t>
      </w:r>
      <w:r w:rsidRPr="00BC5886">
        <w:rPr>
          <w:lang w:val="en-US" w:eastAsia="en-US"/>
        </w:rPr>
        <w:t>he AER may wish to explore how links or</w:t>
      </w:r>
      <w:r>
        <w:rPr>
          <w:lang w:val="en-US" w:eastAsia="en-US"/>
        </w:rPr>
        <w:t xml:space="preserve"> </w:t>
      </w:r>
      <w:r w:rsidRPr="00BC5886">
        <w:rPr>
          <w:lang w:val="en-US" w:eastAsia="en-US"/>
        </w:rPr>
        <w:t xml:space="preserve">codes on bills could be used to streamline the </w:t>
      </w:r>
      <w:r w:rsidR="005339EF">
        <w:rPr>
          <w:lang w:val="en-US" w:eastAsia="en-US"/>
        </w:rPr>
        <w:t xml:space="preserve">Energy Made Easy </w:t>
      </w:r>
      <w:r w:rsidRPr="00BC5886">
        <w:rPr>
          <w:lang w:val="en-US" w:eastAsia="en-US"/>
        </w:rPr>
        <w:t>user experience and further broaden its</w:t>
      </w:r>
      <w:r>
        <w:rPr>
          <w:lang w:val="en-US" w:eastAsia="en-US"/>
        </w:rPr>
        <w:t xml:space="preserve"> appeal and profile (</w:t>
      </w:r>
      <w:r w:rsidR="00843BDC">
        <w:rPr>
          <w:lang w:val="en-US" w:eastAsia="en-US"/>
        </w:rPr>
        <w:t xml:space="preserve">ACCC, </w:t>
      </w:r>
      <w:r>
        <w:rPr>
          <w:lang w:val="en-US" w:eastAsia="en-US"/>
        </w:rPr>
        <w:t>2021). The ACCC say that consumers are inattentive and “the arrival of a bill is the best natural trigger point to engage consumers and attract attention”. Suggested solutions involve incorporating available comparison tools into the bill using links, QR codes, and a reference price.</w:t>
      </w:r>
      <w:r>
        <w:t xml:space="preserve"> Powerpal (2020) also recommends the mandatory inclusion of QR codes on energy bills (as per the UK), to enable bills to be machine</w:t>
      </w:r>
      <w:r w:rsidR="005339EF">
        <w:t xml:space="preserve"> </w:t>
      </w:r>
      <w:r>
        <w:t>readable, as well as to make it easier for customers to access accurate consumption and tariff information.</w:t>
      </w:r>
    </w:p>
    <w:p w14:paraId="6C8BCC6D" w14:textId="77777777" w:rsidR="006A0F32" w:rsidRDefault="006A0F32" w:rsidP="00D41215">
      <w:pPr>
        <w:spacing w:after="0"/>
      </w:pPr>
    </w:p>
    <w:p w14:paraId="3A102644" w14:textId="4277757D" w:rsidR="00261D2C" w:rsidRPr="00261D2C" w:rsidRDefault="00261D2C" w:rsidP="00516A92">
      <w:pPr>
        <w:shd w:val="clear" w:color="auto" w:fill="006666"/>
        <w:rPr>
          <w:b/>
          <w:color w:val="FFFFFF" w:themeColor="background1"/>
        </w:rPr>
      </w:pPr>
      <w:r w:rsidRPr="00261D2C">
        <w:rPr>
          <w:b/>
          <w:color w:val="FFFFFF" w:themeColor="background1"/>
        </w:rPr>
        <w:t>Reflections</w:t>
      </w:r>
    </w:p>
    <w:p w14:paraId="2C2A45F1" w14:textId="77777777" w:rsidR="00261D2C" w:rsidRDefault="00261D2C" w:rsidP="00516A92">
      <w:pPr>
        <w:pStyle w:val="ListParagraph"/>
        <w:numPr>
          <w:ilvl w:val="0"/>
          <w:numId w:val="34"/>
        </w:numPr>
        <w:shd w:val="clear" w:color="auto" w:fill="F2F2F2" w:themeFill="background1" w:themeFillShade="F2"/>
        <w:rPr>
          <w:lang w:val="en-US" w:eastAsia="en-US"/>
        </w:rPr>
      </w:pPr>
      <w:r w:rsidRPr="000F4F37">
        <w:rPr>
          <w:lang w:val="en-US" w:eastAsia="en-US"/>
        </w:rPr>
        <w:t>Encouraging consumers to switch energy retailers is g</w:t>
      </w:r>
      <w:r>
        <w:rPr>
          <w:lang w:val="en-US" w:eastAsia="en-US"/>
        </w:rPr>
        <w:t>enerally quite a difficult task due to behavioural barriers including inertia and status quo bias. While new policies such as the Default Market Offer limit the consequences for consumers who do not switch, there are still substantial gains for those who do.</w:t>
      </w:r>
    </w:p>
    <w:p w14:paraId="6CCA07A3" w14:textId="77777777" w:rsidR="00261D2C" w:rsidRDefault="00261D2C" w:rsidP="00516A92">
      <w:pPr>
        <w:pStyle w:val="ListParagraph"/>
        <w:numPr>
          <w:ilvl w:val="0"/>
          <w:numId w:val="34"/>
        </w:numPr>
        <w:shd w:val="clear" w:color="auto" w:fill="F2F2F2" w:themeFill="background1" w:themeFillShade="F2"/>
        <w:rPr>
          <w:lang w:val="en-US" w:eastAsia="en-US"/>
        </w:rPr>
      </w:pPr>
      <w:r>
        <w:rPr>
          <w:lang w:val="en-US" w:eastAsia="en-US"/>
        </w:rPr>
        <w:t xml:space="preserve">Improving consumer understanding </w:t>
      </w:r>
      <w:r w:rsidRPr="005863FD">
        <w:rPr>
          <w:lang w:val="en-US" w:eastAsia="en-US"/>
        </w:rPr>
        <w:t xml:space="preserve">of their bills will </w:t>
      </w:r>
      <w:r>
        <w:rPr>
          <w:lang w:val="en-US" w:eastAsia="en-US"/>
        </w:rPr>
        <w:t>make the comparison process easier and help</w:t>
      </w:r>
      <w:r w:rsidRPr="005863FD">
        <w:rPr>
          <w:lang w:val="en-US" w:eastAsia="en-US"/>
        </w:rPr>
        <w:t xml:space="preserve"> them to make informed decisions about switching</w:t>
      </w:r>
      <w:r>
        <w:rPr>
          <w:lang w:val="en-US" w:eastAsia="en-US"/>
        </w:rPr>
        <w:t xml:space="preserve"> by removing friction costs</w:t>
      </w:r>
      <w:r w:rsidRPr="000C4BAC">
        <w:rPr>
          <w:lang w:val="en-US" w:eastAsia="en-US"/>
        </w:rPr>
        <w:t xml:space="preserve"> </w:t>
      </w:r>
      <w:r>
        <w:rPr>
          <w:lang w:val="en-US" w:eastAsia="en-US"/>
        </w:rPr>
        <w:t xml:space="preserve">and reducing the </w:t>
      </w:r>
      <w:r w:rsidRPr="000C4BAC">
        <w:rPr>
          <w:lang w:val="en-US" w:eastAsia="en-US"/>
        </w:rPr>
        <w:t xml:space="preserve">cognitive load associated with researching options and making </w:t>
      </w:r>
      <w:r>
        <w:rPr>
          <w:lang w:val="en-US" w:eastAsia="en-US"/>
        </w:rPr>
        <w:t>a</w:t>
      </w:r>
      <w:r w:rsidRPr="000C4BAC">
        <w:rPr>
          <w:lang w:val="en-US" w:eastAsia="en-US"/>
        </w:rPr>
        <w:t xml:space="preserve"> switch</w:t>
      </w:r>
      <w:r>
        <w:rPr>
          <w:lang w:val="en-US" w:eastAsia="en-US"/>
        </w:rPr>
        <w:t>.</w:t>
      </w:r>
    </w:p>
    <w:p w14:paraId="1D93F74C" w14:textId="77777777" w:rsidR="00261D2C" w:rsidRDefault="00261D2C" w:rsidP="00516A92">
      <w:pPr>
        <w:pStyle w:val="ListParagraph"/>
        <w:numPr>
          <w:ilvl w:val="0"/>
          <w:numId w:val="34"/>
        </w:numPr>
        <w:shd w:val="clear" w:color="auto" w:fill="F2F2F2" w:themeFill="background1" w:themeFillShade="F2"/>
        <w:rPr>
          <w:lang w:val="en-US" w:eastAsia="en-US"/>
        </w:rPr>
      </w:pPr>
      <w:r>
        <w:rPr>
          <w:lang w:val="en-US" w:eastAsia="en-US"/>
        </w:rPr>
        <w:t xml:space="preserve">Making </w:t>
      </w:r>
      <w:r w:rsidRPr="009E3C94">
        <w:rPr>
          <w:lang w:val="en-US" w:eastAsia="en-US"/>
        </w:rPr>
        <w:t>comparison easier is most impactful when consumers make the conscious decision to search for a better deal</w:t>
      </w:r>
      <w:r>
        <w:rPr>
          <w:lang w:val="en-US" w:eastAsia="en-US"/>
        </w:rPr>
        <w:t xml:space="preserve"> but many consumers are unaware of the gains available from switching.</w:t>
      </w:r>
    </w:p>
    <w:p w14:paraId="1F116E19" w14:textId="77777777" w:rsidR="00261D2C" w:rsidRDefault="00261D2C" w:rsidP="00516A92">
      <w:pPr>
        <w:pStyle w:val="ListParagraph"/>
        <w:numPr>
          <w:ilvl w:val="0"/>
          <w:numId w:val="34"/>
        </w:numPr>
        <w:shd w:val="clear" w:color="auto" w:fill="F2F2F2" w:themeFill="background1" w:themeFillShade="F2"/>
        <w:rPr>
          <w:lang w:val="en-US" w:eastAsia="en-US"/>
        </w:rPr>
      </w:pPr>
      <w:r w:rsidRPr="009E3C94">
        <w:rPr>
          <w:lang w:val="en-US" w:eastAsia="en-US"/>
        </w:rPr>
        <w:t xml:space="preserve">It is hard to test whether calls to action </w:t>
      </w:r>
      <w:r>
        <w:rPr>
          <w:lang w:val="en-US" w:eastAsia="en-US"/>
        </w:rPr>
        <w:t xml:space="preserve">will </w:t>
      </w:r>
      <w:r w:rsidRPr="009E3C94">
        <w:rPr>
          <w:lang w:val="en-US" w:eastAsia="en-US"/>
        </w:rPr>
        <w:t xml:space="preserve">increase switching rates without </w:t>
      </w:r>
      <w:r>
        <w:rPr>
          <w:lang w:val="en-US" w:eastAsia="en-US"/>
        </w:rPr>
        <w:t>observing the actual behavior of consumers in a real</w:t>
      </w:r>
      <w:r>
        <w:rPr>
          <w:lang w:val="en-US" w:eastAsia="en-US"/>
        </w:rPr>
        <w:noBreakHyphen/>
        <w:t xml:space="preserve">world setting. However, </w:t>
      </w:r>
      <w:r w:rsidRPr="009E3C94">
        <w:rPr>
          <w:lang w:val="en-US" w:eastAsia="en-US"/>
        </w:rPr>
        <w:t xml:space="preserve">it is possible to test ways of making the process smoother </w:t>
      </w:r>
      <w:r>
        <w:rPr>
          <w:lang w:val="en-US" w:eastAsia="en-US"/>
        </w:rPr>
        <w:t xml:space="preserve">and </w:t>
      </w:r>
      <w:r w:rsidRPr="009E3C94">
        <w:rPr>
          <w:lang w:val="en-US" w:eastAsia="en-US"/>
        </w:rPr>
        <w:t>less complicated</w:t>
      </w:r>
      <w:r>
        <w:rPr>
          <w:lang w:val="en-US" w:eastAsia="en-US"/>
        </w:rPr>
        <w:t>. This should increase</w:t>
      </w:r>
      <w:r w:rsidRPr="009E3C94">
        <w:rPr>
          <w:lang w:val="en-US" w:eastAsia="en-US"/>
        </w:rPr>
        <w:t xml:space="preserve"> the possibility that if someone does switch, it is to a plan that is going to save them money.</w:t>
      </w:r>
    </w:p>
    <w:p w14:paraId="7BE31B31" w14:textId="711A7543" w:rsidR="00261D2C" w:rsidRPr="00261D2C" w:rsidRDefault="00261D2C" w:rsidP="00516A92">
      <w:pPr>
        <w:pStyle w:val="ListParagraph"/>
        <w:numPr>
          <w:ilvl w:val="0"/>
          <w:numId w:val="34"/>
        </w:numPr>
        <w:shd w:val="clear" w:color="auto" w:fill="F2F2F2" w:themeFill="background1" w:themeFillShade="F2"/>
        <w:rPr>
          <w:lang w:val="en-US" w:eastAsia="en-US"/>
        </w:rPr>
      </w:pPr>
      <w:r w:rsidRPr="00261D2C">
        <w:rPr>
          <w:lang w:val="en-US" w:eastAsia="en-US"/>
        </w:rPr>
        <w:t>Alternative delivery methods for switching information will help get attention from consumers who ignore the information when presented on bills.</w:t>
      </w:r>
    </w:p>
    <w:p w14:paraId="25E98022" w14:textId="0FC39273" w:rsidR="006146E3" w:rsidRPr="00C27E0B" w:rsidRDefault="00A304E1" w:rsidP="006146E3">
      <w:pPr>
        <w:spacing w:after="0" w:line="240" w:lineRule="auto"/>
        <w:rPr>
          <w:lang w:val="en-US" w:eastAsia="en-US"/>
        </w:rPr>
      </w:pPr>
      <w:r>
        <w:rPr>
          <w:lang w:val="en-US" w:eastAsia="en-US"/>
        </w:rPr>
        <w:br w:type="page"/>
      </w:r>
    </w:p>
    <w:p w14:paraId="12900061" w14:textId="1A2BBB31" w:rsidR="006146E3" w:rsidRDefault="006146E3" w:rsidP="001268D5">
      <w:pPr>
        <w:pStyle w:val="Heading2"/>
      </w:pPr>
      <w:bookmarkStart w:id="117" w:name="_Toc68611289"/>
      <w:bookmarkStart w:id="118" w:name="_Toc68621185"/>
      <w:bookmarkStart w:id="119" w:name="_Toc68621226"/>
      <w:bookmarkStart w:id="120" w:name="_Toc68700460"/>
      <w:bookmarkStart w:id="121" w:name="_Toc68775871"/>
      <w:bookmarkStart w:id="122" w:name="_Toc68789275"/>
      <w:bookmarkStart w:id="123" w:name="_Toc68791943"/>
      <w:bookmarkStart w:id="124" w:name="_Toc86091082"/>
      <w:r>
        <w:lastRenderedPageBreak/>
        <w:t>References</w:t>
      </w:r>
      <w:bookmarkEnd w:id="117"/>
      <w:bookmarkEnd w:id="118"/>
      <w:bookmarkEnd w:id="119"/>
      <w:bookmarkEnd w:id="120"/>
      <w:bookmarkEnd w:id="121"/>
      <w:bookmarkEnd w:id="122"/>
      <w:bookmarkEnd w:id="123"/>
      <w:bookmarkEnd w:id="124"/>
    </w:p>
    <w:p w14:paraId="1C8C3DAA" w14:textId="4332DCC5" w:rsidR="00A01410" w:rsidRPr="00A90D6F" w:rsidRDefault="00A01410" w:rsidP="001268D5">
      <w:pPr>
        <w:pStyle w:val="Heading3"/>
      </w:pPr>
      <w:bookmarkStart w:id="125" w:name="_Toc68611290"/>
      <w:bookmarkStart w:id="126" w:name="_Toc68621186"/>
      <w:bookmarkStart w:id="127" w:name="_Toc68621227"/>
      <w:bookmarkStart w:id="128" w:name="_Toc68700461"/>
      <w:bookmarkStart w:id="129" w:name="_Toc68775872"/>
      <w:bookmarkStart w:id="130" w:name="_Toc68789276"/>
      <w:bookmarkStart w:id="131" w:name="_Toc68791944"/>
      <w:bookmarkStart w:id="132" w:name="_Toc86091083"/>
      <w:r>
        <w:t>Academic Literature</w:t>
      </w:r>
      <w:bookmarkEnd w:id="125"/>
      <w:bookmarkEnd w:id="126"/>
      <w:bookmarkEnd w:id="127"/>
      <w:bookmarkEnd w:id="128"/>
      <w:bookmarkEnd w:id="129"/>
      <w:bookmarkEnd w:id="130"/>
      <w:bookmarkEnd w:id="131"/>
      <w:bookmarkEnd w:id="132"/>
    </w:p>
    <w:p w14:paraId="48135FEF" w14:textId="77777777" w:rsidR="00C869FC" w:rsidRDefault="00CB42F8" w:rsidP="00840FCB">
      <w:pPr>
        <w:spacing w:line="240" w:lineRule="auto"/>
        <w:rPr>
          <w:sz w:val="20"/>
        </w:rPr>
      </w:pPr>
      <w:r w:rsidRPr="00470E2A">
        <w:rPr>
          <w:sz w:val="20"/>
        </w:rPr>
        <w:t>AEMC, 2021. Rule determination: Bill contents and billing requirements. Australian Market Energy Commission https://www.aemc.gov.au/rule-changes/bill-contents-and-billing-requirements</w:t>
      </w:r>
    </w:p>
    <w:p w14:paraId="762F8B94" w14:textId="77777777" w:rsidR="00C869FC" w:rsidRDefault="004D1878" w:rsidP="00840FCB">
      <w:pPr>
        <w:spacing w:line="240" w:lineRule="auto"/>
        <w:rPr>
          <w:sz w:val="20"/>
        </w:rPr>
      </w:pPr>
      <w:r w:rsidRPr="00470E2A">
        <w:rPr>
          <w:sz w:val="20"/>
        </w:rPr>
        <w:t xml:space="preserve">Allcott H, 2011. Social norms and energy conservation. </w:t>
      </w:r>
      <w:r w:rsidRPr="00470E2A">
        <w:rPr>
          <w:i/>
          <w:sz w:val="20"/>
        </w:rPr>
        <w:t>Journal of Public Economics</w:t>
      </w:r>
      <w:r w:rsidR="00CB42F8" w:rsidRPr="00470E2A">
        <w:rPr>
          <w:sz w:val="20"/>
        </w:rPr>
        <w:t>, 95, 1082</w:t>
      </w:r>
      <w:r w:rsidR="00CB42F8" w:rsidRPr="00470E2A">
        <w:rPr>
          <w:sz w:val="20"/>
        </w:rPr>
        <w:noBreakHyphen/>
      </w:r>
      <w:r w:rsidRPr="00470E2A">
        <w:rPr>
          <w:sz w:val="20"/>
        </w:rPr>
        <w:t>1095</w:t>
      </w:r>
    </w:p>
    <w:p w14:paraId="0C699D52" w14:textId="77777777" w:rsidR="00C869FC" w:rsidRDefault="00C079BA" w:rsidP="00840FCB">
      <w:pPr>
        <w:spacing w:line="240" w:lineRule="auto"/>
        <w:rPr>
          <w:sz w:val="20"/>
        </w:rPr>
      </w:pPr>
      <w:r w:rsidRPr="00470E2A">
        <w:rPr>
          <w:sz w:val="20"/>
        </w:rPr>
        <w:t>Allcott H and</w:t>
      </w:r>
      <w:r w:rsidR="006E0E96" w:rsidRPr="00470E2A">
        <w:rPr>
          <w:sz w:val="20"/>
        </w:rPr>
        <w:t xml:space="preserve"> Rogers T, 2014. The Short-Run and Long-Run Effects of Behavioural Interventions: Experimental Evidence from Energy Conservation. </w:t>
      </w:r>
      <w:r w:rsidR="006E0E96" w:rsidRPr="00470E2A">
        <w:rPr>
          <w:i/>
          <w:sz w:val="20"/>
        </w:rPr>
        <w:t>American Economic Review</w:t>
      </w:r>
      <w:r w:rsidR="006E0E96" w:rsidRPr="00470E2A">
        <w:rPr>
          <w:sz w:val="20"/>
        </w:rPr>
        <w:t>, 104, 3003</w:t>
      </w:r>
      <w:r w:rsidR="006E0E96" w:rsidRPr="00470E2A">
        <w:rPr>
          <w:sz w:val="20"/>
        </w:rPr>
        <w:noBreakHyphen/>
        <w:t>3037</w:t>
      </w:r>
    </w:p>
    <w:p w14:paraId="23349DB1" w14:textId="77777777" w:rsidR="00C869FC" w:rsidRDefault="0000398F" w:rsidP="00840FCB">
      <w:pPr>
        <w:spacing w:line="240" w:lineRule="auto"/>
        <w:rPr>
          <w:sz w:val="20"/>
        </w:rPr>
      </w:pPr>
      <w:r w:rsidRPr="00470E2A">
        <w:rPr>
          <w:sz w:val="20"/>
          <w:lang w:val="en-US" w:eastAsia="zh-CN"/>
        </w:rPr>
        <w:t>Allcott, Hunt, and Judd B. Kessler. 2019. The Welfare Effects of Nudges: A Case Study of Energy Use Social Comparisons." </w:t>
      </w:r>
      <w:r w:rsidRPr="00470E2A">
        <w:rPr>
          <w:i/>
          <w:sz w:val="20"/>
          <w:lang w:val="en-US" w:eastAsia="zh-CN"/>
        </w:rPr>
        <w:t>American Economic Journal: Applied Economics</w:t>
      </w:r>
      <w:r w:rsidRPr="00470E2A">
        <w:rPr>
          <w:sz w:val="20"/>
          <w:lang w:val="en-US" w:eastAsia="zh-CN"/>
        </w:rPr>
        <w:t>, 11</w:t>
      </w:r>
      <w:r w:rsidR="00CB42F8" w:rsidRPr="00470E2A">
        <w:rPr>
          <w:sz w:val="20"/>
          <w:lang w:val="en-US" w:eastAsia="zh-CN"/>
        </w:rPr>
        <w:t>(1): 236</w:t>
      </w:r>
      <w:r w:rsidR="00CB42F8" w:rsidRPr="00470E2A">
        <w:rPr>
          <w:sz w:val="20"/>
          <w:lang w:val="en-US" w:eastAsia="zh-CN"/>
        </w:rPr>
        <w:noBreakHyphen/>
      </w:r>
      <w:r w:rsidRPr="00470E2A">
        <w:rPr>
          <w:sz w:val="20"/>
          <w:lang w:val="en-US" w:eastAsia="zh-CN"/>
        </w:rPr>
        <w:t>76.</w:t>
      </w:r>
    </w:p>
    <w:p w14:paraId="2413D2B9" w14:textId="77777777" w:rsidR="00C869FC" w:rsidRDefault="00D541A0" w:rsidP="00840FCB">
      <w:pPr>
        <w:spacing w:line="240" w:lineRule="auto"/>
        <w:rPr>
          <w:rFonts w:asciiTheme="majorHAnsi" w:hAnsiTheme="majorHAnsi" w:cstheme="majorHAnsi"/>
          <w:sz w:val="20"/>
        </w:rPr>
      </w:pPr>
      <w:r w:rsidRPr="00470E2A">
        <w:rPr>
          <w:sz w:val="20"/>
        </w:rPr>
        <w:t>Andor</w:t>
      </w:r>
      <w:r w:rsidR="00C079BA" w:rsidRPr="00470E2A">
        <w:rPr>
          <w:sz w:val="20"/>
        </w:rPr>
        <w:t xml:space="preserve"> M.A. and</w:t>
      </w:r>
      <w:r w:rsidRPr="00470E2A">
        <w:rPr>
          <w:sz w:val="20"/>
        </w:rPr>
        <w:t xml:space="preserve"> F</w:t>
      </w:r>
      <w:r w:rsidR="007F33DE" w:rsidRPr="00470E2A">
        <w:rPr>
          <w:sz w:val="20"/>
        </w:rPr>
        <w:t>els</w:t>
      </w:r>
      <w:r w:rsidRPr="00470E2A">
        <w:rPr>
          <w:sz w:val="20"/>
        </w:rPr>
        <w:t xml:space="preserve">, K.M., 2018. </w:t>
      </w:r>
      <w:r w:rsidR="00F73A84">
        <w:rPr>
          <w:sz w:val="20"/>
        </w:rPr>
        <w:t>Behaviour</w:t>
      </w:r>
      <w:r w:rsidRPr="00470E2A">
        <w:rPr>
          <w:sz w:val="20"/>
        </w:rPr>
        <w:t>al Economics and Energy Conservation–A Systematic Review of Non-price Interventions and Their Causal Effect</w:t>
      </w:r>
      <w:r w:rsidR="007F33DE" w:rsidRPr="00470E2A">
        <w:rPr>
          <w:sz w:val="20"/>
        </w:rPr>
        <w:t xml:space="preserve">s. </w:t>
      </w:r>
      <w:r w:rsidR="007F33DE" w:rsidRPr="00470E2A">
        <w:rPr>
          <w:i/>
          <w:sz w:val="20"/>
        </w:rPr>
        <w:t>Ecological Economics</w:t>
      </w:r>
      <w:r w:rsidR="007F33DE" w:rsidRPr="00470E2A">
        <w:rPr>
          <w:sz w:val="20"/>
        </w:rPr>
        <w:t>, 148, 178</w:t>
      </w:r>
      <w:r w:rsidR="007F33DE" w:rsidRPr="00470E2A">
        <w:rPr>
          <w:sz w:val="20"/>
        </w:rPr>
        <w:noBreakHyphen/>
      </w:r>
      <w:r w:rsidRPr="00470E2A">
        <w:rPr>
          <w:sz w:val="20"/>
        </w:rPr>
        <w:t>210.</w:t>
      </w:r>
    </w:p>
    <w:p w14:paraId="0C03D295" w14:textId="77777777" w:rsidR="00C869FC" w:rsidRDefault="00C079BA" w:rsidP="00840FCB">
      <w:pPr>
        <w:spacing w:line="240" w:lineRule="auto"/>
        <w:rPr>
          <w:i/>
          <w:sz w:val="20"/>
        </w:rPr>
      </w:pPr>
      <w:r w:rsidRPr="00470E2A">
        <w:rPr>
          <w:sz w:val="20"/>
        </w:rPr>
        <w:t>Arvola, Uutela, and</w:t>
      </w:r>
      <w:r w:rsidR="004D1878" w:rsidRPr="00470E2A">
        <w:rPr>
          <w:sz w:val="20"/>
        </w:rPr>
        <w:t xml:space="preserve"> Anttila 1993, Billing feedback as a means to encourage household electricity conservation: A field experiment in Helsinki. </w:t>
      </w:r>
      <w:r w:rsidR="004D1878" w:rsidRPr="00470E2A">
        <w:rPr>
          <w:i/>
          <w:sz w:val="20"/>
        </w:rPr>
        <w:t>European council for an energy efficient economy conference proceedings</w:t>
      </w:r>
    </w:p>
    <w:p w14:paraId="7417F842" w14:textId="77777777" w:rsidR="00C869FC" w:rsidRDefault="00AA7BDC" w:rsidP="00840FCB">
      <w:pPr>
        <w:spacing w:line="240" w:lineRule="auto"/>
        <w:rPr>
          <w:i/>
          <w:sz w:val="20"/>
        </w:rPr>
      </w:pPr>
      <w:r w:rsidRPr="00470E2A">
        <w:rPr>
          <w:sz w:val="20"/>
          <w:lang w:val="fr-FR" w:eastAsia="zh-CN"/>
        </w:rPr>
        <w:t xml:space="preserve">Ayres, I. et al. 2013. </w:t>
      </w:r>
      <w:r w:rsidRPr="00470E2A">
        <w:rPr>
          <w:sz w:val="20"/>
          <w:lang w:val="en-US" w:eastAsia="zh-CN"/>
        </w:rPr>
        <w:t xml:space="preserve">Evidence from Two Large Field Experiments that Peer Comparison Feedback Can Reduce Residential Energy Usage. </w:t>
      </w:r>
      <w:r w:rsidRPr="00470E2A">
        <w:rPr>
          <w:i/>
          <w:sz w:val="20"/>
          <w:lang w:val="en-US" w:eastAsia="zh-CN"/>
        </w:rPr>
        <w:t>Journal of Law, Economics and Organization</w:t>
      </w:r>
      <w:r w:rsidRPr="00470E2A">
        <w:rPr>
          <w:sz w:val="20"/>
          <w:lang w:val="en-US" w:eastAsia="zh-CN"/>
        </w:rPr>
        <w:t xml:space="preserve"> 29(5): 992-1022</w:t>
      </w:r>
    </w:p>
    <w:p w14:paraId="5416F0C2" w14:textId="77777777" w:rsidR="00C869FC" w:rsidRDefault="00CB42F8" w:rsidP="00840FCB">
      <w:pPr>
        <w:spacing w:line="240" w:lineRule="auto"/>
        <w:rPr>
          <w:sz w:val="20"/>
        </w:rPr>
      </w:pPr>
      <w:r w:rsidRPr="00470E2A">
        <w:rPr>
          <w:sz w:val="20"/>
        </w:rPr>
        <w:t>BETA</w:t>
      </w:r>
      <w:r w:rsidR="00AC4C62" w:rsidRPr="00470E2A">
        <w:rPr>
          <w:sz w:val="20"/>
        </w:rPr>
        <w:t>, 2018. Electricity Information to Fit the Bill: Redesigning Bills to Support Consumer Engagement</w:t>
      </w:r>
      <w:r w:rsidRPr="00470E2A">
        <w:rPr>
          <w:sz w:val="20"/>
        </w:rPr>
        <w:t>. Behavioural Economics Team of the Australian Government</w:t>
      </w:r>
    </w:p>
    <w:p w14:paraId="4AAC846A" w14:textId="77777777" w:rsidR="00C869FC" w:rsidRDefault="00D54883" w:rsidP="00840FCB">
      <w:pPr>
        <w:spacing w:line="240" w:lineRule="auto"/>
        <w:rPr>
          <w:sz w:val="20"/>
        </w:rPr>
      </w:pPr>
      <w:r w:rsidRPr="00D54883">
        <w:rPr>
          <w:sz w:val="20"/>
        </w:rPr>
        <w:t>BETA, 2020. Improving Government Forms Better Practice Guide. The Behavioural Economics Team of the Australian Government</w:t>
      </w:r>
    </w:p>
    <w:p w14:paraId="52B78807" w14:textId="77777777" w:rsidR="00C869FC" w:rsidRDefault="002B33F2" w:rsidP="00840FCB">
      <w:pPr>
        <w:spacing w:line="240" w:lineRule="auto"/>
        <w:rPr>
          <w:noProof/>
          <w:sz w:val="20"/>
        </w:rPr>
      </w:pPr>
      <w:r w:rsidRPr="00470E2A">
        <w:rPr>
          <w:noProof/>
          <w:sz w:val="20"/>
        </w:rPr>
        <w:t xml:space="preserve">Benartzi, S., 2015. </w:t>
      </w:r>
      <w:r w:rsidRPr="00470E2A">
        <w:rPr>
          <w:i/>
          <w:iCs/>
          <w:noProof/>
          <w:sz w:val="20"/>
        </w:rPr>
        <w:t xml:space="preserve">The smarter screen. </w:t>
      </w:r>
      <w:r w:rsidRPr="00470E2A">
        <w:rPr>
          <w:noProof/>
          <w:sz w:val="20"/>
        </w:rPr>
        <w:t>New York: Penguin.</w:t>
      </w:r>
    </w:p>
    <w:p w14:paraId="664D836E" w14:textId="531B206B" w:rsidR="009D3489" w:rsidRDefault="009D3489" w:rsidP="00840FCB">
      <w:pPr>
        <w:spacing w:line="240" w:lineRule="auto"/>
        <w:rPr>
          <w:sz w:val="20"/>
        </w:rPr>
      </w:pPr>
      <w:r>
        <w:rPr>
          <w:sz w:val="20"/>
        </w:rPr>
        <w:t xml:space="preserve">BEworks, 2014. Behavioural economics review: Analysing and nudging energy conservations and demand shifting through Time of Use compliance. </w:t>
      </w:r>
    </w:p>
    <w:p w14:paraId="621D1BC7" w14:textId="2B8D5861" w:rsidR="00C869FC" w:rsidRDefault="006146E3" w:rsidP="00840FCB">
      <w:pPr>
        <w:spacing w:line="240" w:lineRule="auto"/>
        <w:rPr>
          <w:sz w:val="20"/>
        </w:rPr>
      </w:pPr>
      <w:r w:rsidRPr="00470E2A">
        <w:rPr>
          <w:sz w:val="20"/>
        </w:rPr>
        <w:t>BE</w:t>
      </w:r>
      <w:r w:rsidR="009D3489">
        <w:rPr>
          <w:sz w:val="20"/>
        </w:rPr>
        <w:t>w</w:t>
      </w:r>
      <w:r w:rsidRPr="00470E2A">
        <w:rPr>
          <w:sz w:val="20"/>
        </w:rPr>
        <w:t>orks 2016. Introduction to Behavioural Economics for CDM, Applications and Best Practices for Bill Design. Toronto</w:t>
      </w:r>
    </w:p>
    <w:p w14:paraId="4678D48E" w14:textId="77777777" w:rsidR="00C869FC" w:rsidRDefault="00B12509" w:rsidP="00840FCB">
      <w:pPr>
        <w:spacing w:line="240" w:lineRule="auto"/>
        <w:rPr>
          <w:sz w:val="20"/>
        </w:rPr>
      </w:pPr>
      <w:r>
        <w:rPr>
          <w:sz w:val="20"/>
        </w:rPr>
        <w:t>BIT</w:t>
      </w:r>
      <w:r w:rsidRPr="00DD1C64">
        <w:rPr>
          <w:sz w:val="20"/>
        </w:rPr>
        <w:t>, 2012</w:t>
      </w:r>
      <w:r>
        <w:rPr>
          <w:sz w:val="20"/>
        </w:rPr>
        <w:t>.</w:t>
      </w:r>
      <w:r w:rsidRPr="00DD1C64">
        <w:rPr>
          <w:sz w:val="20"/>
        </w:rPr>
        <w:t xml:space="preserve"> Applying behavioural insights to reduce fraud, error and debt</w:t>
      </w:r>
      <w:r>
        <w:rPr>
          <w:sz w:val="20"/>
        </w:rPr>
        <w:t xml:space="preserve">. </w:t>
      </w:r>
      <w:r w:rsidRPr="00DD1C64">
        <w:rPr>
          <w:sz w:val="20"/>
        </w:rPr>
        <w:t>Behavioural Insights Team</w:t>
      </w:r>
    </w:p>
    <w:p w14:paraId="4B2CC0C8" w14:textId="77777777" w:rsidR="00C869FC" w:rsidRDefault="00B12509" w:rsidP="00840FCB">
      <w:pPr>
        <w:spacing w:line="240" w:lineRule="auto"/>
        <w:rPr>
          <w:sz w:val="20"/>
        </w:rPr>
      </w:pPr>
      <w:r>
        <w:rPr>
          <w:sz w:val="20"/>
        </w:rPr>
        <w:t>BIT</w:t>
      </w:r>
      <w:r w:rsidRPr="00470E2A">
        <w:rPr>
          <w:sz w:val="20"/>
        </w:rPr>
        <w:t xml:space="preserve">, 2015. </w:t>
      </w:r>
      <w:r w:rsidRPr="00470E2A">
        <w:rPr>
          <w:i/>
          <w:sz w:val="20"/>
        </w:rPr>
        <w:t>Update report 2013-2015</w:t>
      </w:r>
      <w:r>
        <w:rPr>
          <w:sz w:val="20"/>
        </w:rPr>
        <w:t xml:space="preserve">. </w:t>
      </w:r>
      <w:r w:rsidRPr="00DD1C64">
        <w:rPr>
          <w:sz w:val="20"/>
        </w:rPr>
        <w:t>Behavioural Insights Team</w:t>
      </w:r>
    </w:p>
    <w:p w14:paraId="62140FDC" w14:textId="77777777" w:rsidR="00C869FC" w:rsidRDefault="00B12509" w:rsidP="00840FCB">
      <w:pPr>
        <w:spacing w:line="240" w:lineRule="auto"/>
        <w:rPr>
          <w:sz w:val="20"/>
        </w:rPr>
      </w:pPr>
      <w:r>
        <w:rPr>
          <w:sz w:val="20"/>
        </w:rPr>
        <w:t>BIT</w:t>
      </w:r>
      <w:r w:rsidRPr="00470E2A">
        <w:rPr>
          <w:sz w:val="20"/>
        </w:rPr>
        <w:t>,</w:t>
      </w:r>
      <w:r>
        <w:rPr>
          <w:sz w:val="20"/>
        </w:rPr>
        <w:t xml:space="preserve"> 2020. </w:t>
      </w:r>
      <w:r w:rsidRPr="00DD1C64">
        <w:rPr>
          <w:sz w:val="20"/>
        </w:rPr>
        <w:t>Testing comprehension of the reference price</w:t>
      </w:r>
      <w:r>
        <w:rPr>
          <w:sz w:val="20"/>
        </w:rPr>
        <w:t xml:space="preserve">. </w:t>
      </w:r>
      <w:r w:rsidRPr="00DD1C64">
        <w:rPr>
          <w:sz w:val="20"/>
        </w:rPr>
        <w:t>Behavioural Insights Team</w:t>
      </w:r>
    </w:p>
    <w:p w14:paraId="7276CAE0" w14:textId="61E67B46" w:rsidR="006146E3" w:rsidRPr="00470E2A" w:rsidRDefault="006146E3" w:rsidP="00840FCB">
      <w:pPr>
        <w:spacing w:line="240" w:lineRule="auto"/>
        <w:rPr>
          <w:i/>
          <w:sz w:val="20"/>
        </w:rPr>
      </w:pPr>
      <w:r w:rsidRPr="00470E2A">
        <w:rPr>
          <w:sz w:val="20"/>
        </w:rPr>
        <w:t xml:space="preserve">Bureau Europeen des Unions de Consommateurs, 2017. Energy Billing: Landscape Report and Summary of Good Practice. </w:t>
      </w:r>
      <w:r w:rsidRPr="00470E2A">
        <w:rPr>
          <w:i/>
          <w:sz w:val="20"/>
        </w:rPr>
        <w:t>BEUC Input to the Consumer Friendly Energy Bill Initiative</w:t>
      </w:r>
    </w:p>
    <w:p w14:paraId="21C6AA7B" w14:textId="6EB1C852" w:rsidR="000579C2" w:rsidRPr="000579C2" w:rsidRDefault="000579C2" w:rsidP="00840FCB">
      <w:pPr>
        <w:spacing w:line="240" w:lineRule="auto"/>
        <w:rPr>
          <w:sz w:val="20"/>
        </w:rPr>
      </w:pPr>
      <w:r w:rsidRPr="000579C2">
        <w:rPr>
          <w:sz w:val="20"/>
        </w:rPr>
        <w:t>Burnham, T.A., Frels, J.K. and Mahajan, V., 2003. Consumer switching costs: a typology, antecedents, and consequences. </w:t>
      </w:r>
      <w:r w:rsidR="000A0DC0">
        <w:rPr>
          <w:i/>
          <w:iCs/>
          <w:sz w:val="20"/>
        </w:rPr>
        <w:t>Journal of the Academy of M</w:t>
      </w:r>
      <w:r w:rsidRPr="000579C2">
        <w:rPr>
          <w:i/>
          <w:iCs/>
          <w:sz w:val="20"/>
        </w:rPr>
        <w:t>arketing Science</w:t>
      </w:r>
      <w:r w:rsidRPr="000579C2">
        <w:rPr>
          <w:sz w:val="20"/>
        </w:rPr>
        <w:t>, </w:t>
      </w:r>
      <w:r w:rsidRPr="000579C2">
        <w:rPr>
          <w:i/>
          <w:iCs/>
          <w:sz w:val="20"/>
        </w:rPr>
        <w:t>31</w:t>
      </w:r>
      <w:r w:rsidRPr="000579C2">
        <w:rPr>
          <w:sz w:val="20"/>
        </w:rPr>
        <w:t>(2), pp.109-126.</w:t>
      </w:r>
    </w:p>
    <w:p w14:paraId="0D78F734" w14:textId="77777777" w:rsidR="00C869FC" w:rsidRDefault="00A66BDF" w:rsidP="00840FCB">
      <w:pPr>
        <w:spacing w:line="240" w:lineRule="auto"/>
        <w:rPr>
          <w:sz w:val="20"/>
          <w:lang w:val="en-US" w:eastAsia="zh-CN"/>
        </w:rPr>
      </w:pPr>
      <w:r w:rsidRPr="00470E2A">
        <w:rPr>
          <w:sz w:val="20"/>
          <w:lang w:val="en-US" w:eastAsia="zh-CN"/>
        </w:rPr>
        <w:t>Byrne D, La Nauze A,</w:t>
      </w:r>
      <w:r w:rsidR="00C079BA" w:rsidRPr="00470E2A">
        <w:rPr>
          <w:sz w:val="20"/>
          <w:lang w:val="en-US" w:eastAsia="zh-CN"/>
        </w:rPr>
        <w:t xml:space="preserve"> and</w:t>
      </w:r>
      <w:r w:rsidRPr="00470E2A">
        <w:rPr>
          <w:sz w:val="20"/>
          <w:lang w:val="en-US" w:eastAsia="zh-CN"/>
        </w:rPr>
        <w:t xml:space="preserve"> Martin L,</w:t>
      </w:r>
      <w:r w:rsidR="007458BD" w:rsidRPr="00470E2A">
        <w:rPr>
          <w:sz w:val="20"/>
          <w:lang w:val="en-US" w:eastAsia="zh-CN"/>
        </w:rPr>
        <w:t xml:space="preserve"> </w:t>
      </w:r>
      <w:r w:rsidR="00E84D22" w:rsidRPr="00470E2A">
        <w:rPr>
          <w:sz w:val="20"/>
          <w:lang w:val="en-US" w:eastAsia="zh-CN"/>
        </w:rPr>
        <w:t xml:space="preserve">2018. Tell Me Something I Don’t Already Know: Informedness and the Impact of Information Programs. </w:t>
      </w:r>
      <w:r w:rsidR="00E84D22" w:rsidRPr="00470E2A">
        <w:rPr>
          <w:i/>
          <w:sz w:val="20"/>
          <w:lang w:val="en-US" w:eastAsia="zh-CN"/>
        </w:rPr>
        <w:t>Review of Economics and Statistics</w:t>
      </w:r>
      <w:r w:rsidR="00E84D22" w:rsidRPr="00470E2A">
        <w:rPr>
          <w:sz w:val="20"/>
          <w:lang w:val="en-US" w:eastAsia="zh-CN"/>
        </w:rPr>
        <w:t>. 100(3), 510-527</w:t>
      </w:r>
    </w:p>
    <w:p w14:paraId="0788F221" w14:textId="4328C0CB" w:rsidR="00855A5C" w:rsidRDefault="00855A5C" w:rsidP="00840FCB">
      <w:pPr>
        <w:spacing w:line="240" w:lineRule="auto"/>
        <w:rPr>
          <w:sz w:val="20"/>
          <w:lang w:val="en-US" w:eastAsia="zh-CN"/>
        </w:rPr>
      </w:pPr>
      <w:r w:rsidRPr="000579C2">
        <w:rPr>
          <w:sz w:val="20"/>
          <w:lang w:val="en-US" w:eastAsia="zh-CN"/>
        </w:rPr>
        <w:t>Cialdini, R.B., 1987. Influence (Vol. 3). Port Harcourt: A. Michel.</w:t>
      </w:r>
    </w:p>
    <w:p w14:paraId="6682912E" w14:textId="77777777" w:rsidR="00C869FC" w:rsidRDefault="006621E6" w:rsidP="00840FCB">
      <w:pPr>
        <w:spacing w:line="240" w:lineRule="auto"/>
        <w:rPr>
          <w:sz w:val="20"/>
          <w:szCs w:val="20"/>
        </w:rPr>
      </w:pPr>
      <w:r w:rsidRPr="00F85F92">
        <w:rPr>
          <w:sz w:val="20"/>
          <w:szCs w:val="20"/>
        </w:rPr>
        <w:t>Dick, A.S. and Basu, K., 1994. Customer loyalty: toward an integrated conceptual framework. </w:t>
      </w:r>
      <w:r w:rsidRPr="000579C2">
        <w:rPr>
          <w:i/>
          <w:sz w:val="20"/>
          <w:szCs w:val="20"/>
        </w:rPr>
        <w:t>Journal of the academy of marketing science</w:t>
      </w:r>
      <w:r w:rsidRPr="00F85F92">
        <w:rPr>
          <w:sz w:val="20"/>
          <w:szCs w:val="20"/>
        </w:rPr>
        <w:t xml:space="preserve">, 22(2), pp.99-113. </w:t>
      </w:r>
    </w:p>
    <w:p w14:paraId="3BFB9C21" w14:textId="4F4D60AC" w:rsidR="006621E6" w:rsidRPr="00F85F92" w:rsidRDefault="006621E6" w:rsidP="00840FCB">
      <w:pPr>
        <w:spacing w:line="240" w:lineRule="auto"/>
        <w:rPr>
          <w:rFonts w:asciiTheme="majorHAnsi" w:hAnsiTheme="majorHAnsi" w:cstheme="majorHAnsi"/>
          <w:sz w:val="20"/>
          <w:szCs w:val="20"/>
        </w:rPr>
      </w:pPr>
      <w:r w:rsidRPr="00F85F92">
        <w:rPr>
          <w:rFonts w:asciiTheme="majorHAnsi" w:hAnsiTheme="majorHAnsi" w:cstheme="majorHAnsi"/>
          <w:color w:val="222222"/>
          <w:sz w:val="20"/>
          <w:szCs w:val="20"/>
          <w:shd w:val="clear" w:color="auto" w:fill="FFFFFF"/>
        </w:rPr>
        <w:lastRenderedPageBreak/>
        <w:t>Dubé, J.P., Hitsch, G.J. and Rossi, P.E., 2010. State dependence and alternative explanations for consumer inertia. </w:t>
      </w:r>
      <w:r w:rsidRPr="00F85F92">
        <w:rPr>
          <w:rFonts w:asciiTheme="majorHAnsi" w:hAnsiTheme="majorHAnsi" w:cstheme="majorHAnsi"/>
          <w:i/>
          <w:color w:val="222222"/>
          <w:sz w:val="20"/>
          <w:szCs w:val="20"/>
          <w:shd w:val="clear" w:color="auto" w:fill="FFFFFF"/>
        </w:rPr>
        <w:t>The RAND Journal of Economics</w:t>
      </w:r>
      <w:r w:rsidRPr="00F85F92">
        <w:rPr>
          <w:rFonts w:asciiTheme="majorHAnsi" w:hAnsiTheme="majorHAnsi" w:cstheme="majorHAnsi"/>
          <w:color w:val="222222"/>
          <w:sz w:val="20"/>
          <w:szCs w:val="20"/>
          <w:shd w:val="clear" w:color="auto" w:fill="FFFFFF"/>
        </w:rPr>
        <w:t>, </w:t>
      </w:r>
      <w:r w:rsidRPr="00F85F92">
        <w:rPr>
          <w:rFonts w:asciiTheme="majorHAnsi" w:hAnsiTheme="majorHAnsi" w:cstheme="majorHAnsi"/>
          <w:i/>
          <w:color w:val="222222"/>
          <w:sz w:val="20"/>
          <w:szCs w:val="20"/>
          <w:shd w:val="clear" w:color="auto" w:fill="FFFFFF"/>
        </w:rPr>
        <w:t>41</w:t>
      </w:r>
      <w:r w:rsidRPr="00F85F92">
        <w:rPr>
          <w:rFonts w:asciiTheme="majorHAnsi" w:hAnsiTheme="majorHAnsi" w:cstheme="majorHAnsi"/>
          <w:color w:val="222222"/>
          <w:sz w:val="20"/>
          <w:szCs w:val="20"/>
          <w:shd w:val="clear" w:color="auto" w:fill="FFFFFF"/>
        </w:rPr>
        <w:t>(3), pp.417-445.</w:t>
      </w:r>
    </w:p>
    <w:p w14:paraId="3C5EC8C9" w14:textId="77777777" w:rsidR="00C869FC" w:rsidRDefault="006146E3" w:rsidP="00840FCB">
      <w:pPr>
        <w:spacing w:line="240" w:lineRule="auto"/>
        <w:rPr>
          <w:sz w:val="20"/>
          <w:lang w:val="en-US" w:eastAsia="zh-CN"/>
        </w:rPr>
      </w:pPr>
      <w:r w:rsidRPr="00470E2A">
        <w:rPr>
          <w:sz w:val="20"/>
        </w:rPr>
        <w:t>European Commission, 2018. Pre-contractual information and billing in the energy market – improved clarity and comparability. September 2018</w:t>
      </w:r>
    </w:p>
    <w:p w14:paraId="5E0964F4" w14:textId="77777777" w:rsidR="00C869FC" w:rsidRDefault="005168EE" w:rsidP="00840FCB">
      <w:pPr>
        <w:spacing w:line="240" w:lineRule="auto"/>
        <w:rPr>
          <w:sz w:val="20"/>
        </w:rPr>
      </w:pPr>
      <w:r w:rsidRPr="00470E2A">
        <w:rPr>
          <w:sz w:val="20"/>
        </w:rPr>
        <w:t>European Commission, 2020. Applying behavioural insight to encourage consumer switching of financial products. September 2020</w:t>
      </w:r>
    </w:p>
    <w:p w14:paraId="1C624AFE" w14:textId="77777777" w:rsidR="00C869FC" w:rsidRDefault="006146E3" w:rsidP="00840FCB">
      <w:pPr>
        <w:spacing w:line="240" w:lineRule="auto"/>
        <w:rPr>
          <w:sz w:val="20"/>
        </w:rPr>
      </w:pPr>
      <w:r w:rsidRPr="00470E2A">
        <w:rPr>
          <w:sz w:val="20"/>
        </w:rPr>
        <w:t xml:space="preserve">Financial Conduct Authority, 2016. Attention, Search and Switching: Evidence on Mandated Disclosure from the Savings Market. </w:t>
      </w:r>
      <w:r w:rsidRPr="00470E2A">
        <w:rPr>
          <w:i/>
          <w:sz w:val="20"/>
        </w:rPr>
        <w:t>Occasional paper 19</w:t>
      </w:r>
      <w:r w:rsidRPr="00470E2A">
        <w:rPr>
          <w:sz w:val="20"/>
        </w:rPr>
        <w:t>.</w:t>
      </w:r>
    </w:p>
    <w:p w14:paraId="54ED641B" w14:textId="77777777" w:rsidR="00C869FC" w:rsidRDefault="007E3835" w:rsidP="00840FCB">
      <w:pPr>
        <w:spacing w:line="240" w:lineRule="auto"/>
        <w:rPr>
          <w:sz w:val="20"/>
        </w:rPr>
      </w:pPr>
      <w:r w:rsidRPr="00470E2A">
        <w:rPr>
          <w:sz w:val="20"/>
        </w:rPr>
        <w:t xml:space="preserve">Fletcher A, 2016. The Role of Demand-Side Remedies in Driving Effective Competition – A Review for Which. </w:t>
      </w:r>
      <w:r w:rsidRPr="00470E2A">
        <w:rPr>
          <w:i/>
          <w:sz w:val="20"/>
        </w:rPr>
        <w:t>Centre for Competition Policy University of East Anglia</w:t>
      </w:r>
    </w:p>
    <w:p w14:paraId="498E106A" w14:textId="77777777" w:rsidR="00C869FC" w:rsidRDefault="006146E3" w:rsidP="00840FCB">
      <w:pPr>
        <w:spacing w:line="240" w:lineRule="auto"/>
        <w:rPr>
          <w:sz w:val="20"/>
        </w:rPr>
      </w:pPr>
      <w:r w:rsidRPr="00470E2A">
        <w:rPr>
          <w:sz w:val="20"/>
        </w:rPr>
        <w:t xml:space="preserve">Gardner, J. </w:t>
      </w:r>
      <w:r w:rsidR="00C079BA" w:rsidRPr="00470E2A">
        <w:rPr>
          <w:sz w:val="20"/>
        </w:rPr>
        <w:t>and</w:t>
      </w:r>
      <w:r w:rsidRPr="00470E2A">
        <w:rPr>
          <w:sz w:val="20"/>
        </w:rPr>
        <w:t xml:space="preserve"> N</w:t>
      </w:r>
      <w:r w:rsidR="0054121F" w:rsidRPr="00470E2A">
        <w:rPr>
          <w:sz w:val="20"/>
        </w:rPr>
        <w:t>il</w:t>
      </w:r>
      <w:r w:rsidR="002D0BAB">
        <w:rPr>
          <w:sz w:val="20"/>
        </w:rPr>
        <w:t>s</w:t>
      </w:r>
      <w:r w:rsidR="0054121F" w:rsidRPr="00470E2A">
        <w:rPr>
          <w:sz w:val="20"/>
        </w:rPr>
        <w:t>son</w:t>
      </w:r>
      <w:r w:rsidRPr="00470E2A">
        <w:rPr>
          <w:sz w:val="20"/>
        </w:rPr>
        <w:t>, D. 2017. Exploring the drivers and barriers of consumer engagement in the Victorian retail energy market. CSIRO, Australia</w:t>
      </w:r>
    </w:p>
    <w:p w14:paraId="41A7572A" w14:textId="77777777" w:rsidR="00C869FC" w:rsidRDefault="006146E3" w:rsidP="00840FCB">
      <w:pPr>
        <w:spacing w:line="240" w:lineRule="auto"/>
        <w:rPr>
          <w:sz w:val="20"/>
        </w:rPr>
      </w:pPr>
      <w:r w:rsidRPr="00470E2A">
        <w:rPr>
          <w:sz w:val="20"/>
        </w:rPr>
        <w:t>Golman, R, Hagmann</w:t>
      </w:r>
      <w:r w:rsidR="002D0BAB">
        <w:rPr>
          <w:sz w:val="20"/>
        </w:rPr>
        <w:t>, D</w:t>
      </w:r>
      <w:r w:rsidRPr="00470E2A">
        <w:rPr>
          <w:sz w:val="20"/>
        </w:rPr>
        <w:t>, and Loewenstein</w:t>
      </w:r>
      <w:r w:rsidR="002D0BAB">
        <w:rPr>
          <w:sz w:val="20"/>
        </w:rPr>
        <w:t>, G</w:t>
      </w:r>
      <w:r w:rsidRPr="00470E2A">
        <w:rPr>
          <w:sz w:val="20"/>
        </w:rPr>
        <w:t xml:space="preserve">. 2017. "Information Avoidance." </w:t>
      </w:r>
      <w:r w:rsidRPr="00470E2A">
        <w:rPr>
          <w:i/>
          <w:sz w:val="20"/>
        </w:rPr>
        <w:t>Journal of Economic Literature.</w:t>
      </w:r>
      <w:r w:rsidRPr="00470E2A">
        <w:rPr>
          <w:sz w:val="20"/>
        </w:rPr>
        <w:t xml:space="preserve"> 55 (1): 96-135</w:t>
      </w:r>
    </w:p>
    <w:p w14:paraId="61ED0BB8" w14:textId="77777777" w:rsidR="00C869FC" w:rsidRDefault="003403AB" w:rsidP="00840FCB">
      <w:pPr>
        <w:spacing w:line="240" w:lineRule="auto"/>
        <w:rPr>
          <w:rFonts w:asciiTheme="majorHAnsi" w:hAnsiTheme="majorHAnsi" w:cstheme="majorHAnsi"/>
          <w:sz w:val="20"/>
        </w:rPr>
      </w:pPr>
      <w:r w:rsidRPr="00F85F92">
        <w:rPr>
          <w:rFonts w:asciiTheme="majorHAnsi" w:hAnsiTheme="majorHAnsi" w:cstheme="majorHAnsi"/>
          <w:color w:val="222222"/>
          <w:sz w:val="20"/>
          <w:szCs w:val="20"/>
          <w:shd w:val="clear" w:color="auto" w:fill="FFFFFF"/>
        </w:rPr>
        <w:t>Guney, B. and Richter, M., 2018. Costly switching from a status quo. </w:t>
      </w:r>
      <w:r w:rsidRPr="00F85F92">
        <w:rPr>
          <w:rFonts w:asciiTheme="majorHAnsi" w:hAnsiTheme="majorHAnsi" w:cstheme="majorHAnsi"/>
          <w:i/>
          <w:color w:val="222222"/>
          <w:sz w:val="20"/>
          <w:szCs w:val="20"/>
          <w:shd w:val="clear" w:color="auto" w:fill="FFFFFF"/>
        </w:rPr>
        <w:t>Journal of Economic Behavior &amp; Organization</w:t>
      </w:r>
      <w:r w:rsidRPr="00F85F92">
        <w:rPr>
          <w:rFonts w:asciiTheme="majorHAnsi" w:hAnsiTheme="majorHAnsi" w:cstheme="majorHAnsi"/>
          <w:color w:val="222222"/>
          <w:sz w:val="20"/>
          <w:szCs w:val="20"/>
          <w:shd w:val="clear" w:color="auto" w:fill="FFFFFF"/>
        </w:rPr>
        <w:t>, </w:t>
      </w:r>
      <w:r w:rsidRPr="00F85F92">
        <w:rPr>
          <w:rFonts w:asciiTheme="majorHAnsi" w:hAnsiTheme="majorHAnsi" w:cstheme="majorHAnsi"/>
          <w:i/>
          <w:color w:val="222222"/>
          <w:sz w:val="20"/>
          <w:szCs w:val="20"/>
          <w:shd w:val="clear" w:color="auto" w:fill="FFFFFF"/>
        </w:rPr>
        <w:t>156</w:t>
      </w:r>
      <w:r w:rsidRPr="00F85F92">
        <w:rPr>
          <w:rFonts w:asciiTheme="majorHAnsi" w:hAnsiTheme="majorHAnsi" w:cstheme="majorHAnsi"/>
          <w:color w:val="222222"/>
          <w:sz w:val="20"/>
          <w:szCs w:val="20"/>
          <w:shd w:val="clear" w:color="auto" w:fill="FFFFFF"/>
        </w:rPr>
        <w:t>, pp.55-70.</w:t>
      </w:r>
    </w:p>
    <w:p w14:paraId="1AD15B3C" w14:textId="7BCF7CA0" w:rsidR="000D1DAB" w:rsidRDefault="000D1DAB" w:rsidP="00840FCB">
      <w:pPr>
        <w:spacing w:line="240" w:lineRule="auto"/>
        <w:rPr>
          <w:rFonts w:cstheme="minorHAnsi"/>
          <w:sz w:val="20"/>
          <w:szCs w:val="20"/>
        </w:rPr>
      </w:pPr>
      <w:r w:rsidRPr="00470E2A">
        <w:rPr>
          <w:rFonts w:cstheme="minorHAnsi"/>
          <w:sz w:val="20"/>
          <w:szCs w:val="20"/>
        </w:rPr>
        <w:t xml:space="preserve">Heath, C. and Heath, D., 2010. Switch: How to change when change is hard. </w:t>
      </w:r>
      <w:r w:rsidRPr="00470E2A">
        <w:rPr>
          <w:rFonts w:cstheme="minorHAnsi"/>
          <w:i/>
          <w:sz w:val="20"/>
          <w:szCs w:val="20"/>
        </w:rPr>
        <w:t>New York, NY</w:t>
      </w:r>
      <w:r w:rsidRPr="00470E2A">
        <w:rPr>
          <w:rFonts w:cstheme="minorHAnsi"/>
          <w:sz w:val="20"/>
          <w:szCs w:val="20"/>
        </w:rPr>
        <w:t>.</w:t>
      </w:r>
    </w:p>
    <w:p w14:paraId="05D6EDB3" w14:textId="77777777" w:rsidR="00C869FC" w:rsidRDefault="00B90E33" w:rsidP="00840FCB">
      <w:pPr>
        <w:spacing w:line="240" w:lineRule="auto"/>
        <w:rPr>
          <w:rFonts w:asciiTheme="majorHAnsi" w:hAnsiTheme="majorHAnsi" w:cstheme="majorHAnsi"/>
          <w:sz w:val="20"/>
        </w:rPr>
      </w:pPr>
      <w:r w:rsidRPr="00B1312D">
        <w:rPr>
          <w:rFonts w:asciiTheme="majorHAnsi" w:hAnsiTheme="majorHAnsi" w:cstheme="majorHAnsi"/>
          <w:color w:val="222222"/>
          <w:sz w:val="20"/>
          <w:szCs w:val="20"/>
          <w:shd w:val="clear" w:color="auto" w:fill="FFFFFF"/>
        </w:rPr>
        <w:t>Hortaçsu, A., Madanizadeh, S.A. and Puller, S.L., 2017. Power to choose? An analysis of consumer inertia in the residential electricity market. </w:t>
      </w:r>
      <w:r w:rsidRPr="00B1312D">
        <w:rPr>
          <w:rFonts w:asciiTheme="majorHAnsi" w:hAnsiTheme="majorHAnsi" w:cstheme="majorHAnsi"/>
          <w:i/>
          <w:iCs/>
          <w:color w:val="222222"/>
          <w:sz w:val="20"/>
          <w:szCs w:val="20"/>
          <w:shd w:val="clear" w:color="auto" w:fill="FFFFFF"/>
        </w:rPr>
        <w:t>American Economic Journal: Economic Policy</w:t>
      </w:r>
      <w:r w:rsidRPr="00B1312D">
        <w:rPr>
          <w:rFonts w:asciiTheme="majorHAnsi" w:hAnsiTheme="majorHAnsi" w:cstheme="majorHAnsi"/>
          <w:color w:val="222222"/>
          <w:sz w:val="20"/>
          <w:szCs w:val="20"/>
          <w:shd w:val="clear" w:color="auto" w:fill="FFFFFF"/>
        </w:rPr>
        <w:t>, </w:t>
      </w:r>
      <w:r w:rsidRPr="00B1312D">
        <w:rPr>
          <w:rFonts w:asciiTheme="majorHAnsi" w:hAnsiTheme="majorHAnsi" w:cstheme="majorHAnsi"/>
          <w:i/>
          <w:iCs/>
          <w:color w:val="222222"/>
          <w:sz w:val="20"/>
          <w:szCs w:val="20"/>
          <w:shd w:val="clear" w:color="auto" w:fill="FFFFFF"/>
        </w:rPr>
        <w:t>9</w:t>
      </w:r>
      <w:r w:rsidRPr="00B1312D">
        <w:rPr>
          <w:rFonts w:asciiTheme="majorHAnsi" w:hAnsiTheme="majorHAnsi" w:cstheme="majorHAnsi"/>
          <w:color w:val="222222"/>
          <w:sz w:val="20"/>
          <w:szCs w:val="20"/>
          <w:shd w:val="clear" w:color="auto" w:fill="FFFFFF"/>
        </w:rPr>
        <w:t>(4), pp.192-226.</w:t>
      </w:r>
    </w:p>
    <w:p w14:paraId="1071CD4F" w14:textId="77777777" w:rsidR="00C869FC" w:rsidRDefault="00B86532" w:rsidP="00840FCB">
      <w:pPr>
        <w:spacing w:line="240" w:lineRule="auto"/>
        <w:rPr>
          <w:sz w:val="20"/>
          <w:lang w:val="en-US" w:eastAsia="zh-CN"/>
        </w:rPr>
      </w:pPr>
      <w:r w:rsidRPr="00470E2A">
        <w:rPr>
          <w:sz w:val="20"/>
          <w:lang w:val="en-US" w:eastAsia="zh-CN"/>
        </w:rPr>
        <w:t>Jessoe K, and Rapson D, 2014. "Knowledge Is (Less) Power: Experimental Evidence from Residential Energy Use." </w:t>
      </w:r>
      <w:r w:rsidRPr="00470E2A">
        <w:rPr>
          <w:i/>
          <w:sz w:val="20"/>
          <w:lang w:val="en-US" w:eastAsia="zh-CN"/>
        </w:rPr>
        <w:t>American Economic Review</w:t>
      </w:r>
      <w:r w:rsidRPr="00470E2A">
        <w:rPr>
          <w:sz w:val="20"/>
          <w:lang w:val="en-US" w:eastAsia="zh-CN"/>
        </w:rPr>
        <w:t>, 104 (4): 1417-38.</w:t>
      </w:r>
    </w:p>
    <w:p w14:paraId="2244E826" w14:textId="77777777" w:rsidR="00C869FC" w:rsidRDefault="00E37081" w:rsidP="00840FCB">
      <w:pPr>
        <w:spacing w:line="240" w:lineRule="auto"/>
        <w:rPr>
          <w:rFonts w:cstheme="minorHAnsi"/>
          <w:sz w:val="20"/>
          <w:szCs w:val="20"/>
        </w:rPr>
      </w:pPr>
      <w:r w:rsidRPr="00470E2A">
        <w:rPr>
          <w:sz w:val="20"/>
        </w:rPr>
        <w:t>Jones</w:t>
      </w:r>
      <w:r w:rsidRPr="00470E2A">
        <w:rPr>
          <w:rFonts w:cstheme="minorHAnsi"/>
          <w:sz w:val="20"/>
          <w:szCs w:val="20"/>
        </w:rPr>
        <w:t xml:space="preserve">, M.A., Mothersbaugh, D.L. and Beatty, S.E., 2002. Why customers stay: measuring the underlying dimensions of services switching costs and managing their differential strategic outcomes. </w:t>
      </w:r>
      <w:r w:rsidRPr="00470E2A">
        <w:rPr>
          <w:rFonts w:cstheme="minorHAnsi"/>
          <w:i/>
          <w:sz w:val="20"/>
          <w:szCs w:val="20"/>
        </w:rPr>
        <w:t>Journal of business research</w:t>
      </w:r>
      <w:r w:rsidRPr="00470E2A">
        <w:rPr>
          <w:rFonts w:cstheme="minorHAnsi"/>
          <w:sz w:val="20"/>
          <w:szCs w:val="20"/>
        </w:rPr>
        <w:t xml:space="preserve">, </w:t>
      </w:r>
      <w:r w:rsidRPr="00470E2A">
        <w:rPr>
          <w:rFonts w:cstheme="minorHAnsi"/>
          <w:i/>
          <w:sz w:val="20"/>
          <w:szCs w:val="20"/>
        </w:rPr>
        <w:t>55</w:t>
      </w:r>
      <w:r w:rsidRPr="00470E2A">
        <w:rPr>
          <w:rFonts w:cstheme="minorHAnsi"/>
          <w:sz w:val="20"/>
          <w:szCs w:val="20"/>
        </w:rPr>
        <w:t>(6), pp.441-450.</w:t>
      </w:r>
    </w:p>
    <w:p w14:paraId="6059C65F" w14:textId="77777777" w:rsidR="00C869FC" w:rsidRDefault="006146E3" w:rsidP="00840FCB">
      <w:pPr>
        <w:spacing w:line="240" w:lineRule="auto"/>
        <w:rPr>
          <w:sz w:val="20"/>
        </w:rPr>
      </w:pPr>
      <w:r w:rsidRPr="00470E2A">
        <w:rPr>
          <w:sz w:val="20"/>
        </w:rPr>
        <w:t xml:space="preserve">Karjalainen, S. 2011. Consumer preferences for feedback on household electricity consumption. </w:t>
      </w:r>
      <w:r w:rsidR="0098420D" w:rsidRPr="00470E2A">
        <w:rPr>
          <w:i/>
          <w:sz w:val="20"/>
        </w:rPr>
        <w:t>Energ</w:t>
      </w:r>
      <w:r w:rsidRPr="00470E2A">
        <w:rPr>
          <w:i/>
          <w:sz w:val="20"/>
        </w:rPr>
        <w:t>y and buildings</w:t>
      </w:r>
      <w:r w:rsidRPr="00470E2A">
        <w:rPr>
          <w:sz w:val="20"/>
        </w:rPr>
        <w:t>. 43, 458-467</w:t>
      </w:r>
    </w:p>
    <w:p w14:paraId="66486E1E" w14:textId="77777777" w:rsidR="00C869FC" w:rsidRDefault="00394F37" w:rsidP="00840FCB">
      <w:pPr>
        <w:spacing w:line="240" w:lineRule="auto"/>
        <w:rPr>
          <w:sz w:val="20"/>
        </w:rPr>
      </w:pPr>
      <w:r w:rsidRPr="00470E2A">
        <w:rPr>
          <w:sz w:val="20"/>
        </w:rPr>
        <w:t xml:space="preserve">Marzilli K, </w:t>
      </w:r>
      <w:r w:rsidR="00C079BA" w:rsidRPr="00470E2A">
        <w:rPr>
          <w:sz w:val="20"/>
        </w:rPr>
        <w:t>and</w:t>
      </w:r>
      <w:r w:rsidRPr="00470E2A">
        <w:rPr>
          <w:sz w:val="20"/>
        </w:rPr>
        <w:t xml:space="preserve"> Starc</w:t>
      </w:r>
      <w:r w:rsidR="007E3835" w:rsidRPr="00470E2A">
        <w:rPr>
          <w:sz w:val="20"/>
        </w:rPr>
        <w:t xml:space="preserve"> A, 2016. How product standardization affects choice: Evidence from the Massachusetts Health Insurance Exchange. </w:t>
      </w:r>
      <w:r w:rsidR="007E3835" w:rsidRPr="00470E2A">
        <w:rPr>
          <w:i/>
          <w:sz w:val="20"/>
        </w:rPr>
        <w:t>Journal of Health Economics 50</w:t>
      </w:r>
      <w:r w:rsidR="007E3835" w:rsidRPr="00470E2A">
        <w:rPr>
          <w:sz w:val="20"/>
        </w:rPr>
        <w:t>, 71-85</w:t>
      </w:r>
    </w:p>
    <w:p w14:paraId="03D70B88" w14:textId="77777777" w:rsidR="00C869FC" w:rsidRDefault="00394F37" w:rsidP="00840FCB">
      <w:pPr>
        <w:spacing w:line="240" w:lineRule="auto"/>
        <w:rPr>
          <w:sz w:val="20"/>
          <w:szCs w:val="20"/>
        </w:rPr>
      </w:pPr>
      <w:r w:rsidRPr="00470E2A">
        <w:rPr>
          <w:sz w:val="20"/>
        </w:rPr>
        <w:t xml:space="preserve">Marzilli K, Kingsdale </w:t>
      </w:r>
      <w:r w:rsidR="00C079BA" w:rsidRPr="00470E2A">
        <w:rPr>
          <w:sz w:val="20"/>
        </w:rPr>
        <w:t>J, Layton T, and</w:t>
      </w:r>
      <w:r w:rsidRPr="00470E2A">
        <w:rPr>
          <w:sz w:val="20"/>
        </w:rPr>
        <w:t xml:space="preserve"> Sacarny A, 2017. Nudging Leads Consumers In Colorado To Shop But Not Switch ACA Marketplace Plans. </w:t>
      </w:r>
      <w:r w:rsidRPr="00470E2A">
        <w:rPr>
          <w:i/>
          <w:sz w:val="20"/>
        </w:rPr>
        <w:t>Health Affairs 36</w:t>
      </w:r>
      <w:r w:rsidRPr="00470E2A">
        <w:rPr>
          <w:sz w:val="20"/>
        </w:rPr>
        <w:t>:2, 311-319</w:t>
      </w:r>
    </w:p>
    <w:p w14:paraId="5CBC10EA" w14:textId="77777777" w:rsidR="00C869FC" w:rsidRDefault="00755FAA" w:rsidP="00840FCB">
      <w:pPr>
        <w:spacing w:line="240" w:lineRule="auto"/>
        <w:rPr>
          <w:sz w:val="20"/>
        </w:rPr>
      </w:pPr>
      <w:r w:rsidRPr="00470E2A">
        <w:rPr>
          <w:sz w:val="20"/>
        </w:rPr>
        <w:t>Ofgem,</w:t>
      </w:r>
      <w:r w:rsidR="006146E3" w:rsidRPr="00470E2A">
        <w:rPr>
          <w:sz w:val="20"/>
        </w:rPr>
        <w:t xml:space="preserve"> 2009. Ofgem Consumer First Panel – Research Findings from the</w:t>
      </w:r>
      <w:r w:rsidR="00A463D3" w:rsidRPr="00A463D3">
        <w:rPr>
          <w:sz w:val="20"/>
        </w:rPr>
        <w:t xml:space="preserve"> </w:t>
      </w:r>
      <w:r w:rsidR="00A463D3">
        <w:rPr>
          <w:sz w:val="20"/>
        </w:rPr>
        <w:t>Second Events – Billing Information and Price Metrics</w:t>
      </w:r>
    </w:p>
    <w:p w14:paraId="2773A336" w14:textId="77777777" w:rsidR="00C869FC" w:rsidRDefault="00755FAA" w:rsidP="00840FCB">
      <w:pPr>
        <w:spacing w:line="240" w:lineRule="auto"/>
        <w:rPr>
          <w:sz w:val="20"/>
        </w:rPr>
      </w:pPr>
      <w:r w:rsidRPr="00470E2A">
        <w:rPr>
          <w:sz w:val="20"/>
        </w:rPr>
        <w:t xml:space="preserve">Ofgem, 2011. </w:t>
      </w:r>
      <w:r w:rsidR="002457B5" w:rsidRPr="00470E2A">
        <w:rPr>
          <w:sz w:val="20"/>
        </w:rPr>
        <w:t>Energy Demand Research Project: Final Analysis</w:t>
      </w:r>
    </w:p>
    <w:p w14:paraId="3CC8A96C" w14:textId="77777777" w:rsidR="00C869FC" w:rsidRDefault="001F477E" w:rsidP="00840FCB">
      <w:pPr>
        <w:spacing w:line="240" w:lineRule="auto"/>
        <w:rPr>
          <w:sz w:val="20"/>
        </w:rPr>
      </w:pPr>
      <w:r w:rsidRPr="00470E2A">
        <w:rPr>
          <w:sz w:val="20"/>
        </w:rPr>
        <w:t>Ofgem, 2017. Cheaper Market Offer Letters Trial</w:t>
      </w:r>
    </w:p>
    <w:p w14:paraId="4E86556C" w14:textId="77777777" w:rsidR="00C869FC" w:rsidRDefault="00D33A2F" w:rsidP="00840FCB">
      <w:pPr>
        <w:spacing w:line="240" w:lineRule="auto"/>
        <w:rPr>
          <w:sz w:val="20"/>
        </w:rPr>
      </w:pPr>
      <w:r>
        <w:rPr>
          <w:sz w:val="20"/>
        </w:rPr>
        <w:t xml:space="preserve">Robers, S </w:t>
      </w:r>
      <w:r w:rsidR="005D0359">
        <w:rPr>
          <w:sz w:val="20"/>
        </w:rPr>
        <w:t>and</w:t>
      </w:r>
      <w:r>
        <w:rPr>
          <w:sz w:val="20"/>
        </w:rPr>
        <w:t xml:space="preserve"> Baker, W. 2003. Towards effective energy information. </w:t>
      </w:r>
      <w:r>
        <w:rPr>
          <w:i/>
          <w:sz w:val="20"/>
        </w:rPr>
        <w:t>Improving Consumer Feedback on Energy Consumption, Centre for Sustainable Energy, Bristol, UK.</w:t>
      </w:r>
    </w:p>
    <w:p w14:paraId="34C84E74" w14:textId="77777777" w:rsidR="00C869FC" w:rsidRDefault="00DA1225" w:rsidP="00840FCB">
      <w:pPr>
        <w:spacing w:line="240" w:lineRule="auto"/>
        <w:rPr>
          <w:sz w:val="20"/>
        </w:rPr>
      </w:pPr>
      <w:r w:rsidRPr="00470E2A">
        <w:rPr>
          <w:sz w:val="20"/>
        </w:rPr>
        <w:t>Samuelson, W., Zeckhauser, R. Status quo bias in decision making. </w:t>
      </w:r>
      <w:r w:rsidRPr="000579C2">
        <w:rPr>
          <w:i/>
          <w:sz w:val="20"/>
        </w:rPr>
        <w:t>J Risk Uncertainty</w:t>
      </w:r>
      <w:r w:rsidRPr="00470E2A">
        <w:rPr>
          <w:sz w:val="20"/>
        </w:rPr>
        <w:t xml:space="preserve"> 1, 7–59 (1988). </w:t>
      </w:r>
    </w:p>
    <w:p w14:paraId="2B2EA5A1" w14:textId="77777777" w:rsidR="00C869FC" w:rsidRDefault="00E05D96" w:rsidP="00840FCB">
      <w:pPr>
        <w:spacing w:line="240" w:lineRule="auto"/>
        <w:rPr>
          <w:rFonts w:asciiTheme="majorHAnsi" w:hAnsiTheme="majorHAnsi" w:cstheme="majorHAnsi"/>
          <w:sz w:val="20"/>
        </w:rPr>
      </w:pPr>
      <w:r w:rsidRPr="00E05D96">
        <w:rPr>
          <w:rFonts w:asciiTheme="majorHAnsi" w:hAnsiTheme="majorHAnsi" w:cstheme="majorHAnsi"/>
          <w:color w:val="222222"/>
          <w:sz w:val="20"/>
          <w:szCs w:val="20"/>
          <w:shd w:val="clear" w:color="auto" w:fill="FFFFFF"/>
        </w:rPr>
        <w:t>Schleich, J., Faure, C. and Gassmann, X., 2019. Household internal and external electricity contract switching in EU countries. </w:t>
      </w:r>
      <w:r w:rsidRPr="00E05D96">
        <w:rPr>
          <w:rFonts w:asciiTheme="majorHAnsi" w:hAnsiTheme="majorHAnsi" w:cstheme="majorHAnsi"/>
          <w:i/>
          <w:iCs/>
          <w:color w:val="222222"/>
          <w:sz w:val="20"/>
          <w:szCs w:val="20"/>
          <w:shd w:val="clear" w:color="auto" w:fill="FFFFFF"/>
        </w:rPr>
        <w:t>Applied Economics</w:t>
      </w:r>
      <w:r w:rsidRPr="00E05D96">
        <w:rPr>
          <w:rFonts w:asciiTheme="majorHAnsi" w:hAnsiTheme="majorHAnsi" w:cstheme="majorHAnsi"/>
          <w:color w:val="222222"/>
          <w:sz w:val="20"/>
          <w:szCs w:val="20"/>
          <w:shd w:val="clear" w:color="auto" w:fill="FFFFFF"/>
        </w:rPr>
        <w:t>, </w:t>
      </w:r>
      <w:r w:rsidRPr="00E05D96">
        <w:rPr>
          <w:rFonts w:asciiTheme="majorHAnsi" w:hAnsiTheme="majorHAnsi" w:cstheme="majorHAnsi"/>
          <w:i/>
          <w:iCs/>
          <w:color w:val="222222"/>
          <w:sz w:val="20"/>
          <w:szCs w:val="20"/>
          <w:shd w:val="clear" w:color="auto" w:fill="FFFFFF"/>
        </w:rPr>
        <w:t>51</w:t>
      </w:r>
      <w:r w:rsidRPr="00E05D96">
        <w:rPr>
          <w:rFonts w:asciiTheme="majorHAnsi" w:hAnsiTheme="majorHAnsi" w:cstheme="majorHAnsi"/>
          <w:color w:val="222222"/>
          <w:sz w:val="20"/>
          <w:szCs w:val="20"/>
          <w:shd w:val="clear" w:color="auto" w:fill="FFFFFF"/>
        </w:rPr>
        <w:t>(1), pp.103-116.</w:t>
      </w:r>
    </w:p>
    <w:p w14:paraId="1C34D678" w14:textId="77777777" w:rsidR="00C869FC" w:rsidRDefault="00C079BA" w:rsidP="00840FCB">
      <w:pPr>
        <w:spacing w:line="240" w:lineRule="auto"/>
        <w:rPr>
          <w:sz w:val="20"/>
        </w:rPr>
      </w:pPr>
      <w:r w:rsidRPr="00470E2A">
        <w:rPr>
          <w:sz w:val="20"/>
        </w:rPr>
        <w:lastRenderedPageBreak/>
        <w:t>Schultz</w:t>
      </w:r>
      <w:r w:rsidR="00DD3D9B" w:rsidRPr="00470E2A">
        <w:rPr>
          <w:sz w:val="20"/>
        </w:rPr>
        <w:t xml:space="preserve"> W, Nolan J, Cialdini R, Goldstein</w:t>
      </w:r>
      <w:r w:rsidRPr="00470E2A">
        <w:rPr>
          <w:sz w:val="20"/>
        </w:rPr>
        <w:t xml:space="preserve"> N</w:t>
      </w:r>
      <w:r w:rsidR="00DD3D9B" w:rsidRPr="00470E2A">
        <w:rPr>
          <w:sz w:val="20"/>
        </w:rPr>
        <w:t xml:space="preserve">, </w:t>
      </w:r>
      <w:r w:rsidRPr="00470E2A">
        <w:rPr>
          <w:sz w:val="20"/>
        </w:rPr>
        <w:t xml:space="preserve">and </w:t>
      </w:r>
      <w:r w:rsidR="00DD3D9B" w:rsidRPr="00470E2A">
        <w:rPr>
          <w:sz w:val="20"/>
        </w:rPr>
        <w:t>Griskevicius</w:t>
      </w:r>
      <w:r w:rsidRPr="00470E2A">
        <w:rPr>
          <w:sz w:val="20"/>
        </w:rPr>
        <w:t xml:space="preserve"> V</w:t>
      </w:r>
      <w:r w:rsidR="00DD3D9B" w:rsidRPr="00470E2A">
        <w:rPr>
          <w:sz w:val="20"/>
        </w:rPr>
        <w:t>,</w:t>
      </w:r>
      <w:r w:rsidRPr="00470E2A">
        <w:rPr>
          <w:sz w:val="20"/>
        </w:rPr>
        <w:t xml:space="preserve"> </w:t>
      </w:r>
      <w:r w:rsidR="00DD3D9B" w:rsidRPr="00470E2A">
        <w:rPr>
          <w:sz w:val="20"/>
        </w:rPr>
        <w:t>2007. The Constructive, Destructive, and Reconstructive Power of Social Norms.</w:t>
      </w:r>
      <w:r w:rsidRPr="00470E2A">
        <w:rPr>
          <w:sz w:val="20"/>
        </w:rPr>
        <w:t xml:space="preserve"> </w:t>
      </w:r>
      <w:r w:rsidR="00DD3D9B" w:rsidRPr="00470E2A">
        <w:rPr>
          <w:i/>
          <w:sz w:val="20"/>
        </w:rPr>
        <w:t>Psychological Science 18</w:t>
      </w:r>
      <w:r w:rsidR="00DD3D9B" w:rsidRPr="00470E2A">
        <w:rPr>
          <w:sz w:val="20"/>
        </w:rPr>
        <w:t>, 429–434</w:t>
      </w:r>
    </w:p>
    <w:p w14:paraId="06FADDD6" w14:textId="77777777" w:rsidR="00C869FC" w:rsidRDefault="00371D08" w:rsidP="00840FCB">
      <w:pPr>
        <w:spacing w:line="240" w:lineRule="auto"/>
        <w:rPr>
          <w:sz w:val="20"/>
        </w:rPr>
      </w:pPr>
      <w:r w:rsidRPr="00470E2A">
        <w:rPr>
          <w:sz w:val="20"/>
        </w:rPr>
        <w:t xml:space="preserve">Schultz P, Estrada M, Schmitt J, Sokoloski R, </w:t>
      </w:r>
      <w:r w:rsidR="00C079BA" w:rsidRPr="00470E2A">
        <w:rPr>
          <w:sz w:val="20"/>
        </w:rPr>
        <w:t>and</w:t>
      </w:r>
      <w:r w:rsidRPr="00470E2A">
        <w:rPr>
          <w:sz w:val="20"/>
        </w:rPr>
        <w:t xml:space="preserve"> Silva-Send N, 2015. Using in-home displays to provide smart meter feedback about household electricity consumption: A randomised control trial comparing kilowatts, cost, and social norms. </w:t>
      </w:r>
      <w:r w:rsidRPr="00470E2A">
        <w:rPr>
          <w:i/>
          <w:sz w:val="20"/>
        </w:rPr>
        <w:t>Energy 90</w:t>
      </w:r>
      <w:r w:rsidRPr="00470E2A">
        <w:rPr>
          <w:sz w:val="20"/>
        </w:rPr>
        <w:t>, 351-358</w:t>
      </w:r>
    </w:p>
    <w:p w14:paraId="5BB612F6" w14:textId="77777777" w:rsidR="00C869FC" w:rsidRDefault="00A42D37" w:rsidP="00840FCB">
      <w:pPr>
        <w:spacing w:line="240" w:lineRule="auto"/>
        <w:rPr>
          <w:sz w:val="20"/>
        </w:rPr>
      </w:pPr>
      <w:r w:rsidRPr="00470E2A">
        <w:rPr>
          <w:sz w:val="20"/>
          <w:lang w:val="en-US" w:eastAsia="zh-CN"/>
        </w:rPr>
        <w:t xml:space="preserve">Sexton S, 2015. Automatic Bill Payment and Salience Effects: Evidence from Electricity Consumption. </w:t>
      </w:r>
      <w:r w:rsidRPr="00470E2A">
        <w:rPr>
          <w:i/>
          <w:sz w:val="20"/>
          <w:lang w:val="en-US" w:eastAsia="zh-CN"/>
        </w:rPr>
        <w:t>Review of Economics and Statistics</w:t>
      </w:r>
      <w:r w:rsidRPr="00470E2A">
        <w:rPr>
          <w:sz w:val="20"/>
          <w:lang w:val="en-US" w:eastAsia="zh-CN"/>
        </w:rPr>
        <w:t>. 97 (2), 229-241</w:t>
      </w:r>
    </w:p>
    <w:p w14:paraId="5C7630F0" w14:textId="32755E79" w:rsidR="006146E3" w:rsidRPr="00470E2A" w:rsidRDefault="00C079BA" w:rsidP="00840FCB">
      <w:pPr>
        <w:spacing w:line="240" w:lineRule="auto"/>
        <w:rPr>
          <w:sz w:val="20"/>
          <w:lang w:val="en-US" w:eastAsia="zh-CN"/>
        </w:rPr>
      </w:pPr>
      <w:r w:rsidRPr="00470E2A">
        <w:rPr>
          <w:sz w:val="20"/>
          <w:lang w:val="en-US" w:eastAsia="zh-CN"/>
        </w:rPr>
        <w:t>Sitzia, S., Zheng, J. and</w:t>
      </w:r>
      <w:r w:rsidR="006146E3" w:rsidRPr="00470E2A">
        <w:rPr>
          <w:sz w:val="20"/>
          <w:lang w:val="en-US" w:eastAsia="zh-CN"/>
        </w:rPr>
        <w:t xml:space="preserve"> Zizzo, D.J. 2015. Inattentive consumers in markets for services. Theory and Decision 79, 307-332</w:t>
      </w:r>
    </w:p>
    <w:p w14:paraId="2B8FEC1A" w14:textId="77777777" w:rsidR="007F33DE" w:rsidRDefault="007F33DE" w:rsidP="00503B30">
      <w:pPr>
        <w:spacing w:after="0" w:line="240" w:lineRule="auto"/>
        <w:rPr>
          <w:rFonts w:asciiTheme="majorHAnsi" w:hAnsiTheme="majorHAnsi"/>
          <w:color w:val="178A79" w:themeColor="accent3" w:themeShade="BF"/>
          <w:sz w:val="24"/>
          <w:lang w:val="en-US" w:eastAsia="en-US"/>
        </w:rPr>
      </w:pPr>
    </w:p>
    <w:p w14:paraId="74480242" w14:textId="7FF132E1" w:rsidR="007F33DE" w:rsidRPr="00B1312D" w:rsidRDefault="007F33DE">
      <w:pPr>
        <w:spacing w:after="0" w:line="240" w:lineRule="auto"/>
        <w:rPr>
          <w:rFonts w:asciiTheme="majorHAnsi" w:hAnsiTheme="majorHAnsi" w:cstheme="majorHAnsi"/>
          <w:color w:val="178A79" w:themeColor="accent3" w:themeShade="BF"/>
          <w:sz w:val="24"/>
          <w:lang w:val="en-US" w:eastAsia="en-US"/>
        </w:rPr>
      </w:pPr>
      <w:r w:rsidRPr="00B1312D">
        <w:rPr>
          <w:rFonts w:asciiTheme="majorHAnsi" w:hAnsiTheme="majorHAnsi" w:cstheme="majorHAnsi"/>
          <w:color w:val="178A79" w:themeColor="accent3" w:themeShade="BF"/>
          <w:sz w:val="24"/>
          <w:lang w:val="en-US" w:eastAsia="en-US"/>
        </w:rPr>
        <w:br w:type="page"/>
      </w:r>
    </w:p>
    <w:p w14:paraId="73428208" w14:textId="7D8B1A20" w:rsidR="006146E3" w:rsidRDefault="006146E3" w:rsidP="001268D5">
      <w:pPr>
        <w:pStyle w:val="Heading3"/>
      </w:pPr>
      <w:bookmarkStart w:id="133" w:name="_Toc68611291"/>
      <w:bookmarkStart w:id="134" w:name="_Toc68621187"/>
      <w:bookmarkStart w:id="135" w:name="_Toc68621228"/>
      <w:bookmarkStart w:id="136" w:name="_Toc68700462"/>
      <w:bookmarkStart w:id="137" w:name="_Toc68775873"/>
      <w:bookmarkStart w:id="138" w:name="_Toc68789277"/>
      <w:bookmarkStart w:id="139" w:name="_Toc68791945"/>
      <w:bookmarkStart w:id="140" w:name="_Toc86091084"/>
      <w:r>
        <w:lastRenderedPageBreak/>
        <w:t>Submissions to AEMC consultation</w:t>
      </w:r>
      <w:bookmarkEnd w:id="133"/>
      <w:bookmarkEnd w:id="134"/>
      <w:bookmarkEnd w:id="135"/>
      <w:bookmarkEnd w:id="136"/>
      <w:bookmarkEnd w:id="137"/>
      <w:bookmarkEnd w:id="138"/>
      <w:bookmarkEnd w:id="139"/>
      <w:bookmarkEnd w:id="140"/>
    </w:p>
    <w:p w14:paraId="59835D4C" w14:textId="56D416C9" w:rsidR="006146E3" w:rsidRPr="00470E2A" w:rsidRDefault="006146E3" w:rsidP="006146E3">
      <w:pPr>
        <w:spacing w:after="0" w:line="240" w:lineRule="auto"/>
        <w:rPr>
          <w:sz w:val="20"/>
        </w:rPr>
      </w:pPr>
      <w:r w:rsidRPr="00470E2A">
        <w:rPr>
          <w:sz w:val="20"/>
        </w:rPr>
        <w:t>ACCC 2020. Submission on consultation paper</w:t>
      </w:r>
      <w:r w:rsidR="00F07A03">
        <w:rPr>
          <w:sz w:val="20"/>
        </w:rPr>
        <w:t>. Australian Competition and Consumer Commission</w:t>
      </w:r>
    </w:p>
    <w:p w14:paraId="1F9F1822" w14:textId="06E11D73" w:rsidR="006146E3" w:rsidRPr="00470E2A" w:rsidRDefault="006146E3" w:rsidP="006146E3">
      <w:pPr>
        <w:spacing w:after="0" w:line="240" w:lineRule="auto"/>
        <w:rPr>
          <w:sz w:val="20"/>
        </w:rPr>
      </w:pPr>
      <w:r w:rsidRPr="00470E2A">
        <w:rPr>
          <w:sz w:val="20"/>
        </w:rPr>
        <w:t>ACCC 2021. Response to draft rule</w:t>
      </w:r>
      <w:r w:rsidR="00F07A03">
        <w:rPr>
          <w:sz w:val="20"/>
        </w:rPr>
        <w:t>. Australian Competition and Consumer Commission</w:t>
      </w:r>
    </w:p>
    <w:p w14:paraId="356D9CEE" w14:textId="77777777" w:rsidR="006146E3" w:rsidRPr="00470E2A" w:rsidRDefault="006146E3" w:rsidP="006146E3">
      <w:pPr>
        <w:spacing w:after="0" w:line="240" w:lineRule="auto"/>
        <w:rPr>
          <w:sz w:val="20"/>
        </w:rPr>
      </w:pPr>
      <w:r w:rsidRPr="00470E2A">
        <w:rPr>
          <w:sz w:val="20"/>
        </w:rPr>
        <w:t>Accurassi 2020. Submission on consultation paper</w:t>
      </w:r>
    </w:p>
    <w:p w14:paraId="492A225D" w14:textId="5BC8C59A" w:rsidR="006146E3" w:rsidRPr="00470E2A" w:rsidRDefault="00F07A03" w:rsidP="006146E3">
      <w:pPr>
        <w:spacing w:after="0" w:line="240" w:lineRule="auto"/>
        <w:rPr>
          <w:sz w:val="20"/>
        </w:rPr>
      </w:pPr>
      <w:r>
        <w:rPr>
          <w:sz w:val="20"/>
        </w:rPr>
        <w:t xml:space="preserve">ACTCOSS </w:t>
      </w:r>
      <w:r w:rsidR="006146E3" w:rsidRPr="00470E2A">
        <w:rPr>
          <w:sz w:val="20"/>
        </w:rPr>
        <w:t>2020. Submission on consultation paper</w:t>
      </w:r>
      <w:r>
        <w:rPr>
          <w:sz w:val="20"/>
        </w:rPr>
        <w:t xml:space="preserve">. </w:t>
      </w:r>
      <w:r w:rsidRPr="00470E2A">
        <w:rPr>
          <w:sz w:val="20"/>
        </w:rPr>
        <w:t>ACT Council of Social Services</w:t>
      </w:r>
    </w:p>
    <w:p w14:paraId="32CBE966" w14:textId="77777777" w:rsidR="00F07A03" w:rsidRPr="00470E2A" w:rsidRDefault="00F07A03" w:rsidP="00F07A03">
      <w:pPr>
        <w:spacing w:after="0" w:line="240" w:lineRule="auto"/>
        <w:rPr>
          <w:sz w:val="20"/>
        </w:rPr>
      </w:pPr>
      <w:r>
        <w:rPr>
          <w:sz w:val="20"/>
        </w:rPr>
        <w:t xml:space="preserve">AEC </w:t>
      </w:r>
      <w:r w:rsidRPr="00470E2A">
        <w:rPr>
          <w:sz w:val="20"/>
        </w:rPr>
        <w:t>2020. Submission on consultation paper</w:t>
      </w:r>
      <w:r>
        <w:rPr>
          <w:sz w:val="20"/>
        </w:rPr>
        <w:t xml:space="preserve">. </w:t>
      </w:r>
      <w:r w:rsidRPr="00470E2A">
        <w:rPr>
          <w:sz w:val="20"/>
        </w:rPr>
        <w:t>Australian Energy Council</w:t>
      </w:r>
    </w:p>
    <w:p w14:paraId="53C5CC63" w14:textId="77777777" w:rsidR="00F07A03" w:rsidRPr="00470E2A" w:rsidRDefault="00F07A03" w:rsidP="00F07A03">
      <w:pPr>
        <w:spacing w:after="0" w:line="240" w:lineRule="auto"/>
        <w:rPr>
          <w:sz w:val="20"/>
        </w:rPr>
      </w:pPr>
      <w:r>
        <w:rPr>
          <w:sz w:val="20"/>
        </w:rPr>
        <w:t xml:space="preserve">AEC </w:t>
      </w:r>
      <w:r w:rsidRPr="00470E2A">
        <w:rPr>
          <w:sz w:val="20"/>
        </w:rPr>
        <w:t>2021. Response to draft rule</w:t>
      </w:r>
      <w:r>
        <w:rPr>
          <w:sz w:val="20"/>
        </w:rPr>
        <w:t xml:space="preserve">. </w:t>
      </w:r>
      <w:r w:rsidRPr="00470E2A">
        <w:rPr>
          <w:sz w:val="20"/>
        </w:rPr>
        <w:t>Australian Energy Council</w:t>
      </w:r>
    </w:p>
    <w:p w14:paraId="707523B2" w14:textId="77EB6E8F" w:rsidR="006146E3" w:rsidRPr="00470E2A" w:rsidRDefault="006146E3" w:rsidP="00F07A03">
      <w:pPr>
        <w:spacing w:after="0" w:line="240" w:lineRule="auto"/>
        <w:rPr>
          <w:sz w:val="20"/>
        </w:rPr>
      </w:pPr>
      <w:r w:rsidRPr="00470E2A">
        <w:rPr>
          <w:sz w:val="20"/>
        </w:rPr>
        <w:t>AER 2020. Submission on consultation paper</w:t>
      </w:r>
      <w:r w:rsidR="00F07A03">
        <w:rPr>
          <w:sz w:val="20"/>
        </w:rPr>
        <w:t>. Australian Energy Regulator</w:t>
      </w:r>
    </w:p>
    <w:p w14:paraId="58E762AB" w14:textId="695F0DF5" w:rsidR="006146E3" w:rsidRPr="00470E2A" w:rsidRDefault="006146E3" w:rsidP="006146E3">
      <w:pPr>
        <w:spacing w:after="0" w:line="240" w:lineRule="auto"/>
        <w:rPr>
          <w:sz w:val="20"/>
        </w:rPr>
      </w:pPr>
      <w:r w:rsidRPr="00470E2A">
        <w:rPr>
          <w:sz w:val="20"/>
        </w:rPr>
        <w:t>AER 2021. Response to draft rule</w:t>
      </w:r>
      <w:r w:rsidR="00F07A03">
        <w:rPr>
          <w:sz w:val="20"/>
        </w:rPr>
        <w:t>. Australian Energy Regulator</w:t>
      </w:r>
    </w:p>
    <w:p w14:paraId="3FC10F77" w14:textId="77777777" w:rsidR="006146E3" w:rsidRPr="00470E2A" w:rsidRDefault="006146E3" w:rsidP="006146E3">
      <w:pPr>
        <w:spacing w:after="0" w:line="240" w:lineRule="auto"/>
        <w:rPr>
          <w:sz w:val="20"/>
        </w:rPr>
      </w:pPr>
      <w:r w:rsidRPr="00470E2A">
        <w:rPr>
          <w:sz w:val="20"/>
        </w:rPr>
        <w:t>AGL 2020. Submission on consultation paper</w:t>
      </w:r>
    </w:p>
    <w:p w14:paraId="6C7B1DCC" w14:textId="77777777" w:rsidR="006146E3" w:rsidRPr="00470E2A" w:rsidRDefault="006146E3" w:rsidP="006146E3">
      <w:pPr>
        <w:spacing w:after="0" w:line="240" w:lineRule="auto"/>
        <w:rPr>
          <w:sz w:val="20"/>
        </w:rPr>
      </w:pPr>
      <w:r w:rsidRPr="00470E2A">
        <w:rPr>
          <w:sz w:val="20"/>
        </w:rPr>
        <w:t>AGL 2021. Response to draft rule</w:t>
      </w:r>
    </w:p>
    <w:p w14:paraId="4A330595" w14:textId="77777777" w:rsidR="006146E3" w:rsidRPr="00470E2A" w:rsidRDefault="006146E3" w:rsidP="006146E3">
      <w:pPr>
        <w:spacing w:after="0" w:line="240" w:lineRule="auto"/>
        <w:rPr>
          <w:sz w:val="20"/>
        </w:rPr>
      </w:pPr>
      <w:r w:rsidRPr="00470E2A">
        <w:rPr>
          <w:sz w:val="20"/>
        </w:rPr>
        <w:t>Alinta Energy 2020. Submission on consultation paper</w:t>
      </w:r>
    </w:p>
    <w:p w14:paraId="226A0351" w14:textId="77777777" w:rsidR="006146E3" w:rsidRPr="00470E2A" w:rsidRDefault="006146E3" w:rsidP="006146E3">
      <w:pPr>
        <w:spacing w:after="0" w:line="240" w:lineRule="auto"/>
        <w:rPr>
          <w:sz w:val="20"/>
        </w:rPr>
      </w:pPr>
      <w:r w:rsidRPr="00470E2A">
        <w:rPr>
          <w:sz w:val="20"/>
        </w:rPr>
        <w:t>Alinta Energy 2021. Response to draft rule</w:t>
      </w:r>
    </w:p>
    <w:p w14:paraId="580DFA43" w14:textId="77777777" w:rsidR="006146E3" w:rsidRPr="00470E2A" w:rsidRDefault="006146E3" w:rsidP="006146E3">
      <w:pPr>
        <w:spacing w:after="0" w:line="240" w:lineRule="auto"/>
        <w:rPr>
          <w:sz w:val="20"/>
        </w:rPr>
      </w:pPr>
      <w:r w:rsidRPr="00470E2A">
        <w:rPr>
          <w:sz w:val="20"/>
        </w:rPr>
        <w:t>Aurora Energy 2020. Submission on consultation paper</w:t>
      </w:r>
    </w:p>
    <w:p w14:paraId="79E40A91" w14:textId="77777777" w:rsidR="006146E3" w:rsidRPr="00470E2A" w:rsidRDefault="006146E3" w:rsidP="006146E3">
      <w:pPr>
        <w:spacing w:after="0" w:line="240" w:lineRule="auto"/>
        <w:rPr>
          <w:sz w:val="20"/>
        </w:rPr>
      </w:pPr>
      <w:r w:rsidRPr="00470E2A">
        <w:rPr>
          <w:sz w:val="20"/>
        </w:rPr>
        <w:t>Combined Pensioners and Superannuants Association 2020. Submission on consultation paper</w:t>
      </w:r>
    </w:p>
    <w:p w14:paraId="3C76492C" w14:textId="77777777" w:rsidR="006146E3" w:rsidRPr="00470E2A" w:rsidRDefault="006146E3" w:rsidP="006146E3">
      <w:pPr>
        <w:spacing w:after="0" w:line="240" w:lineRule="auto"/>
        <w:rPr>
          <w:sz w:val="20"/>
        </w:rPr>
      </w:pPr>
      <w:r w:rsidRPr="00470E2A">
        <w:rPr>
          <w:sz w:val="20"/>
        </w:rPr>
        <w:t>Combined Pensioners and Superannuants Association 2021. Response to draft rule</w:t>
      </w:r>
    </w:p>
    <w:p w14:paraId="20E1F76D" w14:textId="77777777" w:rsidR="006146E3" w:rsidRPr="00470E2A" w:rsidRDefault="006146E3" w:rsidP="006146E3">
      <w:pPr>
        <w:spacing w:after="0" w:line="240" w:lineRule="auto"/>
        <w:rPr>
          <w:sz w:val="20"/>
        </w:rPr>
      </w:pPr>
      <w:r w:rsidRPr="00470E2A">
        <w:rPr>
          <w:sz w:val="20"/>
        </w:rPr>
        <w:t>Department of Energy and Mining SA 2020. Submission on consultation paper</w:t>
      </w:r>
    </w:p>
    <w:p w14:paraId="17DDCD4B" w14:textId="77777777" w:rsidR="006146E3" w:rsidRPr="00470E2A" w:rsidRDefault="006146E3" w:rsidP="006146E3">
      <w:pPr>
        <w:spacing w:after="0" w:line="240" w:lineRule="auto"/>
        <w:rPr>
          <w:sz w:val="20"/>
        </w:rPr>
      </w:pPr>
      <w:r w:rsidRPr="00470E2A">
        <w:rPr>
          <w:sz w:val="20"/>
        </w:rPr>
        <w:t>Department of Energy and Mining SA 2021. Response to draft rule</w:t>
      </w:r>
    </w:p>
    <w:p w14:paraId="33196EAB" w14:textId="77777777" w:rsidR="006146E3" w:rsidRPr="00470E2A" w:rsidRDefault="006146E3" w:rsidP="006146E3">
      <w:pPr>
        <w:spacing w:after="0" w:line="240" w:lineRule="auto"/>
        <w:rPr>
          <w:sz w:val="20"/>
        </w:rPr>
      </w:pPr>
      <w:r w:rsidRPr="00470E2A">
        <w:rPr>
          <w:sz w:val="20"/>
        </w:rPr>
        <w:t>Department of State Growth 2020. Submission on consultation paper</w:t>
      </w:r>
    </w:p>
    <w:p w14:paraId="71B76757" w14:textId="77777777" w:rsidR="006146E3" w:rsidRPr="00470E2A" w:rsidRDefault="006146E3" w:rsidP="006146E3">
      <w:pPr>
        <w:spacing w:after="0" w:line="240" w:lineRule="auto"/>
        <w:rPr>
          <w:sz w:val="20"/>
        </w:rPr>
      </w:pPr>
      <w:r w:rsidRPr="00470E2A">
        <w:rPr>
          <w:sz w:val="20"/>
        </w:rPr>
        <w:t>Energy Consumers Australia 2020. Submission on consultation paper</w:t>
      </w:r>
    </w:p>
    <w:p w14:paraId="240470EA" w14:textId="77777777" w:rsidR="006146E3" w:rsidRPr="00470E2A" w:rsidRDefault="006146E3" w:rsidP="006146E3">
      <w:pPr>
        <w:spacing w:after="0" w:line="240" w:lineRule="auto"/>
        <w:rPr>
          <w:sz w:val="20"/>
        </w:rPr>
      </w:pPr>
      <w:r w:rsidRPr="00470E2A">
        <w:rPr>
          <w:sz w:val="20"/>
        </w:rPr>
        <w:t>EnergyAustralia 2020. Submission on consultation paper</w:t>
      </w:r>
    </w:p>
    <w:p w14:paraId="596C81AB" w14:textId="77777777" w:rsidR="006146E3" w:rsidRPr="00470E2A" w:rsidRDefault="006146E3" w:rsidP="006146E3">
      <w:pPr>
        <w:spacing w:after="0" w:line="240" w:lineRule="auto"/>
        <w:rPr>
          <w:sz w:val="20"/>
        </w:rPr>
      </w:pPr>
      <w:r w:rsidRPr="00470E2A">
        <w:rPr>
          <w:sz w:val="20"/>
        </w:rPr>
        <w:t>EnergyAustralia 2021. Response to draft rule</w:t>
      </w:r>
    </w:p>
    <w:p w14:paraId="32B773F5" w14:textId="77777777" w:rsidR="006146E3" w:rsidRPr="00470E2A" w:rsidRDefault="006146E3" w:rsidP="006146E3">
      <w:pPr>
        <w:spacing w:after="0" w:line="240" w:lineRule="auto"/>
        <w:rPr>
          <w:sz w:val="20"/>
        </w:rPr>
      </w:pPr>
      <w:r w:rsidRPr="00470E2A">
        <w:rPr>
          <w:sz w:val="20"/>
        </w:rPr>
        <w:t>Ergon Energy Queensland 2020. Submission on consultation paper</w:t>
      </w:r>
    </w:p>
    <w:p w14:paraId="42E85AFD" w14:textId="77777777" w:rsidR="006146E3" w:rsidRPr="00470E2A" w:rsidRDefault="006146E3" w:rsidP="006146E3">
      <w:pPr>
        <w:spacing w:after="0" w:line="240" w:lineRule="auto"/>
        <w:rPr>
          <w:sz w:val="20"/>
        </w:rPr>
      </w:pPr>
      <w:r w:rsidRPr="00470E2A">
        <w:rPr>
          <w:sz w:val="20"/>
        </w:rPr>
        <w:t>Ergon Energy Queensland 2021. Response to draft rule</w:t>
      </w:r>
    </w:p>
    <w:p w14:paraId="66F785B5" w14:textId="77777777" w:rsidR="006146E3" w:rsidRPr="00470E2A" w:rsidRDefault="006146E3" w:rsidP="006146E3">
      <w:pPr>
        <w:spacing w:after="0" w:line="240" w:lineRule="auto"/>
        <w:rPr>
          <w:sz w:val="20"/>
        </w:rPr>
      </w:pPr>
      <w:r w:rsidRPr="00470E2A">
        <w:rPr>
          <w:sz w:val="20"/>
        </w:rPr>
        <w:t>ERM Power 2020. Submission on consultation paper</w:t>
      </w:r>
    </w:p>
    <w:p w14:paraId="40D15CE0" w14:textId="77777777" w:rsidR="006146E3" w:rsidRPr="00470E2A" w:rsidRDefault="006146E3" w:rsidP="006146E3">
      <w:pPr>
        <w:spacing w:after="0" w:line="240" w:lineRule="auto"/>
        <w:rPr>
          <w:sz w:val="20"/>
        </w:rPr>
      </w:pPr>
      <w:r w:rsidRPr="00470E2A">
        <w:rPr>
          <w:sz w:val="20"/>
        </w:rPr>
        <w:t>ERM Power 2021. Response to draft rule</w:t>
      </w:r>
    </w:p>
    <w:p w14:paraId="55F07363" w14:textId="457B5599" w:rsidR="00E35B88" w:rsidRPr="00470E2A" w:rsidRDefault="00E35B88" w:rsidP="00E35B88">
      <w:pPr>
        <w:spacing w:after="0" w:line="240" w:lineRule="auto"/>
        <w:rPr>
          <w:sz w:val="20"/>
        </w:rPr>
      </w:pPr>
      <w:r w:rsidRPr="007A374F">
        <w:rPr>
          <w:sz w:val="20"/>
          <w:lang w:val="en-US"/>
        </w:rPr>
        <w:t>EWON</w:t>
      </w:r>
      <w:r>
        <w:rPr>
          <w:sz w:val="20"/>
          <w:lang w:val="en-US"/>
        </w:rPr>
        <w:t xml:space="preserve">, </w:t>
      </w:r>
      <w:r w:rsidRPr="007A374F">
        <w:rPr>
          <w:sz w:val="20"/>
          <w:lang w:val="en-US"/>
        </w:rPr>
        <w:t>EWOV</w:t>
      </w:r>
      <w:r>
        <w:rPr>
          <w:sz w:val="20"/>
          <w:lang w:val="en-US"/>
        </w:rPr>
        <w:t xml:space="preserve">, EWOQ and </w:t>
      </w:r>
      <w:r w:rsidRPr="007A374F">
        <w:rPr>
          <w:sz w:val="20"/>
          <w:lang w:val="en-US"/>
        </w:rPr>
        <w:t xml:space="preserve">EWOSA </w:t>
      </w:r>
      <w:r w:rsidRPr="00470E2A">
        <w:rPr>
          <w:sz w:val="20"/>
        </w:rPr>
        <w:t>2020. Submission on consultation paper</w:t>
      </w:r>
      <w:r>
        <w:rPr>
          <w:sz w:val="20"/>
        </w:rPr>
        <w:t xml:space="preserve">. </w:t>
      </w:r>
      <w:r>
        <w:rPr>
          <w:sz w:val="20"/>
          <w:lang w:val="en-US"/>
        </w:rPr>
        <w:t>J</w:t>
      </w:r>
      <w:r w:rsidRPr="007A374F">
        <w:rPr>
          <w:sz w:val="20"/>
          <w:lang w:val="en-US"/>
        </w:rPr>
        <w:t xml:space="preserve">oint submission </w:t>
      </w:r>
      <w:r>
        <w:rPr>
          <w:sz w:val="20"/>
          <w:lang w:val="en-US"/>
        </w:rPr>
        <w:t xml:space="preserve">by the </w:t>
      </w:r>
      <w:r w:rsidRPr="007A374F">
        <w:rPr>
          <w:sz w:val="20"/>
          <w:lang w:val="en-US"/>
        </w:rPr>
        <w:t xml:space="preserve">Energy </w:t>
      </w:r>
      <w:r>
        <w:rPr>
          <w:sz w:val="20"/>
          <w:lang w:val="en-US"/>
        </w:rPr>
        <w:t xml:space="preserve">and </w:t>
      </w:r>
      <w:r w:rsidRPr="007A374F">
        <w:rPr>
          <w:sz w:val="20"/>
          <w:lang w:val="en-US"/>
        </w:rPr>
        <w:t>Water Ombudsm</w:t>
      </w:r>
      <w:r>
        <w:rPr>
          <w:sz w:val="20"/>
          <w:lang w:val="en-US"/>
        </w:rPr>
        <w:t>e</w:t>
      </w:r>
      <w:r w:rsidRPr="007A374F">
        <w:rPr>
          <w:sz w:val="20"/>
          <w:lang w:val="en-US"/>
        </w:rPr>
        <w:t>n</w:t>
      </w:r>
      <w:r>
        <w:rPr>
          <w:sz w:val="20"/>
          <w:lang w:val="en-US"/>
        </w:rPr>
        <w:t xml:space="preserve"> of: </w:t>
      </w:r>
      <w:r w:rsidRPr="007A374F">
        <w:rPr>
          <w:sz w:val="20"/>
          <w:lang w:val="en-US"/>
        </w:rPr>
        <w:t>New South Wales (EWON), South Australia (EWOSA), Queensland (EWOQ) and Victoria (EWOV)</w:t>
      </w:r>
      <w:r>
        <w:rPr>
          <w:sz w:val="20"/>
          <w:lang w:val="en-US"/>
        </w:rPr>
        <w:t>.</w:t>
      </w:r>
    </w:p>
    <w:p w14:paraId="048777EF" w14:textId="5101C9EA" w:rsidR="00E35B88" w:rsidRPr="00470E2A" w:rsidRDefault="00E35B88" w:rsidP="00E35B88">
      <w:pPr>
        <w:spacing w:after="0" w:line="240" w:lineRule="auto"/>
        <w:rPr>
          <w:sz w:val="20"/>
        </w:rPr>
      </w:pPr>
      <w:r w:rsidRPr="007A374F">
        <w:rPr>
          <w:sz w:val="20"/>
          <w:lang w:val="en-US"/>
        </w:rPr>
        <w:t>EWON</w:t>
      </w:r>
      <w:r>
        <w:rPr>
          <w:sz w:val="20"/>
          <w:lang w:val="en-US"/>
        </w:rPr>
        <w:t xml:space="preserve">, </w:t>
      </w:r>
      <w:r w:rsidRPr="007A374F">
        <w:rPr>
          <w:sz w:val="20"/>
          <w:lang w:val="en-US"/>
        </w:rPr>
        <w:t>EWOV</w:t>
      </w:r>
      <w:r>
        <w:rPr>
          <w:sz w:val="20"/>
          <w:lang w:val="en-US"/>
        </w:rPr>
        <w:t xml:space="preserve">, EWOQ and </w:t>
      </w:r>
      <w:r w:rsidRPr="007A374F">
        <w:rPr>
          <w:sz w:val="20"/>
          <w:lang w:val="en-US"/>
        </w:rPr>
        <w:t xml:space="preserve">EWOSA </w:t>
      </w:r>
      <w:r w:rsidRPr="00470E2A">
        <w:rPr>
          <w:sz w:val="20"/>
        </w:rPr>
        <w:t>2021. Response to draft rule</w:t>
      </w:r>
      <w:r>
        <w:rPr>
          <w:sz w:val="20"/>
        </w:rPr>
        <w:t>. Joint submission</w:t>
      </w:r>
    </w:p>
    <w:p w14:paraId="3AE4DB56" w14:textId="2287D16F" w:rsidR="006146E3" w:rsidRPr="00470E2A" w:rsidRDefault="006146E3" w:rsidP="00E35B88">
      <w:pPr>
        <w:spacing w:after="0" w:line="240" w:lineRule="auto"/>
        <w:rPr>
          <w:sz w:val="20"/>
        </w:rPr>
      </w:pPr>
      <w:r w:rsidRPr="00470E2A">
        <w:rPr>
          <w:sz w:val="20"/>
        </w:rPr>
        <w:t>Meridian Energy Powershop 2020. Submission on consultation paper</w:t>
      </w:r>
    </w:p>
    <w:p w14:paraId="78BF4389" w14:textId="77777777" w:rsidR="006146E3" w:rsidRPr="00470E2A" w:rsidRDefault="006146E3" w:rsidP="006146E3">
      <w:pPr>
        <w:spacing w:after="0" w:line="240" w:lineRule="auto"/>
        <w:rPr>
          <w:sz w:val="20"/>
        </w:rPr>
      </w:pPr>
      <w:r w:rsidRPr="00470E2A">
        <w:rPr>
          <w:sz w:val="20"/>
        </w:rPr>
        <w:t>Meridian Energy Powershop 2021. Response to draft rule</w:t>
      </w:r>
    </w:p>
    <w:p w14:paraId="5C8EE20B" w14:textId="77777777" w:rsidR="006146E3" w:rsidRPr="00470E2A" w:rsidRDefault="006146E3" w:rsidP="006146E3">
      <w:pPr>
        <w:spacing w:after="0" w:line="240" w:lineRule="auto"/>
        <w:rPr>
          <w:sz w:val="20"/>
        </w:rPr>
      </w:pPr>
      <w:r w:rsidRPr="00470E2A">
        <w:rPr>
          <w:sz w:val="20"/>
        </w:rPr>
        <w:t>Momentum Energy 2020. Submission on consultation paper</w:t>
      </w:r>
    </w:p>
    <w:p w14:paraId="7082A2D3" w14:textId="77777777" w:rsidR="006146E3" w:rsidRPr="00470E2A" w:rsidRDefault="006146E3" w:rsidP="006146E3">
      <w:pPr>
        <w:spacing w:after="0" w:line="240" w:lineRule="auto"/>
        <w:rPr>
          <w:sz w:val="20"/>
        </w:rPr>
      </w:pPr>
      <w:r w:rsidRPr="00470E2A">
        <w:rPr>
          <w:sz w:val="20"/>
        </w:rPr>
        <w:t>Next Business Energy 2020. Submission on consultation paper</w:t>
      </w:r>
    </w:p>
    <w:p w14:paraId="7016C4DA" w14:textId="227E9A27" w:rsidR="006146E3" w:rsidRPr="00470E2A" w:rsidRDefault="006146E3" w:rsidP="007A374F">
      <w:pPr>
        <w:spacing w:after="0" w:line="240" w:lineRule="auto"/>
        <w:rPr>
          <w:sz w:val="20"/>
        </w:rPr>
      </w:pPr>
      <w:r w:rsidRPr="00470E2A">
        <w:rPr>
          <w:sz w:val="20"/>
        </w:rPr>
        <w:t>Origin 2020. Submission on consultation paper</w:t>
      </w:r>
    </w:p>
    <w:p w14:paraId="348AC878" w14:textId="77777777" w:rsidR="006146E3" w:rsidRPr="00470E2A" w:rsidRDefault="006146E3" w:rsidP="006146E3">
      <w:pPr>
        <w:spacing w:after="0" w:line="240" w:lineRule="auto"/>
        <w:rPr>
          <w:sz w:val="20"/>
        </w:rPr>
      </w:pPr>
      <w:r w:rsidRPr="00470E2A">
        <w:rPr>
          <w:sz w:val="20"/>
        </w:rPr>
        <w:t>Origin 2021. Response to draft rule</w:t>
      </w:r>
    </w:p>
    <w:p w14:paraId="4B398560" w14:textId="7FFB6DF8" w:rsidR="006146E3" w:rsidRPr="00470E2A" w:rsidRDefault="006146E3" w:rsidP="006146E3">
      <w:pPr>
        <w:spacing w:after="0" w:line="240" w:lineRule="auto"/>
        <w:rPr>
          <w:sz w:val="20"/>
        </w:rPr>
      </w:pPr>
      <w:r w:rsidRPr="00470E2A">
        <w:rPr>
          <w:sz w:val="20"/>
        </w:rPr>
        <w:t>PIAC 2020. Submission on consultation paper</w:t>
      </w:r>
      <w:r w:rsidR="00F07A03">
        <w:rPr>
          <w:sz w:val="20"/>
        </w:rPr>
        <w:t xml:space="preserve">. </w:t>
      </w:r>
      <w:r w:rsidR="00F07A03" w:rsidRPr="00F07A03">
        <w:rPr>
          <w:sz w:val="20"/>
        </w:rPr>
        <w:t>Public Interest Advocacy Centre</w:t>
      </w:r>
    </w:p>
    <w:p w14:paraId="78BE8F49" w14:textId="2B627779" w:rsidR="006146E3" w:rsidRPr="00470E2A" w:rsidRDefault="006146E3" w:rsidP="006146E3">
      <w:pPr>
        <w:spacing w:after="0" w:line="240" w:lineRule="auto"/>
        <w:rPr>
          <w:sz w:val="20"/>
        </w:rPr>
      </w:pPr>
      <w:r w:rsidRPr="00470E2A">
        <w:rPr>
          <w:sz w:val="20"/>
        </w:rPr>
        <w:t>PIAC 2021. Response to draft rule</w:t>
      </w:r>
      <w:r w:rsidR="00F07A03">
        <w:rPr>
          <w:sz w:val="20"/>
        </w:rPr>
        <w:t xml:space="preserve">. </w:t>
      </w:r>
      <w:r w:rsidR="00F07A03" w:rsidRPr="00F07A03">
        <w:rPr>
          <w:sz w:val="20"/>
        </w:rPr>
        <w:t>Public Interest Advocacy Centre</w:t>
      </w:r>
    </w:p>
    <w:p w14:paraId="418BD470" w14:textId="77777777" w:rsidR="006146E3" w:rsidRPr="00470E2A" w:rsidRDefault="006146E3" w:rsidP="006146E3">
      <w:pPr>
        <w:spacing w:after="0" w:line="240" w:lineRule="auto"/>
        <w:rPr>
          <w:sz w:val="20"/>
        </w:rPr>
      </w:pPr>
      <w:r w:rsidRPr="00470E2A">
        <w:rPr>
          <w:sz w:val="20"/>
        </w:rPr>
        <w:t>Powerpal 2020. Submission on consultation paper</w:t>
      </w:r>
    </w:p>
    <w:p w14:paraId="2C619C56" w14:textId="164FFAC7" w:rsidR="006146E3" w:rsidRPr="00470E2A" w:rsidRDefault="00F07A03" w:rsidP="006146E3">
      <w:pPr>
        <w:spacing w:after="0" w:line="240" w:lineRule="auto"/>
        <w:rPr>
          <w:sz w:val="20"/>
        </w:rPr>
      </w:pPr>
      <w:r>
        <w:rPr>
          <w:sz w:val="20"/>
        </w:rPr>
        <w:t xml:space="preserve">QCOSS </w:t>
      </w:r>
      <w:r w:rsidR="006146E3" w:rsidRPr="00470E2A">
        <w:rPr>
          <w:sz w:val="20"/>
        </w:rPr>
        <w:t>2020. Submission on consultation paper</w:t>
      </w:r>
      <w:r>
        <w:rPr>
          <w:sz w:val="20"/>
        </w:rPr>
        <w:t xml:space="preserve">. </w:t>
      </w:r>
      <w:r w:rsidRPr="00470E2A">
        <w:rPr>
          <w:sz w:val="20"/>
        </w:rPr>
        <w:t>Queensland Council of Social Services</w:t>
      </w:r>
    </w:p>
    <w:p w14:paraId="37B76C4E" w14:textId="77777777" w:rsidR="006146E3" w:rsidRPr="00470E2A" w:rsidRDefault="006146E3" w:rsidP="006146E3">
      <w:pPr>
        <w:spacing w:after="0" w:line="240" w:lineRule="auto"/>
        <w:rPr>
          <w:sz w:val="20"/>
        </w:rPr>
      </w:pPr>
      <w:r w:rsidRPr="00470E2A">
        <w:rPr>
          <w:sz w:val="20"/>
        </w:rPr>
        <w:t>ReAmped Energy 2020. Submission on consultation paper</w:t>
      </w:r>
    </w:p>
    <w:p w14:paraId="12C2B6BE" w14:textId="767F7ED5" w:rsidR="006146E3" w:rsidRPr="00470E2A" w:rsidRDefault="006146E3" w:rsidP="006146E3">
      <w:pPr>
        <w:spacing w:after="0" w:line="240" w:lineRule="auto"/>
        <w:rPr>
          <w:sz w:val="20"/>
        </w:rPr>
      </w:pPr>
      <w:r w:rsidRPr="00470E2A">
        <w:rPr>
          <w:sz w:val="20"/>
        </w:rPr>
        <w:t>SACOSS 2020. Submission on consultation paper</w:t>
      </w:r>
      <w:r w:rsidR="00F07A03">
        <w:rPr>
          <w:sz w:val="20"/>
        </w:rPr>
        <w:t xml:space="preserve">. South Australia </w:t>
      </w:r>
      <w:r w:rsidR="00F07A03" w:rsidRPr="00470E2A">
        <w:rPr>
          <w:sz w:val="20"/>
        </w:rPr>
        <w:t>Council of Social Services</w:t>
      </w:r>
    </w:p>
    <w:p w14:paraId="73804084" w14:textId="496AA3F3" w:rsidR="00B97F4B" w:rsidRPr="00F07A03" w:rsidRDefault="006146E3" w:rsidP="00F07A03">
      <w:pPr>
        <w:spacing w:after="0" w:line="240" w:lineRule="auto"/>
        <w:rPr>
          <w:sz w:val="20"/>
        </w:rPr>
        <w:sectPr w:rsidR="00B97F4B" w:rsidRPr="00F07A03" w:rsidSect="009715FC">
          <w:headerReference w:type="default" r:id="rId11"/>
          <w:footerReference w:type="even" r:id="rId12"/>
          <w:footerReference w:type="default" r:id="rId13"/>
          <w:headerReference w:type="first" r:id="rId14"/>
          <w:footerReference w:type="first" r:id="rId15"/>
          <w:pgSz w:w="11900" w:h="16840"/>
          <w:pgMar w:top="2268" w:right="1134" w:bottom="1701" w:left="1418" w:header="709" w:footer="709" w:gutter="0"/>
          <w:cols w:space="708"/>
          <w:titlePg/>
          <w:docGrid w:linePitch="360"/>
        </w:sectPr>
      </w:pPr>
      <w:r w:rsidRPr="00470E2A">
        <w:rPr>
          <w:sz w:val="20"/>
        </w:rPr>
        <w:t>SACOSS 2021. Response to draft rule</w:t>
      </w:r>
      <w:r w:rsidR="00F07A03">
        <w:rPr>
          <w:sz w:val="20"/>
        </w:rPr>
        <w:t xml:space="preserve">. South Australia </w:t>
      </w:r>
      <w:r w:rsidR="00F07A03" w:rsidRPr="00470E2A">
        <w:rPr>
          <w:sz w:val="20"/>
        </w:rPr>
        <w:t>Council of Social Services</w:t>
      </w:r>
    </w:p>
    <w:p w14:paraId="4B8E4837" w14:textId="180D02CD" w:rsidR="001869A5" w:rsidRPr="00470E2A" w:rsidRDefault="001869A5" w:rsidP="001869A5">
      <w:pPr>
        <w:spacing w:after="0" w:line="240" w:lineRule="auto"/>
        <w:rPr>
          <w:rFonts w:asciiTheme="majorHAnsi" w:hAnsiTheme="majorHAnsi"/>
          <w:b/>
          <w:color w:val="000000" w:themeColor="text1"/>
          <w:sz w:val="36"/>
          <w:szCs w:val="72"/>
          <w:lang w:val="en-US" w:eastAsia="en-US"/>
        </w:rPr>
      </w:pPr>
      <w:r w:rsidRPr="00470E2A">
        <w:rPr>
          <w:sz w:val="20"/>
        </w:rPr>
        <w:t>Simply Energy 2021. Response to draft rule</w:t>
      </w:r>
    </w:p>
    <w:p w14:paraId="2C754E6F" w14:textId="77777777" w:rsidR="001869A5" w:rsidRPr="00470E2A" w:rsidRDefault="001869A5" w:rsidP="001869A5">
      <w:pPr>
        <w:spacing w:after="0" w:line="240" w:lineRule="auto"/>
        <w:rPr>
          <w:sz w:val="20"/>
        </w:rPr>
      </w:pPr>
      <w:r w:rsidRPr="00470E2A">
        <w:rPr>
          <w:sz w:val="20"/>
        </w:rPr>
        <w:t>Tango Energy 2021. Response to draft rule</w:t>
      </w:r>
    </w:p>
    <w:p w14:paraId="2B4EB3BE" w14:textId="69707072" w:rsidR="001869A5" w:rsidRPr="00470E2A" w:rsidRDefault="001869A5" w:rsidP="001869A5">
      <w:pPr>
        <w:spacing w:after="0" w:line="240" w:lineRule="auto"/>
        <w:rPr>
          <w:sz w:val="20"/>
        </w:rPr>
      </w:pPr>
      <w:r w:rsidRPr="00470E2A">
        <w:rPr>
          <w:sz w:val="20"/>
        </w:rPr>
        <w:t>TasCOSS 2020. Submission on consultation paper</w:t>
      </w:r>
      <w:r w:rsidR="00F07A03">
        <w:rPr>
          <w:sz w:val="20"/>
        </w:rPr>
        <w:t xml:space="preserve">. Tasmania </w:t>
      </w:r>
      <w:r w:rsidR="00F07A03" w:rsidRPr="00470E2A">
        <w:rPr>
          <w:sz w:val="20"/>
        </w:rPr>
        <w:t>Council of Social Services</w:t>
      </w:r>
    </w:p>
    <w:p w14:paraId="05525B71" w14:textId="0334A16F" w:rsidR="001869A5" w:rsidRPr="00470E2A" w:rsidRDefault="001869A5" w:rsidP="001869A5">
      <w:pPr>
        <w:spacing w:after="0" w:line="240" w:lineRule="auto"/>
        <w:rPr>
          <w:sz w:val="20"/>
        </w:rPr>
      </w:pPr>
      <w:r w:rsidRPr="00470E2A">
        <w:rPr>
          <w:sz w:val="20"/>
        </w:rPr>
        <w:t>TasCOSS 2021. Response to draft rule</w:t>
      </w:r>
      <w:r w:rsidR="00F07A03">
        <w:rPr>
          <w:sz w:val="20"/>
        </w:rPr>
        <w:t>.</w:t>
      </w:r>
      <w:r w:rsidR="00F07A03" w:rsidRPr="00F07A03">
        <w:rPr>
          <w:sz w:val="20"/>
        </w:rPr>
        <w:t xml:space="preserve"> </w:t>
      </w:r>
      <w:r w:rsidR="00F07A03">
        <w:rPr>
          <w:sz w:val="20"/>
        </w:rPr>
        <w:t xml:space="preserve">Tasmania </w:t>
      </w:r>
      <w:r w:rsidR="00F07A03" w:rsidRPr="00470E2A">
        <w:rPr>
          <w:sz w:val="20"/>
        </w:rPr>
        <w:t>Council of Social Services</w:t>
      </w:r>
    </w:p>
    <w:p w14:paraId="63DE63BC" w14:textId="3426E92F" w:rsidR="00381D10" w:rsidRDefault="001869A5">
      <w:pPr>
        <w:spacing w:after="0" w:line="240" w:lineRule="auto"/>
        <w:rPr>
          <w:sz w:val="20"/>
        </w:rPr>
      </w:pPr>
      <w:r w:rsidRPr="00470E2A">
        <w:rPr>
          <w:sz w:val="20"/>
        </w:rPr>
        <w:t>The Energy Project 2020. Submission on consultation paper</w:t>
      </w:r>
      <w:r w:rsidR="00381D10">
        <w:rPr>
          <w:sz w:val="20"/>
        </w:rPr>
        <w:br w:type="page"/>
      </w:r>
    </w:p>
    <w:p w14:paraId="2737BF05" w14:textId="77777777" w:rsidR="009B288E" w:rsidRPr="005C18C0" w:rsidRDefault="009B288E" w:rsidP="005C18C0">
      <w:pPr>
        <w:rPr>
          <w:b/>
          <w:color w:val="178A79" w:themeColor="accent3" w:themeShade="BF"/>
        </w:rPr>
      </w:pPr>
      <w:r w:rsidRPr="005C18C0">
        <w:rPr>
          <w:b/>
          <w:color w:val="178A79" w:themeColor="accent3" w:themeShade="BF"/>
        </w:rPr>
        <w:lastRenderedPageBreak/>
        <w:t>© Commonwealth of Australia 2021</w:t>
      </w:r>
    </w:p>
    <w:p w14:paraId="2075D066" w14:textId="5765060B" w:rsidR="00D527B7" w:rsidRPr="00D527B7" w:rsidRDefault="00D527B7" w:rsidP="009B288E">
      <w:pPr>
        <w:spacing w:line="280" w:lineRule="atLeast"/>
        <w:rPr>
          <w:sz w:val="20"/>
        </w:rPr>
      </w:pPr>
      <w:r w:rsidRPr="00D527B7">
        <w:rPr>
          <w:sz w:val="20"/>
        </w:rPr>
        <w:t>978-1-925364-75-0</w:t>
      </w:r>
      <w:r>
        <w:rPr>
          <w:sz w:val="20"/>
        </w:rPr>
        <w:br/>
      </w:r>
      <w:r w:rsidRPr="00D527B7">
        <w:rPr>
          <w:sz w:val="20"/>
        </w:rPr>
        <w:t>Energy bill contents and bill requirements: Literature review</w:t>
      </w:r>
    </w:p>
    <w:p w14:paraId="67133085" w14:textId="77777777" w:rsidR="009B288E" w:rsidRPr="005C18C0" w:rsidRDefault="009B288E" w:rsidP="005C18C0">
      <w:pPr>
        <w:rPr>
          <w:b/>
          <w:color w:val="178A79" w:themeColor="accent3" w:themeShade="BF"/>
        </w:rPr>
      </w:pPr>
      <w:r w:rsidRPr="005C18C0">
        <w:rPr>
          <w:b/>
          <w:color w:val="178A79" w:themeColor="accent3" w:themeShade="BF"/>
        </w:rPr>
        <w:t>Copyright Notice</w:t>
      </w:r>
    </w:p>
    <w:p w14:paraId="663957B3" w14:textId="77777777" w:rsidR="009B288E" w:rsidRPr="009B288E" w:rsidRDefault="009B288E" w:rsidP="009B288E">
      <w:pPr>
        <w:spacing w:line="280" w:lineRule="atLeast"/>
        <w:rPr>
          <w:sz w:val="20"/>
        </w:rPr>
      </w:pPr>
      <w:r w:rsidRPr="009B288E">
        <w:rPr>
          <w:sz w:val="20"/>
        </w:rPr>
        <w:t>With the exception of the Commonwealth Coat of Arms, this work is licensed under a Creative Commons Attribution 4.0 International license (CC BY 4.0) (</w:t>
      </w:r>
      <w:hyperlink r:id="rId16" w:history="1">
        <w:r w:rsidRPr="009B288E">
          <w:rPr>
            <w:color w:val="1DA692"/>
            <w:sz w:val="20"/>
            <w:u w:val="single"/>
          </w:rPr>
          <w:t>https://creativecommons.org/licenses/by/4.0/</w:t>
        </w:r>
      </w:hyperlink>
      <w:r w:rsidRPr="009B288E">
        <w:rPr>
          <w:sz w:val="20"/>
        </w:rPr>
        <w:t>)</w:t>
      </w:r>
    </w:p>
    <w:p w14:paraId="40E651C2" w14:textId="77777777" w:rsidR="009B288E" w:rsidRPr="009B288E" w:rsidRDefault="009B288E" w:rsidP="009B288E">
      <w:pPr>
        <w:spacing w:before="240" w:line="280" w:lineRule="atLeast"/>
        <w:rPr>
          <w:sz w:val="20"/>
        </w:rPr>
      </w:pPr>
      <w:r w:rsidRPr="009B288E">
        <w:rPr>
          <w:noProof/>
          <w:sz w:val="20"/>
        </w:rPr>
        <w:drawing>
          <wp:inline distT="0" distB="0" distL="0" distR="0" wp14:anchorId="7995C45A" wp14:editId="019AAAE8">
            <wp:extent cx="771146" cy="307849"/>
            <wp:effectExtent l="0" t="0" r="0" b="0"/>
            <wp:docPr id="24" name="Picture 24" descr="Copyright logo" title="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5EDB503F" w14:textId="77777777" w:rsidR="009B288E" w:rsidRPr="005C18C0" w:rsidRDefault="009B288E" w:rsidP="005C18C0">
      <w:pPr>
        <w:rPr>
          <w:b/>
          <w:color w:val="178A79" w:themeColor="accent3" w:themeShade="BF"/>
        </w:rPr>
      </w:pPr>
      <w:r w:rsidRPr="005C18C0">
        <w:rPr>
          <w:b/>
          <w:color w:val="178A79" w:themeColor="accent3" w:themeShade="BF"/>
        </w:rPr>
        <w:t>Third party copyright</w:t>
      </w:r>
    </w:p>
    <w:p w14:paraId="1EA279C0" w14:textId="77777777" w:rsidR="009B288E" w:rsidRPr="009B288E" w:rsidRDefault="009B288E" w:rsidP="009B288E">
      <w:pPr>
        <w:spacing w:line="280" w:lineRule="atLeast"/>
        <w:rPr>
          <w:sz w:val="20"/>
        </w:rPr>
      </w:pPr>
      <w:r w:rsidRPr="009B288E">
        <w:rPr>
          <w:sz w:val="20"/>
        </w:rPr>
        <w:t>Wherever a third party holds copyright in this material, the copyright remains with that party. Their permission may be required to use the material. Please contact them directly.</w:t>
      </w:r>
    </w:p>
    <w:p w14:paraId="5A256DB3" w14:textId="77777777" w:rsidR="009B288E" w:rsidRPr="005C18C0" w:rsidRDefault="009B288E" w:rsidP="005C18C0">
      <w:pPr>
        <w:rPr>
          <w:b/>
          <w:color w:val="178A79" w:themeColor="accent3" w:themeShade="BF"/>
        </w:rPr>
      </w:pPr>
      <w:r w:rsidRPr="005C18C0">
        <w:rPr>
          <w:b/>
          <w:color w:val="178A79" w:themeColor="accent3" w:themeShade="BF"/>
        </w:rPr>
        <w:t>Attribution</w:t>
      </w:r>
    </w:p>
    <w:p w14:paraId="68EE59A5" w14:textId="77777777" w:rsidR="009B288E" w:rsidRPr="009B288E" w:rsidRDefault="009B288E" w:rsidP="009B288E">
      <w:pPr>
        <w:spacing w:line="280" w:lineRule="atLeast"/>
        <w:rPr>
          <w:sz w:val="20"/>
        </w:rPr>
      </w:pPr>
      <w:r w:rsidRPr="009B288E">
        <w:rPr>
          <w:sz w:val="20"/>
        </w:rPr>
        <w:t xml:space="preserve">This publication should be attributed as follows: </w:t>
      </w:r>
    </w:p>
    <w:p w14:paraId="1AF2052E" w14:textId="2C50212B" w:rsidR="009B288E" w:rsidRPr="009B288E" w:rsidRDefault="009B288E" w:rsidP="009B288E">
      <w:pPr>
        <w:spacing w:line="280" w:lineRule="atLeast"/>
        <w:rPr>
          <w:sz w:val="20"/>
        </w:rPr>
      </w:pPr>
      <w:r w:rsidRPr="009B288E">
        <w:rPr>
          <w:sz w:val="20"/>
        </w:rPr>
        <w:t xml:space="preserve">© Commonwealth of Australia, Department of the Prime Minister and Cabinet, (2021) </w:t>
      </w:r>
      <w:r w:rsidR="00D527B7" w:rsidRPr="00D527B7">
        <w:rPr>
          <w:sz w:val="20"/>
        </w:rPr>
        <w:t>Energy bill contents and bill requirements: Literature review</w:t>
      </w:r>
      <w:r w:rsidRPr="009B288E">
        <w:rPr>
          <w:i/>
          <w:sz w:val="20"/>
        </w:rPr>
        <w:t>.</w:t>
      </w:r>
    </w:p>
    <w:p w14:paraId="51BD8150" w14:textId="77777777" w:rsidR="009B288E" w:rsidRPr="005C18C0" w:rsidRDefault="009B288E" w:rsidP="005C18C0">
      <w:pPr>
        <w:rPr>
          <w:b/>
          <w:color w:val="178A79" w:themeColor="accent3" w:themeShade="BF"/>
        </w:rPr>
      </w:pPr>
      <w:r w:rsidRPr="005C18C0">
        <w:rPr>
          <w:b/>
          <w:color w:val="178A79" w:themeColor="accent3" w:themeShade="BF"/>
        </w:rPr>
        <w:t>Use of the Coat of Arms</w:t>
      </w:r>
    </w:p>
    <w:p w14:paraId="037F9D5B" w14:textId="77777777" w:rsidR="00C869FC" w:rsidRDefault="009B288E" w:rsidP="009B288E">
      <w:pPr>
        <w:spacing w:line="280" w:lineRule="atLeast"/>
        <w:rPr>
          <w:rFonts w:cs="Helvetica"/>
          <w:sz w:val="20"/>
          <w:szCs w:val="20"/>
        </w:rPr>
      </w:pPr>
      <w:r w:rsidRPr="009B288E">
        <w:rPr>
          <w:rFonts w:cs="Helvetica"/>
          <w:sz w:val="20"/>
          <w:szCs w:val="20"/>
        </w:rPr>
        <w:t xml:space="preserve">The terms under which the Coat of Arms can be used are detailed on the following website: </w:t>
      </w:r>
      <w:hyperlink r:id="rId18" w:history="1">
        <w:r w:rsidRPr="009B288E">
          <w:rPr>
            <w:rFonts w:cs="Helvetica"/>
            <w:color w:val="1DA692"/>
            <w:sz w:val="20"/>
            <w:szCs w:val="20"/>
            <w:u w:val="single"/>
            <w:lang w:val="en-US"/>
          </w:rPr>
          <w:t>https://pmc.gov.au/cca</w:t>
        </w:r>
      </w:hyperlink>
    </w:p>
    <w:p w14:paraId="3E0253FF" w14:textId="69EB5097" w:rsidR="007E3835" w:rsidRPr="00470E2A" w:rsidRDefault="007E3835" w:rsidP="00D33A83">
      <w:pPr>
        <w:spacing w:after="0" w:line="240" w:lineRule="auto"/>
        <w:rPr>
          <w:sz w:val="20"/>
        </w:rPr>
      </w:pPr>
    </w:p>
    <w:sectPr w:rsidR="007E3835" w:rsidRPr="00470E2A" w:rsidSect="00D33A83">
      <w:headerReference w:type="default" r:id="rId19"/>
      <w:footerReference w:type="default" r:id="rId20"/>
      <w:type w:val="continuous"/>
      <w:pgSz w:w="11900" w:h="16840"/>
      <w:pgMar w:top="226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D1F73" w14:textId="77777777" w:rsidR="006A612C" w:rsidRDefault="006A612C" w:rsidP="003E1B1C">
      <w:pPr>
        <w:spacing w:after="0"/>
      </w:pPr>
      <w:r>
        <w:separator/>
      </w:r>
    </w:p>
  </w:endnote>
  <w:endnote w:type="continuationSeparator" w:id="0">
    <w:p w14:paraId="10CD56E3" w14:textId="77777777" w:rsidR="006A612C" w:rsidRDefault="006A612C" w:rsidP="003E1B1C">
      <w:pPr>
        <w:spacing w:after="0"/>
      </w:pPr>
      <w:r>
        <w:continuationSeparator/>
      </w:r>
    </w:p>
  </w:endnote>
  <w:endnote w:type="continuationNotice" w:id="1">
    <w:p w14:paraId="606B54CE" w14:textId="77777777" w:rsidR="006A612C" w:rsidRDefault="006A6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Sans">
    <w:altName w:val="MS Gothic"/>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4175095"/>
      <w:docPartObj>
        <w:docPartGallery w:val="Page Numbers (Bottom of Page)"/>
        <w:docPartUnique/>
      </w:docPartObj>
    </w:sdtPr>
    <w:sdtEndPr>
      <w:rPr>
        <w:rStyle w:val="PageNumber"/>
      </w:rPr>
    </w:sdtEndPr>
    <w:sdtContent>
      <w:p w14:paraId="7E9E55F1" w14:textId="7E2ABD69" w:rsidR="00840FCB" w:rsidRDefault="00840FCB" w:rsidP="001C44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3147CB" w14:textId="77777777" w:rsidR="00840FCB" w:rsidRDefault="00840FCB" w:rsidP="00701FCD">
    <w:pPr>
      <w:pStyle w:val="Footer"/>
      <w:ind w:right="360"/>
    </w:pPr>
  </w:p>
  <w:p w14:paraId="53E12541" w14:textId="77777777" w:rsidR="00840FCB" w:rsidRDefault="00840FCB"/>
  <w:p w14:paraId="6C2A2322" w14:textId="77777777" w:rsidR="00840FCB" w:rsidRDefault="00840F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9417122"/>
      <w:docPartObj>
        <w:docPartGallery w:val="Page Numbers (Bottom of Page)"/>
        <w:docPartUnique/>
      </w:docPartObj>
    </w:sdtPr>
    <w:sdtEndPr>
      <w:rPr>
        <w:rStyle w:val="PageNumber"/>
      </w:rPr>
    </w:sdtEndPr>
    <w:sdtContent>
      <w:p w14:paraId="78DF95B7" w14:textId="18FD62AD" w:rsidR="00840FCB" w:rsidRDefault="00840FCB" w:rsidP="001C44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3C6D">
          <w:rPr>
            <w:rStyle w:val="PageNumber"/>
            <w:noProof/>
          </w:rPr>
          <w:t>20</w:t>
        </w:r>
        <w:r>
          <w:rPr>
            <w:rStyle w:val="PageNumber"/>
          </w:rPr>
          <w:fldChar w:fldCharType="end"/>
        </w:r>
      </w:p>
    </w:sdtContent>
  </w:sdt>
  <w:p w14:paraId="1182162D" w14:textId="0008944F" w:rsidR="00840FCB" w:rsidRPr="00701FCD" w:rsidRDefault="00840FCB" w:rsidP="00701FCD">
    <w:pPr>
      <w:pStyle w:val="Footer"/>
    </w:pPr>
    <w:r w:rsidRPr="00701FCD">
      <w:t>Behavioural Economics Team of the Australian Government</w:t>
    </w:r>
    <w:r w:rsidRPr="00701FCD">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07573940"/>
      <w:docPartObj>
        <w:docPartGallery w:val="Page Numbers (Bottom of Page)"/>
        <w:docPartUnique/>
      </w:docPartObj>
    </w:sdtPr>
    <w:sdtEndPr>
      <w:rPr>
        <w:rStyle w:val="PageNumber"/>
      </w:rPr>
    </w:sdtEndPr>
    <w:sdtContent>
      <w:p w14:paraId="15EB3A9C" w14:textId="12894A15" w:rsidR="00840FCB" w:rsidRDefault="00840FCB" w:rsidP="001C44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3C6D">
          <w:rPr>
            <w:rStyle w:val="PageNumber"/>
            <w:noProof/>
          </w:rPr>
          <w:t>1</w:t>
        </w:r>
        <w:r>
          <w:rPr>
            <w:rStyle w:val="PageNumber"/>
          </w:rPr>
          <w:fldChar w:fldCharType="end"/>
        </w:r>
      </w:p>
    </w:sdtContent>
  </w:sdt>
  <w:p w14:paraId="72B91FDC" w14:textId="124A61E0" w:rsidR="00840FCB" w:rsidRPr="00576BA4" w:rsidRDefault="00840FCB" w:rsidP="00576BA4">
    <w:pPr>
      <w:pStyle w:val="Footer"/>
    </w:pPr>
    <w:r w:rsidRPr="00576BA4">
      <w:t>Behavioural Economics Team of the Australian Government</w:t>
    </w:r>
    <w:r w:rsidRPr="00576BA4">
      <w:tab/>
    </w:r>
  </w:p>
  <w:p w14:paraId="28B65167" w14:textId="77777777" w:rsidR="00840FCB" w:rsidRDefault="00840FCB"/>
  <w:p w14:paraId="1951C86E" w14:textId="77777777" w:rsidR="00840FCB" w:rsidRDefault="00840FC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859D" w14:textId="77777777" w:rsidR="00840FCB" w:rsidRPr="0032368C" w:rsidRDefault="00840FCB" w:rsidP="0032368C">
    <w:r w:rsidRPr="0032368C">
      <w:rPr>
        <w:noProof/>
      </w:rPr>
      <w:drawing>
        <wp:inline distT="0" distB="0" distL="0" distR="0" wp14:anchorId="1481EAE6" wp14:editId="151558D4">
          <wp:extent cx="1295873" cy="338760"/>
          <wp:effectExtent l="0" t="0" r="0" b="4445"/>
          <wp:docPr id="5" name="Picture 5" descr="BE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TA_Logo_RGB_BLUE_REV.png"/>
                  <pic:cNvPicPr/>
                </pic:nvPicPr>
                <pic:blipFill>
                  <a:blip r:embed="rId1">
                    <a:extLst>
                      <a:ext uri="{28A0092B-C50C-407E-A947-70E740481C1C}">
                        <a14:useLocalDpi xmlns:a14="http://schemas.microsoft.com/office/drawing/2010/main" val="0"/>
                      </a:ext>
                    </a:extLst>
                  </a:blip>
                  <a:stretch>
                    <a:fillRect/>
                  </a:stretch>
                </pic:blipFill>
                <pic:spPr>
                  <a:xfrm>
                    <a:off x="0" y="0"/>
                    <a:ext cx="1295873" cy="338760"/>
                  </a:xfrm>
                  <a:prstGeom prst="rect">
                    <a:avLst/>
                  </a:prstGeom>
                </pic:spPr>
              </pic:pic>
            </a:graphicData>
          </a:graphic>
        </wp:inline>
      </w:drawing>
    </w:r>
  </w:p>
  <w:p w14:paraId="75379181" w14:textId="77777777" w:rsidR="00840FCB" w:rsidRPr="0032368C" w:rsidRDefault="00840FCB" w:rsidP="009A55DC">
    <w:pPr>
      <w:pStyle w:val="FooterBackPage"/>
      <w:spacing w:after="640"/>
    </w:pPr>
    <w:r w:rsidRPr="0032368C">
      <w:t>Behavioural Economics Team of the Australian Government</w:t>
    </w:r>
  </w:p>
  <w:p w14:paraId="6FD5E7EA" w14:textId="77777777" w:rsidR="00840FCB" w:rsidRPr="00CF0ADD" w:rsidRDefault="00840FCB" w:rsidP="00E20840">
    <w:pPr>
      <w:pStyle w:val="Contact"/>
    </w:pPr>
    <w:r w:rsidRPr="00CF0ADD">
      <w:t xml:space="preserve">General enquiries </w:t>
    </w:r>
    <w:hyperlink r:id="rId2" w:history="1">
      <w:r w:rsidRPr="00CF0ADD">
        <w:rPr>
          <w:rStyle w:val="Hyperlink"/>
        </w:rPr>
        <w:t>beta@pmc.gov.au</w:t>
      </w:r>
    </w:hyperlink>
  </w:p>
  <w:p w14:paraId="7C2EE521" w14:textId="77777777" w:rsidR="00840FCB" w:rsidRPr="007E2B60" w:rsidRDefault="00840FCB" w:rsidP="00E20840">
    <w:pPr>
      <w:pStyle w:val="Contact"/>
    </w:pPr>
    <w:r w:rsidRPr="007E2B60">
      <w:t xml:space="preserve">Media enquiries </w:t>
    </w:r>
    <w:hyperlink r:id="rId3" w:history="1">
      <w:r w:rsidRPr="00CF0ADD">
        <w:rPr>
          <w:rStyle w:val="Hyperlink"/>
          <w:color w:val="FFFFFF" w:themeColor="background1"/>
        </w:rPr>
        <w:t>media@pmc.gov.au</w:t>
      </w:r>
    </w:hyperlink>
  </w:p>
  <w:p w14:paraId="2E191D33" w14:textId="77777777" w:rsidR="00840FCB" w:rsidRPr="00CF0ADD" w:rsidRDefault="00840FCB" w:rsidP="00E20840">
    <w:pPr>
      <w:pStyle w:val="Contact"/>
      <w:rPr>
        <w:color w:val="FFFFFF" w:themeColor="background1"/>
      </w:rPr>
    </w:pPr>
    <w:r w:rsidRPr="007E2B60">
      <w:t xml:space="preserve">Find out more </w:t>
    </w:r>
    <w:hyperlink r:id="rId4" w:history="1">
      <w:r w:rsidRPr="00CF0ADD">
        <w:rPr>
          <w:rStyle w:val="Hyperlink"/>
          <w:color w:val="FFFFFF" w:themeColor="background1"/>
        </w:rPr>
        <w:t>www.pmc.gov.au/beta</w:t>
      </w:r>
    </w:hyperlink>
    <w:r w:rsidRPr="00CF0ADD">
      <w:rPr>
        <w:noProof/>
        <w:color w:val="FFFFFF" w:themeColor="background1"/>
      </w:rPr>
      <mc:AlternateContent>
        <mc:Choice Requires="wps">
          <w:drawing>
            <wp:anchor distT="0" distB="0" distL="114300" distR="114300" simplePos="0" relativeHeight="251658242" behindDoc="1" locked="0" layoutInCell="1" allowOverlap="1" wp14:anchorId="13F98D3B" wp14:editId="20AF3F71">
              <wp:simplePos x="0" y="0"/>
              <wp:positionH relativeFrom="page">
                <wp:align>left</wp:align>
              </wp:positionH>
              <wp:positionV relativeFrom="page">
                <wp:align>bottom</wp:align>
              </wp:positionV>
              <wp:extent cx="7560000" cy="2880000"/>
              <wp:effectExtent l="0" t="0" r="3175" b="0"/>
              <wp:wrapNone/>
              <wp:docPr id="25" name="Rectangle 25" descr="Blue background"/>
              <wp:cNvGraphicFramePr/>
              <a:graphic xmlns:a="http://schemas.openxmlformats.org/drawingml/2006/main">
                <a:graphicData uri="http://schemas.microsoft.com/office/word/2010/wordprocessingShape">
                  <wps:wsp>
                    <wps:cNvSpPr/>
                    <wps:spPr>
                      <a:xfrm>
                        <a:off x="0" y="0"/>
                        <a:ext cx="7560000" cy="2880000"/>
                      </a:xfrm>
                      <a:prstGeom prst="rect">
                        <a:avLst/>
                      </a:prstGeom>
                      <a:solidFill>
                        <a:srgbClr val="142E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2D793" id="Rectangle 25" o:spid="_x0000_s1026" alt="Blue background" style="position:absolute;margin-left:0;margin-top:0;width:595.3pt;height:226.75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Y4owIAAKAFAAAOAAAAZHJzL2Uyb0RvYy54bWysVMFu2zAMvQ/YPwi6r068pOuCOkXarsOA&#10;oi3aDj0rshQbk0WNUuJkXz9KdtysLXYYloMiiuQj+Uzy9GzbGLZR6GuwBR8fjThTVkJZ21XBvz9e&#10;fTjhzAdhS2HAqoLvlOdn8/fvTls3UzlUYEqFjECsn7Wu4FUIbpZlXlaqEf4InLKk1ICNCCTiKitR&#10;tITemCwfjY6zFrB0CFJ5T6+XnZLPE77WSoZbrb0KzBSccgvpxHQu45nNT8VshcJVtezTEP+QRSNq&#10;S0EHqEsRBFtj/QqqqSWCBx2OJDQZaF1LlWqgasajF9U8VMKpVAuR491Ak/9/sPJmc4esLgueTzmz&#10;oqFvdE+sCbsyisW3UnlJhJ2btWJLIX+sENa2jMS1zs/I/8HdYS95ukYWthqb+E/1sW0iezeQrbaB&#10;SXr8ND0e0Y8zSbr85CQJhJM9uzv04auChsVLwZHySiSLzbUPneneJEbzYOryqjYmCbhaXhhkG0Ff&#10;fjzJv3w8jzkT+h9mxkZjC9GtU8eXLJbWFZNuYWdUtDP2Xmlii9LPUyapT9UQR0ipbBh3qkqUqgs/&#10;Paht8Ei5JMCIrCn+gN0DxBl4jd1l2dtHV5XafHAe/S2xznnwSJHBhsG5qS3gWwCGquojd/Z7kjpq&#10;IktLKHfUSwjdkHknr2r6btfChzuBNFX0rWlThFs6tIG24NDfOKsAf731Hu2p2UnLWUtTWnD/cy1Q&#10;cWa+WRqDz+PJJI51EibTTzkJeKhZHmrsurmA2A60k5xM12gfzP6qEZonWiiLGJVUwkqKXXAZcC9c&#10;hG570EqSarFIZjTKToRr++BkBI+sxr583D4JdH3zBur7G9hPtJi96OHONnpaWKwD6Do1+DOvPd+0&#10;BlLj9Csr7plDOVk9L9b5bwAAAP//AwBQSwMEFAAGAAgAAAAhAMBFXLvfAAAABgEAAA8AAABkcnMv&#10;ZG93bnJldi54bWxMj09LAzEQxe+C3yGM4EXabLUtdt1s0UJBehC6raXH7Gb2DyaTJUnb9dubetHL&#10;wOM93vtNthyMZmd0vrMkYDJOgCFVVnXUCNjv1qNnYD5IUlJbQgHf6GGZ395kMlX2Qls8F6FhsYR8&#10;KgW0IfQp575q0Ug/tj1S9GrrjAxRuoYrJy+x3Gj+mCRzbmRHcaGVPa5arL6KkxHgD65YvdeLzW77&#10;WT+8HT/WRSi1EPd3w+sLsIBD+AvDFT+iQx6ZSnsi5ZkWEB8Jv/fqTRbJHFgpYDp7mgHPM/4fP/8B&#10;AAD//wMAUEsBAi0AFAAGAAgAAAAhALaDOJL+AAAA4QEAABMAAAAAAAAAAAAAAAAAAAAAAFtDb250&#10;ZW50X1R5cGVzXS54bWxQSwECLQAUAAYACAAAACEAOP0h/9YAAACUAQAACwAAAAAAAAAAAAAAAAAv&#10;AQAAX3JlbHMvLnJlbHNQSwECLQAUAAYACAAAACEA4HnGOKMCAACgBQAADgAAAAAAAAAAAAAAAAAu&#10;AgAAZHJzL2Uyb0RvYy54bWxQSwECLQAUAAYACAAAACEAwEVcu98AAAAGAQAADwAAAAAAAAAAAAAA&#10;AAD9BAAAZHJzL2Rvd25yZXYueG1sUEsFBgAAAAAEAAQA8wAAAAkGAAAAAA==&#10;" fillcolor="#142e3b"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FBBF6" w14:textId="77777777" w:rsidR="006A612C" w:rsidRDefault="006A612C" w:rsidP="003E1B1C">
      <w:pPr>
        <w:spacing w:after="0"/>
      </w:pPr>
      <w:r>
        <w:separator/>
      </w:r>
    </w:p>
  </w:footnote>
  <w:footnote w:type="continuationSeparator" w:id="0">
    <w:p w14:paraId="17BDCF94" w14:textId="77777777" w:rsidR="006A612C" w:rsidRDefault="006A612C" w:rsidP="003E1B1C">
      <w:pPr>
        <w:spacing w:after="0"/>
      </w:pPr>
      <w:r>
        <w:continuationSeparator/>
      </w:r>
    </w:p>
  </w:footnote>
  <w:footnote w:type="continuationNotice" w:id="1">
    <w:p w14:paraId="5D978273" w14:textId="77777777" w:rsidR="006A612C" w:rsidRDefault="006A612C">
      <w:pPr>
        <w:spacing w:after="0" w:line="240" w:lineRule="auto"/>
      </w:pPr>
    </w:p>
  </w:footnote>
  <w:footnote w:id="2">
    <w:p w14:paraId="079A9C45" w14:textId="45881DCF" w:rsidR="00840FCB" w:rsidRDefault="00840FCB">
      <w:pPr>
        <w:pStyle w:val="FootnoteText"/>
      </w:pPr>
      <w:r>
        <w:rPr>
          <w:rStyle w:val="FootnoteReference"/>
        </w:rPr>
        <w:footnoteRef/>
      </w:r>
      <w:r>
        <w:t xml:space="preserve"> We published an earlier version of this literature review to coincide with the release of BETA’s ‘Improving Energy Bills: Interim Report’ and the AER’s subsequent consultations on the Better Bills Guideline. In this final version, the section on benchmarks (section 4.1.2) was updated to reflect a recent literature review specifically on this topic (Frederiks, 2021). We also took the opportunity to make minor updates or corrections to the sections on usage feedback (section 4.1.1) and switching (section 5.1.1).</w:t>
      </w:r>
    </w:p>
  </w:footnote>
  <w:footnote w:id="3">
    <w:p w14:paraId="4B8F8A46" w14:textId="122BF056" w:rsidR="00840FCB" w:rsidRDefault="00840FCB">
      <w:pPr>
        <w:pStyle w:val="FootnoteText"/>
      </w:pPr>
      <w:r>
        <w:rPr>
          <w:rStyle w:val="FootnoteReference"/>
        </w:rPr>
        <w:footnoteRef/>
      </w:r>
      <w:r>
        <w:t xml:space="preserve"> </w:t>
      </w:r>
      <w:r w:rsidRPr="0077347A">
        <w:t>The details of that research plan, along with the results, can be found at</w:t>
      </w:r>
      <w:r>
        <w:t xml:space="preserve">: </w:t>
      </w:r>
      <w:hyperlink r:id="rId1" w:history="1">
        <w:r w:rsidRPr="00416BC2">
          <w:rPr>
            <w:rStyle w:val="Hyperlink"/>
          </w:rPr>
          <w:t>https://behaviouraleconomics.pmc.gov.au/projects/improving-energy-bills</w:t>
        </w:r>
      </w:hyperlink>
    </w:p>
  </w:footnote>
  <w:footnote w:id="4">
    <w:p w14:paraId="290CEC9D" w14:textId="183D14D1" w:rsidR="00840FCB" w:rsidRDefault="00840FCB">
      <w:pPr>
        <w:pStyle w:val="FootnoteText"/>
      </w:pPr>
      <w:r>
        <w:rPr>
          <w:rStyle w:val="FootnoteReference"/>
        </w:rPr>
        <w:footnoteRef/>
      </w:r>
      <w:r>
        <w:t xml:space="preserve"> ‘Best offer’ notices provide consumers with details of a better energy plan available to them. They were implemented for all bills in Victoria on 1 July 2019.</w:t>
      </w:r>
    </w:p>
  </w:footnote>
  <w:footnote w:id="5">
    <w:p w14:paraId="178C7F2E" w14:textId="77777777" w:rsidR="00840FCB" w:rsidRDefault="00840FCB" w:rsidP="006D1028">
      <w:pPr>
        <w:pStyle w:val="FootnoteText"/>
      </w:pPr>
      <w:r>
        <w:rPr>
          <w:rStyle w:val="FootnoteReference"/>
        </w:rPr>
        <w:footnoteRef/>
      </w:r>
      <w:r>
        <w:t xml:space="preserve"> </w:t>
      </w:r>
      <w:r w:rsidRPr="00A37587">
        <w:t xml:space="preserve">Some elements frequently identified as complex in the submissions will be described elsewhere in this literature review, namely benchmarking graphs, energy efficiency and energy usage information, and information relating to new technologies (solar, batteries,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30CEF" w14:textId="1170C4D0" w:rsidR="00840FCB" w:rsidRPr="00D2070F" w:rsidRDefault="00840FCB">
    <w:pPr>
      <w:pStyle w:val="Header"/>
      <w:rPr>
        <w:sz w:val="16"/>
        <w:szCs w:val="16"/>
      </w:rPr>
    </w:pPr>
    <w:r>
      <w:rPr>
        <w:sz w:val="16"/>
        <w:szCs w:val="16"/>
      </w:rPr>
      <w:t>Energy bill contents and billing requirements: literature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86F5B" w14:textId="32D3B6FB" w:rsidR="00840FCB" w:rsidRDefault="00840FCB">
    <w:pPr>
      <w:pStyle w:val="Header"/>
    </w:pPr>
    <w:r w:rsidRPr="001D1E1A">
      <w:rPr>
        <w:noProof/>
      </w:rPr>
      <w:drawing>
        <wp:anchor distT="0" distB="0" distL="114300" distR="114300" simplePos="0" relativeHeight="251658241" behindDoc="1" locked="0" layoutInCell="1" allowOverlap="1" wp14:anchorId="65184554" wp14:editId="68EB4953">
          <wp:simplePos x="0" y="0"/>
          <wp:positionH relativeFrom="page">
            <wp:posOffset>-83185</wp:posOffset>
          </wp:positionH>
          <wp:positionV relativeFrom="page">
            <wp:posOffset>0</wp:posOffset>
          </wp:positionV>
          <wp:extent cx="7548806" cy="929640"/>
          <wp:effectExtent l="0" t="0" r="0" b="3810"/>
          <wp:wrapNone/>
          <wp:docPr id="1" name="Picture 1" descr="Department of Prime Minister and Cabinet Logo onj the left and BETA logo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48806" cy="929640"/>
                  </a:xfrm>
                  <a:prstGeom prst="rect">
                    <a:avLst/>
                  </a:prstGeom>
                </pic:spPr>
              </pic:pic>
            </a:graphicData>
          </a:graphic>
          <wp14:sizeRelH relativeFrom="margin">
            <wp14:pctWidth>0</wp14:pctWidth>
          </wp14:sizeRelH>
          <wp14:sizeRelV relativeFrom="margin">
            <wp14:pctHeight>0</wp14:pctHeight>
          </wp14:sizeRelV>
        </wp:anchor>
      </w:drawing>
    </w:r>
    <w:r w:rsidRPr="00747E6C">
      <w:rPr>
        <w:noProof/>
        <w:color w:val="142E3B"/>
      </w:rPr>
      <mc:AlternateContent>
        <mc:Choice Requires="wps">
          <w:drawing>
            <wp:anchor distT="0" distB="0" distL="114300" distR="114300" simplePos="0" relativeHeight="251658240" behindDoc="1" locked="0" layoutInCell="1" allowOverlap="1" wp14:anchorId="41C5553A" wp14:editId="1EDC8990">
              <wp:simplePos x="0" y="0"/>
              <wp:positionH relativeFrom="page">
                <wp:posOffset>-381000</wp:posOffset>
              </wp:positionH>
              <wp:positionV relativeFrom="page">
                <wp:posOffset>-227965</wp:posOffset>
              </wp:positionV>
              <wp:extent cx="8143875" cy="4305300"/>
              <wp:effectExtent l="0" t="0" r="9525" b="0"/>
              <wp:wrapNone/>
              <wp:docPr id="2" name="Rectangle 2" descr="Blue background"/>
              <wp:cNvGraphicFramePr/>
              <a:graphic xmlns:a="http://schemas.openxmlformats.org/drawingml/2006/main">
                <a:graphicData uri="http://schemas.microsoft.com/office/word/2010/wordprocessingShape">
                  <wps:wsp>
                    <wps:cNvSpPr/>
                    <wps:spPr>
                      <a:xfrm>
                        <a:off x="0" y="0"/>
                        <a:ext cx="8143875" cy="4305300"/>
                      </a:xfrm>
                      <a:prstGeom prst="rect">
                        <a:avLst/>
                      </a:prstGeom>
                      <a:solidFill>
                        <a:srgbClr val="142E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CB7A6" id="Rectangle 2" o:spid="_x0000_s1026" alt="Blue background" style="position:absolute;margin-left:-30pt;margin-top:-17.95pt;width:641.25pt;height:3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6VqgIAAJ4FAAAOAAAAZHJzL2Uyb0RvYy54bWysVEtPHDEMvlfqf4hyLzP7KnTFLFqgVJUQ&#10;IKDinM0kO6Nm4tTJvvrr62QeUIp6qLqHbBzbn+1vbJ+e7RvDtgp9Dbbgo6OcM2UllLVdF/zb49WH&#10;E858ELYUBqwq+EF5frZ4/+505+ZqDBWYUiEjEOvnO1fwKgQ3zzIvK9UIfwROWVJqwEYEEnGdlSh2&#10;hN6YbJznH7MdYOkQpPKeXi9bJV8kfK2VDLdaexWYKTjlFtKJ6VzFM1ucivkahatq2aUh/iGLRtSW&#10;gg5QlyIItsH6D6imlggedDiS0GSgdS1VqoGqGeWvqnmohFOpFiLHu4Em//9g5c32DlldFnzMmRUN&#10;faJ7Ik3YtVGMnkrlJdF1bjaKrYT8vkbY2DLStnN+Tt4P7g47ydM1crDX2MR/qo7tE9WHgWq1D0zS&#10;48loOjk5nnEmSTed5LNJnj5G9uzu0IcvChoWLwVHSitRLLbXPlBIMu1NYjQPpi6vamOSgOvVhUG2&#10;FfTdR9Px58l5zJlcfjMzNhpbiG6tOr5ksbS2mHQLB6OinbH3ShNXlP44ZZK6VA1xhJTKhlGrqkSp&#10;2vCznH599NjX0SPlkgAjsqb4A3YH0Fu2ID12m2VnH11VavLBOf9bYq3z4JEigw2Dc1NbwLcADFXV&#10;RW7te5JaaiJLKygP1EkI7Yh5J69q+m7Xwoc7gTRTNH20J8ItHdrAruDQ3TirAH++9R7tqdVJy9mO&#10;ZrTg/sdGoOLMfLU0BJ9G02kc6iRMZ8djEvClZvVSYzfNBcR2oI3kZLpG+2D6q0ZonmidLGNUUgkr&#10;KXbBZcBeuAjt7qCFJNVymcxokJ0I1/bByQgeWY19+bh/Eui65g3U9zfQz7OYv+rh1jZ6WlhuAug6&#10;Nfgzrx3ftARS43QLK26Zl3Kyel6ri18AAAD//wMAUEsDBBQABgAIAAAAIQAJtP1D5AAAAAwBAAAP&#10;AAAAZHJzL2Rvd25yZXYueG1sTI/NTsMwEITvSLyDtUhcUOs00IiGOBVUqoQ4VGoKiKMTb36EvY5s&#10;tw1vj3uC26xmNPtNsZ6MZid0frAkYDFPgCE1Vg3UCXg/bGePwHyQpKS2hAJ+0MO6vL4qZK7smfZ4&#10;qkLHYgn5XAroQxhzzn3To5F+bkek6LXWGRni6TqunDzHcqN5miQZN3Kg+KGXI256bL6roxHgP121&#10;eW1Xb4f9R3v38rXbVqHWQtzeTM9PwAJO4S8MF/yIDmVkqu2RlGdawCxL4pYQxf1yBeySSNN0CawW&#10;kD2kC+Blwf+PKH8BAAD//wMAUEsBAi0AFAAGAAgAAAAhALaDOJL+AAAA4QEAABMAAAAAAAAAAAAA&#10;AAAAAAAAAFtDb250ZW50X1R5cGVzXS54bWxQSwECLQAUAAYACAAAACEAOP0h/9YAAACUAQAACwAA&#10;AAAAAAAAAAAAAAAvAQAAX3JlbHMvLnJlbHNQSwECLQAUAAYACAAAACEAFEUOlaoCAACeBQAADgAA&#10;AAAAAAAAAAAAAAAuAgAAZHJzL2Uyb0RvYy54bWxQSwECLQAUAAYACAAAACEACbT9Q+QAAAAMAQAA&#10;DwAAAAAAAAAAAAAAAAAEBQAAZHJzL2Rvd25yZXYueG1sUEsFBgAAAAAEAAQA8wAAABUGAAAAAA==&#10;" fillcolor="#142e3b" stroked="f" strokeweight="1pt">
              <w10:wrap anchorx="page" anchory="page"/>
            </v:rect>
          </w:pict>
        </mc:Fallback>
      </mc:AlternateContent>
    </w:r>
  </w:p>
  <w:p w14:paraId="071A1668" w14:textId="77777777" w:rsidR="00840FCB" w:rsidRDefault="00840FCB"/>
  <w:p w14:paraId="4A0CA3E6" w14:textId="77777777" w:rsidR="00840FCB" w:rsidRDefault="00840FC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9ADC" w14:textId="6B4444A6" w:rsidR="00840FCB" w:rsidRPr="00D527B7" w:rsidRDefault="00840FCB" w:rsidP="00D527B7">
    <w:pPr>
      <w:pStyle w:val="Header"/>
      <w:rPr>
        <w:sz w:val="16"/>
        <w:szCs w:val="16"/>
      </w:rPr>
    </w:pPr>
    <w:r>
      <w:rPr>
        <w:sz w:val="16"/>
        <w:szCs w:val="16"/>
      </w:rPr>
      <w:t>Energy bill contents and billing requirements: literature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14A0DC6"/>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BDEF1CA"/>
    <w:lvl w:ilvl="0">
      <w:start w:val="1"/>
      <w:numFmt w:val="decimal"/>
      <w:pStyle w:val="ListNumber"/>
      <w:lvlText w:val="%1."/>
      <w:lvlJc w:val="left"/>
      <w:pPr>
        <w:tabs>
          <w:tab w:val="num" w:pos="360"/>
        </w:tabs>
        <w:ind w:left="360" w:hanging="360"/>
      </w:pPr>
    </w:lvl>
  </w:abstractNum>
  <w:abstractNum w:abstractNumId="2" w15:restartNumberingAfterBreak="0">
    <w:nsid w:val="0A3A0CB3"/>
    <w:multiLevelType w:val="hybridMultilevel"/>
    <w:tmpl w:val="C8C4A3F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C1E1FE0"/>
    <w:multiLevelType w:val="hybridMultilevel"/>
    <w:tmpl w:val="3A2E75BC"/>
    <w:lvl w:ilvl="0" w:tplc="75468AE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850D68"/>
    <w:multiLevelType w:val="hybridMultilevel"/>
    <w:tmpl w:val="21FC47EC"/>
    <w:lvl w:ilvl="0" w:tplc="0C09000F">
      <w:start w:val="1"/>
      <w:numFmt w:val="decimal"/>
      <w:lvlText w:val="%1."/>
      <w:lvlJc w:val="left"/>
      <w:pPr>
        <w:ind w:left="360" w:hanging="360"/>
      </w:pPr>
      <w:rPr>
        <w:rFonts w:hint="default"/>
        <w:b w:val="0"/>
      </w:r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F21459"/>
    <w:multiLevelType w:val="hybridMultilevel"/>
    <w:tmpl w:val="88464EEE"/>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293B5D"/>
    <w:multiLevelType w:val="hybridMultilevel"/>
    <w:tmpl w:val="60C4DEAC"/>
    <w:lvl w:ilvl="0" w:tplc="11F659A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E42C5F"/>
    <w:multiLevelType w:val="hybridMultilevel"/>
    <w:tmpl w:val="8D625876"/>
    <w:lvl w:ilvl="0" w:tplc="0C090001">
      <w:start w:val="1"/>
      <w:numFmt w:val="bullet"/>
      <w:lvlText w:val=""/>
      <w:lvlJc w:val="left"/>
      <w:pPr>
        <w:ind w:left="720" w:hanging="360"/>
      </w:pPr>
      <w:rPr>
        <w:rFonts w:ascii="Symbol" w:hAnsi="Symbol" w:hint="default"/>
        <w:b w:val="0"/>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B0489C"/>
    <w:multiLevelType w:val="hybridMultilevel"/>
    <w:tmpl w:val="23C49F2A"/>
    <w:lvl w:ilvl="0" w:tplc="5632255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91574D"/>
    <w:multiLevelType w:val="hybridMultilevel"/>
    <w:tmpl w:val="D430D1FE"/>
    <w:lvl w:ilvl="0" w:tplc="BE4C18F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6D672A"/>
    <w:multiLevelType w:val="hybridMultilevel"/>
    <w:tmpl w:val="E0886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262358"/>
    <w:multiLevelType w:val="multilevel"/>
    <w:tmpl w:val="A3EE7A00"/>
    <w:styleLink w:val="1111113"/>
    <w:lvl w:ilvl="0">
      <w:start w:val="1"/>
      <w:numFmt w:val="bullet"/>
      <w:lvlText w:val="►"/>
      <w:lvlJc w:val="left"/>
      <w:pPr>
        <w:ind w:left="284" w:hanging="284"/>
      </w:pPr>
      <w:rPr>
        <w:rFonts w:ascii="Arial" w:hAnsi="Arial" w:hint="default"/>
        <w:color w:val="2C276C" w:themeColor="accent1"/>
        <w:sz w:val="18"/>
      </w:rPr>
    </w:lvl>
    <w:lvl w:ilvl="1">
      <w:start w:val="1"/>
      <w:numFmt w:val="bullet"/>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pStyle w:val="ListBullet4"/>
      <w:lvlText w:val="–"/>
      <w:lvlJc w:val="left"/>
      <w:pPr>
        <w:ind w:left="1134" w:hanging="283"/>
      </w:pPr>
      <w:rPr>
        <w:rFonts w:ascii="Arial" w:hAnsi="Arial" w:hint="default"/>
      </w:rPr>
    </w:lvl>
    <w:lvl w:ilvl="4">
      <w:start w:val="1"/>
      <w:numFmt w:val="bullet"/>
      <w:pStyle w:val="ListBullet5"/>
      <w:lvlText w:val="–"/>
      <w:lvlJc w:val="left"/>
      <w:pPr>
        <w:ind w:left="1418" w:hanging="284"/>
      </w:pPr>
      <w:rPr>
        <w:rFonts w:ascii="Arial" w:hAnsi="Arial" w:hint="default"/>
      </w:rPr>
    </w:lvl>
    <w:lvl w:ilvl="5">
      <w:start w:val="1"/>
      <w:numFmt w:val="bullet"/>
      <w:lvlText w:val="–"/>
      <w:lvlJc w:val="left"/>
      <w:pPr>
        <w:ind w:left="1701" w:hanging="283"/>
      </w:pPr>
      <w:rPr>
        <w:rFonts w:ascii="Arial" w:hAnsi="Arial" w:hint="default"/>
      </w:rPr>
    </w:lvl>
    <w:lvl w:ilvl="6">
      <w:start w:val="1"/>
      <w:numFmt w:val="bullet"/>
      <w:lvlText w:val="–"/>
      <w:lvlJc w:val="left"/>
      <w:pPr>
        <w:ind w:left="1985" w:hanging="284"/>
      </w:pPr>
      <w:rPr>
        <w:rFonts w:ascii="Arial" w:hAnsi="Arial" w:hint="default"/>
      </w:rPr>
    </w:lvl>
    <w:lvl w:ilvl="7">
      <w:start w:val="1"/>
      <w:numFmt w:val="bullet"/>
      <w:lvlText w:val="–"/>
      <w:lvlJc w:val="left"/>
      <w:pPr>
        <w:ind w:left="2268" w:hanging="283"/>
      </w:pPr>
      <w:rPr>
        <w:rFonts w:ascii="Arial" w:hAnsi="Arial" w:hint="default"/>
      </w:rPr>
    </w:lvl>
    <w:lvl w:ilvl="8">
      <w:start w:val="1"/>
      <w:numFmt w:val="bullet"/>
      <w:lvlText w:val="–"/>
      <w:lvlJc w:val="left"/>
      <w:pPr>
        <w:ind w:left="2552" w:hanging="284"/>
      </w:pPr>
      <w:rPr>
        <w:rFonts w:ascii="Arial" w:hAnsi="Arial" w:hint="default"/>
      </w:rPr>
    </w:lvl>
  </w:abstractNum>
  <w:abstractNum w:abstractNumId="12" w15:restartNumberingAfterBreak="0">
    <w:nsid w:val="25C0600E"/>
    <w:multiLevelType w:val="hybridMultilevel"/>
    <w:tmpl w:val="7590959C"/>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94047EC"/>
    <w:multiLevelType w:val="hybridMultilevel"/>
    <w:tmpl w:val="F4C0FB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936DCC"/>
    <w:multiLevelType w:val="hybridMultilevel"/>
    <w:tmpl w:val="B45CC920"/>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437C4D"/>
    <w:multiLevelType w:val="hybridMultilevel"/>
    <w:tmpl w:val="E3DAD95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7C4137F"/>
    <w:multiLevelType w:val="hybridMultilevel"/>
    <w:tmpl w:val="2BE68A40"/>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E992CA0"/>
    <w:multiLevelType w:val="hybridMultilevel"/>
    <w:tmpl w:val="770EE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745394"/>
    <w:multiLevelType w:val="hybridMultilevel"/>
    <w:tmpl w:val="327E7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F75D65"/>
    <w:multiLevelType w:val="hybridMultilevel"/>
    <w:tmpl w:val="DAAC96D4"/>
    <w:lvl w:ilvl="0" w:tplc="39FCC2C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120646"/>
    <w:multiLevelType w:val="hybridMultilevel"/>
    <w:tmpl w:val="BFC21AE6"/>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9C546DF"/>
    <w:multiLevelType w:val="multilevel"/>
    <w:tmpl w:val="54D4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C45845"/>
    <w:multiLevelType w:val="hybridMultilevel"/>
    <w:tmpl w:val="12ACCD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7761FE2"/>
    <w:multiLevelType w:val="hybridMultilevel"/>
    <w:tmpl w:val="D10E99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B767A19"/>
    <w:multiLevelType w:val="hybridMultilevel"/>
    <w:tmpl w:val="CCAEC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1103B"/>
    <w:multiLevelType w:val="hybridMultilevel"/>
    <w:tmpl w:val="D236EFC8"/>
    <w:lvl w:ilvl="0" w:tplc="F5AC5C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E67AA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DC7B1C"/>
    <w:multiLevelType w:val="hybridMultilevel"/>
    <w:tmpl w:val="6DDC1764"/>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65F044E"/>
    <w:multiLevelType w:val="hybridMultilevel"/>
    <w:tmpl w:val="810E981E"/>
    <w:lvl w:ilvl="0" w:tplc="0C090001">
      <w:start w:val="1"/>
      <w:numFmt w:val="bullet"/>
      <w:lvlText w:val=""/>
      <w:lvlJc w:val="left"/>
      <w:pPr>
        <w:ind w:left="360" w:hanging="360"/>
      </w:pPr>
      <w:rPr>
        <w:rFonts w:ascii="Symbol" w:hAnsi="Symbol" w:hint="default"/>
        <w:b w:val="0"/>
      </w:rPr>
    </w:lvl>
    <w:lvl w:ilvl="1" w:tplc="3A7E4FCC">
      <w:start w:val="4"/>
      <w:numFmt w:val="bullet"/>
      <w:lvlText w:val="•"/>
      <w:lvlJc w:val="left"/>
      <w:pPr>
        <w:ind w:left="1440" w:hanging="720"/>
      </w:pPr>
      <w:rPr>
        <w:rFonts w:ascii="Helvetica" w:eastAsia="Times New Roman" w:hAnsi="Helvetica" w:cs="Helvetica"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61B4886"/>
    <w:multiLevelType w:val="hybridMultilevel"/>
    <w:tmpl w:val="60C4DEAC"/>
    <w:lvl w:ilvl="0" w:tplc="11F659AA">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2D3718"/>
    <w:multiLevelType w:val="hybridMultilevel"/>
    <w:tmpl w:val="A624378A"/>
    <w:lvl w:ilvl="0" w:tplc="0C090001">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E7C8D"/>
    <w:multiLevelType w:val="hybridMultilevel"/>
    <w:tmpl w:val="01B8498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9AD2559"/>
    <w:multiLevelType w:val="multilevel"/>
    <w:tmpl w:val="0409001F"/>
    <w:name w:val="WW8Num107222"/>
    <w:styleLink w:val="1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720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9000"/>
        </w:tabs>
        <w:ind w:left="4320" w:hanging="1440"/>
      </w:pPr>
    </w:lvl>
  </w:abstractNum>
  <w:abstractNum w:abstractNumId="33" w15:restartNumberingAfterBreak="0">
    <w:nsid w:val="7BD85C6F"/>
    <w:multiLevelType w:val="multilevel"/>
    <w:tmpl w:val="4D54122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b/>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32"/>
  </w:num>
  <w:num w:numId="3">
    <w:abstractNumId w:val="11"/>
  </w:num>
  <w:num w:numId="4">
    <w:abstractNumId w:val="11"/>
  </w:num>
  <w:num w:numId="5">
    <w:abstractNumId w:val="0"/>
  </w:num>
  <w:num w:numId="6">
    <w:abstractNumId w:val="1"/>
  </w:num>
  <w:num w:numId="7">
    <w:abstractNumId w:val="10"/>
  </w:num>
  <w:num w:numId="8">
    <w:abstractNumId w:val="24"/>
  </w:num>
  <w:num w:numId="9">
    <w:abstractNumId w:val="21"/>
  </w:num>
  <w:num w:numId="10">
    <w:abstractNumId w:val="6"/>
  </w:num>
  <w:num w:numId="11">
    <w:abstractNumId w:val="3"/>
  </w:num>
  <w:num w:numId="12">
    <w:abstractNumId w:val="20"/>
  </w:num>
  <w:num w:numId="13">
    <w:abstractNumId w:val="7"/>
  </w:num>
  <w:num w:numId="14">
    <w:abstractNumId w:val="28"/>
  </w:num>
  <w:num w:numId="15">
    <w:abstractNumId w:val="27"/>
  </w:num>
  <w:num w:numId="16">
    <w:abstractNumId w:val="16"/>
  </w:num>
  <w:num w:numId="17">
    <w:abstractNumId w:val="5"/>
  </w:num>
  <w:num w:numId="18">
    <w:abstractNumId w:val="33"/>
  </w:num>
  <w:num w:numId="19">
    <w:abstractNumId w:val="14"/>
  </w:num>
  <w:num w:numId="20">
    <w:abstractNumId w:val="29"/>
  </w:num>
  <w:num w:numId="21">
    <w:abstractNumId w:val="18"/>
  </w:num>
  <w:num w:numId="22">
    <w:abstractNumId w:val="9"/>
  </w:num>
  <w:num w:numId="23">
    <w:abstractNumId w:val="22"/>
  </w:num>
  <w:num w:numId="24">
    <w:abstractNumId w:val="2"/>
  </w:num>
  <w:num w:numId="25">
    <w:abstractNumId w:val="8"/>
  </w:num>
  <w:num w:numId="26">
    <w:abstractNumId w:val="15"/>
  </w:num>
  <w:num w:numId="27">
    <w:abstractNumId w:val="13"/>
  </w:num>
  <w:num w:numId="28">
    <w:abstractNumId w:val="23"/>
  </w:num>
  <w:num w:numId="29">
    <w:abstractNumId w:val="19"/>
  </w:num>
  <w:num w:numId="30">
    <w:abstractNumId w:val="31"/>
  </w:num>
  <w:num w:numId="31">
    <w:abstractNumId w:val="25"/>
  </w:num>
  <w:num w:numId="32">
    <w:abstractNumId w:val="4"/>
  </w:num>
  <w:num w:numId="33">
    <w:abstractNumId w:val="17"/>
  </w:num>
  <w:num w:numId="34">
    <w:abstractNumId w:val="12"/>
  </w:num>
  <w:num w:numId="35">
    <w:abstractNumId w:val="30"/>
  </w:num>
  <w:num w:numId="36">
    <w:abstractNumId w:val="33"/>
  </w:num>
  <w:num w:numId="37">
    <w:abstractNumId w:val="33"/>
  </w:num>
  <w:num w:numId="38">
    <w:abstractNumId w:val="33"/>
  </w:num>
  <w:num w:numId="39">
    <w:abstractNumId w:val="33"/>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1C"/>
    <w:rsid w:val="0000005C"/>
    <w:rsid w:val="00000DA5"/>
    <w:rsid w:val="00001CC3"/>
    <w:rsid w:val="00003142"/>
    <w:rsid w:val="0000398F"/>
    <w:rsid w:val="000058D8"/>
    <w:rsid w:val="00005C4B"/>
    <w:rsid w:val="00006D99"/>
    <w:rsid w:val="00006F0B"/>
    <w:rsid w:val="00011210"/>
    <w:rsid w:val="00011322"/>
    <w:rsid w:val="000133CF"/>
    <w:rsid w:val="000159F9"/>
    <w:rsid w:val="00016A6E"/>
    <w:rsid w:val="00016C48"/>
    <w:rsid w:val="00017169"/>
    <w:rsid w:val="00020155"/>
    <w:rsid w:val="000203C0"/>
    <w:rsid w:val="000209EE"/>
    <w:rsid w:val="000225F9"/>
    <w:rsid w:val="00023A80"/>
    <w:rsid w:val="000243FF"/>
    <w:rsid w:val="000260FE"/>
    <w:rsid w:val="00026BA8"/>
    <w:rsid w:val="0002762D"/>
    <w:rsid w:val="00032297"/>
    <w:rsid w:val="00033426"/>
    <w:rsid w:val="00035346"/>
    <w:rsid w:val="00040EDD"/>
    <w:rsid w:val="00041062"/>
    <w:rsid w:val="0004297F"/>
    <w:rsid w:val="00042E42"/>
    <w:rsid w:val="00043AB1"/>
    <w:rsid w:val="00044356"/>
    <w:rsid w:val="000449B3"/>
    <w:rsid w:val="00044B84"/>
    <w:rsid w:val="00044CEC"/>
    <w:rsid w:val="00045231"/>
    <w:rsid w:val="00045F33"/>
    <w:rsid w:val="00047143"/>
    <w:rsid w:val="00051F70"/>
    <w:rsid w:val="000545C3"/>
    <w:rsid w:val="00054664"/>
    <w:rsid w:val="00054F8A"/>
    <w:rsid w:val="000560E7"/>
    <w:rsid w:val="000562BF"/>
    <w:rsid w:val="00057567"/>
    <w:rsid w:val="00057626"/>
    <w:rsid w:val="000579C2"/>
    <w:rsid w:val="00060A17"/>
    <w:rsid w:val="00062CC3"/>
    <w:rsid w:val="0006352F"/>
    <w:rsid w:val="000637B3"/>
    <w:rsid w:val="000653CD"/>
    <w:rsid w:val="0006667C"/>
    <w:rsid w:val="00066697"/>
    <w:rsid w:val="00066FF4"/>
    <w:rsid w:val="000672CF"/>
    <w:rsid w:val="000702BC"/>
    <w:rsid w:val="0007067C"/>
    <w:rsid w:val="00072213"/>
    <w:rsid w:val="00072D4A"/>
    <w:rsid w:val="000741C0"/>
    <w:rsid w:val="000762B7"/>
    <w:rsid w:val="00077437"/>
    <w:rsid w:val="000777EF"/>
    <w:rsid w:val="000800BC"/>
    <w:rsid w:val="000804A3"/>
    <w:rsid w:val="000806AF"/>
    <w:rsid w:val="00080724"/>
    <w:rsid w:val="00081BEC"/>
    <w:rsid w:val="00081DF9"/>
    <w:rsid w:val="000837DB"/>
    <w:rsid w:val="000838B2"/>
    <w:rsid w:val="00084D56"/>
    <w:rsid w:val="0008593D"/>
    <w:rsid w:val="00087C4B"/>
    <w:rsid w:val="000903A2"/>
    <w:rsid w:val="00090B89"/>
    <w:rsid w:val="00091495"/>
    <w:rsid w:val="00092A3D"/>
    <w:rsid w:val="00093633"/>
    <w:rsid w:val="00097736"/>
    <w:rsid w:val="00097E9A"/>
    <w:rsid w:val="000A0DC0"/>
    <w:rsid w:val="000A1CC3"/>
    <w:rsid w:val="000A220F"/>
    <w:rsid w:val="000A297A"/>
    <w:rsid w:val="000A2B66"/>
    <w:rsid w:val="000A4337"/>
    <w:rsid w:val="000A4FCD"/>
    <w:rsid w:val="000A5B96"/>
    <w:rsid w:val="000A5D44"/>
    <w:rsid w:val="000A6EA6"/>
    <w:rsid w:val="000A7647"/>
    <w:rsid w:val="000A7A2C"/>
    <w:rsid w:val="000B0163"/>
    <w:rsid w:val="000B07D6"/>
    <w:rsid w:val="000B12C2"/>
    <w:rsid w:val="000B14F4"/>
    <w:rsid w:val="000B1612"/>
    <w:rsid w:val="000B182D"/>
    <w:rsid w:val="000B2E2A"/>
    <w:rsid w:val="000B59F6"/>
    <w:rsid w:val="000B632D"/>
    <w:rsid w:val="000B6AB9"/>
    <w:rsid w:val="000B6D9A"/>
    <w:rsid w:val="000B77F8"/>
    <w:rsid w:val="000C009A"/>
    <w:rsid w:val="000C02DB"/>
    <w:rsid w:val="000C426E"/>
    <w:rsid w:val="000C4E36"/>
    <w:rsid w:val="000C4FE0"/>
    <w:rsid w:val="000C50C6"/>
    <w:rsid w:val="000C67FA"/>
    <w:rsid w:val="000C70E9"/>
    <w:rsid w:val="000C797B"/>
    <w:rsid w:val="000C7DF0"/>
    <w:rsid w:val="000D092E"/>
    <w:rsid w:val="000D16CD"/>
    <w:rsid w:val="000D1DAB"/>
    <w:rsid w:val="000D2198"/>
    <w:rsid w:val="000D28B8"/>
    <w:rsid w:val="000D2945"/>
    <w:rsid w:val="000D407B"/>
    <w:rsid w:val="000D65C6"/>
    <w:rsid w:val="000D7090"/>
    <w:rsid w:val="000E041A"/>
    <w:rsid w:val="000E2D6B"/>
    <w:rsid w:val="000E2E60"/>
    <w:rsid w:val="000E4005"/>
    <w:rsid w:val="000E4454"/>
    <w:rsid w:val="000E527D"/>
    <w:rsid w:val="000E541C"/>
    <w:rsid w:val="000E60A2"/>
    <w:rsid w:val="000E73AD"/>
    <w:rsid w:val="000F23E4"/>
    <w:rsid w:val="000F2516"/>
    <w:rsid w:val="000F27FA"/>
    <w:rsid w:val="000F4F37"/>
    <w:rsid w:val="000F4F70"/>
    <w:rsid w:val="000F50D7"/>
    <w:rsid w:val="000F5494"/>
    <w:rsid w:val="000F5CB6"/>
    <w:rsid w:val="000F5CFC"/>
    <w:rsid w:val="000F7664"/>
    <w:rsid w:val="000F7817"/>
    <w:rsid w:val="000F79E2"/>
    <w:rsid w:val="001003EE"/>
    <w:rsid w:val="00100474"/>
    <w:rsid w:val="00100641"/>
    <w:rsid w:val="00101326"/>
    <w:rsid w:val="00102787"/>
    <w:rsid w:val="001031B7"/>
    <w:rsid w:val="00103692"/>
    <w:rsid w:val="00103CD7"/>
    <w:rsid w:val="00105162"/>
    <w:rsid w:val="001051FF"/>
    <w:rsid w:val="00106631"/>
    <w:rsid w:val="001079B0"/>
    <w:rsid w:val="00107BC3"/>
    <w:rsid w:val="00110476"/>
    <w:rsid w:val="00112917"/>
    <w:rsid w:val="001133C1"/>
    <w:rsid w:val="0011419B"/>
    <w:rsid w:val="001152A3"/>
    <w:rsid w:val="00115DA0"/>
    <w:rsid w:val="00116914"/>
    <w:rsid w:val="0011743C"/>
    <w:rsid w:val="00121BA5"/>
    <w:rsid w:val="00121CAE"/>
    <w:rsid w:val="001222FD"/>
    <w:rsid w:val="00122F4B"/>
    <w:rsid w:val="001230CB"/>
    <w:rsid w:val="0012439A"/>
    <w:rsid w:val="0012543E"/>
    <w:rsid w:val="00125571"/>
    <w:rsid w:val="001268D5"/>
    <w:rsid w:val="00127267"/>
    <w:rsid w:val="00127A3B"/>
    <w:rsid w:val="00130F62"/>
    <w:rsid w:val="001338D0"/>
    <w:rsid w:val="00134704"/>
    <w:rsid w:val="00136A0D"/>
    <w:rsid w:val="00136A61"/>
    <w:rsid w:val="00137134"/>
    <w:rsid w:val="001375FE"/>
    <w:rsid w:val="00137A31"/>
    <w:rsid w:val="00137EDC"/>
    <w:rsid w:val="00140207"/>
    <w:rsid w:val="001404DC"/>
    <w:rsid w:val="00140989"/>
    <w:rsid w:val="001422FA"/>
    <w:rsid w:val="0014241D"/>
    <w:rsid w:val="001438C2"/>
    <w:rsid w:val="00145127"/>
    <w:rsid w:val="0014683D"/>
    <w:rsid w:val="0014730A"/>
    <w:rsid w:val="0015329D"/>
    <w:rsid w:val="0015393D"/>
    <w:rsid w:val="00156CF0"/>
    <w:rsid w:val="00157DD6"/>
    <w:rsid w:val="00160D10"/>
    <w:rsid w:val="001611C2"/>
    <w:rsid w:val="001624E0"/>
    <w:rsid w:val="00162790"/>
    <w:rsid w:val="001630DA"/>
    <w:rsid w:val="00163F14"/>
    <w:rsid w:val="0016499B"/>
    <w:rsid w:val="00164A4E"/>
    <w:rsid w:val="00165B8B"/>
    <w:rsid w:val="00166F09"/>
    <w:rsid w:val="001671BE"/>
    <w:rsid w:val="00167228"/>
    <w:rsid w:val="00167E91"/>
    <w:rsid w:val="00170E43"/>
    <w:rsid w:val="001719EF"/>
    <w:rsid w:val="0017264C"/>
    <w:rsid w:val="00172E84"/>
    <w:rsid w:val="0017378F"/>
    <w:rsid w:val="00173A5D"/>
    <w:rsid w:val="00174032"/>
    <w:rsid w:val="00175944"/>
    <w:rsid w:val="00176314"/>
    <w:rsid w:val="00176D68"/>
    <w:rsid w:val="00180E87"/>
    <w:rsid w:val="00181517"/>
    <w:rsid w:val="001816DF"/>
    <w:rsid w:val="0018273F"/>
    <w:rsid w:val="001832C1"/>
    <w:rsid w:val="0018390A"/>
    <w:rsid w:val="00183E46"/>
    <w:rsid w:val="00185C0E"/>
    <w:rsid w:val="001865BA"/>
    <w:rsid w:val="001869A5"/>
    <w:rsid w:val="00187973"/>
    <w:rsid w:val="001902A1"/>
    <w:rsid w:val="0019193C"/>
    <w:rsid w:val="00191D84"/>
    <w:rsid w:val="00192D35"/>
    <w:rsid w:val="00194590"/>
    <w:rsid w:val="00195040"/>
    <w:rsid w:val="001953DB"/>
    <w:rsid w:val="00195D7E"/>
    <w:rsid w:val="001961E4"/>
    <w:rsid w:val="0019678C"/>
    <w:rsid w:val="00197286"/>
    <w:rsid w:val="0019733C"/>
    <w:rsid w:val="001A0E12"/>
    <w:rsid w:val="001A2E40"/>
    <w:rsid w:val="001A459D"/>
    <w:rsid w:val="001A5F91"/>
    <w:rsid w:val="001A5FB1"/>
    <w:rsid w:val="001A6A0B"/>
    <w:rsid w:val="001A6AA1"/>
    <w:rsid w:val="001A6EB0"/>
    <w:rsid w:val="001B0197"/>
    <w:rsid w:val="001B1205"/>
    <w:rsid w:val="001B12E8"/>
    <w:rsid w:val="001B1477"/>
    <w:rsid w:val="001B1F61"/>
    <w:rsid w:val="001B2164"/>
    <w:rsid w:val="001B2843"/>
    <w:rsid w:val="001B2F08"/>
    <w:rsid w:val="001B3245"/>
    <w:rsid w:val="001B3654"/>
    <w:rsid w:val="001B3942"/>
    <w:rsid w:val="001B5359"/>
    <w:rsid w:val="001C0308"/>
    <w:rsid w:val="001C177E"/>
    <w:rsid w:val="001C1A69"/>
    <w:rsid w:val="001C242E"/>
    <w:rsid w:val="001C34B7"/>
    <w:rsid w:val="001C36AE"/>
    <w:rsid w:val="001C3C1A"/>
    <w:rsid w:val="001C3D36"/>
    <w:rsid w:val="001C44E7"/>
    <w:rsid w:val="001C4ECD"/>
    <w:rsid w:val="001C5A19"/>
    <w:rsid w:val="001D0B21"/>
    <w:rsid w:val="001D1D6E"/>
    <w:rsid w:val="001D1E1A"/>
    <w:rsid w:val="001D2B2C"/>
    <w:rsid w:val="001D2D74"/>
    <w:rsid w:val="001D4A26"/>
    <w:rsid w:val="001D5D52"/>
    <w:rsid w:val="001D6371"/>
    <w:rsid w:val="001D6C31"/>
    <w:rsid w:val="001D6E65"/>
    <w:rsid w:val="001D7821"/>
    <w:rsid w:val="001E0F3B"/>
    <w:rsid w:val="001E3007"/>
    <w:rsid w:val="001E438C"/>
    <w:rsid w:val="001E48B9"/>
    <w:rsid w:val="001E5085"/>
    <w:rsid w:val="001E68F2"/>
    <w:rsid w:val="001E752E"/>
    <w:rsid w:val="001F076E"/>
    <w:rsid w:val="001F1D53"/>
    <w:rsid w:val="001F200C"/>
    <w:rsid w:val="001F477E"/>
    <w:rsid w:val="001F5C67"/>
    <w:rsid w:val="001F773E"/>
    <w:rsid w:val="001F7799"/>
    <w:rsid w:val="00200B24"/>
    <w:rsid w:val="002010DD"/>
    <w:rsid w:val="00202654"/>
    <w:rsid w:val="00202E8D"/>
    <w:rsid w:val="00210792"/>
    <w:rsid w:val="00210BB6"/>
    <w:rsid w:val="0021240F"/>
    <w:rsid w:val="00213B89"/>
    <w:rsid w:val="002146A2"/>
    <w:rsid w:val="00214A20"/>
    <w:rsid w:val="002150FB"/>
    <w:rsid w:val="00215E51"/>
    <w:rsid w:val="002160C6"/>
    <w:rsid w:val="00216B59"/>
    <w:rsid w:val="00216CB9"/>
    <w:rsid w:val="00217C5C"/>
    <w:rsid w:val="00217FE6"/>
    <w:rsid w:val="0022003E"/>
    <w:rsid w:val="002202D5"/>
    <w:rsid w:val="002208D0"/>
    <w:rsid w:val="00222C74"/>
    <w:rsid w:val="00223919"/>
    <w:rsid w:val="0022732D"/>
    <w:rsid w:val="002300B3"/>
    <w:rsid w:val="00231BEA"/>
    <w:rsid w:val="002326E0"/>
    <w:rsid w:val="00232856"/>
    <w:rsid w:val="002337B7"/>
    <w:rsid w:val="00233ACF"/>
    <w:rsid w:val="00233CDD"/>
    <w:rsid w:val="002342B5"/>
    <w:rsid w:val="00234532"/>
    <w:rsid w:val="00235181"/>
    <w:rsid w:val="00236745"/>
    <w:rsid w:val="00236750"/>
    <w:rsid w:val="00236C52"/>
    <w:rsid w:val="00236D63"/>
    <w:rsid w:val="0024030F"/>
    <w:rsid w:val="00240743"/>
    <w:rsid w:val="00240E84"/>
    <w:rsid w:val="00241251"/>
    <w:rsid w:val="00241E03"/>
    <w:rsid w:val="00242214"/>
    <w:rsid w:val="00242812"/>
    <w:rsid w:val="00243386"/>
    <w:rsid w:val="002435E6"/>
    <w:rsid w:val="00243D51"/>
    <w:rsid w:val="0024424D"/>
    <w:rsid w:val="00244C44"/>
    <w:rsid w:val="00245192"/>
    <w:rsid w:val="002457B5"/>
    <w:rsid w:val="00246303"/>
    <w:rsid w:val="002466C6"/>
    <w:rsid w:val="00246A97"/>
    <w:rsid w:val="00246AD0"/>
    <w:rsid w:val="0024763A"/>
    <w:rsid w:val="0025039C"/>
    <w:rsid w:val="00252353"/>
    <w:rsid w:val="00252729"/>
    <w:rsid w:val="00252E99"/>
    <w:rsid w:val="002543C4"/>
    <w:rsid w:val="00254632"/>
    <w:rsid w:val="002569FA"/>
    <w:rsid w:val="00257B96"/>
    <w:rsid w:val="0026184E"/>
    <w:rsid w:val="00261D2C"/>
    <w:rsid w:val="0026272E"/>
    <w:rsid w:val="00264588"/>
    <w:rsid w:val="00265ACF"/>
    <w:rsid w:val="00266C85"/>
    <w:rsid w:val="00270D70"/>
    <w:rsid w:val="002711EA"/>
    <w:rsid w:val="00272AD0"/>
    <w:rsid w:val="00272FF7"/>
    <w:rsid w:val="002734D2"/>
    <w:rsid w:val="00276CF6"/>
    <w:rsid w:val="00277975"/>
    <w:rsid w:val="00280B77"/>
    <w:rsid w:val="00281408"/>
    <w:rsid w:val="002814CA"/>
    <w:rsid w:val="0028232C"/>
    <w:rsid w:val="00283518"/>
    <w:rsid w:val="0028416A"/>
    <w:rsid w:val="00284398"/>
    <w:rsid w:val="00286419"/>
    <w:rsid w:val="002865D5"/>
    <w:rsid w:val="002867F1"/>
    <w:rsid w:val="002903DE"/>
    <w:rsid w:val="00290DB8"/>
    <w:rsid w:val="00291EF3"/>
    <w:rsid w:val="002925A1"/>
    <w:rsid w:val="00292D3C"/>
    <w:rsid w:val="00293A8E"/>
    <w:rsid w:val="00294970"/>
    <w:rsid w:val="00294D5A"/>
    <w:rsid w:val="00295711"/>
    <w:rsid w:val="00297294"/>
    <w:rsid w:val="002A1822"/>
    <w:rsid w:val="002A1828"/>
    <w:rsid w:val="002A1975"/>
    <w:rsid w:val="002A38BD"/>
    <w:rsid w:val="002A3E8C"/>
    <w:rsid w:val="002A4F36"/>
    <w:rsid w:val="002A6293"/>
    <w:rsid w:val="002A699C"/>
    <w:rsid w:val="002A7725"/>
    <w:rsid w:val="002A7F86"/>
    <w:rsid w:val="002B0A45"/>
    <w:rsid w:val="002B33F2"/>
    <w:rsid w:val="002B3F29"/>
    <w:rsid w:val="002B40CE"/>
    <w:rsid w:val="002B438D"/>
    <w:rsid w:val="002B4BE4"/>
    <w:rsid w:val="002B5781"/>
    <w:rsid w:val="002B59FB"/>
    <w:rsid w:val="002B63AF"/>
    <w:rsid w:val="002B6EC2"/>
    <w:rsid w:val="002C1D19"/>
    <w:rsid w:val="002C5565"/>
    <w:rsid w:val="002C5E38"/>
    <w:rsid w:val="002C5F07"/>
    <w:rsid w:val="002C72C3"/>
    <w:rsid w:val="002C7D84"/>
    <w:rsid w:val="002D0BAB"/>
    <w:rsid w:val="002D12B3"/>
    <w:rsid w:val="002D1DEB"/>
    <w:rsid w:val="002D345C"/>
    <w:rsid w:val="002D3516"/>
    <w:rsid w:val="002D397B"/>
    <w:rsid w:val="002D40CD"/>
    <w:rsid w:val="002D5B5C"/>
    <w:rsid w:val="002D6D1D"/>
    <w:rsid w:val="002D7BE1"/>
    <w:rsid w:val="002E10E3"/>
    <w:rsid w:val="002E1540"/>
    <w:rsid w:val="002E15DE"/>
    <w:rsid w:val="002E3A2C"/>
    <w:rsid w:val="002E3A9C"/>
    <w:rsid w:val="002E3AAB"/>
    <w:rsid w:val="002E3C1C"/>
    <w:rsid w:val="002E3CF3"/>
    <w:rsid w:val="002E3D48"/>
    <w:rsid w:val="002E3EC8"/>
    <w:rsid w:val="002E4818"/>
    <w:rsid w:val="002E6839"/>
    <w:rsid w:val="002E6C47"/>
    <w:rsid w:val="002E7AF5"/>
    <w:rsid w:val="002F2B2B"/>
    <w:rsid w:val="002F4437"/>
    <w:rsid w:val="002F6D95"/>
    <w:rsid w:val="002F7058"/>
    <w:rsid w:val="0030012C"/>
    <w:rsid w:val="003006F8"/>
    <w:rsid w:val="00302E03"/>
    <w:rsid w:val="00304049"/>
    <w:rsid w:val="00304F20"/>
    <w:rsid w:val="00305484"/>
    <w:rsid w:val="00305E2E"/>
    <w:rsid w:val="00306869"/>
    <w:rsid w:val="00306DA3"/>
    <w:rsid w:val="00306E39"/>
    <w:rsid w:val="00306FE7"/>
    <w:rsid w:val="0030732C"/>
    <w:rsid w:val="00310D2C"/>
    <w:rsid w:val="003112D0"/>
    <w:rsid w:val="00312DDF"/>
    <w:rsid w:val="003136D4"/>
    <w:rsid w:val="003147D3"/>
    <w:rsid w:val="00314C6A"/>
    <w:rsid w:val="00315071"/>
    <w:rsid w:val="003154CB"/>
    <w:rsid w:val="00316D5C"/>
    <w:rsid w:val="00322993"/>
    <w:rsid w:val="00322CC7"/>
    <w:rsid w:val="003232A3"/>
    <w:rsid w:val="0032368C"/>
    <w:rsid w:val="00323AB8"/>
    <w:rsid w:val="00323DF2"/>
    <w:rsid w:val="00325C42"/>
    <w:rsid w:val="00325CE6"/>
    <w:rsid w:val="00327229"/>
    <w:rsid w:val="00327733"/>
    <w:rsid w:val="003301BC"/>
    <w:rsid w:val="00330A08"/>
    <w:rsid w:val="00331848"/>
    <w:rsid w:val="003319C7"/>
    <w:rsid w:val="003329A4"/>
    <w:rsid w:val="00333A45"/>
    <w:rsid w:val="00334592"/>
    <w:rsid w:val="00334ABC"/>
    <w:rsid w:val="00335807"/>
    <w:rsid w:val="00335B15"/>
    <w:rsid w:val="00336295"/>
    <w:rsid w:val="00336380"/>
    <w:rsid w:val="00337CC8"/>
    <w:rsid w:val="003403AB"/>
    <w:rsid w:val="00341B6A"/>
    <w:rsid w:val="00341EDE"/>
    <w:rsid w:val="00341F1B"/>
    <w:rsid w:val="00342007"/>
    <w:rsid w:val="00342BA6"/>
    <w:rsid w:val="00343224"/>
    <w:rsid w:val="00343CE9"/>
    <w:rsid w:val="00344D78"/>
    <w:rsid w:val="003465B5"/>
    <w:rsid w:val="00346992"/>
    <w:rsid w:val="00347EDF"/>
    <w:rsid w:val="00350FF2"/>
    <w:rsid w:val="0035159E"/>
    <w:rsid w:val="00351F8A"/>
    <w:rsid w:val="0035295D"/>
    <w:rsid w:val="003566AC"/>
    <w:rsid w:val="003575EF"/>
    <w:rsid w:val="00357AA3"/>
    <w:rsid w:val="00362042"/>
    <w:rsid w:val="00362371"/>
    <w:rsid w:val="003629D3"/>
    <w:rsid w:val="00362A59"/>
    <w:rsid w:val="00362CC6"/>
    <w:rsid w:val="00363A02"/>
    <w:rsid w:val="00363A68"/>
    <w:rsid w:val="00363AAD"/>
    <w:rsid w:val="003655F5"/>
    <w:rsid w:val="00366407"/>
    <w:rsid w:val="0037196B"/>
    <w:rsid w:val="00371996"/>
    <w:rsid w:val="00371D08"/>
    <w:rsid w:val="003725EC"/>
    <w:rsid w:val="00373016"/>
    <w:rsid w:val="00373F41"/>
    <w:rsid w:val="00376ED2"/>
    <w:rsid w:val="003776DD"/>
    <w:rsid w:val="00377ADF"/>
    <w:rsid w:val="00377D21"/>
    <w:rsid w:val="0038039C"/>
    <w:rsid w:val="00380C2D"/>
    <w:rsid w:val="00381D10"/>
    <w:rsid w:val="00381F0C"/>
    <w:rsid w:val="003820FB"/>
    <w:rsid w:val="0038288A"/>
    <w:rsid w:val="003833FF"/>
    <w:rsid w:val="003844A9"/>
    <w:rsid w:val="003849CC"/>
    <w:rsid w:val="00384D2E"/>
    <w:rsid w:val="003858A5"/>
    <w:rsid w:val="003862F2"/>
    <w:rsid w:val="003866E1"/>
    <w:rsid w:val="00387C56"/>
    <w:rsid w:val="00387EB3"/>
    <w:rsid w:val="0039028F"/>
    <w:rsid w:val="00390489"/>
    <w:rsid w:val="0039163A"/>
    <w:rsid w:val="003920E9"/>
    <w:rsid w:val="00392297"/>
    <w:rsid w:val="003927C1"/>
    <w:rsid w:val="00393175"/>
    <w:rsid w:val="00393188"/>
    <w:rsid w:val="00393682"/>
    <w:rsid w:val="003938BE"/>
    <w:rsid w:val="003940DE"/>
    <w:rsid w:val="0039438B"/>
    <w:rsid w:val="00394F37"/>
    <w:rsid w:val="00395062"/>
    <w:rsid w:val="0039511A"/>
    <w:rsid w:val="00396428"/>
    <w:rsid w:val="0039644D"/>
    <w:rsid w:val="00396A57"/>
    <w:rsid w:val="0039734A"/>
    <w:rsid w:val="003A2B86"/>
    <w:rsid w:val="003A3968"/>
    <w:rsid w:val="003A575B"/>
    <w:rsid w:val="003A5806"/>
    <w:rsid w:val="003A58C1"/>
    <w:rsid w:val="003A71F3"/>
    <w:rsid w:val="003A7E17"/>
    <w:rsid w:val="003B07E7"/>
    <w:rsid w:val="003B0EC1"/>
    <w:rsid w:val="003B2421"/>
    <w:rsid w:val="003B24F7"/>
    <w:rsid w:val="003B4270"/>
    <w:rsid w:val="003B48D9"/>
    <w:rsid w:val="003B59C8"/>
    <w:rsid w:val="003B73EC"/>
    <w:rsid w:val="003C1011"/>
    <w:rsid w:val="003C2F95"/>
    <w:rsid w:val="003C3AA2"/>
    <w:rsid w:val="003C652E"/>
    <w:rsid w:val="003C68DD"/>
    <w:rsid w:val="003C7EEE"/>
    <w:rsid w:val="003D00AA"/>
    <w:rsid w:val="003D02A7"/>
    <w:rsid w:val="003D1356"/>
    <w:rsid w:val="003D38FF"/>
    <w:rsid w:val="003D3AEE"/>
    <w:rsid w:val="003D3EC5"/>
    <w:rsid w:val="003D6284"/>
    <w:rsid w:val="003D673D"/>
    <w:rsid w:val="003D719B"/>
    <w:rsid w:val="003D7BA9"/>
    <w:rsid w:val="003E01DE"/>
    <w:rsid w:val="003E11CA"/>
    <w:rsid w:val="003E1B1C"/>
    <w:rsid w:val="003E3836"/>
    <w:rsid w:val="003E3E7B"/>
    <w:rsid w:val="003E4C6D"/>
    <w:rsid w:val="003E4C8C"/>
    <w:rsid w:val="003E693E"/>
    <w:rsid w:val="003F05EC"/>
    <w:rsid w:val="003F1363"/>
    <w:rsid w:val="003F487E"/>
    <w:rsid w:val="003F4E9F"/>
    <w:rsid w:val="003F5029"/>
    <w:rsid w:val="003F5286"/>
    <w:rsid w:val="003F53B7"/>
    <w:rsid w:val="003F631B"/>
    <w:rsid w:val="003F7204"/>
    <w:rsid w:val="003F7A0B"/>
    <w:rsid w:val="0040028B"/>
    <w:rsid w:val="00400642"/>
    <w:rsid w:val="00400FC9"/>
    <w:rsid w:val="00401C17"/>
    <w:rsid w:val="00401C4D"/>
    <w:rsid w:val="00402C57"/>
    <w:rsid w:val="00402DA1"/>
    <w:rsid w:val="00402E6B"/>
    <w:rsid w:val="00403976"/>
    <w:rsid w:val="00404146"/>
    <w:rsid w:val="00405312"/>
    <w:rsid w:val="00405A12"/>
    <w:rsid w:val="00406DE3"/>
    <w:rsid w:val="00407DDF"/>
    <w:rsid w:val="00410386"/>
    <w:rsid w:val="004107EE"/>
    <w:rsid w:val="0041109B"/>
    <w:rsid w:val="0041299B"/>
    <w:rsid w:val="00412A4F"/>
    <w:rsid w:val="00412D79"/>
    <w:rsid w:val="00413521"/>
    <w:rsid w:val="004138FE"/>
    <w:rsid w:val="00413C0A"/>
    <w:rsid w:val="00414C5F"/>
    <w:rsid w:val="0041614E"/>
    <w:rsid w:val="0041770D"/>
    <w:rsid w:val="00417E5A"/>
    <w:rsid w:val="004200BC"/>
    <w:rsid w:val="004215D6"/>
    <w:rsid w:val="004218D3"/>
    <w:rsid w:val="00421F5D"/>
    <w:rsid w:val="00422072"/>
    <w:rsid w:val="00422AB7"/>
    <w:rsid w:val="00422F57"/>
    <w:rsid w:val="00423083"/>
    <w:rsid w:val="004234F2"/>
    <w:rsid w:val="00423B4A"/>
    <w:rsid w:val="004245E5"/>
    <w:rsid w:val="00424D18"/>
    <w:rsid w:val="00425C62"/>
    <w:rsid w:val="00426357"/>
    <w:rsid w:val="0043048D"/>
    <w:rsid w:val="00430CBF"/>
    <w:rsid w:val="00433A49"/>
    <w:rsid w:val="00434AB4"/>
    <w:rsid w:val="00436762"/>
    <w:rsid w:val="00436B4B"/>
    <w:rsid w:val="0043781F"/>
    <w:rsid w:val="004406EB"/>
    <w:rsid w:val="00443792"/>
    <w:rsid w:val="004456BF"/>
    <w:rsid w:val="004462FA"/>
    <w:rsid w:val="0044692C"/>
    <w:rsid w:val="00446B96"/>
    <w:rsid w:val="00450F79"/>
    <w:rsid w:val="004520B8"/>
    <w:rsid w:val="004521D9"/>
    <w:rsid w:val="00452729"/>
    <w:rsid w:val="00453A40"/>
    <w:rsid w:val="00455E24"/>
    <w:rsid w:val="004575E6"/>
    <w:rsid w:val="00457DBE"/>
    <w:rsid w:val="00460BC8"/>
    <w:rsid w:val="004617B8"/>
    <w:rsid w:val="00463356"/>
    <w:rsid w:val="0046358A"/>
    <w:rsid w:val="00463BFC"/>
    <w:rsid w:val="004640E5"/>
    <w:rsid w:val="00464CB0"/>
    <w:rsid w:val="00465D4E"/>
    <w:rsid w:val="00466228"/>
    <w:rsid w:val="00466DC6"/>
    <w:rsid w:val="00467DA4"/>
    <w:rsid w:val="00467F80"/>
    <w:rsid w:val="00470E2A"/>
    <w:rsid w:val="00471F49"/>
    <w:rsid w:val="00472E76"/>
    <w:rsid w:val="00473692"/>
    <w:rsid w:val="00473BFA"/>
    <w:rsid w:val="004743E7"/>
    <w:rsid w:val="00474462"/>
    <w:rsid w:val="00474735"/>
    <w:rsid w:val="00474A6F"/>
    <w:rsid w:val="00474A9D"/>
    <w:rsid w:val="00476077"/>
    <w:rsid w:val="0047673D"/>
    <w:rsid w:val="00476B54"/>
    <w:rsid w:val="004777D2"/>
    <w:rsid w:val="0047785D"/>
    <w:rsid w:val="0047788C"/>
    <w:rsid w:val="00480E8B"/>
    <w:rsid w:val="0048133E"/>
    <w:rsid w:val="004826D0"/>
    <w:rsid w:val="00483333"/>
    <w:rsid w:val="00484432"/>
    <w:rsid w:val="00484876"/>
    <w:rsid w:val="00485BD0"/>
    <w:rsid w:val="00485DE1"/>
    <w:rsid w:val="004870D9"/>
    <w:rsid w:val="00491276"/>
    <w:rsid w:val="00493A15"/>
    <w:rsid w:val="004955F0"/>
    <w:rsid w:val="004979F2"/>
    <w:rsid w:val="004A02EF"/>
    <w:rsid w:val="004A581C"/>
    <w:rsid w:val="004A5CC7"/>
    <w:rsid w:val="004A6CB0"/>
    <w:rsid w:val="004B1BD1"/>
    <w:rsid w:val="004B4107"/>
    <w:rsid w:val="004B61EA"/>
    <w:rsid w:val="004B6914"/>
    <w:rsid w:val="004C031F"/>
    <w:rsid w:val="004C0EEA"/>
    <w:rsid w:val="004C0FDD"/>
    <w:rsid w:val="004C1C80"/>
    <w:rsid w:val="004C3C9D"/>
    <w:rsid w:val="004C3EB1"/>
    <w:rsid w:val="004C44AC"/>
    <w:rsid w:val="004C5DCC"/>
    <w:rsid w:val="004C64F1"/>
    <w:rsid w:val="004C78ED"/>
    <w:rsid w:val="004C7FC0"/>
    <w:rsid w:val="004D0145"/>
    <w:rsid w:val="004D1312"/>
    <w:rsid w:val="004D1878"/>
    <w:rsid w:val="004D37D9"/>
    <w:rsid w:val="004D3857"/>
    <w:rsid w:val="004E0839"/>
    <w:rsid w:val="004E0DC4"/>
    <w:rsid w:val="004E364D"/>
    <w:rsid w:val="004E405F"/>
    <w:rsid w:val="004E480E"/>
    <w:rsid w:val="004E49F7"/>
    <w:rsid w:val="004E4E86"/>
    <w:rsid w:val="004E721E"/>
    <w:rsid w:val="004E73E1"/>
    <w:rsid w:val="004E79D8"/>
    <w:rsid w:val="004F0DB4"/>
    <w:rsid w:val="004F253F"/>
    <w:rsid w:val="004F304E"/>
    <w:rsid w:val="004F62BD"/>
    <w:rsid w:val="004F66F5"/>
    <w:rsid w:val="0050163F"/>
    <w:rsid w:val="00501795"/>
    <w:rsid w:val="00501C32"/>
    <w:rsid w:val="00503B30"/>
    <w:rsid w:val="00505338"/>
    <w:rsid w:val="00505902"/>
    <w:rsid w:val="00507E7F"/>
    <w:rsid w:val="00510467"/>
    <w:rsid w:val="00510E1C"/>
    <w:rsid w:val="00512078"/>
    <w:rsid w:val="00512917"/>
    <w:rsid w:val="00515A32"/>
    <w:rsid w:val="005168EE"/>
    <w:rsid w:val="00516A92"/>
    <w:rsid w:val="00516ADA"/>
    <w:rsid w:val="00520D38"/>
    <w:rsid w:val="0052169F"/>
    <w:rsid w:val="005265AA"/>
    <w:rsid w:val="0052694C"/>
    <w:rsid w:val="00531530"/>
    <w:rsid w:val="00531686"/>
    <w:rsid w:val="005339EF"/>
    <w:rsid w:val="00533F7C"/>
    <w:rsid w:val="00534109"/>
    <w:rsid w:val="00534279"/>
    <w:rsid w:val="00534ABF"/>
    <w:rsid w:val="00534F2D"/>
    <w:rsid w:val="00535D2D"/>
    <w:rsid w:val="00536DC6"/>
    <w:rsid w:val="005374CF"/>
    <w:rsid w:val="0054121F"/>
    <w:rsid w:val="0054127F"/>
    <w:rsid w:val="00541AF1"/>
    <w:rsid w:val="00542ABC"/>
    <w:rsid w:val="00542BCC"/>
    <w:rsid w:val="005437D5"/>
    <w:rsid w:val="00544C57"/>
    <w:rsid w:val="0055075A"/>
    <w:rsid w:val="005510B7"/>
    <w:rsid w:val="005528A1"/>
    <w:rsid w:val="00553DC9"/>
    <w:rsid w:val="00554522"/>
    <w:rsid w:val="00554D3E"/>
    <w:rsid w:val="00554F07"/>
    <w:rsid w:val="0055548A"/>
    <w:rsid w:val="005555DB"/>
    <w:rsid w:val="00555A6C"/>
    <w:rsid w:val="00555ADA"/>
    <w:rsid w:val="005563DB"/>
    <w:rsid w:val="00557258"/>
    <w:rsid w:val="00557E9C"/>
    <w:rsid w:val="00560B1A"/>
    <w:rsid w:val="00562512"/>
    <w:rsid w:val="005639F3"/>
    <w:rsid w:val="00564368"/>
    <w:rsid w:val="00565E11"/>
    <w:rsid w:val="005664A1"/>
    <w:rsid w:val="00566A9F"/>
    <w:rsid w:val="00566B31"/>
    <w:rsid w:val="00566E3F"/>
    <w:rsid w:val="005670C2"/>
    <w:rsid w:val="00570633"/>
    <w:rsid w:val="00570F52"/>
    <w:rsid w:val="005722C8"/>
    <w:rsid w:val="005737CE"/>
    <w:rsid w:val="00574C44"/>
    <w:rsid w:val="00575B1F"/>
    <w:rsid w:val="00576169"/>
    <w:rsid w:val="00576BA4"/>
    <w:rsid w:val="00581401"/>
    <w:rsid w:val="00581B7A"/>
    <w:rsid w:val="00584172"/>
    <w:rsid w:val="005851BD"/>
    <w:rsid w:val="00585AAC"/>
    <w:rsid w:val="005863FD"/>
    <w:rsid w:val="00591132"/>
    <w:rsid w:val="005917D2"/>
    <w:rsid w:val="00591A0C"/>
    <w:rsid w:val="00593A32"/>
    <w:rsid w:val="00595CD6"/>
    <w:rsid w:val="0059600C"/>
    <w:rsid w:val="00597F07"/>
    <w:rsid w:val="005A080F"/>
    <w:rsid w:val="005A0E38"/>
    <w:rsid w:val="005A2795"/>
    <w:rsid w:val="005A2B35"/>
    <w:rsid w:val="005A3162"/>
    <w:rsid w:val="005A33D9"/>
    <w:rsid w:val="005A3E2C"/>
    <w:rsid w:val="005A4377"/>
    <w:rsid w:val="005A5120"/>
    <w:rsid w:val="005A545F"/>
    <w:rsid w:val="005A55DB"/>
    <w:rsid w:val="005A5A97"/>
    <w:rsid w:val="005A7205"/>
    <w:rsid w:val="005A74CF"/>
    <w:rsid w:val="005B0AB6"/>
    <w:rsid w:val="005B0C28"/>
    <w:rsid w:val="005B1333"/>
    <w:rsid w:val="005B19C3"/>
    <w:rsid w:val="005B2511"/>
    <w:rsid w:val="005B3B9D"/>
    <w:rsid w:val="005B3C94"/>
    <w:rsid w:val="005B5058"/>
    <w:rsid w:val="005B5072"/>
    <w:rsid w:val="005B5273"/>
    <w:rsid w:val="005B53E3"/>
    <w:rsid w:val="005B6738"/>
    <w:rsid w:val="005C0E1F"/>
    <w:rsid w:val="005C0ECD"/>
    <w:rsid w:val="005C142A"/>
    <w:rsid w:val="005C18C0"/>
    <w:rsid w:val="005C2C82"/>
    <w:rsid w:val="005C40BA"/>
    <w:rsid w:val="005C4214"/>
    <w:rsid w:val="005C4819"/>
    <w:rsid w:val="005C4A3E"/>
    <w:rsid w:val="005C5246"/>
    <w:rsid w:val="005C618F"/>
    <w:rsid w:val="005C6BDA"/>
    <w:rsid w:val="005C728D"/>
    <w:rsid w:val="005C7EEA"/>
    <w:rsid w:val="005D0359"/>
    <w:rsid w:val="005D056E"/>
    <w:rsid w:val="005D0D1C"/>
    <w:rsid w:val="005D0F7B"/>
    <w:rsid w:val="005D13BF"/>
    <w:rsid w:val="005D3829"/>
    <w:rsid w:val="005D4DA2"/>
    <w:rsid w:val="005D563B"/>
    <w:rsid w:val="005D69DE"/>
    <w:rsid w:val="005D75A5"/>
    <w:rsid w:val="005D7A22"/>
    <w:rsid w:val="005D7CFC"/>
    <w:rsid w:val="005E071A"/>
    <w:rsid w:val="005E2406"/>
    <w:rsid w:val="005E291B"/>
    <w:rsid w:val="005E2E94"/>
    <w:rsid w:val="005E3827"/>
    <w:rsid w:val="005E4E26"/>
    <w:rsid w:val="005E50DD"/>
    <w:rsid w:val="005E54C1"/>
    <w:rsid w:val="005E7143"/>
    <w:rsid w:val="005E7939"/>
    <w:rsid w:val="005F0580"/>
    <w:rsid w:val="005F0B07"/>
    <w:rsid w:val="005F12DE"/>
    <w:rsid w:val="005F13F4"/>
    <w:rsid w:val="005F16AA"/>
    <w:rsid w:val="005F1717"/>
    <w:rsid w:val="005F2CCB"/>
    <w:rsid w:val="005F358A"/>
    <w:rsid w:val="005F361C"/>
    <w:rsid w:val="005F490A"/>
    <w:rsid w:val="005F5136"/>
    <w:rsid w:val="005F5B4D"/>
    <w:rsid w:val="005F6D58"/>
    <w:rsid w:val="00601896"/>
    <w:rsid w:val="00601EA9"/>
    <w:rsid w:val="00603AAE"/>
    <w:rsid w:val="00604FAF"/>
    <w:rsid w:val="0060564E"/>
    <w:rsid w:val="0060612A"/>
    <w:rsid w:val="0060644A"/>
    <w:rsid w:val="00606906"/>
    <w:rsid w:val="00607C7F"/>
    <w:rsid w:val="00610943"/>
    <w:rsid w:val="006114C1"/>
    <w:rsid w:val="00613D2D"/>
    <w:rsid w:val="0061438C"/>
    <w:rsid w:val="006146E3"/>
    <w:rsid w:val="00614924"/>
    <w:rsid w:val="00616C7B"/>
    <w:rsid w:val="00616E8D"/>
    <w:rsid w:val="00617290"/>
    <w:rsid w:val="0062095A"/>
    <w:rsid w:val="00621A8A"/>
    <w:rsid w:val="00621B5A"/>
    <w:rsid w:val="00622508"/>
    <w:rsid w:val="006226E4"/>
    <w:rsid w:val="006230CA"/>
    <w:rsid w:val="00624675"/>
    <w:rsid w:val="00624A29"/>
    <w:rsid w:val="00630B53"/>
    <w:rsid w:val="006310C0"/>
    <w:rsid w:val="006326F3"/>
    <w:rsid w:val="00633EA6"/>
    <w:rsid w:val="0063415B"/>
    <w:rsid w:val="00634E4C"/>
    <w:rsid w:val="0063600A"/>
    <w:rsid w:val="006369DE"/>
    <w:rsid w:val="00636EC5"/>
    <w:rsid w:val="006373AE"/>
    <w:rsid w:val="00642AC1"/>
    <w:rsid w:val="0064334B"/>
    <w:rsid w:val="00644754"/>
    <w:rsid w:val="00644B68"/>
    <w:rsid w:val="0064587C"/>
    <w:rsid w:val="0064605F"/>
    <w:rsid w:val="006466E4"/>
    <w:rsid w:val="006468F8"/>
    <w:rsid w:val="00646B89"/>
    <w:rsid w:val="0064755B"/>
    <w:rsid w:val="00651085"/>
    <w:rsid w:val="006518EC"/>
    <w:rsid w:val="006524B6"/>
    <w:rsid w:val="006558EA"/>
    <w:rsid w:val="00656220"/>
    <w:rsid w:val="00656320"/>
    <w:rsid w:val="006572BB"/>
    <w:rsid w:val="00661296"/>
    <w:rsid w:val="00661AF3"/>
    <w:rsid w:val="006621E6"/>
    <w:rsid w:val="0066289D"/>
    <w:rsid w:val="00663878"/>
    <w:rsid w:val="00664937"/>
    <w:rsid w:val="00664E64"/>
    <w:rsid w:val="006660A5"/>
    <w:rsid w:val="00666389"/>
    <w:rsid w:val="00666A97"/>
    <w:rsid w:val="00670B19"/>
    <w:rsid w:val="0067128F"/>
    <w:rsid w:val="00672EEE"/>
    <w:rsid w:val="00675341"/>
    <w:rsid w:val="006759E9"/>
    <w:rsid w:val="006812DF"/>
    <w:rsid w:val="006813F8"/>
    <w:rsid w:val="00681820"/>
    <w:rsid w:val="00681C3C"/>
    <w:rsid w:val="00682167"/>
    <w:rsid w:val="00682368"/>
    <w:rsid w:val="006849C4"/>
    <w:rsid w:val="006849DD"/>
    <w:rsid w:val="00684D8C"/>
    <w:rsid w:val="006856A0"/>
    <w:rsid w:val="006862F5"/>
    <w:rsid w:val="00686800"/>
    <w:rsid w:val="0068688C"/>
    <w:rsid w:val="00686B6E"/>
    <w:rsid w:val="006873F7"/>
    <w:rsid w:val="00690556"/>
    <w:rsid w:val="00690927"/>
    <w:rsid w:val="00693559"/>
    <w:rsid w:val="00694F2E"/>
    <w:rsid w:val="00695A28"/>
    <w:rsid w:val="006971A0"/>
    <w:rsid w:val="006A0052"/>
    <w:rsid w:val="006A005B"/>
    <w:rsid w:val="006A01E8"/>
    <w:rsid w:val="006A0CD2"/>
    <w:rsid w:val="006A0F32"/>
    <w:rsid w:val="006A1C0C"/>
    <w:rsid w:val="006A2B73"/>
    <w:rsid w:val="006A38DE"/>
    <w:rsid w:val="006A3DC2"/>
    <w:rsid w:val="006A4074"/>
    <w:rsid w:val="006A57B9"/>
    <w:rsid w:val="006A612C"/>
    <w:rsid w:val="006A68CF"/>
    <w:rsid w:val="006A7D53"/>
    <w:rsid w:val="006B1451"/>
    <w:rsid w:val="006B2314"/>
    <w:rsid w:val="006B3A9D"/>
    <w:rsid w:val="006B3ED6"/>
    <w:rsid w:val="006B601C"/>
    <w:rsid w:val="006B6040"/>
    <w:rsid w:val="006B6F55"/>
    <w:rsid w:val="006C016F"/>
    <w:rsid w:val="006C2271"/>
    <w:rsid w:val="006C2424"/>
    <w:rsid w:val="006C3E91"/>
    <w:rsid w:val="006C6133"/>
    <w:rsid w:val="006C7A62"/>
    <w:rsid w:val="006D1028"/>
    <w:rsid w:val="006D11F8"/>
    <w:rsid w:val="006D38F9"/>
    <w:rsid w:val="006D40F5"/>
    <w:rsid w:val="006D430F"/>
    <w:rsid w:val="006D51D5"/>
    <w:rsid w:val="006D58CA"/>
    <w:rsid w:val="006D595F"/>
    <w:rsid w:val="006D6A9C"/>
    <w:rsid w:val="006D7730"/>
    <w:rsid w:val="006E0E96"/>
    <w:rsid w:val="006E26A9"/>
    <w:rsid w:val="006E3B15"/>
    <w:rsid w:val="006E421F"/>
    <w:rsid w:val="006E48F4"/>
    <w:rsid w:val="006E535E"/>
    <w:rsid w:val="006E6504"/>
    <w:rsid w:val="006E7B98"/>
    <w:rsid w:val="006E7BC8"/>
    <w:rsid w:val="006F12D1"/>
    <w:rsid w:val="006F2597"/>
    <w:rsid w:val="006F394F"/>
    <w:rsid w:val="006F3B1A"/>
    <w:rsid w:val="006F4F2A"/>
    <w:rsid w:val="00700D48"/>
    <w:rsid w:val="00700F8C"/>
    <w:rsid w:val="00701FCD"/>
    <w:rsid w:val="007021AE"/>
    <w:rsid w:val="00703157"/>
    <w:rsid w:val="00705667"/>
    <w:rsid w:val="0070608F"/>
    <w:rsid w:val="0070723F"/>
    <w:rsid w:val="007074F3"/>
    <w:rsid w:val="00707C1D"/>
    <w:rsid w:val="00710FBA"/>
    <w:rsid w:val="007131B6"/>
    <w:rsid w:val="00713D2C"/>
    <w:rsid w:val="007158E6"/>
    <w:rsid w:val="00716185"/>
    <w:rsid w:val="007161B2"/>
    <w:rsid w:val="007162F7"/>
    <w:rsid w:val="00720161"/>
    <w:rsid w:val="00720C88"/>
    <w:rsid w:val="0072209E"/>
    <w:rsid w:val="007224E6"/>
    <w:rsid w:val="00722E30"/>
    <w:rsid w:val="00723312"/>
    <w:rsid w:val="0072367D"/>
    <w:rsid w:val="00723FAE"/>
    <w:rsid w:val="00725178"/>
    <w:rsid w:val="00725B41"/>
    <w:rsid w:val="0072604E"/>
    <w:rsid w:val="0072626C"/>
    <w:rsid w:val="00726468"/>
    <w:rsid w:val="00726CD0"/>
    <w:rsid w:val="00726D91"/>
    <w:rsid w:val="0072747D"/>
    <w:rsid w:val="00727E34"/>
    <w:rsid w:val="00727FA3"/>
    <w:rsid w:val="007315DA"/>
    <w:rsid w:val="007317F3"/>
    <w:rsid w:val="00733FF5"/>
    <w:rsid w:val="00734160"/>
    <w:rsid w:val="007365CA"/>
    <w:rsid w:val="0073671D"/>
    <w:rsid w:val="00736BE6"/>
    <w:rsid w:val="0073737F"/>
    <w:rsid w:val="00737898"/>
    <w:rsid w:val="00740089"/>
    <w:rsid w:val="0074218F"/>
    <w:rsid w:val="00743BF4"/>
    <w:rsid w:val="007440FC"/>
    <w:rsid w:val="007451D1"/>
    <w:rsid w:val="007458BD"/>
    <w:rsid w:val="007463F1"/>
    <w:rsid w:val="00746EE6"/>
    <w:rsid w:val="0074727C"/>
    <w:rsid w:val="00747E6C"/>
    <w:rsid w:val="00750BA8"/>
    <w:rsid w:val="0075138F"/>
    <w:rsid w:val="007527AC"/>
    <w:rsid w:val="00754A69"/>
    <w:rsid w:val="00755EFA"/>
    <w:rsid w:val="00755FAA"/>
    <w:rsid w:val="007561BD"/>
    <w:rsid w:val="007605EE"/>
    <w:rsid w:val="00765E1B"/>
    <w:rsid w:val="00765F31"/>
    <w:rsid w:val="007662A7"/>
    <w:rsid w:val="00766DB3"/>
    <w:rsid w:val="007727FE"/>
    <w:rsid w:val="007728F7"/>
    <w:rsid w:val="00772BE0"/>
    <w:rsid w:val="0077347A"/>
    <w:rsid w:val="00773632"/>
    <w:rsid w:val="00773A9A"/>
    <w:rsid w:val="00773D00"/>
    <w:rsid w:val="00774821"/>
    <w:rsid w:val="00774EF9"/>
    <w:rsid w:val="00775FA5"/>
    <w:rsid w:val="0077755F"/>
    <w:rsid w:val="007813B4"/>
    <w:rsid w:val="007813DF"/>
    <w:rsid w:val="007832E9"/>
    <w:rsid w:val="00783E02"/>
    <w:rsid w:val="00785E4D"/>
    <w:rsid w:val="00786973"/>
    <w:rsid w:val="00786C1C"/>
    <w:rsid w:val="00787A78"/>
    <w:rsid w:val="007907EC"/>
    <w:rsid w:val="007913B3"/>
    <w:rsid w:val="007924AC"/>
    <w:rsid w:val="00792971"/>
    <w:rsid w:val="00792987"/>
    <w:rsid w:val="00792F87"/>
    <w:rsid w:val="007935AE"/>
    <w:rsid w:val="007935D5"/>
    <w:rsid w:val="00793E36"/>
    <w:rsid w:val="00794291"/>
    <w:rsid w:val="00794707"/>
    <w:rsid w:val="00794FD7"/>
    <w:rsid w:val="00795010"/>
    <w:rsid w:val="007968D7"/>
    <w:rsid w:val="00796A30"/>
    <w:rsid w:val="007979B4"/>
    <w:rsid w:val="007979DA"/>
    <w:rsid w:val="007A0138"/>
    <w:rsid w:val="007A030D"/>
    <w:rsid w:val="007A1B0E"/>
    <w:rsid w:val="007A1DAC"/>
    <w:rsid w:val="007A2941"/>
    <w:rsid w:val="007A2FD6"/>
    <w:rsid w:val="007A34CA"/>
    <w:rsid w:val="007A374F"/>
    <w:rsid w:val="007A408F"/>
    <w:rsid w:val="007A4250"/>
    <w:rsid w:val="007A4803"/>
    <w:rsid w:val="007A4E05"/>
    <w:rsid w:val="007A577E"/>
    <w:rsid w:val="007A7085"/>
    <w:rsid w:val="007A7987"/>
    <w:rsid w:val="007B0917"/>
    <w:rsid w:val="007B27D6"/>
    <w:rsid w:val="007B4469"/>
    <w:rsid w:val="007B76F2"/>
    <w:rsid w:val="007C0C06"/>
    <w:rsid w:val="007C3957"/>
    <w:rsid w:val="007C456C"/>
    <w:rsid w:val="007C46D7"/>
    <w:rsid w:val="007C49F8"/>
    <w:rsid w:val="007C5180"/>
    <w:rsid w:val="007C669E"/>
    <w:rsid w:val="007C7599"/>
    <w:rsid w:val="007D0090"/>
    <w:rsid w:val="007D47F6"/>
    <w:rsid w:val="007D4DC8"/>
    <w:rsid w:val="007D5255"/>
    <w:rsid w:val="007D54A8"/>
    <w:rsid w:val="007D5AD2"/>
    <w:rsid w:val="007D65B9"/>
    <w:rsid w:val="007D6B0B"/>
    <w:rsid w:val="007D78E2"/>
    <w:rsid w:val="007E18C4"/>
    <w:rsid w:val="007E18E7"/>
    <w:rsid w:val="007E1AB1"/>
    <w:rsid w:val="007E294C"/>
    <w:rsid w:val="007E2B60"/>
    <w:rsid w:val="007E3200"/>
    <w:rsid w:val="007E3342"/>
    <w:rsid w:val="007E3357"/>
    <w:rsid w:val="007E35D7"/>
    <w:rsid w:val="007E3835"/>
    <w:rsid w:val="007E5B9D"/>
    <w:rsid w:val="007F2038"/>
    <w:rsid w:val="007F2C3F"/>
    <w:rsid w:val="007F33DE"/>
    <w:rsid w:val="007F4842"/>
    <w:rsid w:val="007F63F6"/>
    <w:rsid w:val="007F76A4"/>
    <w:rsid w:val="00800EB8"/>
    <w:rsid w:val="0080106F"/>
    <w:rsid w:val="00802349"/>
    <w:rsid w:val="0080459B"/>
    <w:rsid w:val="00805530"/>
    <w:rsid w:val="00805711"/>
    <w:rsid w:val="008057D4"/>
    <w:rsid w:val="00811FE5"/>
    <w:rsid w:val="00812BDF"/>
    <w:rsid w:val="00812C37"/>
    <w:rsid w:val="00812E6B"/>
    <w:rsid w:val="00812E7E"/>
    <w:rsid w:val="008131B7"/>
    <w:rsid w:val="00813A23"/>
    <w:rsid w:val="00813C98"/>
    <w:rsid w:val="00813DE8"/>
    <w:rsid w:val="00814348"/>
    <w:rsid w:val="0081487C"/>
    <w:rsid w:val="00815BAD"/>
    <w:rsid w:val="00820928"/>
    <w:rsid w:val="00821DFA"/>
    <w:rsid w:val="008224E1"/>
    <w:rsid w:val="008227CF"/>
    <w:rsid w:val="00823E5F"/>
    <w:rsid w:val="0082517C"/>
    <w:rsid w:val="00826449"/>
    <w:rsid w:val="0082736B"/>
    <w:rsid w:val="00827E2F"/>
    <w:rsid w:val="008329CD"/>
    <w:rsid w:val="008339E6"/>
    <w:rsid w:val="0083420B"/>
    <w:rsid w:val="0083467D"/>
    <w:rsid w:val="00834ED8"/>
    <w:rsid w:val="00835A5B"/>
    <w:rsid w:val="00835FA1"/>
    <w:rsid w:val="00836E81"/>
    <w:rsid w:val="008373FF"/>
    <w:rsid w:val="00837AAD"/>
    <w:rsid w:val="008402CC"/>
    <w:rsid w:val="00840FCB"/>
    <w:rsid w:val="0084137C"/>
    <w:rsid w:val="00843BDC"/>
    <w:rsid w:val="00844573"/>
    <w:rsid w:val="00844D89"/>
    <w:rsid w:val="008452E1"/>
    <w:rsid w:val="00846409"/>
    <w:rsid w:val="008465BB"/>
    <w:rsid w:val="00846C48"/>
    <w:rsid w:val="00846FA1"/>
    <w:rsid w:val="00846FC1"/>
    <w:rsid w:val="00850AED"/>
    <w:rsid w:val="00851863"/>
    <w:rsid w:val="00855232"/>
    <w:rsid w:val="00855A5C"/>
    <w:rsid w:val="00856856"/>
    <w:rsid w:val="00856F76"/>
    <w:rsid w:val="00856FA1"/>
    <w:rsid w:val="00860336"/>
    <w:rsid w:val="0086053C"/>
    <w:rsid w:val="00861E7F"/>
    <w:rsid w:val="00862492"/>
    <w:rsid w:val="008626CA"/>
    <w:rsid w:val="00864DFA"/>
    <w:rsid w:val="00865492"/>
    <w:rsid w:val="00865E1C"/>
    <w:rsid w:val="00865F20"/>
    <w:rsid w:val="00867219"/>
    <w:rsid w:val="008676D8"/>
    <w:rsid w:val="0087012B"/>
    <w:rsid w:val="00870899"/>
    <w:rsid w:val="00871E5E"/>
    <w:rsid w:val="0087216E"/>
    <w:rsid w:val="008726CD"/>
    <w:rsid w:val="008726D5"/>
    <w:rsid w:val="0087276F"/>
    <w:rsid w:val="00876CA1"/>
    <w:rsid w:val="00877F1D"/>
    <w:rsid w:val="0088135F"/>
    <w:rsid w:val="008814A5"/>
    <w:rsid w:val="00881678"/>
    <w:rsid w:val="008846A8"/>
    <w:rsid w:val="0088513E"/>
    <w:rsid w:val="008862AC"/>
    <w:rsid w:val="008863D2"/>
    <w:rsid w:val="008866E8"/>
    <w:rsid w:val="00886B84"/>
    <w:rsid w:val="0088700D"/>
    <w:rsid w:val="008914B2"/>
    <w:rsid w:val="00891C9B"/>
    <w:rsid w:val="008942F5"/>
    <w:rsid w:val="00896537"/>
    <w:rsid w:val="008966E2"/>
    <w:rsid w:val="008A0304"/>
    <w:rsid w:val="008A2EC2"/>
    <w:rsid w:val="008A3D43"/>
    <w:rsid w:val="008A3D44"/>
    <w:rsid w:val="008A4266"/>
    <w:rsid w:val="008A4488"/>
    <w:rsid w:val="008A46A8"/>
    <w:rsid w:val="008A5342"/>
    <w:rsid w:val="008A7068"/>
    <w:rsid w:val="008B0DA0"/>
    <w:rsid w:val="008B2260"/>
    <w:rsid w:val="008B2E5D"/>
    <w:rsid w:val="008B35E1"/>
    <w:rsid w:val="008B49A7"/>
    <w:rsid w:val="008B5227"/>
    <w:rsid w:val="008B53D7"/>
    <w:rsid w:val="008B5728"/>
    <w:rsid w:val="008B6CC4"/>
    <w:rsid w:val="008B7562"/>
    <w:rsid w:val="008B7D3F"/>
    <w:rsid w:val="008C10F5"/>
    <w:rsid w:val="008C21FA"/>
    <w:rsid w:val="008C2326"/>
    <w:rsid w:val="008C29B5"/>
    <w:rsid w:val="008C2BB9"/>
    <w:rsid w:val="008C34E3"/>
    <w:rsid w:val="008C3DEE"/>
    <w:rsid w:val="008C4570"/>
    <w:rsid w:val="008C509B"/>
    <w:rsid w:val="008C5776"/>
    <w:rsid w:val="008C6920"/>
    <w:rsid w:val="008C6C49"/>
    <w:rsid w:val="008C7620"/>
    <w:rsid w:val="008D14DA"/>
    <w:rsid w:val="008D1C0B"/>
    <w:rsid w:val="008D25F1"/>
    <w:rsid w:val="008D2A13"/>
    <w:rsid w:val="008D48B0"/>
    <w:rsid w:val="008D5D86"/>
    <w:rsid w:val="008D6147"/>
    <w:rsid w:val="008D6400"/>
    <w:rsid w:val="008D6EFB"/>
    <w:rsid w:val="008E1482"/>
    <w:rsid w:val="008E329C"/>
    <w:rsid w:val="008E46DD"/>
    <w:rsid w:val="008E50B6"/>
    <w:rsid w:val="008E7362"/>
    <w:rsid w:val="008E7DA8"/>
    <w:rsid w:val="008F0BC1"/>
    <w:rsid w:val="008F1D61"/>
    <w:rsid w:val="008F3F2F"/>
    <w:rsid w:val="009002DE"/>
    <w:rsid w:val="0090182A"/>
    <w:rsid w:val="00902E76"/>
    <w:rsid w:val="00903785"/>
    <w:rsid w:val="00904018"/>
    <w:rsid w:val="00905E7B"/>
    <w:rsid w:val="00912C12"/>
    <w:rsid w:val="0091474B"/>
    <w:rsid w:val="00915957"/>
    <w:rsid w:val="00915CEB"/>
    <w:rsid w:val="00916516"/>
    <w:rsid w:val="009178E0"/>
    <w:rsid w:val="00917F98"/>
    <w:rsid w:val="009209FA"/>
    <w:rsid w:val="00920ED4"/>
    <w:rsid w:val="00924697"/>
    <w:rsid w:val="009268CE"/>
    <w:rsid w:val="009272CD"/>
    <w:rsid w:val="00927540"/>
    <w:rsid w:val="00927845"/>
    <w:rsid w:val="009278FB"/>
    <w:rsid w:val="00927B45"/>
    <w:rsid w:val="00927EF0"/>
    <w:rsid w:val="00930D89"/>
    <w:rsid w:val="00931C0D"/>
    <w:rsid w:val="00932343"/>
    <w:rsid w:val="00932A70"/>
    <w:rsid w:val="0093413E"/>
    <w:rsid w:val="00936489"/>
    <w:rsid w:val="00936504"/>
    <w:rsid w:val="00936863"/>
    <w:rsid w:val="00940D2D"/>
    <w:rsid w:val="00941F5D"/>
    <w:rsid w:val="00942310"/>
    <w:rsid w:val="00942EEB"/>
    <w:rsid w:val="009432C7"/>
    <w:rsid w:val="00943351"/>
    <w:rsid w:val="00943F3C"/>
    <w:rsid w:val="009448D1"/>
    <w:rsid w:val="00946B75"/>
    <w:rsid w:val="0094794B"/>
    <w:rsid w:val="00951201"/>
    <w:rsid w:val="00951742"/>
    <w:rsid w:val="0095374B"/>
    <w:rsid w:val="00954802"/>
    <w:rsid w:val="00954BAB"/>
    <w:rsid w:val="009564A7"/>
    <w:rsid w:val="00956717"/>
    <w:rsid w:val="0095757F"/>
    <w:rsid w:val="00960412"/>
    <w:rsid w:val="00960FB6"/>
    <w:rsid w:val="00960FB8"/>
    <w:rsid w:val="00961AF6"/>
    <w:rsid w:val="00961B24"/>
    <w:rsid w:val="00961DBA"/>
    <w:rsid w:val="00962B5E"/>
    <w:rsid w:val="00962C17"/>
    <w:rsid w:val="00964769"/>
    <w:rsid w:val="0096528F"/>
    <w:rsid w:val="00967E02"/>
    <w:rsid w:val="009715FC"/>
    <w:rsid w:val="00972B6C"/>
    <w:rsid w:val="00972C26"/>
    <w:rsid w:val="00972E72"/>
    <w:rsid w:val="00973573"/>
    <w:rsid w:val="00974B7C"/>
    <w:rsid w:val="00974C16"/>
    <w:rsid w:val="00975699"/>
    <w:rsid w:val="00975A56"/>
    <w:rsid w:val="00977713"/>
    <w:rsid w:val="00981D80"/>
    <w:rsid w:val="0098349B"/>
    <w:rsid w:val="00983557"/>
    <w:rsid w:val="0098420D"/>
    <w:rsid w:val="00984EB4"/>
    <w:rsid w:val="0098542A"/>
    <w:rsid w:val="00985D81"/>
    <w:rsid w:val="009862AB"/>
    <w:rsid w:val="00986C3F"/>
    <w:rsid w:val="00990788"/>
    <w:rsid w:val="00990A0F"/>
    <w:rsid w:val="009917E9"/>
    <w:rsid w:val="009925A9"/>
    <w:rsid w:val="00993334"/>
    <w:rsid w:val="009939B7"/>
    <w:rsid w:val="00993BCC"/>
    <w:rsid w:val="00993F5E"/>
    <w:rsid w:val="0099444D"/>
    <w:rsid w:val="00995E65"/>
    <w:rsid w:val="009A07F4"/>
    <w:rsid w:val="009A27EF"/>
    <w:rsid w:val="009A4500"/>
    <w:rsid w:val="009A55DC"/>
    <w:rsid w:val="009A6D8F"/>
    <w:rsid w:val="009A6E5F"/>
    <w:rsid w:val="009A6E75"/>
    <w:rsid w:val="009B10A5"/>
    <w:rsid w:val="009B288E"/>
    <w:rsid w:val="009B2B02"/>
    <w:rsid w:val="009B2B3D"/>
    <w:rsid w:val="009B3877"/>
    <w:rsid w:val="009B47C8"/>
    <w:rsid w:val="009B4AB0"/>
    <w:rsid w:val="009B5772"/>
    <w:rsid w:val="009B5D3D"/>
    <w:rsid w:val="009B7A62"/>
    <w:rsid w:val="009C12AA"/>
    <w:rsid w:val="009C2A87"/>
    <w:rsid w:val="009C2C59"/>
    <w:rsid w:val="009C2E2F"/>
    <w:rsid w:val="009C313B"/>
    <w:rsid w:val="009C3D96"/>
    <w:rsid w:val="009C5317"/>
    <w:rsid w:val="009C7CF6"/>
    <w:rsid w:val="009D034D"/>
    <w:rsid w:val="009D10BA"/>
    <w:rsid w:val="009D2E77"/>
    <w:rsid w:val="009D2EBF"/>
    <w:rsid w:val="009D346F"/>
    <w:rsid w:val="009D3489"/>
    <w:rsid w:val="009D4227"/>
    <w:rsid w:val="009D56A6"/>
    <w:rsid w:val="009D5763"/>
    <w:rsid w:val="009D5F1C"/>
    <w:rsid w:val="009D65B9"/>
    <w:rsid w:val="009D7674"/>
    <w:rsid w:val="009D7A6C"/>
    <w:rsid w:val="009E0432"/>
    <w:rsid w:val="009E13FC"/>
    <w:rsid w:val="009E1990"/>
    <w:rsid w:val="009E199F"/>
    <w:rsid w:val="009E1F03"/>
    <w:rsid w:val="009E34B8"/>
    <w:rsid w:val="009E3BA7"/>
    <w:rsid w:val="009E3C94"/>
    <w:rsid w:val="009E4127"/>
    <w:rsid w:val="009E46B1"/>
    <w:rsid w:val="009E6762"/>
    <w:rsid w:val="009F1AD0"/>
    <w:rsid w:val="009F3299"/>
    <w:rsid w:val="009F3514"/>
    <w:rsid w:val="009F4361"/>
    <w:rsid w:val="009F44D6"/>
    <w:rsid w:val="009F4A12"/>
    <w:rsid w:val="009F4B37"/>
    <w:rsid w:val="009F4C81"/>
    <w:rsid w:val="009F50F9"/>
    <w:rsid w:val="009F5B96"/>
    <w:rsid w:val="00A00104"/>
    <w:rsid w:val="00A00609"/>
    <w:rsid w:val="00A0090B"/>
    <w:rsid w:val="00A01410"/>
    <w:rsid w:val="00A03346"/>
    <w:rsid w:val="00A04C4E"/>
    <w:rsid w:val="00A07199"/>
    <w:rsid w:val="00A07452"/>
    <w:rsid w:val="00A10461"/>
    <w:rsid w:val="00A10999"/>
    <w:rsid w:val="00A10DC0"/>
    <w:rsid w:val="00A1187E"/>
    <w:rsid w:val="00A127D1"/>
    <w:rsid w:val="00A12A74"/>
    <w:rsid w:val="00A12D8F"/>
    <w:rsid w:val="00A13E0B"/>
    <w:rsid w:val="00A13E53"/>
    <w:rsid w:val="00A15595"/>
    <w:rsid w:val="00A1574F"/>
    <w:rsid w:val="00A15922"/>
    <w:rsid w:val="00A16C2A"/>
    <w:rsid w:val="00A16CF8"/>
    <w:rsid w:val="00A200FC"/>
    <w:rsid w:val="00A21D75"/>
    <w:rsid w:val="00A23C92"/>
    <w:rsid w:val="00A23E0F"/>
    <w:rsid w:val="00A25819"/>
    <w:rsid w:val="00A259B9"/>
    <w:rsid w:val="00A2734D"/>
    <w:rsid w:val="00A27AF0"/>
    <w:rsid w:val="00A30047"/>
    <w:rsid w:val="00A304E1"/>
    <w:rsid w:val="00A30634"/>
    <w:rsid w:val="00A308AD"/>
    <w:rsid w:val="00A30CA1"/>
    <w:rsid w:val="00A310CC"/>
    <w:rsid w:val="00A324B0"/>
    <w:rsid w:val="00A33B11"/>
    <w:rsid w:val="00A33DDB"/>
    <w:rsid w:val="00A34477"/>
    <w:rsid w:val="00A34B11"/>
    <w:rsid w:val="00A36471"/>
    <w:rsid w:val="00A3650D"/>
    <w:rsid w:val="00A37587"/>
    <w:rsid w:val="00A37734"/>
    <w:rsid w:val="00A4210C"/>
    <w:rsid w:val="00A42A2B"/>
    <w:rsid w:val="00A42D37"/>
    <w:rsid w:val="00A4636B"/>
    <w:rsid w:val="00A463D3"/>
    <w:rsid w:val="00A46C1C"/>
    <w:rsid w:val="00A47BA3"/>
    <w:rsid w:val="00A50B36"/>
    <w:rsid w:val="00A51134"/>
    <w:rsid w:val="00A5198F"/>
    <w:rsid w:val="00A52330"/>
    <w:rsid w:val="00A5392E"/>
    <w:rsid w:val="00A550B6"/>
    <w:rsid w:val="00A55E7E"/>
    <w:rsid w:val="00A570A0"/>
    <w:rsid w:val="00A57679"/>
    <w:rsid w:val="00A57831"/>
    <w:rsid w:val="00A6132F"/>
    <w:rsid w:val="00A64799"/>
    <w:rsid w:val="00A64FDD"/>
    <w:rsid w:val="00A66B7A"/>
    <w:rsid w:val="00A66BDF"/>
    <w:rsid w:val="00A66DFE"/>
    <w:rsid w:val="00A672D1"/>
    <w:rsid w:val="00A67E31"/>
    <w:rsid w:val="00A7037C"/>
    <w:rsid w:val="00A7133A"/>
    <w:rsid w:val="00A74B8A"/>
    <w:rsid w:val="00A762EF"/>
    <w:rsid w:val="00A76AE1"/>
    <w:rsid w:val="00A77C3C"/>
    <w:rsid w:val="00A823C8"/>
    <w:rsid w:val="00A824A6"/>
    <w:rsid w:val="00A82BD1"/>
    <w:rsid w:val="00A831D4"/>
    <w:rsid w:val="00A83D03"/>
    <w:rsid w:val="00A8616E"/>
    <w:rsid w:val="00A8728D"/>
    <w:rsid w:val="00A8745B"/>
    <w:rsid w:val="00A87654"/>
    <w:rsid w:val="00A90D6F"/>
    <w:rsid w:val="00A93E2E"/>
    <w:rsid w:val="00A93FF1"/>
    <w:rsid w:val="00A94A4B"/>
    <w:rsid w:val="00A9509D"/>
    <w:rsid w:val="00A96516"/>
    <w:rsid w:val="00A968B2"/>
    <w:rsid w:val="00A969CA"/>
    <w:rsid w:val="00A9733D"/>
    <w:rsid w:val="00A9755B"/>
    <w:rsid w:val="00AA009E"/>
    <w:rsid w:val="00AA734E"/>
    <w:rsid w:val="00AA7BDC"/>
    <w:rsid w:val="00AB0133"/>
    <w:rsid w:val="00AB19C6"/>
    <w:rsid w:val="00AB27F4"/>
    <w:rsid w:val="00AB2E49"/>
    <w:rsid w:val="00AB4296"/>
    <w:rsid w:val="00AB4F42"/>
    <w:rsid w:val="00AB5CC9"/>
    <w:rsid w:val="00AB63AE"/>
    <w:rsid w:val="00AB6918"/>
    <w:rsid w:val="00AC0054"/>
    <w:rsid w:val="00AC1DAF"/>
    <w:rsid w:val="00AC265D"/>
    <w:rsid w:val="00AC3042"/>
    <w:rsid w:val="00AC369C"/>
    <w:rsid w:val="00AC480E"/>
    <w:rsid w:val="00AC4C55"/>
    <w:rsid w:val="00AC4C62"/>
    <w:rsid w:val="00AC5B17"/>
    <w:rsid w:val="00AC6AF4"/>
    <w:rsid w:val="00AD026E"/>
    <w:rsid w:val="00AD0C86"/>
    <w:rsid w:val="00AD0DF2"/>
    <w:rsid w:val="00AD1300"/>
    <w:rsid w:val="00AD1437"/>
    <w:rsid w:val="00AD3197"/>
    <w:rsid w:val="00AD34F4"/>
    <w:rsid w:val="00AD3C6D"/>
    <w:rsid w:val="00AD4D1C"/>
    <w:rsid w:val="00AD5A4A"/>
    <w:rsid w:val="00AD5B64"/>
    <w:rsid w:val="00AD6B05"/>
    <w:rsid w:val="00AE05AE"/>
    <w:rsid w:val="00AE104B"/>
    <w:rsid w:val="00AE1118"/>
    <w:rsid w:val="00AE1F9D"/>
    <w:rsid w:val="00AE2454"/>
    <w:rsid w:val="00AE2951"/>
    <w:rsid w:val="00AE416F"/>
    <w:rsid w:val="00AE54A1"/>
    <w:rsid w:val="00AE6306"/>
    <w:rsid w:val="00AE6A50"/>
    <w:rsid w:val="00AE6F4D"/>
    <w:rsid w:val="00AE7D5D"/>
    <w:rsid w:val="00AF2DA8"/>
    <w:rsid w:val="00AF5008"/>
    <w:rsid w:val="00AF5A36"/>
    <w:rsid w:val="00AF5E5E"/>
    <w:rsid w:val="00AF62E2"/>
    <w:rsid w:val="00B00275"/>
    <w:rsid w:val="00B0058E"/>
    <w:rsid w:val="00B005AF"/>
    <w:rsid w:val="00B039DA"/>
    <w:rsid w:val="00B040DD"/>
    <w:rsid w:val="00B04A0B"/>
    <w:rsid w:val="00B1024A"/>
    <w:rsid w:val="00B10751"/>
    <w:rsid w:val="00B10D1F"/>
    <w:rsid w:val="00B11D5A"/>
    <w:rsid w:val="00B12509"/>
    <w:rsid w:val="00B1312D"/>
    <w:rsid w:val="00B15B6C"/>
    <w:rsid w:val="00B160C8"/>
    <w:rsid w:val="00B167B1"/>
    <w:rsid w:val="00B1700E"/>
    <w:rsid w:val="00B2080C"/>
    <w:rsid w:val="00B21B5C"/>
    <w:rsid w:val="00B22607"/>
    <w:rsid w:val="00B232B5"/>
    <w:rsid w:val="00B2349F"/>
    <w:rsid w:val="00B234E7"/>
    <w:rsid w:val="00B24165"/>
    <w:rsid w:val="00B25A01"/>
    <w:rsid w:val="00B2705E"/>
    <w:rsid w:val="00B27113"/>
    <w:rsid w:val="00B278F2"/>
    <w:rsid w:val="00B30485"/>
    <w:rsid w:val="00B304D3"/>
    <w:rsid w:val="00B3090A"/>
    <w:rsid w:val="00B31133"/>
    <w:rsid w:val="00B311BB"/>
    <w:rsid w:val="00B329B9"/>
    <w:rsid w:val="00B337A5"/>
    <w:rsid w:val="00B34315"/>
    <w:rsid w:val="00B34887"/>
    <w:rsid w:val="00B35401"/>
    <w:rsid w:val="00B36AEB"/>
    <w:rsid w:val="00B3799E"/>
    <w:rsid w:val="00B41EFF"/>
    <w:rsid w:val="00B42BE8"/>
    <w:rsid w:val="00B43DF4"/>
    <w:rsid w:val="00B440F3"/>
    <w:rsid w:val="00B448D4"/>
    <w:rsid w:val="00B454D4"/>
    <w:rsid w:val="00B4562F"/>
    <w:rsid w:val="00B456A2"/>
    <w:rsid w:val="00B45A7E"/>
    <w:rsid w:val="00B45B5D"/>
    <w:rsid w:val="00B46437"/>
    <w:rsid w:val="00B46AA5"/>
    <w:rsid w:val="00B47763"/>
    <w:rsid w:val="00B50969"/>
    <w:rsid w:val="00B516C3"/>
    <w:rsid w:val="00B51980"/>
    <w:rsid w:val="00B51DF0"/>
    <w:rsid w:val="00B528DB"/>
    <w:rsid w:val="00B532FE"/>
    <w:rsid w:val="00B53FA4"/>
    <w:rsid w:val="00B54478"/>
    <w:rsid w:val="00B56166"/>
    <w:rsid w:val="00B57EAB"/>
    <w:rsid w:val="00B607C4"/>
    <w:rsid w:val="00B63047"/>
    <w:rsid w:val="00B64205"/>
    <w:rsid w:val="00B64227"/>
    <w:rsid w:val="00B642C4"/>
    <w:rsid w:val="00B649E1"/>
    <w:rsid w:val="00B65D29"/>
    <w:rsid w:val="00B66267"/>
    <w:rsid w:val="00B66BD0"/>
    <w:rsid w:val="00B66BDF"/>
    <w:rsid w:val="00B70D0F"/>
    <w:rsid w:val="00B7117D"/>
    <w:rsid w:val="00B71445"/>
    <w:rsid w:val="00B71541"/>
    <w:rsid w:val="00B72411"/>
    <w:rsid w:val="00B72A0D"/>
    <w:rsid w:val="00B72C3B"/>
    <w:rsid w:val="00B7360C"/>
    <w:rsid w:val="00B73740"/>
    <w:rsid w:val="00B75AB3"/>
    <w:rsid w:val="00B7623D"/>
    <w:rsid w:val="00B778E1"/>
    <w:rsid w:val="00B86532"/>
    <w:rsid w:val="00B86826"/>
    <w:rsid w:val="00B868A1"/>
    <w:rsid w:val="00B868C8"/>
    <w:rsid w:val="00B87714"/>
    <w:rsid w:val="00B90E33"/>
    <w:rsid w:val="00B92D5F"/>
    <w:rsid w:val="00B93707"/>
    <w:rsid w:val="00B94A48"/>
    <w:rsid w:val="00B9664D"/>
    <w:rsid w:val="00B971E4"/>
    <w:rsid w:val="00B97671"/>
    <w:rsid w:val="00B97F4B"/>
    <w:rsid w:val="00BA06BB"/>
    <w:rsid w:val="00BA139A"/>
    <w:rsid w:val="00BA13C5"/>
    <w:rsid w:val="00BA140F"/>
    <w:rsid w:val="00BA1D22"/>
    <w:rsid w:val="00BA2AE4"/>
    <w:rsid w:val="00BA2F5A"/>
    <w:rsid w:val="00BA42CA"/>
    <w:rsid w:val="00BA42D6"/>
    <w:rsid w:val="00BA4495"/>
    <w:rsid w:val="00BA5E22"/>
    <w:rsid w:val="00BA6AC6"/>
    <w:rsid w:val="00BA6B38"/>
    <w:rsid w:val="00BA7470"/>
    <w:rsid w:val="00BA7618"/>
    <w:rsid w:val="00BB05C6"/>
    <w:rsid w:val="00BB1B43"/>
    <w:rsid w:val="00BB7080"/>
    <w:rsid w:val="00BC0428"/>
    <w:rsid w:val="00BC0F0F"/>
    <w:rsid w:val="00BC1BA5"/>
    <w:rsid w:val="00BC2235"/>
    <w:rsid w:val="00BC2312"/>
    <w:rsid w:val="00BC2446"/>
    <w:rsid w:val="00BC3D52"/>
    <w:rsid w:val="00BC404C"/>
    <w:rsid w:val="00BC470D"/>
    <w:rsid w:val="00BC5A8F"/>
    <w:rsid w:val="00BC5F59"/>
    <w:rsid w:val="00BC7E5C"/>
    <w:rsid w:val="00BD020A"/>
    <w:rsid w:val="00BD0B1B"/>
    <w:rsid w:val="00BD2B78"/>
    <w:rsid w:val="00BD3797"/>
    <w:rsid w:val="00BD44CE"/>
    <w:rsid w:val="00BD55AA"/>
    <w:rsid w:val="00BD6B50"/>
    <w:rsid w:val="00BD6B9C"/>
    <w:rsid w:val="00BD6C48"/>
    <w:rsid w:val="00BD6F76"/>
    <w:rsid w:val="00BD6F7A"/>
    <w:rsid w:val="00BD70B5"/>
    <w:rsid w:val="00BE020D"/>
    <w:rsid w:val="00BE0C26"/>
    <w:rsid w:val="00BE4053"/>
    <w:rsid w:val="00BE44EB"/>
    <w:rsid w:val="00BE5FD0"/>
    <w:rsid w:val="00BE7CBC"/>
    <w:rsid w:val="00BE7D6D"/>
    <w:rsid w:val="00BE7FE2"/>
    <w:rsid w:val="00BF0183"/>
    <w:rsid w:val="00BF0E6C"/>
    <w:rsid w:val="00BF1BDF"/>
    <w:rsid w:val="00BF22A5"/>
    <w:rsid w:val="00BF2C55"/>
    <w:rsid w:val="00BF2DF5"/>
    <w:rsid w:val="00BF37F4"/>
    <w:rsid w:val="00BF41C1"/>
    <w:rsid w:val="00BF5002"/>
    <w:rsid w:val="00BF5778"/>
    <w:rsid w:val="00BF6C42"/>
    <w:rsid w:val="00BF6F42"/>
    <w:rsid w:val="00C009C3"/>
    <w:rsid w:val="00C02837"/>
    <w:rsid w:val="00C03AA1"/>
    <w:rsid w:val="00C052A9"/>
    <w:rsid w:val="00C05371"/>
    <w:rsid w:val="00C06069"/>
    <w:rsid w:val="00C07618"/>
    <w:rsid w:val="00C07989"/>
    <w:rsid w:val="00C079BA"/>
    <w:rsid w:val="00C12093"/>
    <w:rsid w:val="00C12419"/>
    <w:rsid w:val="00C13E8F"/>
    <w:rsid w:val="00C14D53"/>
    <w:rsid w:val="00C20482"/>
    <w:rsid w:val="00C22E8D"/>
    <w:rsid w:val="00C23A0B"/>
    <w:rsid w:val="00C24B1C"/>
    <w:rsid w:val="00C2573E"/>
    <w:rsid w:val="00C25B3E"/>
    <w:rsid w:val="00C27E0B"/>
    <w:rsid w:val="00C313E1"/>
    <w:rsid w:val="00C319F3"/>
    <w:rsid w:val="00C31D31"/>
    <w:rsid w:val="00C31DDB"/>
    <w:rsid w:val="00C31E54"/>
    <w:rsid w:val="00C31F79"/>
    <w:rsid w:val="00C32571"/>
    <w:rsid w:val="00C326F3"/>
    <w:rsid w:val="00C33222"/>
    <w:rsid w:val="00C367E1"/>
    <w:rsid w:val="00C40E31"/>
    <w:rsid w:val="00C42588"/>
    <w:rsid w:val="00C42766"/>
    <w:rsid w:val="00C42E10"/>
    <w:rsid w:val="00C43497"/>
    <w:rsid w:val="00C43D21"/>
    <w:rsid w:val="00C44FE6"/>
    <w:rsid w:val="00C46713"/>
    <w:rsid w:val="00C46E9D"/>
    <w:rsid w:val="00C470F7"/>
    <w:rsid w:val="00C474DF"/>
    <w:rsid w:val="00C474F8"/>
    <w:rsid w:val="00C478FE"/>
    <w:rsid w:val="00C51C66"/>
    <w:rsid w:val="00C51E94"/>
    <w:rsid w:val="00C538FD"/>
    <w:rsid w:val="00C54602"/>
    <w:rsid w:val="00C557A5"/>
    <w:rsid w:val="00C559A2"/>
    <w:rsid w:val="00C61161"/>
    <w:rsid w:val="00C619EB"/>
    <w:rsid w:val="00C61A1D"/>
    <w:rsid w:val="00C61EE4"/>
    <w:rsid w:val="00C625AD"/>
    <w:rsid w:val="00C6383D"/>
    <w:rsid w:val="00C63A4A"/>
    <w:rsid w:val="00C63D0E"/>
    <w:rsid w:val="00C64435"/>
    <w:rsid w:val="00C6526E"/>
    <w:rsid w:val="00C65AB5"/>
    <w:rsid w:val="00C67015"/>
    <w:rsid w:val="00C67C88"/>
    <w:rsid w:val="00C700A0"/>
    <w:rsid w:val="00C706E2"/>
    <w:rsid w:val="00C70CFF"/>
    <w:rsid w:val="00C70DD8"/>
    <w:rsid w:val="00C71E59"/>
    <w:rsid w:val="00C7310C"/>
    <w:rsid w:val="00C743D6"/>
    <w:rsid w:val="00C74628"/>
    <w:rsid w:val="00C74976"/>
    <w:rsid w:val="00C7544C"/>
    <w:rsid w:val="00C7556E"/>
    <w:rsid w:val="00C75FFB"/>
    <w:rsid w:val="00C76AE2"/>
    <w:rsid w:val="00C7747F"/>
    <w:rsid w:val="00C77F0F"/>
    <w:rsid w:val="00C8175C"/>
    <w:rsid w:val="00C8421A"/>
    <w:rsid w:val="00C8430D"/>
    <w:rsid w:val="00C8431A"/>
    <w:rsid w:val="00C844D4"/>
    <w:rsid w:val="00C849B2"/>
    <w:rsid w:val="00C8587C"/>
    <w:rsid w:val="00C8662E"/>
    <w:rsid w:val="00C869FC"/>
    <w:rsid w:val="00C9026F"/>
    <w:rsid w:val="00C90A4F"/>
    <w:rsid w:val="00C92522"/>
    <w:rsid w:val="00C93124"/>
    <w:rsid w:val="00C935A8"/>
    <w:rsid w:val="00C94008"/>
    <w:rsid w:val="00C94732"/>
    <w:rsid w:val="00C97024"/>
    <w:rsid w:val="00CA006E"/>
    <w:rsid w:val="00CA02D8"/>
    <w:rsid w:val="00CA1142"/>
    <w:rsid w:val="00CA2597"/>
    <w:rsid w:val="00CA26FD"/>
    <w:rsid w:val="00CA2CC5"/>
    <w:rsid w:val="00CA427B"/>
    <w:rsid w:val="00CA7080"/>
    <w:rsid w:val="00CA79B9"/>
    <w:rsid w:val="00CA7A84"/>
    <w:rsid w:val="00CA7C44"/>
    <w:rsid w:val="00CA7D30"/>
    <w:rsid w:val="00CB037F"/>
    <w:rsid w:val="00CB0583"/>
    <w:rsid w:val="00CB0ED0"/>
    <w:rsid w:val="00CB0ED6"/>
    <w:rsid w:val="00CB1315"/>
    <w:rsid w:val="00CB301B"/>
    <w:rsid w:val="00CB417C"/>
    <w:rsid w:val="00CB42F8"/>
    <w:rsid w:val="00CB4B6E"/>
    <w:rsid w:val="00CB526C"/>
    <w:rsid w:val="00CB5641"/>
    <w:rsid w:val="00CB5D78"/>
    <w:rsid w:val="00CC04BE"/>
    <w:rsid w:val="00CC130B"/>
    <w:rsid w:val="00CC1C0D"/>
    <w:rsid w:val="00CC23AB"/>
    <w:rsid w:val="00CC3911"/>
    <w:rsid w:val="00CC524E"/>
    <w:rsid w:val="00CC5C78"/>
    <w:rsid w:val="00CC6C72"/>
    <w:rsid w:val="00CC6F91"/>
    <w:rsid w:val="00CC783E"/>
    <w:rsid w:val="00CC7BF5"/>
    <w:rsid w:val="00CD2664"/>
    <w:rsid w:val="00CD3389"/>
    <w:rsid w:val="00CD3F4C"/>
    <w:rsid w:val="00CD433D"/>
    <w:rsid w:val="00CD4412"/>
    <w:rsid w:val="00CD4C90"/>
    <w:rsid w:val="00CD6661"/>
    <w:rsid w:val="00CD696F"/>
    <w:rsid w:val="00CD7552"/>
    <w:rsid w:val="00CD7D34"/>
    <w:rsid w:val="00CE06FC"/>
    <w:rsid w:val="00CE125D"/>
    <w:rsid w:val="00CE1553"/>
    <w:rsid w:val="00CE2985"/>
    <w:rsid w:val="00CE37A8"/>
    <w:rsid w:val="00CE41F4"/>
    <w:rsid w:val="00CE4491"/>
    <w:rsid w:val="00CE5541"/>
    <w:rsid w:val="00CE73D5"/>
    <w:rsid w:val="00CF0ADD"/>
    <w:rsid w:val="00CF0EE5"/>
    <w:rsid w:val="00CF1A4B"/>
    <w:rsid w:val="00CF273A"/>
    <w:rsid w:val="00CF4A20"/>
    <w:rsid w:val="00CF6211"/>
    <w:rsid w:val="00CF643A"/>
    <w:rsid w:val="00CF7260"/>
    <w:rsid w:val="00D000AF"/>
    <w:rsid w:val="00D00B55"/>
    <w:rsid w:val="00D00E3B"/>
    <w:rsid w:val="00D02318"/>
    <w:rsid w:val="00D023C0"/>
    <w:rsid w:val="00D057C5"/>
    <w:rsid w:val="00D05E6E"/>
    <w:rsid w:val="00D065A8"/>
    <w:rsid w:val="00D06BDA"/>
    <w:rsid w:val="00D077DD"/>
    <w:rsid w:val="00D07830"/>
    <w:rsid w:val="00D10033"/>
    <w:rsid w:val="00D103FE"/>
    <w:rsid w:val="00D10624"/>
    <w:rsid w:val="00D10B68"/>
    <w:rsid w:val="00D11494"/>
    <w:rsid w:val="00D11E0F"/>
    <w:rsid w:val="00D1335C"/>
    <w:rsid w:val="00D13EDC"/>
    <w:rsid w:val="00D1443C"/>
    <w:rsid w:val="00D153D5"/>
    <w:rsid w:val="00D15F50"/>
    <w:rsid w:val="00D179EA"/>
    <w:rsid w:val="00D2070F"/>
    <w:rsid w:val="00D24E43"/>
    <w:rsid w:val="00D24FC6"/>
    <w:rsid w:val="00D25235"/>
    <w:rsid w:val="00D26F2C"/>
    <w:rsid w:val="00D3083C"/>
    <w:rsid w:val="00D3112C"/>
    <w:rsid w:val="00D31546"/>
    <w:rsid w:val="00D31E90"/>
    <w:rsid w:val="00D32FED"/>
    <w:rsid w:val="00D33A2F"/>
    <w:rsid w:val="00D33A83"/>
    <w:rsid w:val="00D3537B"/>
    <w:rsid w:val="00D35D45"/>
    <w:rsid w:val="00D3658A"/>
    <w:rsid w:val="00D367B1"/>
    <w:rsid w:val="00D367B9"/>
    <w:rsid w:val="00D37AC3"/>
    <w:rsid w:val="00D37E1F"/>
    <w:rsid w:val="00D37E92"/>
    <w:rsid w:val="00D40264"/>
    <w:rsid w:val="00D403EB"/>
    <w:rsid w:val="00D41215"/>
    <w:rsid w:val="00D41C10"/>
    <w:rsid w:val="00D4240B"/>
    <w:rsid w:val="00D43BD6"/>
    <w:rsid w:val="00D4548F"/>
    <w:rsid w:val="00D463C1"/>
    <w:rsid w:val="00D50D79"/>
    <w:rsid w:val="00D50D85"/>
    <w:rsid w:val="00D510D9"/>
    <w:rsid w:val="00D525C6"/>
    <w:rsid w:val="00D527B7"/>
    <w:rsid w:val="00D53976"/>
    <w:rsid w:val="00D541A0"/>
    <w:rsid w:val="00D54883"/>
    <w:rsid w:val="00D570C9"/>
    <w:rsid w:val="00D57A47"/>
    <w:rsid w:val="00D605FC"/>
    <w:rsid w:val="00D61091"/>
    <w:rsid w:val="00D620F3"/>
    <w:rsid w:val="00D64213"/>
    <w:rsid w:val="00D6666E"/>
    <w:rsid w:val="00D70B5D"/>
    <w:rsid w:val="00D71C43"/>
    <w:rsid w:val="00D71C75"/>
    <w:rsid w:val="00D72F89"/>
    <w:rsid w:val="00D773CE"/>
    <w:rsid w:val="00D80153"/>
    <w:rsid w:val="00D80785"/>
    <w:rsid w:val="00D8157F"/>
    <w:rsid w:val="00D823C1"/>
    <w:rsid w:val="00D82F4C"/>
    <w:rsid w:val="00D84422"/>
    <w:rsid w:val="00D85120"/>
    <w:rsid w:val="00D86C74"/>
    <w:rsid w:val="00D86E57"/>
    <w:rsid w:val="00D871D1"/>
    <w:rsid w:val="00D8744C"/>
    <w:rsid w:val="00D87DD1"/>
    <w:rsid w:val="00D90225"/>
    <w:rsid w:val="00D9046E"/>
    <w:rsid w:val="00D9158F"/>
    <w:rsid w:val="00D91AD7"/>
    <w:rsid w:val="00D91B14"/>
    <w:rsid w:val="00D91DBC"/>
    <w:rsid w:val="00D92392"/>
    <w:rsid w:val="00D92D7D"/>
    <w:rsid w:val="00D92EEC"/>
    <w:rsid w:val="00D93060"/>
    <w:rsid w:val="00D930A6"/>
    <w:rsid w:val="00D93B3D"/>
    <w:rsid w:val="00D93D87"/>
    <w:rsid w:val="00D96547"/>
    <w:rsid w:val="00D972DB"/>
    <w:rsid w:val="00D97D3D"/>
    <w:rsid w:val="00DA1225"/>
    <w:rsid w:val="00DA1594"/>
    <w:rsid w:val="00DA1EAB"/>
    <w:rsid w:val="00DA35E3"/>
    <w:rsid w:val="00DA39F7"/>
    <w:rsid w:val="00DA3D4D"/>
    <w:rsid w:val="00DA3E1B"/>
    <w:rsid w:val="00DA503B"/>
    <w:rsid w:val="00DA688C"/>
    <w:rsid w:val="00DA68AF"/>
    <w:rsid w:val="00DA6F5A"/>
    <w:rsid w:val="00DB0ACF"/>
    <w:rsid w:val="00DB0CFF"/>
    <w:rsid w:val="00DB1371"/>
    <w:rsid w:val="00DB2340"/>
    <w:rsid w:val="00DB2A02"/>
    <w:rsid w:val="00DB6D29"/>
    <w:rsid w:val="00DB72B7"/>
    <w:rsid w:val="00DB7EDC"/>
    <w:rsid w:val="00DC018D"/>
    <w:rsid w:val="00DC0CD9"/>
    <w:rsid w:val="00DC1181"/>
    <w:rsid w:val="00DC129F"/>
    <w:rsid w:val="00DC175D"/>
    <w:rsid w:val="00DC247A"/>
    <w:rsid w:val="00DC4650"/>
    <w:rsid w:val="00DC4A74"/>
    <w:rsid w:val="00DC64B4"/>
    <w:rsid w:val="00DC6934"/>
    <w:rsid w:val="00DC6A7E"/>
    <w:rsid w:val="00DC7235"/>
    <w:rsid w:val="00DC7573"/>
    <w:rsid w:val="00DD03B2"/>
    <w:rsid w:val="00DD103E"/>
    <w:rsid w:val="00DD1C64"/>
    <w:rsid w:val="00DD23C5"/>
    <w:rsid w:val="00DD29D6"/>
    <w:rsid w:val="00DD3D46"/>
    <w:rsid w:val="00DD3D9B"/>
    <w:rsid w:val="00DD5ECF"/>
    <w:rsid w:val="00DD688E"/>
    <w:rsid w:val="00DD6A3D"/>
    <w:rsid w:val="00DE02CA"/>
    <w:rsid w:val="00DE082B"/>
    <w:rsid w:val="00DE085A"/>
    <w:rsid w:val="00DE0D2C"/>
    <w:rsid w:val="00DE27EE"/>
    <w:rsid w:val="00DE31CF"/>
    <w:rsid w:val="00DE438F"/>
    <w:rsid w:val="00DE4BF3"/>
    <w:rsid w:val="00DE6665"/>
    <w:rsid w:val="00DE78BA"/>
    <w:rsid w:val="00DE7A0B"/>
    <w:rsid w:val="00DE7A91"/>
    <w:rsid w:val="00DE7B6E"/>
    <w:rsid w:val="00DF39B7"/>
    <w:rsid w:val="00DF3AF1"/>
    <w:rsid w:val="00DF3C6E"/>
    <w:rsid w:val="00DF5F0D"/>
    <w:rsid w:val="00DF722E"/>
    <w:rsid w:val="00E000BB"/>
    <w:rsid w:val="00E00EB0"/>
    <w:rsid w:val="00E01E7F"/>
    <w:rsid w:val="00E036F1"/>
    <w:rsid w:val="00E039C9"/>
    <w:rsid w:val="00E03DD9"/>
    <w:rsid w:val="00E05D96"/>
    <w:rsid w:val="00E0650A"/>
    <w:rsid w:val="00E06FCB"/>
    <w:rsid w:val="00E07473"/>
    <w:rsid w:val="00E076AD"/>
    <w:rsid w:val="00E1227D"/>
    <w:rsid w:val="00E12A7D"/>
    <w:rsid w:val="00E1308C"/>
    <w:rsid w:val="00E13F9B"/>
    <w:rsid w:val="00E14C43"/>
    <w:rsid w:val="00E1715C"/>
    <w:rsid w:val="00E20840"/>
    <w:rsid w:val="00E21F8A"/>
    <w:rsid w:val="00E235A0"/>
    <w:rsid w:val="00E24506"/>
    <w:rsid w:val="00E256B7"/>
    <w:rsid w:val="00E25E75"/>
    <w:rsid w:val="00E265F7"/>
    <w:rsid w:val="00E27B41"/>
    <w:rsid w:val="00E27CA9"/>
    <w:rsid w:val="00E27E3B"/>
    <w:rsid w:val="00E32347"/>
    <w:rsid w:val="00E32A76"/>
    <w:rsid w:val="00E33630"/>
    <w:rsid w:val="00E3524E"/>
    <w:rsid w:val="00E35B88"/>
    <w:rsid w:val="00E35F04"/>
    <w:rsid w:val="00E364C9"/>
    <w:rsid w:val="00E36E62"/>
    <w:rsid w:val="00E36FAD"/>
    <w:rsid w:val="00E36FB9"/>
    <w:rsid w:val="00E37081"/>
    <w:rsid w:val="00E37A93"/>
    <w:rsid w:val="00E37C32"/>
    <w:rsid w:val="00E40872"/>
    <w:rsid w:val="00E40ACF"/>
    <w:rsid w:val="00E41A0C"/>
    <w:rsid w:val="00E41CF7"/>
    <w:rsid w:val="00E4211E"/>
    <w:rsid w:val="00E4290F"/>
    <w:rsid w:val="00E42C55"/>
    <w:rsid w:val="00E4316C"/>
    <w:rsid w:val="00E432F4"/>
    <w:rsid w:val="00E44922"/>
    <w:rsid w:val="00E45B47"/>
    <w:rsid w:val="00E4689B"/>
    <w:rsid w:val="00E47C05"/>
    <w:rsid w:val="00E506BB"/>
    <w:rsid w:val="00E50E20"/>
    <w:rsid w:val="00E51208"/>
    <w:rsid w:val="00E51DFC"/>
    <w:rsid w:val="00E52907"/>
    <w:rsid w:val="00E52BB5"/>
    <w:rsid w:val="00E537FE"/>
    <w:rsid w:val="00E55AB1"/>
    <w:rsid w:val="00E56876"/>
    <w:rsid w:val="00E63C3E"/>
    <w:rsid w:val="00E63C4C"/>
    <w:rsid w:val="00E6515A"/>
    <w:rsid w:val="00E653F5"/>
    <w:rsid w:val="00E655CA"/>
    <w:rsid w:val="00E66A45"/>
    <w:rsid w:val="00E67014"/>
    <w:rsid w:val="00E67F2D"/>
    <w:rsid w:val="00E70BA5"/>
    <w:rsid w:val="00E71ADD"/>
    <w:rsid w:val="00E72FE4"/>
    <w:rsid w:val="00E7432A"/>
    <w:rsid w:val="00E7720A"/>
    <w:rsid w:val="00E80313"/>
    <w:rsid w:val="00E8226A"/>
    <w:rsid w:val="00E835D2"/>
    <w:rsid w:val="00E8454C"/>
    <w:rsid w:val="00E84D22"/>
    <w:rsid w:val="00E857BB"/>
    <w:rsid w:val="00E85D3A"/>
    <w:rsid w:val="00E86021"/>
    <w:rsid w:val="00E909D2"/>
    <w:rsid w:val="00E92663"/>
    <w:rsid w:val="00E927F7"/>
    <w:rsid w:val="00E93317"/>
    <w:rsid w:val="00E94E7B"/>
    <w:rsid w:val="00EA0990"/>
    <w:rsid w:val="00EA1181"/>
    <w:rsid w:val="00EA12D2"/>
    <w:rsid w:val="00EA194D"/>
    <w:rsid w:val="00EA41EF"/>
    <w:rsid w:val="00EA50BA"/>
    <w:rsid w:val="00EA5961"/>
    <w:rsid w:val="00EA631B"/>
    <w:rsid w:val="00EA67E1"/>
    <w:rsid w:val="00EA6E4A"/>
    <w:rsid w:val="00EA71FA"/>
    <w:rsid w:val="00EA7AC3"/>
    <w:rsid w:val="00EA7F0E"/>
    <w:rsid w:val="00EB2067"/>
    <w:rsid w:val="00EB2D28"/>
    <w:rsid w:val="00EB2E36"/>
    <w:rsid w:val="00EB3696"/>
    <w:rsid w:val="00EB3ED1"/>
    <w:rsid w:val="00EB49E1"/>
    <w:rsid w:val="00EB5314"/>
    <w:rsid w:val="00EB705E"/>
    <w:rsid w:val="00EB72EE"/>
    <w:rsid w:val="00EC1488"/>
    <w:rsid w:val="00EC20E0"/>
    <w:rsid w:val="00EC35E3"/>
    <w:rsid w:val="00EC6585"/>
    <w:rsid w:val="00EC74A2"/>
    <w:rsid w:val="00EC792F"/>
    <w:rsid w:val="00ED0CE0"/>
    <w:rsid w:val="00ED137C"/>
    <w:rsid w:val="00ED387B"/>
    <w:rsid w:val="00ED3AC9"/>
    <w:rsid w:val="00ED3B38"/>
    <w:rsid w:val="00ED4660"/>
    <w:rsid w:val="00ED47CC"/>
    <w:rsid w:val="00ED54D0"/>
    <w:rsid w:val="00ED6718"/>
    <w:rsid w:val="00ED6B4E"/>
    <w:rsid w:val="00ED7AC1"/>
    <w:rsid w:val="00ED7AE3"/>
    <w:rsid w:val="00EE311C"/>
    <w:rsid w:val="00EE4DB5"/>
    <w:rsid w:val="00EE54D4"/>
    <w:rsid w:val="00EE6A17"/>
    <w:rsid w:val="00EE6D69"/>
    <w:rsid w:val="00EF18E3"/>
    <w:rsid w:val="00EF2259"/>
    <w:rsid w:val="00EF242C"/>
    <w:rsid w:val="00EF2451"/>
    <w:rsid w:val="00EF2A9B"/>
    <w:rsid w:val="00EF4B74"/>
    <w:rsid w:val="00EF4B90"/>
    <w:rsid w:val="00EF7075"/>
    <w:rsid w:val="00EF7225"/>
    <w:rsid w:val="00EF7B5F"/>
    <w:rsid w:val="00F00BDA"/>
    <w:rsid w:val="00F00C83"/>
    <w:rsid w:val="00F00E35"/>
    <w:rsid w:val="00F01290"/>
    <w:rsid w:val="00F02896"/>
    <w:rsid w:val="00F03049"/>
    <w:rsid w:val="00F03162"/>
    <w:rsid w:val="00F03483"/>
    <w:rsid w:val="00F0359E"/>
    <w:rsid w:val="00F043B7"/>
    <w:rsid w:val="00F051CB"/>
    <w:rsid w:val="00F054DC"/>
    <w:rsid w:val="00F05BBC"/>
    <w:rsid w:val="00F05F32"/>
    <w:rsid w:val="00F06D45"/>
    <w:rsid w:val="00F07A03"/>
    <w:rsid w:val="00F10748"/>
    <w:rsid w:val="00F10C89"/>
    <w:rsid w:val="00F10E4A"/>
    <w:rsid w:val="00F11064"/>
    <w:rsid w:val="00F1212F"/>
    <w:rsid w:val="00F127E0"/>
    <w:rsid w:val="00F1478E"/>
    <w:rsid w:val="00F14AF1"/>
    <w:rsid w:val="00F15D03"/>
    <w:rsid w:val="00F15ECB"/>
    <w:rsid w:val="00F1668D"/>
    <w:rsid w:val="00F169F6"/>
    <w:rsid w:val="00F16B33"/>
    <w:rsid w:val="00F172C1"/>
    <w:rsid w:val="00F17545"/>
    <w:rsid w:val="00F1794F"/>
    <w:rsid w:val="00F2065C"/>
    <w:rsid w:val="00F2435C"/>
    <w:rsid w:val="00F24662"/>
    <w:rsid w:val="00F269EA"/>
    <w:rsid w:val="00F278EB"/>
    <w:rsid w:val="00F30E35"/>
    <w:rsid w:val="00F31125"/>
    <w:rsid w:val="00F31873"/>
    <w:rsid w:val="00F31DCC"/>
    <w:rsid w:val="00F31E25"/>
    <w:rsid w:val="00F31E26"/>
    <w:rsid w:val="00F32781"/>
    <w:rsid w:val="00F338E2"/>
    <w:rsid w:val="00F33C1B"/>
    <w:rsid w:val="00F41020"/>
    <w:rsid w:val="00F41DE8"/>
    <w:rsid w:val="00F42853"/>
    <w:rsid w:val="00F42A24"/>
    <w:rsid w:val="00F44267"/>
    <w:rsid w:val="00F461B6"/>
    <w:rsid w:val="00F4653B"/>
    <w:rsid w:val="00F5097F"/>
    <w:rsid w:val="00F50B21"/>
    <w:rsid w:val="00F50D31"/>
    <w:rsid w:val="00F511FC"/>
    <w:rsid w:val="00F519B7"/>
    <w:rsid w:val="00F51F73"/>
    <w:rsid w:val="00F54067"/>
    <w:rsid w:val="00F540C3"/>
    <w:rsid w:val="00F54D3B"/>
    <w:rsid w:val="00F55816"/>
    <w:rsid w:val="00F55D21"/>
    <w:rsid w:val="00F5641F"/>
    <w:rsid w:val="00F57141"/>
    <w:rsid w:val="00F5745F"/>
    <w:rsid w:val="00F5790F"/>
    <w:rsid w:val="00F6064A"/>
    <w:rsid w:val="00F60825"/>
    <w:rsid w:val="00F610F3"/>
    <w:rsid w:val="00F63900"/>
    <w:rsid w:val="00F64551"/>
    <w:rsid w:val="00F6529B"/>
    <w:rsid w:val="00F6628A"/>
    <w:rsid w:val="00F662E1"/>
    <w:rsid w:val="00F666B0"/>
    <w:rsid w:val="00F67E8D"/>
    <w:rsid w:val="00F7077D"/>
    <w:rsid w:val="00F709B8"/>
    <w:rsid w:val="00F70A76"/>
    <w:rsid w:val="00F735CE"/>
    <w:rsid w:val="00F73936"/>
    <w:rsid w:val="00F73A84"/>
    <w:rsid w:val="00F73C98"/>
    <w:rsid w:val="00F75B3A"/>
    <w:rsid w:val="00F761E7"/>
    <w:rsid w:val="00F76236"/>
    <w:rsid w:val="00F76501"/>
    <w:rsid w:val="00F76534"/>
    <w:rsid w:val="00F76B65"/>
    <w:rsid w:val="00F77945"/>
    <w:rsid w:val="00F80D88"/>
    <w:rsid w:val="00F81393"/>
    <w:rsid w:val="00F82383"/>
    <w:rsid w:val="00F831FA"/>
    <w:rsid w:val="00F84779"/>
    <w:rsid w:val="00F84A2C"/>
    <w:rsid w:val="00F84FD6"/>
    <w:rsid w:val="00F85F92"/>
    <w:rsid w:val="00F91D15"/>
    <w:rsid w:val="00F92416"/>
    <w:rsid w:val="00F92B10"/>
    <w:rsid w:val="00F940E2"/>
    <w:rsid w:val="00F94120"/>
    <w:rsid w:val="00F94F06"/>
    <w:rsid w:val="00F96269"/>
    <w:rsid w:val="00F96DDE"/>
    <w:rsid w:val="00F97A5C"/>
    <w:rsid w:val="00FA12AB"/>
    <w:rsid w:val="00FA1BA9"/>
    <w:rsid w:val="00FA2732"/>
    <w:rsid w:val="00FA3052"/>
    <w:rsid w:val="00FA3654"/>
    <w:rsid w:val="00FA3742"/>
    <w:rsid w:val="00FA3787"/>
    <w:rsid w:val="00FA3DF5"/>
    <w:rsid w:val="00FA4BD1"/>
    <w:rsid w:val="00FA4EB9"/>
    <w:rsid w:val="00FA5616"/>
    <w:rsid w:val="00FA6BD3"/>
    <w:rsid w:val="00FA7C2F"/>
    <w:rsid w:val="00FB2D5A"/>
    <w:rsid w:val="00FB381F"/>
    <w:rsid w:val="00FB3F67"/>
    <w:rsid w:val="00FB5EC9"/>
    <w:rsid w:val="00FB7BE9"/>
    <w:rsid w:val="00FC233A"/>
    <w:rsid w:val="00FC2975"/>
    <w:rsid w:val="00FC3B6F"/>
    <w:rsid w:val="00FC4494"/>
    <w:rsid w:val="00FC6083"/>
    <w:rsid w:val="00FC7E1F"/>
    <w:rsid w:val="00FD124A"/>
    <w:rsid w:val="00FD1A39"/>
    <w:rsid w:val="00FD23EF"/>
    <w:rsid w:val="00FD24A3"/>
    <w:rsid w:val="00FD3DC9"/>
    <w:rsid w:val="00FD64A6"/>
    <w:rsid w:val="00FE145A"/>
    <w:rsid w:val="00FE17BF"/>
    <w:rsid w:val="00FE2558"/>
    <w:rsid w:val="00FE2C46"/>
    <w:rsid w:val="00FE3071"/>
    <w:rsid w:val="00FE370E"/>
    <w:rsid w:val="00FE432F"/>
    <w:rsid w:val="00FE4C20"/>
    <w:rsid w:val="00FE57A4"/>
    <w:rsid w:val="00FE5987"/>
    <w:rsid w:val="00FF0808"/>
    <w:rsid w:val="00FF083D"/>
    <w:rsid w:val="00FF0DA1"/>
    <w:rsid w:val="00FF0F32"/>
    <w:rsid w:val="00FF172F"/>
    <w:rsid w:val="00FF1D87"/>
    <w:rsid w:val="00FF23EB"/>
    <w:rsid w:val="00FF28EF"/>
    <w:rsid w:val="00FF2D43"/>
    <w:rsid w:val="00FF5283"/>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69778"/>
  <w14:defaultImageDpi w14:val="330"/>
  <w15:chartTrackingRefBased/>
  <w15:docId w15:val="{612C466A-A6A6-4776-A3BF-D46F5C91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sz w:val="21"/>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88E"/>
    <w:pPr>
      <w:spacing w:after="160" w:line="320" w:lineRule="atLeast"/>
    </w:pPr>
    <w:rPr>
      <w:rFonts w:ascii="Helvetica" w:hAnsi="Helvetica" w:cs="Times New Roman"/>
      <w:sz w:val="22"/>
      <w:lang w:val="en-AU" w:eastAsia="en-AU"/>
    </w:rPr>
  </w:style>
  <w:style w:type="paragraph" w:styleId="Heading1">
    <w:name w:val="heading 1"/>
    <w:basedOn w:val="Normal"/>
    <w:next w:val="Normal"/>
    <w:link w:val="Heading1Char"/>
    <w:uiPriority w:val="4"/>
    <w:qFormat/>
    <w:rsid w:val="00C02837"/>
    <w:pPr>
      <w:keepNext/>
      <w:keepLines/>
      <w:pBdr>
        <w:bottom w:val="single" w:sz="24" w:space="16" w:color="1FB9A3" w:themeColor="accent3"/>
      </w:pBdr>
      <w:spacing w:before="600" w:after="300" w:line="480" w:lineRule="atLeast"/>
      <w:contextualSpacing/>
      <w:outlineLvl w:val="0"/>
    </w:pPr>
    <w:rPr>
      <w:rFonts w:asciiTheme="majorHAnsi" w:hAnsiTheme="majorHAnsi"/>
      <w:b/>
      <w:color w:val="000000" w:themeColor="text1"/>
      <w:sz w:val="40"/>
      <w:szCs w:val="72"/>
      <w:lang w:val="en-US" w:eastAsia="en-US"/>
    </w:rPr>
  </w:style>
  <w:style w:type="paragraph" w:styleId="Heading2">
    <w:name w:val="heading 2"/>
    <w:basedOn w:val="Heading1"/>
    <w:next w:val="Normal"/>
    <w:link w:val="Heading2Char"/>
    <w:qFormat/>
    <w:rsid w:val="00747E6C"/>
    <w:pPr>
      <w:numPr>
        <w:numId w:val="18"/>
      </w:numPr>
      <w:pBdr>
        <w:bottom w:val="none" w:sz="0" w:space="0" w:color="auto"/>
      </w:pBdr>
      <w:spacing w:before="240" w:after="120" w:line="320" w:lineRule="atLeast"/>
      <w:outlineLvl w:val="1"/>
    </w:pPr>
    <w:rPr>
      <w:color w:val="142E3B"/>
      <w:sz w:val="24"/>
      <w:szCs w:val="24"/>
    </w:rPr>
  </w:style>
  <w:style w:type="paragraph" w:styleId="Heading3">
    <w:name w:val="heading 3"/>
    <w:basedOn w:val="Normal"/>
    <w:next w:val="Normal"/>
    <w:link w:val="Heading3Char"/>
    <w:qFormat/>
    <w:rsid w:val="001268D5"/>
    <w:pPr>
      <w:keepNext/>
      <w:keepLines/>
      <w:numPr>
        <w:ilvl w:val="1"/>
        <w:numId w:val="18"/>
      </w:numPr>
      <w:spacing w:before="360" w:after="240"/>
      <w:contextualSpacing/>
      <w:outlineLvl w:val="2"/>
    </w:pPr>
    <w:rPr>
      <w:b/>
      <w:color w:val="117479"/>
      <w:szCs w:val="28"/>
    </w:rPr>
  </w:style>
  <w:style w:type="paragraph" w:styleId="Heading4">
    <w:name w:val="heading 4"/>
    <w:basedOn w:val="Normal"/>
    <w:next w:val="Normal"/>
    <w:link w:val="Heading4Char"/>
    <w:qFormat/>
    <w:rsid w:val="00D9046E"/>
    <w:pPr>
      <w:keepNext/>
      <w:keepLines/>
      <w:numPr>
        <w:ilvl w:val="2"/>
        <w:numId w:val="18"/>
      </w:numPr>
      <w:spacing w:before="360"/>
      <w:contextualSpacing/>
      <w:outlineLvl w:val="3"/>
    </w:pPr>
    <w:rPr>
      <w:b/>
    </w:rPr>
  </w:style>
  <w:style w:type="paragraph" w:styleId="Heading5">
    <w:name w:val="heading 5"/>
    <w:basedOn w:val="Normal"/>
    <w:next w:val="Normal"/>
    <w:link w:val="Heading5Char"/>
    <w:semiHidden/>
    <w:rsid w:val="00D9046E"/>
    <w:pPr>
      <w:keepNext/>
      <w:spacing w:before="240"/>
      <w:contextualSpacing/>
      <w:outlineLvl w:val="4"/>
    </w:pPr>
    <w:rPr>
      <w:b/>
      <w:szCs w:val="22"/>
    </w:rPr>
  </w:style>
  <w:style w:type="paragraph" w:styleId="Heading6">
    <w:name w:val="heading 6"/>
    <w:basedOn w:val="Normal"/>
    <w:next w:val="Normal"/>
    <w:link w:val="Heading6Char"/>
    <w:semiHidden/>
    <w:rsid w:val="00D9046E"/>
    <w:pPr>
      <w:keepNext/>
      <w:spacing w:before="240"/>
      <w:contextualSpacing/>
      <w:outlineLvl w:val="5"/>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9046E"/>
    <w:pPr>
      <w:numPr>
        <w:numId w:val="1"/>
      </w:numPr>
    </w:pPr>
  </w:style>
  <w:style w:type="numbering" w:customStyle="1" w:styleId="1111111">
    <w:name w:val="1 / 1.1 / 1.1.11"/>
    <w:basedOn w:val="NoList"/>
    <w:next w:val="111111"/>
    <w:rsid w:val="00D9046E"/>
    <w:pPr>
      <w:numPr>
        <w:numId w:val="2"/>
      </w:numPr>
    </w:pPr>
  </w:style>
  <w:style w:type="numbering" w:customStyle="1" w:styleId="1111112">
    <w:name w:val="1 / 1.1 / 1.1.12"/>
    <w:basedOn w:val="NoList"/>
    <w:next w:val="111111"/>
    <w:rsid w:val="00D9046E"/>
  </w:style>
  <w:style w:type="numbering" w:customStyle="1" w:styleId="1111113">
    <w:name w:val="1 / 1.1 / 1.1.13"/>
    <w:basedOn w:val="NoList"/>
    <w:next w:val="111111"/>
    <w:rsid w:val="00D9046E"/>
    <w:pPr>
      <w:numPr>
        <w:numId w:val="3"/>
      </w:numPr>
    </w:pPr>
  </w:style>
  <w:style w:type="paragraph" w:styleId="Header">
    <w:name w:val="header"/>
    <w:basedOn w:val="Normal"/>
    <w:link w:val="HeaderChar"/>
    <w:unhideWhenUsed/>
    <w:rsid w:val="003E1B1C"/>
    <w:pPr>
      <w:tabs>
        <w:tab w:val="center" w:pos="4513"/>
        <w:tab w:val="right" w:pos="9026"/>
      </w:tabs>
      <w:spacing w:after="0"/>
    </w:pPr>
  </w:style>
  <w:style w:type="character" w:customStyle="1" w:styleId="HeaderChar">
    <w:name w:val="Header Char"/>
    <w:basedOn w:val="DefaultParagraphFont"/>
    <w:link w:val="Header"/>
    <w:rsid w:val="003E1B1C"/>
    <w:rPr>
      <w:rFonts w:ascii="Arial" w:hAnsi="Arial" w:cs="Times New Roman"/>
      <w:color w:val="414042"/>
      <w:sz w:val="24"/>
      <w:lang w:val="en-AU" w:eastAsia="en-AU"/>
    </w:rPr>
  </w:style>
  <w:style w:type="paragraph" w:styleId="Footer">
    <w:name w:val="footer"/>
    <w:basedOn w:val="Normal"/>
    <w:link w:val="FooterChar"/>
    <w:unhideWhenUsed/>
    <w:rsid w:val="003E693E"/>
    <w:pPr>
      <w:pBdr>
        <w:bottom w:val="single" w:sz="24" w:space="10" w:color="1FB9A3" w:themeColor="accent3"/>
      </w:pBdr>
      <w:tabs>
        <w:tab w:val="center" w:pos="4513"/>
        <w:tab w:val="right" w:pos="9026"/>
      </w:tabs>
      <w:spacing w:after="0"/>
    </w:pPr>
    <w:rPr>
      <w:sz w:val="16"/>
      <w:szCs w:val="16"/>
      <w:lang w:val="en-US" w:eastAsia="en-US"/>
    </w:rPr>
  </w:style>
  <w:style w:type="table" w:customStyle="1" w:styleId="DefaultTable">
    <w:name w:val="Default Table"/>
    <w:basedOn w:val="TableNormal"/>
    <w:uiPriority w:val="99"/>
    <w:rsid w:val="00D9046E"/>
    <w:rPr>
      <w:rFonts w:ascii="Times New Roman" w:hAnsi="Times New Roman" w:cs="Times New Roman"/>
      <w:sz w:val="24"/>
      <w:lang w:val="en-AU" w:eastAsia="en-AU"/>
    </w:rPr>
    <w:tblPr>
      <w:tblStyleRowBandSize w:val="1"/>
      <w:tblInd w:w="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28" w:type="dxa"/>
        <w:left w:w="85" w:type="dxa"/>
        <w:bottom w:w="28" w:type="dxa"/>
        <w:right w:w="85" w:type="dxa"/>
      </w:tblCellMar>
    </w:tblPr>
    <w:tcPr>
      <w:shd w:val="clear" w:color="auto" w:fill="F8F8F8"/>
    </w:tcPr>
    <w:tblStylePr w:type="firstRow">
      <w:rPr>
        <w:b/>
        <w:color w:val="FFFFFF" w:themeColor="background1"/>
      </w:rPr>
      <w:tblPr/>
      <w:tcPr>
        <w:shd w:val="clear" w:color="auto" w:fill="2C276C" w:themeFill="accent1"/>
      </w:tcPr>
    </w:tblStylePr>
    <w:tblStylePr w:type="band1Horz">
      <w:tblPr/>
      <w:tcPr>
        <w:shd w:val="clear" w:color="auto" w:fill="EDEFEE"/>
      </w:tcPr>
    </w:tblStylePr>
  </w:style>
  <w:style w:type="character" w:customStyle="1" w:styleId="FooterChar">
    <w:name w:val="Footer Char"/>
    <w:basedOn w:val="DefaultParagraphFont"/>
    <w:link w:val="Footer"/>
    <w:rsid w:val="003E693E"/>
    <w:rPr>
      <w:rFonts w:ascii="Helvetica" w:hAnsi="Helvetica" w:cs="Times New Roman"/>
      <w:color w:val="4D4D4C"/>
      <w:sz w:val="16"/>
      <w:szCs w:val="16"/>
    </w:rPr>
  </w:style>
  <w:style w:type="character" w:customStyle="1" w:styleId="Heading1Char">
    <w:name w:val="Heading 1 Char"/>
    <w:basedOn w:val="DefaultParagraphFont"/>
    <w:link w:val="Heading1"/>
    <w:rsid w:val="00C02837"/>
    <w:rPr>
      <w:rFonts w:asciiTheme="majorHAnsi" w:hAnsiTheme="majorHAnsi" w:cs="Times New Roman"/>
      <w:b/>
      <w:color w:val="000000" w:themeColor="text1"/>
      <w:sz w:val="40"/>
      <w:szCs w:val="72"/>
    </w:rPr>
  </w:style>
  <w:style w:type="character" w:customStyle="1" w:styleId="Heading2Char">
    <w:name w:val="Heading 2 Char"/>
    <w:basedOn w:val="DefaultParagraphFont"/>
    <w:link w:val="Heading2"/>
    <w:rsid w:val="00747E6C"/>
    <w:rPr>
      <w:rFonts w:asciiTheme="majorHAnsi" w:hAnsiTheme="majorHAnsi" w:cs="Times New Roman"/>
      <w:b/>
      <w:color w:val="142E3B"/>
      <w:sz w:val="24"/>
    </w:rPr>
  </w:style>
  <w:style w:type="character" w:customStyle="1" w:styleId="Heading3Char">
    <w:name w:val="Heading 3 Char"/>
    <w:basedOn w:val="DefaultParagraphFont"/>
    <w:link w:val="Heading3"/>
    <w:rsid w:val="001268D5"/>
    <w:rPr>
      <w:rFonts w:ascii="Helvetica" w:hAnsi="Helvetica" w:cs="Times New Roman"/>
      <w:b/>
      <w:color w:val="117479"/>
      <w:sz w:val="22"/>
      <w:szCs w:val="28"/>
      <w:lang w:val="en-AU" w:eastAsia="en-AU"/>
    </w:rPr>
  </w:style>
  <w:style w:type="character" w:customStyle="1" w:styleId="Heading4Char">
    <w:name w:val="Heading 4 Char"/>
    <w:basedOn w:val="DefaultParagraphFont"/>
    <w:link w:val="Heading4"/>
    <w:rsid w:val="00D9046E"/>
    <w:rPr>
      <w:rFonts w:ascii="Helvetica" w:hAnsi="Helvetica" w:cs="Times New Roman"/>
      <w:b/>
      <w:sz w:val="22"/>
      <w:lang w:val="en-AU" w:eastAsia="en-AU"/>
    </w:rPr>
  </w:style>
  <w:style w:type="character" w:customStyle="1" w:styleId="Heading5Char">
    <w:name w:val="Heading 5 Char"/>
    <w:basedOn w:val="DefaultParagraphFont"/>
    <w:link w:val="Heading5"/>
    <w:semiHidden/>
    <w:rsid w:val="00D9046E"/>
    <w:rPr>
      <w:rFonts w:ascii="Arial" w:eastAsia="Times New Roman" w:hAnsi="Arial" w:cs="Times New Roman"/>
      <w:b/>
      <w:color w:val="414042"/>
      <w:sz w:val="24"/>
      <w:szCs w:val="22"/>
      <w:lang w:val="en-AU" w:eastAsia="en-AU"/>
    </w:rPr>
  </w:style>
  <w:style w:type="character" w:customStyle="1" w:styleId="Heading6Char">
    <w:name w:val="Heading 6 Char"/>
    <w:basedOn w:val="DefaultParagraphFont"/>
    <w:link w:val="Heading6"/>
    <w:semiHidden/>
    <w:rsid w:val="00D9046E"/>
    <w:rPr>
      <w:rFonts w:ascii="Arial" w:eastAsia="Times New Roman" w:hAnsi="Arial" w:cs="Times New Roman"/>
      <w:b/>
      <w:color w:val="414042"/>
      <w:sz w:val="24"/>
      <w:szCs w:val="22"/>
      <w:lang w:val="en-AU" w:eastAsia="en-AU"/>
    </w:rPr>
  </w:style>
  <w:style w:type="paragraph" w:styleId="ListBullet3">
    <w:name w:val="List Bullet 3"/>
    <w:basedOn w:val="Normal"/>
    <w:semiHidden/>
    <w:rsid w:val="00D9046E"/>
    <w:pPr>
      <w:numPr>
        <w:ilvl w:val="2"/>
        <w:numId w:val="4"/>
      </w:numPr>
      <w:contextualSpacing/>
    </w:pPr>
  </w:style>
  <w:style w:type="paragraph" w:styleId="ListBullet4">
    <w:name w:val="List Bullet 4"/>
    <w:basedOn w:val="Normal"/>
    <w:semiHidden/>
    <w:rsid w:val="00D9046E"/>
    <w:pPr>
      <w:numPr>
        <w:ilvl w:val="3"/>
        <w:numId w:val="4"/>
      </w:numPr>
      <w:contextualSpacing/>
    </w:pPr>
  </w:style>
  <w:style w:type="paragraph" w:styleId="ListBullet5">
    <w:name w:val="List Bullet 5"/>
    <w:basedOn w:val="Normal"/>
    <w:semiHidden/>
    <w:rsid w:val="00D9046E"/>
    <w:pPr>
      <w:numPr>
        <w:ilvl w:val="4"/>
        <w:numId w:val="4"/>
      </w:numPr>
      <w:contextualSpacing/>
    </w:pPr>
  </w:style>
  <w:style w:type="table" w:styleId="TableGrid">
    <w:name w:val="Table Grid"/>
    <w:basedOn w:val="TableNormal"/>
    <w:rsid w:val="00D9046E"/>
    <w:rPr>
      <w:rFonts w:ascii="Times New Roman" w:hAnsi="Times New Roman" w:cs="Times New Roman"/>
      <w:sz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85D3A"/>
    <w:pPr>
      <w:spacing w:after="86" w:line="240" w:lineRule="auto"/>
    </w:pPr>
    <w:rPr>
      <w:color w:val="BEF9FF"/>
      <w:sz w:val="24"/>
      <w:lang w:val="en-US" w:eastAsia="en-US"/>
    </w:rPr>
  </w:style>
  <w:style w:type="character" w:styleId="PageNumber">
    <w:name w:val="page number"/>
    <w:basedOn w:val="DefaultParagraphFont"/>
    <w:semiHidden/>
    <w:unhideWhenUsed/>
    <w:rsid w:val="003E693E"/>
  </w:style>
  <w:style w:type="paragraph" w:customStyle="1" w:styleId="Classification">
    <w:name w:val="Classification"/>
    <w:basedOn w:val="Normal"/>
    <w:qFormat/>
    <w:rsid w:val="00F00C83"/>
    <w:pPr>
      <w:spacing w:after="0" w:line="400" w:lineRule="atLeast"/>
    </w:pPr>
    <w:rPr>
      <w:b/>
      <w:color w:val="67E5D3" w:themeColor="accent3" w:themeTint="99"/>
      <w:sz w:val="32"/>
    </w:rPr>
  </w:style>
  <w:style w:type="paragraph" w:styleId="Title">
    <w:name w:val="Title"/>
    <w:basedOn w:val="Normal"/>
    <w:next w:val="Normal"/>
    <w:link w:val="TitleChar"/>
    <w:qFormat/>
    <w:rsid w:val="007E1AB1"/>
    <w:pPr>
      <w:spacing w:before="720" w:after="720" w:line="720" w:lineRule="atLeast"/>
      <w:contextualSpacing/>
    </w:pPr>
    <w:rPr>
      <w:rFonts w:asciiTheme="majorHAnsi" w:eastAsiaTheme="majorEastAsia" w:hAnsiTheme="majorHAnsi" w:cstheme="majorBidi"/>
      <w:b/>
      <w:color w:val="FFFFFF" w:themeColor="background1"/>
      <w:spacing w:val="-10"/>
      <w:kern w:val="28"/>
      <w:sz w:val="60"/>
      <w:szCs w:val="60"/>
      <w:lang w:val="en-US" w:eastAsia="en-US"/>
    </w:rPr>
  </w:style>
  <w:style w:type="character" w:customStyle="1" w:styleId="TitleChar">
    <w:name w:val="Title Char"/>
    <w:basedOn w:val="DefaultParagraphFont"/>
    <w:link w:val="Title"/>
    <w:rsid w:val="007E1AB1"/>
    <w:rPr>
      <w:rFonts w:asciiTheme="majorHAnsi" w:eastAsiaTheme="majorEastAsia" w:hAnsiTheme="majorHAnsi" w:cstheme="majorBidi"/>
      <w:b/>
      <w:color w:val="FFFFFF" w:themeColor="background1"/>
      <w:spacing w:val="-10"/>
      <w:kern w:val="28"/>
      <w:sz w:val="60"/>
      <w:szCs w:val="60"/>
    </w:rPr>
  </w:style>
  <w:style w:type="paragraph" w:styleId="Subtitle">
    <w:name w:val="Subtitle"/>
    <w:basedOn w:val="Normal"/>
    <w:next w:val="Normal"/>
    <w:link w:val="SubtitleChar"/>
    <w:uiPriority w:val="11"/>
    <w:qFormat/>
    <w:rsid w:val="00F00C83"/>
    <w:pPr>
      <w:numPr>
        <w:ilvl w:val="1"/>
      </w:numPr>
      <w:spacing w:after="960" w:line="360" w:lineRule="atLeast"/>
    </w:pPr>
    <w:rPr>
      <w:rFonts w:asciiTheme="minorHAnsi" w:eastAsiaTheme="minorEastAsia" w:hAnsiTheme="minorHAnsi" w:cstheme="minorBidi"/>
      <w:color w:val="67E5D3" w:themeColor="accent3" w:themeTint="99"/>
      <w:sz w:val="30"/>
      <w:szCs w:val="30"/>
      <w:lang w:val="en-US" w:eastAsia="en-US"/>
    </w:rPr>
  </w:style>
  <w:style w:type="character" w:customStyle="1" w:styleId="SubtitleChar">
    <w:name w:val="Subtitle Char"/>
    <w:basedOn w:val="DefaultParagraphFont"/>
    <w:link w:val="Subtitle"/>
    <w:uiPriority w:val="11"/>
    <w:rsid w:val="00F00C83"/>
    <w:rPr>
      <w:rFonts w:asciiTheme="minorHAnsi" w:eastAsiaTheme="minorEastAsia" w:hAnsiTheme="minorHAnsi"/>
      <w:color w:val="67E5D3" w:themeColor="accent3" w:themeTint="99"/>
      <w:sz w:val="30"/>
      <w:szCs w:val="30"/>
    </w:rPr>
  </w:style>
  <w:style w:type="paragraph" w:styleId="TOCHeading">
    <w:name w:val="TOC Heading"/>
    <w:basedOn w:val="Heading1"/>
    <w:next w:val="Normal"/>
    <w:uiPriority w:val="39"/>
    <w:unhideWhenUsed/>
    <w:qFormat/>
    <w:rsid w:val="007E1AB1"/>
    <w:pPr>
      <w:spacing w:before="480" w:after="0" w:line="276" w:lineRule="auto"/>
      <w:contextualSpacing w:val="0"/>
      <w:outlineLvl w:val="9"/>
    </w:pPr>
    <w:rPr>
      <w:rFonts w:eastAsiaTheme="majorEastAsia" w:cstheme="majorBidi"/>
      <w:b w:val="0"/>
      <w:bCs/>
      <w:caps/>
      <w:color w:val="201D50" w:themeColor="accent1" w:themeShade="BF"/>
      <w:sz w:val="28"/>
      <w:szCs w:val="28"/>
    </w:rPr>
  </w:style>
  <w:style w:type="paragraph" w:styleId="TOC1">
    <w:name w:val="toc 1"/>
    <w:basedOn w:val="Normal"/>
    <w:next w:val="Normal"/>
    <w:autoRedefine/>
    <w:uiPriority w:val="39"/>
    <w:unhideWhenUsed/>
    <w:rsid w:val="00F15ECB"/>
    <w:pPr>
      <w:spacing w:before="120" w:after="0"/>
    </w:pPr>
    <w:rPr>
      <w:rFonts w:asciiTheme="minorHAnsi" w:hAnsiTheme="minorHAnsi" w:cstheme="minorHAnsi"/>
      <w:b/>
      <w:bCs/>
      <w:i/>
      <w:iCs/>
      <w:sz w:val="24"/>
    </w:rPr>
  </w:style>
  <w:style w:type="paragraph" w:styleId="TOC2">
    <w:name w:val="toc 2"/>
    <w:basedOn w:val="Normal"/>
    <w:next w:val="Normal"/>
    <w:autoRedefine/>
    <w:uiPriority w:val="39"/>
    <w:unhideWhenUsed/>
    <w:rsid w:val="009E1F03"/>
    <w:pPr>
      <w:spacing w:before="120" w:after="0"/>
      <w:ind w:left="220"/>
    </w:pPr>
    <w:rPr>
      <w:rFonts w:asciiTheme="minorHAnsi" w:hAnsiTheme="minorHAnsi" w:cstheme="minorHAnsi"/>
      <w:b/>
      <w:bCs/>
      <w:szCs w:val="22"/>
    </w:rPr>
  </w:style>
  <w:style w:type="paragraph" w:styleId="TOC3">
    <w:name w:val="toc 3"/>
    <w:basedOn w:val="Normal"/>
    <w:next w:val="Normal"/>
    <w:autoRedefine/>
    <w:uiPriority w:val="39"/>
    <w:unhideWhenUsed/>
    <w:rsid w:val="009E1F03"/>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7E1AB1"/>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7E1AB1"/>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7E1AB1"/>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7E1AB1"/>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7E1AB1"/>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7E1AB1"/>
    <w:pPr>
      <w:spacing w:after="0"/>
      <w:ind w:left="1760"/>
    </w:pPr>
    <w:rPr>
      <w:rFonts w:asciiTheme="minorHAnsi" w:hAnsiTheme="minorHAnsi" w:cstheme="minorHAnsi"/>
      <w:sz w:val="20"/>
      <w:szCs w:val="20"/>
    </w:rPr>
  </w:style>
  <w:style w:type="character" w:styleId="BookTitle">
    <w:name w:val="Book Title"/>
    <w:basedOn w:val="DefaultParagraphFont"/>
    <w:uiPriority w:val="33"/>
    <w:qFormat/>
    <w:rsid w:val="009A6E5F"/>
    <w:rPr>
      <w:b/>
      <w:bCs/>
      <w:i/>
      <w:iCs/>
      <w:spacing w:val="5"/>
    </w:rPr>
  </w:style>
  <w:style w:type="character" w:styleId="IntenseReference">
    <w:name w:val="Intense Reference"/>
    <w:basedOn w:val="DefaultParagraphFont"/>
    <w:uiPriority w:val="32"/>
    <w:qFormat/>
    <w:rsid w:val="009A6E5F"/>
    <w:rPr>
      <w:b/>
      <w:bCs/>
      <w:smallCaps/>
      <w:color w:val="2C276C" w:themeColor="accent1"/>
      <w:spacing w:val="5"/>
    </w:rPr>
  </w:style>
  <w:style w:type="paragraph" w:customStyle="1" w:styleId="NoteLevel2">
    <w:name w:val="Note Level 2"/>
    <w:basedOn w:val="Normal"/>
    <w:uiPriority w:val="99"/>
    <w:rsid w:val="009A6E5F"/>
    <w:pPr>
      <w:keepNext/>
      <w:numPr>
        <w:ilvl w:val="1"/>
        <w:numId w:val="5"/>
      </w:numPr>
      <w:spacing w:after="0"/>
      <w:contextualSpacing/>
      <w:outlineLvl w:val="1"/>
    </w:pPr>
    <w:rPr>
      <w:rFonts w:ascii="Verdana" w:hAnsi="Verdana"/>
    </w:rPr>
  </w:style>
  <w:style w:type="paragraph" w:styleId="ListParagraph">
    <w:name w:val="List Paragraph"/>
    <w:basedOn w:val="Normal"/>
    <w:link w:val="ListParagraphChar"/>
    <w:uiPriority w:val="34"/>
    <w:qFormat/>
    <w:rsid w:val="009A6E5F"/>
    <w:pPr>
      <w:ind w:left="720"/>
      <w:contextualSpacing/>
    </w:pPr>
  </w:style>
  <w:style w:type="paragraph" w:customStyle="1" w:styleId="Intropargraph">
    <w:name w:val="Intro pargraph"/>
    <w:basedOn w:val="p1"/>
    <w:qFormat/>
    <w:rsid w:val="009A6E5F"/>
    <w:pPr>
      <w:spacing w:after="240" w:line="360" w:lineRule="atLeast"/>
    </w:pPr>
    <w:rPr>
      <w:b/>
      <w:color w:val="000000" w:themeColor="text1"/>
      <w:sz w:val="28"/>
      <w:szCs w:val="28"/>
    </w:rPr>
  </w:style>
  <w:style w:type="paragraph" w:customStyle="1" w:styleId="NoteLevel1">
    <w:name w:val="Note Level 1"/>
    <w:basedOn w:val="ListNumber"/>
    <w:uiPriority w:val="99"/>
    <w:rsid w:val="00775FA5"/>
    <w:pPr>
      <w:spacing w:after="180" w:line="260" w:lineRule="atLeast"/>
    </w:pPr>
  </w:style>
  <w:style w:type="character" w:customStyle="1" w:styleId="apple-converted-space">
    <w:name w:val="apple-converted-space"/>
    <w:basedOn w:val="DefaultParagraphFont"/>
    <w:rsid w:val="00775FA5"/>
  </w:style>
  <w:style w:type="paragraph" w:styleId="NormalWeb">
    <w:name w:val="Normal (Web)"/>
    <w:basedOn w:val="Normal"/>
    <w:uiPriority w:val="99"/>
    <w:semiHidden/>
    <w:unhideWhenUsed/>
    <w:rsid w:val="00775FA5"/>
    <w:pPr>
      <w:spacing w:before="100" w:beforeAutospacing="1" w:after="100" w:afterAutospacing="1" w:line="240" w:lineRule="auto"/>
    </w:pPr>
    <w:rPr>
      <w:rFonts w:ascii="Times New Roman" w:hAnsi="Times New Roman"/>
      <w:sz w:val="24"/>
      <w:lang w:val="en-US" w:eastAsia="en-US"/>
    </w:rPr>
  </w:style>
  <w:style w:type="paragraph" w:styleId="List">
    <w:name w:val="List"/>
    <w:basedOn w:val="Normal"/>
    <w:uiPriority w:val="99"/>
    <w:unhideWhenUsed/>
    <w:rsid w:val="00775FA5"/>
    <w:pPr>
      <w:ind w:left="283" w:hanging="283"/>
      <w:contextualSpacing/>
    </w:pPr>
  </w:style>
  <w:style w:type="paragraph" w:styleId="ListNumber">
    <w:name w:val="List Number"/>
    <w:basedOn w:val="Normal"/>
    <w:uiPriority w:val="99"/>
    <w:unhideWhenUsed/>
    <w:rsid w:val="00463BFC"/>
    <w:pPr>
      <w:numPr>
        <w:numId w:val="6"/>
      </w:numPr>
      <w:spacing w:before="160"/>
      <w:ind w:left="357" w:hanging="357"/>
    </w:pPr>
  </w:style>
  <w:style w:type="paragraph" w:customStyle="1" w:styleId="FooterBackPage">
    <w:name w:val="Footer Back Page"/>
    <w:basedOn w:val="Footer"/>
    <w:qFormat/>
    <w:rsid w:val="0032368C"/>
    <w:pPr>
      <w:pBdr>
        <w:bottom w:val="none" w:sz="0" w:space="0" w:color="auto"/>
      </w:pBdr>
      <w:tabs>
        <w:tab w:val="clear" w:pos="9026"/>
        <w:tab w:val="right" w:pos="9348"/>
      </w:tabs>
      <w:spacing w:before="480" w:after="840"/>
    </w:pPr>
    <w:rPr>
      <w:color w:val="FFFFFF" w:themeColor="background1"/>
      <w:sz w:val="28"/>
    </w:rPr>
  </w:style>
  <w:style w:type="paragraph" w:customStyle="1" w:styleId="p2">
    <w:name w:val="p2"/>
    <w:basedOn w:val="Normal"/>
    <w:rsid w:val="00AB19C6"/>
    <w:pPr>
      <w:spacing w:after="44" w:line="270" w:lineRule="atLeast"/>
    </w:pPr>
    <w:rPr>
      <w:sz w:val="15"/>
      <w:szCs w:val="15"/>
      <w:lang w:val="en-US" w:eastAsia="en-US"/>
    </w:rPr>
  </w:style>
  <w:style w:type="character" w:customStyle="1" w:styleId="s1">
    <w:name w:val="s1"/>
    <w:basedOn w:val="DefaultParagraphFont"/>
    <w:rsid w:val="00AB19C6"/>
    <w:rPr>
      <w:color w:val="4AFB9B"/>
    </w:rPr>
  </w:style>
  <w:style w:type="character" w:customStyle="1" w:styleId="s2">
    <w:name w:val="s2"/>
    <w:basedOn w:val="DefaultParagraphFont"/>
    <w:rsid w:val="00AB19C6"/>
    <w:rPr>
      <w:color w:val="000000"/>
      <w:u w:val="single"/>
    </w:rPr>
  </w:style>
  <w:style w:type="character" w:customStyle="1" w:styleId="s3">
    <w:name w:val="s3"/>
    <w:basedOn w:val="DefaultParagraphFont"/>
    <w:rsid w:val="00AB19C6"/>
    <w:rPr>
      <w:color w:val="BEF9FF"/>
    </w:rPr>
  </w:style>
  <w:style w:type="character" w:customStyle="1" w:styleId="s4">
    <w:name w:val="s4"/>
    <w:basedOn w:val="DefaultParagraphFont"/>
    <w:rsid w:val="00AB19C6"/>
    <w:rPr>
      <w:u w:val="single"/>
    </w:rPr>
  </w:style>
  <w:style w:type="paragraph" w:customStyle="1" w:styleId="Contact">
    <w:name w:val="Contact"/>
    <w:basedOn w:val="Normal"/>
    <w:qFormat/>
    <w:rsid w:val="00CF0ADD"/>
    <w:pPr>
      <w:spacing w:after="60"/>
    </w:pPr>
    <w:rPr>
      <w:b/>
      <w:color w:val="67E5D3" w:themeColor="accent3" w:themeTint="99"/>
      <w:sz w:val="20"/>
    </w:rPr>
  </w:style>
  <w:style w:type="character" w:styleId="Hyperlink">
    <w:name w:val="Hyperlink"/>
    <w:basedOn w:val="DefaultParagraphFont"/>
    <w:uiPriority w:val="99"/>
    <w:unhideWhenUsed/>
    <w:rsid w:val="00CF0ADD"/>
    <w:rPr>
      <w:color w:val="67E5D3" w:themeColor="accent3" w:themeTint="99"/>
      <w:u w:val="single"/>
    </w:rPr>
  </w:style>
  <w:style w:type="character" w:styleId="FollowedHyperlink">
    <w:name w:val="FollowedHyperlink"/>
    <w:basedOn w:val="DefaultParagraphFont"/>
    <w:semiHidden/>
    <w:unhideWhenUsed/>
    <w:rsid w:val="00E20840"/>
    <w:rPr>
      <w:color w:val="F2F2F2" w:themeColor="background1" w:themeShade="F2"/>
      <w:u w:val="single"/>
    </w:rPr>
  </w:style>
  <w:style w:type="character" w:styleId="CommentReference">
    <w:name w:val="annotation reference"/>
    <w:basedOn w:val="DefaultParagraphFont"/>
    <w:uiPriority w:val="99"/>
    <w:semiHidden/>
    <w:unhideWhenUsed/>
    <w:rsid w:val="00C9026F"/>
    <w:rPr>
      <w:sz w:val="16"/>
      <w:szCs w:val="16"/>
    </w:rPr>
  </w:style>
  <w:style w:type="paragraph" w:styleId="CommentText">
    <w:name w:val="annotation text"/>
    <w:basedOn w:val="Normal"/>
    <w:link w:val="CommentTextChar"/>
    <w:uiPriority w:val="99"/>
    <w:unhideWhenUsed/>
    <w:rsid w:val="00C9026F"/>
    <w:pPr>
      <w:spacing w:line="240" w:lineRule="auto"/>
    </w:pPr>
    <w:rPr>
      <w:sz w:val="20"/>
      <w:szCs w:val="20"/>
    </w:rPr>
  </w:style>
  <w:style w:type="character" w:customStyle="1" w:styleId="CommentTextChar">
    <w:name w:val="Comment Text Char"/>
    <w:basedOn w:val="DefaultParagraphFont"/>
    <w:link w:val="CommentText"/>
    <w:uiPriority w:val="99"/>
    <w:rsid w:val="00C9026F"/>
    <w:rPr>
      <w:rFonts w:ascii="Helvetica" w:hAnsi="Helvetica" w:cs="Times New Roman"/>
      <w:color w:val="404040" w:themeColor="text1" w:themeTint="BF"/>
      <w:sz w:val="20"/>
      <w:szCs w:val="20"/>
      <w:lang w:val="en-AU" w:eastAsia="en-AU"/>
    </w:rPr>
  </w:style>
  <w:style w:type="paragraph" w:styleId="CommentSubject">
    <w:name w:val="annotation subject"/>
    <w:basedOn w:val="CommentText"/>
    <w:next w:val="CommentText"/>
    <w:link w:val="CommentSubjectChar"/>
    <w:uiPriority w:val="99"/>
    <w:semiHidden/>
    <w:unhideWhenUsed/>
    <w:rsid w:val="00C9026F"/>
    <w:rPr>
      <w:b/>
      <w:bCs/>
    </w:rPr>
  </w:style>
  <w:style w:type="character" w:customStyle="1" w:styleId="CommentSubjectChar">
    <w:name w:val="Comment Subject Char"/>
    <w:basedOn w:val="CommentTextChar"/>
    <w:link w:val="CommentSubject"/>
    <w:uiPriority w:val="99"/>
    <w:semiHidden/>
    <w:rsid w:val="00C9026F"/>
    <w:rPr>
      <w:rFonts w:ascii="Helvetica" w:hAnsi="Helvetica" w:cs="Times New Roman"/>
      <w:b/>
      <w:bCs/>
      <w:color w:val="404040" w:themeColor="text1" w:themeTint="BF"/>
      <w:sz w:val="20"/>
      <w:szCs w:val="20"/>
      <w:lang w:val="en-AU" w:eastAsia="en-AU"/>
    </w:rPr>
  </w:style>
  <w:style w:type="paragraph" w:styleId="BalloonText">
    <w:name w:val="Balloon Text"/>
    <w:basedOn w:val="Normal"/>
    <w:link w:val="BalloonTextChar"/>
    <w:semiHidden/>
    <w:unhideWhenUsed/>
    <w:rsid w:val="00C90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9026F"/>
    <w:rPr>
      <w:rFonts w:ascii="Segoe UI" w:hAnsi="Segoe UI" w:cs="Segoe UI"/>
      <w:color w:val="404040" w:themeColor="text1" w:themeTint="BF"/>
      <w:sz w:val="18"/>
      <w:szCs w:val="18"/>
      <w:lang w:val="en-AU" w:eastAsia="en-AU"/>
    </w:rPr>
  </w:style>
  <w:style w:type="paragraph" w:styleId="FootnoteText">
    <w:name w:val="footnote text"/>
    <w:basedOn w:val="Normal"/>
    <w:link w:val="FootnoteTextChar"/>
    <w:semiHidden/>
    <w:unhideWhenUsed/>
    <w:rsid w:val="00726468"/>
    <w:pPr>
      <w:spacing w:after="0" w:line="240" w:lineRule="auto"/>
    </w:pPr>
    <w:rPr>
      <w:sz w:val="20"/>
      <w:szCs w:val="20"/>
    </w:rPr>
  </w:style>
  <w:style w:type="character" w:customStyle="1" w:styleId="FootnoteTextChar">
    <w:name w:val="Footnote Text Char"/>
    <w:basedOn w:val="DefaultParagraphFont"/>
    <w:link w:val="FootnoteText"/>
    <w:semiHidden/>
    <w:rsid w:val="00726468"/>
    <w:rPr>
      <w:rFonts w:ascii="Helvetica" w:hAnsi="Helvetica" w:cs="Times New Roman"/>
      <w:color w:val="404040" w:themeColor="text1" w:themeTint="BF"/>
      <w:sz w:val="20"/>
      <w:szCs w:val="20"/>
      <w:lang w:val="en-AU" w:eastAsia="en-AU"/>
    </w:rPr>
  </w:style>
  <w:style w:type="character" w:styleId="FootnoteReference">
    <w:name w:val="footnote reference"/>
    <w:basedOn w:val="DefaultParagraphFont"/>
    <w:semiHidden/>
    <w:unhideWhenUsed/>
    <w:rsid w:val="00726468"/>
    <w:rPr>
      <w:vertAlign w:val="superscript"/>
    </w:rPr>
  </w:style>
  <w:style w:type="paragraph" w:styleId="Revision">
    <w:name w:val="Revision"/>
    <w:hidden/>
    <w:uiPriority w:val="99"/>
    <w:semiHidden/>
    <w:rsid w:val="006114C1"/>
    <w:rPr>
      <w:rFonts w:ascii="Helvetica" w:hAnsi="Helvetica" w:cs="Times New Roman"/>
      <w:color w:val="404040" w:themeColor="text1" w:themeTint="BF"/>
      <w:sz w:val="22"/>
      <w:lang w:val="en-AU" w:eastAsia="en-AU"/>
    </w:rPr>
  </w:style>
  <w:style w:type="character" w:styleId="Strong">
    <w:name w:val="Strong"/>
    <w:basedOn w:val="DefaultParagraphFont"/>
    <w:uiPriority w:val="22"/>
    <w:qFormat/>
    <w:rsid w:val="00917F98"/>
    <w:rPr>
      <w:b/>
      <w:bCs/>
    </w:rPr>
  </w:style>
  <w:style w:type="paragraph" w:customStyle="1" w:styleId="TableHeading">
    <w:name w:val="Table Heading"/>
    <w:basedOn w:val="Normal"/>
    <w:uiPriority w:val="49"/>
    <w:qFormat/>
    <w:rsid w:val="00917F98"/>
    <w:pPr>
      <w:spacing w:before="120" w:after="80" w:line="240" w:lineRule="auto"/>
    </w:pPr>
    <w:rPr>
      <w:rFonts w:asciiTheme="minorHAnsi" w:hAnsiTheme="minorHAnsi"/>
      <w:color w:val="FFFFFF" w:themeColor="background1"/>
    </w:rPr>
  </w:style>
  <w:style w:type="character" w:customStyle="1" w:styleId="ListParagraphChar">
    <w:name w:val="List Paragraph Char"/>
    <w:basedOn w:val="DefaultParagraphFont"/>
    <w:link w:val="ListParagraph"/>
    <w:uiPriority w:val="34"/>
    <w:rsid w:val="00F96269"/>
    <w:rPr>
      <w:rFonts w:ascii="Helvetica" w:hAnsi="Helvetica" w:cs="Times New Roman"/>
      <w:color w:val="404040" w:themeColor="text1" w:themeTint="BF"/>
      <w:sz w:val="22"/>
      <w:lang w:val="en-AU" w:eastAsia="en-AU"/>
    </w:rPr>
  </w:style>
  <w:style w:type="paragraph" w:styleId="Bibliography">
    <w:name w:val="Bibliography"/>
    <w:basedOn w:val="Normal"/>
    <w:next w:val="Normal"/>
    <w:uiPriority w:val="37"/>
    <w:unhideWhenUsed/>
    <w:rsid w:val="00FD1A39"/>
    <w:pPr>
      <w:spacing w:before="120" w:after="120" w:line="280" w:lineRule="atLeast"/>
    </w:pPr>
    <w:rPr>
      <w:rFonts w:asciiTheme="minorHAnsi" w:hAnsiTheme="minorHAnsi"/>
      <w:color w:val="000000" w:themeColor="text1"/>
      <w:sz w:val="20"/>
    </w:rPr>
  </w:style>
  <w:style w:type="table" w:customStyle="1" w:styleId="DefaultTable1">
    <w:name w:val="Default Table1"/>
    <w:basedOn w:val="TableNormal"/>
    <w:uiPriority w:val="99"/>
    <w:rsid w:val="009B288E"/>
    <w:rPr>
      <w:rFonts w:ascii="Times New Roman" w:hAnsi="Times New Roman" w:cs="Times New Roman"/>
      <w:sz w:val="24"/>
      <w:lang w:val="en-AU" w:eastAsia="en-AU"/>
    </w:rPr>
    <w:tblPr>
      <w:tblStyleRowBandSize w:val="1"/>
      <w:tblInd w:w="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28" w:type="dxa"/>
        <w:left w:w="85" w:type="dxa"/>
        <w:bottom w:w="28" w:type="dxa"/>
        <w:right w:w="85" w:type="dxa"/>
      </w:tblCellMar>
    </w:tblPr>
    <w:tcPr>
      <w:shd w:val="clear" w:color="auto" w:fill="F8F8F8"/>
    </w:tcPr>
    <w:tblStylePr w:type="firstRow">
      <w:rPr>
        <w:b/>
        <w:color w:val="FFFFFF" w:themeColor="background1"/>
      </w:rPr>
      <w:tblPr/>
      <w:tcPr>
        <w:shd w:val="clear" w:color="auto" w:fill="2C276C" w:themeFill="accent1"/>
      </w:tcPr>
    </w:tblStylePr>
    <w:tblStylePr w:type="band1Horz">
      <w:tblPr/>
      <w:tcPr>
        <w:shd w:val="clear" w:color="auto" w:fill="EDE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5924">
      <w:bodyDiv w:val="1"/>
      <w:marLeft w:val="0"/>
      <w:marRight w:val="0"/>
      <w:marTop w:val="0"/>
      <w:marBottom w:val="0"/>
      <w:divBdr>
        <w:top w:val="none" w:sz="0" w:space="0" w:color="auto"/>
        <w:left w:val="none" w:sz="0" w:space="0" w:color="auto"/>
        <w:bottom w:val="none" w:sz="0" w:space="0" w:color="auto"/>
        <w:right w:val="none" w:sz="0" w:space="0" w:color="auto"/>
      </w:divBdr>
    </w:div>
    <w:div w:id="106656464">
      <w:bodyDiv w:val="1"/>
      <w:marLeft w:val="0"/>
      <w:marRight w:val="0"/>
      <w:marTop w:val="0"/>
      <w:marBottom w:val="0"/>
      <w:divBdr>
        <w:top w:val="none" w:sz="0" w:space="0" w:color="auto"/>
        <w:left w:val="none" w:sz="0" w:space="0" w:color="auto"/>
        <w:bottom w:val="none" w:sz="0" w:space="0" w:color="auto"/>
        <w:right w:val="none" w:sz="0" w:space="0" w:color="auto"/>
      </w:divBdr>
    </w:div>
    <w:div w:id="136189603">
      <w:bodyDiv w:val="1"/>
      <w:marLeft w:val="0"/>
      <w:marRight w:val="0"/>
      <w:marTop w:val="0"/>
      <w:marBottom w:val="0"/>
      <w:divBdr>
        <w:top w:val="none" w:sz="0" w:space="0" w:color="auto"/>
        <w:left w:val="none" w:sz="0" w:space="0" w:color="auto"/>
        <w:bottom w:val="none" w:sz="0" w:space="0" w:color="auto"/>
        <w:right w:val="none" w:sz="0" w:space="0" w:color="auto"/>
      </w:divBdr>
    </w:div>
    <w:div w:id="139929293">
      <w:bodyDiv w:val="1"/>
      <w:marLeft w:val="0"/>
      <w:marRight w:val="0"/>
      <w:marTop w:val="0"/>
      <w:marBottom w:val="0"/>
      <w:divBdr>
        <w:top w:val="none" w:sz="0" w:space="0" w:color="auto"/>
        <w:left w:val="none" w:sz="0" w:space="0" w:color="auto"/>
        <w:bottom w:val="none" w:sz="0" w:space="0" w:color="auto"/>
        <w:right w:val="none" w:sz="0" w:space="0" w:color="auto"/>
      </w:divBdr>
    </w:div>
    <w:div w:id="193202640">
      <w:bodyDiv w:val="1"/>
      <w:marLeft w:val="0"/>
      <w:marRight w:val="0"/>
      <w:marTop w:val="0"/>
      <w:marBottom w:val="0"/>
      <w:divBdr>
        <w:top w:val="none" w:sz="0" w:space="0" w:color="auto"/>
        <w:left w:val="none" w:sz="0" w:space="0" w:color="auto"/>
        <w:bottom w:val="none" w:sz="0" w:space="0" w:color="auto"/>
        <w:right w:val="none" w:sz="0" w:space="0" w:color="auto"/>
      </w:divBdr>
    </w:div>
    <w:div w:id="202402280">
      <w:bodyDiv w:val="1"/>
      <w:marLeft w:val="0"/>
      <w:marRight w:val="0"/>
      <w:marTop w:val="0"/>
      <w:marBottom w:val="0"/>
      <w:divBdr>
        <w:top w:val="none" w:sz="0" w:space="0" w:color="auto"/>
        <w:left w:val="none" w:sz="0" w:space="0" w:color="auto"/>
        <w:bottom w:val="none" w:sz="0" w:space="0" w:color="auto"/>
        <w:right w:val="none" w:sz="0" w:space="0" w:color="auto"/>
      </w:divBdr>
    </w:div>
    <w:div w:id="211112786">
      <w:bodyDiv w:val="1"/>
      <w:marLeft w:val="0"/>
      <w:marRight w:val="0"/>
      <w:marTop w:val="0"/>
      <w:marBottom w:val="0"/>
      <w:divBdr>
        <w:top w:val="none" w:sz="0" w:space="0" w:color="auto"/>
        <w:left w:val="none" w:sz="0" w:space="0" w:color="auto"/>
        <w:bottom w:val="none" w:sz="0" w:space="0" w:color="auto"/>
        <w:right w:val="none" w:sz="0" w:space="0" w:color="auto"/>
      </w:divBdr>
    </w:div>
    <w:div w:id="450363660">
      <w:bodyDiv w:val="1"/>
      <w:marLeft w:val="0"/>
      <w:marRight w:val="0"/>
      <w:marTop w:val="0"/>
      <w:marBottom w:val="0"/>
      <w:divBdr>
        <w:top w:val="none" w:sz="0" w:space="0" w:color="auto"/>
        <w:left w:val="none" w:sz="0" w:space="0" w:color="auto"/>
        <w:bottom w:val="none" w:sz="0" w:space="0" w:color="auto"/>
        <w:right w:val="none" w:sz="0" w:space="0" w:color="auto"/>
      </w:divBdr>
    </w:div>
    <w:div w:id="529413117">
      <w:bodyDiv w:val="1"/>
      <w:marLeft w:val="0"/>
      <w:marRight w:val="0"/>
      <w:marTop w:val="0"/>
      <w:marBottom w:val="0"/>
      <w:divBdr>
        <w:top w:val="none" w:sz="0" w:space="0" w:color="auto"/>
        <w:left w:val="none" w:sz="0" w:space="0" w:color="auto"/>
        <w:bottom w:val="none" w:sz="0" w:space="0" w:color="auto"/>
        <w:right w:val="none" w:sz="0" w:space="0" w:color="auto"/>
      </w:divBdr>
    </w:div>
    <w:div w:id="545264308">
      <w:bodyDiv w:val="1"/>
      <w:marLeft w:val="0"/>
      <w:marRight w:val="0"/>
      <w:marTop w:val="0"/>
      <w:marBottom w:val="0"/>
      <w:divBdr>
        <w:top w:val="none" w:sz="0" w:space="0" w:color="auto"/>
        <w:left w:val="none" w:sz="0" w:space="0" w:color="auto"/>
        <w:bottom w:val="none" w:sz="0" w:space="0" w:color="auto"/>
        <w:right w:val="none" w:sz="0" w:space="0" w:color="auto"/>
      </w:divBdr>
      <w:divsChild>
        <w:div w:id="2119327474">
          <w:marLeft w:val="0"/>
          <w:marRight w:val="0"/>
          <w:marTop w:val="0"/>
          <w:marBottom w:val="0"/>
          <w:divBdr>
            <w:top w:val="none" w:sz="0" w:space="0" w:color="auto"/>
            <w:left w:val="none" w:sz="0" w:space="0" w:color="auto"/>
            <w:bottom w:val="none" w:sz="0" w:space="0" w:color="auto"/>
            <w:right w:val="none" w:sz="0" w:space="0" w:color="auto"/>
          </w:divBdr>
        </w:div>
      </w:divsChild>
    </w:div>
    <w:div w:id="592127347">
      <w:bodyDiv w:val="1"/>
      <w:marLeft w:val="0"/>
      <w:marRight w:val="0"/>
      <w:marTop w:val="0"/>
      <w:marBottom w:val="0"/>
      <w:divBdr>
        <w:top w:val="none" w:sz="0" w:space="0" w:color="auto"/>
        <w:left w:val="none" w:sz="0" w:space="0" w:color="auto"/>
        <w:bottom w:val="none" w:sz="0" w:space="0" w:color="auto"/>
        <w:right w:val="none" w:sz="0" w:space="0" w:color="auto"/>
      </w:divBdr>
    </w:div>
    <w:div w:id="728648715">
      <w:bodyDiv w:val="1"/>
      <w:marLeft w:val="0"/>
      <w:marRight w:val="0"/>
      <w:marTop w:val="0"/>
      <w:marBottom w:val="0"/>
      <w:divBdr>
        <w:top w:val="none" w:sz="0" w:space="0" w:color="auto"/>
        <w:left w:val="none" w:sz="0" w:space="0" w:color="auto"/>
        <w:bottom w:val="none" w:sz="0" w:space="0" w:color="auto"/>
        <w:right w:val="none" w:sz="0" w:space="0" w:color="auto"/>
      </w:divBdr>
      <w:divsChild>
        <w:div w:id="142549139">
          <w:marLeft w:val="0"/>
          <w:marRight w:val="0"/>
          <w:marTop w:val="0"/>
          <w:marBottom w:val="0"/>
          <w:divBdr>
            <w:top w:val="none" w:sz="0" w:space="0" w:color="auto"/>
            <w:left w:val="none" w:sz="0" w:space="0" w:color="auto"/>
            <w:bottom w:val="none" w:sz="0" w:space="0" w:color="auto"/>
            <w:right w:val="none" w:sz="0" w:space="0" w:color="auto"/>
          </w:divBdr>
          <w:divsChild>
            <w:div w:id="556236702">
              <w:marLeft w:val="0"/>
              <w:marRight w:val="0"/>
              <w:marTop w:val="0"/>
              <w:marBottom w:val="0"/>
              <w:divBdr>
                <w:top w:val="none" w:sz="0" w:space="0" w:color="auto"/>
                <w:left w:val="none" w:sz="0" w:space="0" w:color="auto"/>
                <w:bottom w:val="none" w:sz="0" w:space="0" w:color="auto"/>
                <w:right w:val="none" w:sz="0" w:space="0" w:color="auto"/>
              </w:divBdr>
              <w:divsChild>
                <w:div w:id="11043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6397">
      <w:bodyDiv w:val="1"/>
      <w:marLeft w:val="0"/>
      <w:marRight w:val="0"/>
      <w:marTop w:val="0"/>
      <w:marBottom w:val="0"/>
      <w:divBdr>
        <w:top w:val="none" w:sz="0" w:space="0" w:color="auto"/>
        <w:left w:val="none" w:sz="0" w:space="0" w:color="auto"/>
        <w:bottom w:val="none" w:sz="0" w:space="0" w:color="auto"/>
        <w:right w:val="none" w:sz="0" w:space="0" w:color="auto"/>
      </w:divBdr>
    </w:div>
    <w:div w:id="857935128">
      <w:bodyDiv w:val="1"/>
      <w:marLeft w:val="0"/>
      <w:marRight w:val="0"/>
      <w:marTop w:val="0"/>
      <w:marBottom w:val="0"/>
      <w:divBdr>
        <w:top w:val="none" w:sz="0" w:space="0" w:color="auto"/>
        <w:left w:val="none" w:sz="0" w:space="0" w:color="auto"/>
        <w:bottom w:val="none" w:sz="0" w:space="0" w:color="auto"/>
        <w:right w:val="none" w:sz="0" w:space="0" w:color="auto"/>
      </w:divBdr>
    </w:div>
    <w:div w:id="1068378070">
      <w:bodyDiv w:val="1"/>
      <w:marLeft w:val="0"/>
      <w:marRight w:val="0"/>
      <w:marTop w:val="0"/>
      <w:marBottom w:val="0"/>
      <w:divBdr>
        <w:top w:val="none" w:sz="0" w:space="0" w:color="auto"/>
        <w:left w:val="none" w:sz="0" w:space="0" w:color="auto"/>
        <w:bottom w:val="none" w:sz="0" w:space="0" w:color="auto"/>
        <w:right w:val="none" w:sz="0" w:space="0" w:color="auto"/>
      </w:divBdr>
    </w:div>
    <w:div w:id="1153373675">
      <w:bodyDiv w:val="1"/>
      <w:marLeft w:val="0"/>
      <w:marRight w:val="0"/>
      <w:marTop w:val="0"/>
      <w:marBottom w:val="0"/>
      <w:divBdr>
        <w:top w:val="none" w:sz="0" w:space="0" w:color="auto"/>
        <w:left w:val="none" w:sz="0" w:space="0" w:color="auto"/>
        <w:bottom w:val="none" w:sz="0" w:space="0" w:color="auto"/>
        <w:right w:val="none" w:sz="0" w:space="0" w:color="auto"/>
      </w:divBdr>
    </w:div>
    <w:div w:id="1164471529">
      <w:bodyDiv w:val="1"/>
      <w:marLeft w:val="0"/>
      <w:marRight w:val="0"/>
      <w:marTop w:val="0"/>
      <w:marBottom w:val="0"/>
      <w:divBdr>
        <w:top w:val="none" w:sz="0" w:space="0" w:color="auto"/>
        <w:left w:val="none" w:sz="0" w:space="0" w:color="auto"/>
        <w:bottom w:val="none" w:sz="0" w:space="0" w:color="auto"/>
        <w:right w:val="none" w:sz="0" w:space="0" w:color="auto"/>
      </w:divBdr>
    </w:div>
    <w:div w:id="1183544588">
      <w:bodyDiv w:val="1"/>
      <w:marLeft w:val="0"/>
      <w:marRight w:val="0"/>
      <w:marTop w:val="0"/>
      <w:marBottom w:val="0"/>
      <w:divBdr>
        <w:top w:val="none" w:sz="0" w:space="0" w:color="auto"/>
        <w:left w:val="none" w:sz="0" w:space="0" w:color="auto"/>
        <w:bottom w:val="none" w:sz="0" w:space="0" w:color="auto"/>
        <w:right w:val="none" w:sz="0" w:space="0" w:color="auto"/>
      </w:divBdr>
    </w:div>
    <w:div w:id="1199707175">
      <w:bodyDiv w:val="1"/>
      <w:marLeft w:val="0"/>
      <w:marRight w:val="0"/>
      <w:marTop w:val="0"/>
      <w:marBottom w:val="0"/>
      <w:divBdr>
        <w:top w:val="none" w:sz="0" w:space="0" w:color="auto"/>
        <w:left w:val="none" w:sz="0" w:space="0" w:color="auto"/>
        <w:bottom w:val="none" w:sz="0" w:space="0" w:color="auto"/>
        <w:right w:val="none" w:sz="0" w:space="0" w:color="auto"/>
      </w:divBdr>
    </w:div>
    <w:div w:id="1241015195">
      <w:bodyDiv w:val="1"/>
      <w:marLeft w:val="0"/>
      <w:marRight w:val="0"/>
      <w:marTop w:val="0"/>
      <w:marBottom w:val="0"/>
      <w:divBdr>
        <w:top w:val="none" w:sz="0" w:space="0" w:color="auto"/>
        <w:left w:val="none" w:sz="0" w:space="0" w:color="auto"/>
        <w:bottom w:val="none" w:sz="0" w:space="0" w:color="auto"/>
        <w:right w:val="none" w:sz="0" w:space="0" w:color="auto"/>
      </w:divBdr>
      <w:divsChild>
        <w:div w:id="1442070488">
          <w:marLeft w:val="446"/>
          <w:marRight w:val="0"/>
          <w:marTop w:val="140"/>
          <w:marBottom w:val="0"/>
          <w:divBdr>
            <w:top w:val="none" w:sz="0" w:space="0" w:color="auto"/>
            <w:left w:val="none" w:sz="0" w:space="0" w:color="auto"/>
            <w:bottom w:val="none" w:sz="0" w:space="0" w:color="auto"/>
            <w:right w:val="none" w:sz="0" w:space="0" w:color="auto"/>
          </w:divBdr>
        </w:div>
      </w:divsChild>
    </w:div>
    <w:div w:id="1379664968">
      <w:bodyDiv w:val="1"/>
      <w:marLeft w:val="0"/>
      <w:marRight w:val="0"/>
      <w:marTop w:val="0"/>
      <w:marBottom w:val="0"/>
      <w:divBdr>
        <w:top w:val="none" w:sz="0" w:space="0" w:color="auto"/>
        <w:left w:val="none" w:sz="0" w:space="0" w:color="auto"/>
        <w:bottom w:val="none" w:sz="0" w:space="0" w:color="auto"/>
        <w:right w:val="none" w:sz="0" w:space="0" w:color="auto"/>
      </w:divBdr>
    </w:div>
    <w:div w:id="1449354426">
      <w:bodyDiv w:val="1"/>
      <w:marLeft w:val="0"/>
      <w:marRight w:val="0"/>
      <w:marTop w:val="0"/>
      <w:marBottom w:val="0"/>
      <w:divBdr>
        <w:top w:val="none" w:sz="0" w:space="0" w:color="auto"/>
        <w:left w:val="none" w:sz="0" w:space="0" w:color="auto"/>
        <w:bottom w:val="none" w:sz="0" w:space="0" w:color="auto"/>
        <w:right w:val="none" w:sz="0" w:space="0" w:color="auto"/>
      </w:divBdr>
    </w:div>
    <w:div w:id="1474835733">
      <w:bodyDiv w:val="1"/>
      <w:marLeft w:val="0"/>
      <w:marRight w:val="0"/>
      <w:marTop w:val="0"/>
      <w:marBottom w:val="0"/>
      <w:divBdr>
        <w:top w:val="none" w:sz="0" w:space="0" w:color="auto"/>
        <w:left w:val="none" w:sz="0" w:space="0" w:color="auto"/>
        <w:bottom w:val="none" w:sz="0" w:space="0" w:color="auto"/>
        <w:right w:val="none" w:sz="0" w:space="0" w:color="auto"/>
      </w:divBdr>
    </w:div>
    <w:div w:id="1632784842">
      <w:bodyDiv w:val="1"/>
      <w:marLeft w:val="0"/>
      <w:marRight w:val="0"/>
      <w:marTop w:val="0"/>
      <w:marBottom w:val="0"/>
      <w:divBdr>
        <w:top w:val="none" w:sz="0" w:space="0" w:color="auto"/>
        <w:left w:val="none" w:sz="0" w:space="0" w:color="auto"/>
        <w:bottom w:val="none" w:sz="0" w:space="0" w:color="auto"/>
        <w:right w:val="none" w:sz="0" w:space="0" w:color="auto"/>
      </w:divBdr>
    </w:div>
    <w:div w:id="1959991239">
      <w:bodyDiv w:val="1"/>
      <w:marLeft w:val="0"/>
      <w:marRight w:val="0"/>
      <w:marTop w:val="0"/>
      <w:marBottom w:val="0"/>
      <w:divBdr>
        <w:top w:val="none" w:sz="0" w:space="0" w:color="auto"/>
        <w:left w:val="none" w:sz="0" w:space="0" w:color="auto"/>
        <w:bottom w:val="none" w:sz="0" w:space="0" w:color="auto"/>
        <w:right w:val="none" w:sz="0" w:space="0" w:color="auto"/>
      </w:divBdr>
    </w:div>
    <w:div w:id="2046715984">
      <w:bodyDiv w:val="1"/>
      <w:marLeft w:val="0"/>
      <w:marRight w:val="0"/>
      <w:marTop w:val="0"/>
      <w:marBottom w:val="0"/>
      <w:divBdr>
        <w:top w:val="none" w:sz="0" w:space="0" w:color="auto"/>
        <w:left w:val="none" w:sz="0" w:space="0" w:color="auto"/>
        <w:bottom w:val="none" w:sz="0" w:space="0" w:color="auto"/>
        <w:right w:val="none" w:sz="0" w:space="0" w:color="auto"/>
      </w:divBdr>
    </w:div>
    <w:div w:id="2072652296">
      <w:bodyDiv w:val="1"/>
      <w:marLeft w:val="0"/>
      <w:marRight w:val="0"/>
      <w:marTop w:val="0"/>
      <w:marBottom w:val="0"/>
      <w:divBdr>
        <w:top w:val="none" w:sz="0" w:space="0" w:color="auto"/>
        <w:left w:val="none" w:sz="0" w:space="0" w:color="auto"/>
        <w:bottom w:val="none" w:sz="0" w:space="0" w:color="auto"/>
        <w:right w:val="none" w:sz="0" w:space="0" w:color="auto"/>
      </w:divBdr>
    </w:div>
    <w:div w:id="2097289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mc.gov.au/c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3" Type="http://schemas.openxmlformats.org/officeDocument/2006/relationships/hyperlink" Target="mailto:media@pmc.gov.au" TargetMode="External"/><Relationship Id="rId2" Type="http://schemas.openxmlformats.org/officeDocument/2006/relationships/hyperlink" Target="mailto:beta@pmc.gov.au" TargetMode="External"/><Relationship Id="rId1" Type="http://schemas.openxmlformats.org/officeDocument/2006/relationships/image" Target="media/image3.png"/><Relationship Id="rId4" Type="http://schemas.openxmlformats.org/officeDocument/2006/relationships/hyperlink" Target="http://www.pmc.gov.au/be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ehaviouraleconomics.pmc.gov.au/projects/improving-energy-bil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TA Final">
      <a:dk1>
        <a:srgbClr val="000000"/>
      </a:dk1>
      <a:lt1>
        <a:srgbClr val="FFFFFF"/>
      </a:lt1>
      <a:dk2>
        <a:srgbClr val="142E3B"/>
      </a:dk2>
      <a:lt2>
        <a:srgbClr val="ABDBF6"/>
      </a:lt2>
      <a:accent1>
        <a:srgbClr val="2C276C"/>
      </a:accent1>
      <a:accent2>
        <a:srgbClr val="4B245E"/>
      </a:accent2>
      <a:accent3>
        <a:srgbClr val="1FB9A3"/>
      </a:accent3>
      <a:accent4>
        <a:srgbClr val="AA328A"/>
      </a:accent4>
      <a:accent5>
        <a:srgbClr val="2058A8"/>
      </a:accent5>
      <a:accent6>
        <a:srgbClr val="8D7349"/>
      </a:accent6>
      <a:hlink>
        <a:srgbClr val="9E2033"/>
      </a:hlink>
      <a:folHlink>
        <a:srgbClr val="6D6E71"/>
      </a:folHlink>
    </a:clrScheme>
    <a:fontScheme name="BETA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DOC21-308069</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PMCdoc-213507164-64409</_dlc_DocId>
    <_dlc_DocIdUrl xmlns="d0dfa800-9ef0-44cb-8a12-633e29de1e0b">
      <Url>https://pmc01.sharepoint.com/sites/pmc-ms-cb/_layouts/15/DocIdRedir.aspx?ID=PMCdoc-213507164-64409</Url>
      <Description>PMCdoc-213507164-64409</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b:Source>
    <b:Tag>Shl15</b:Tag>
    <b:SourceType>Book</b:SourceType>
    <b:Guid>{B3286530-7313-4EBD-A5FD-AD372551D467}</b:Guid>
    <b:Title>The smarter screen</b:Title>
    <b:Year>2015</b:Year>
    <b:City>New York</b:City>
    <b:Publisher>Penguin</b:Publisher>
    <b:Author>
      <b:Author>
        <b:NameList>
          <b:Person>
            <b:Last>Benartzi</b:Last>
            <b:First>Shlomo</b:First>
          </b:Person>
        </b:NameList>
      </b:Author>
    </b:Author>
    <b:RefOrder>1</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E94FF6-C527-460B-814A-F2E23528370E}">
  <ds:schemaRefs>
    <ds:schemaRef ds:uri="http://schemas.microsoft.com/office/2006/metadata/properties"/>
    <ds:schemaRef ds:uri="http://schemas.microsoft.com/office/infopath/2007/PartnerControls"/>
    <ds:schemaRef ds:uri="35c4ed8a-af79-46b6-bfac-d65ce1a372e5"/>
    <ds:schemaRef ds:uri="685f9fda-bd71-4433-b331-92feb9553089"/>
  </ds:schemaRefs>
</ds:datastoreItem>
</file>

<file path=customXml/itemProps2.xml><?xml version="1.0" encoding="utf-8"?>
<ds:datastoreItem xmlns:ds="http://schemas.openxmlformats.org/officeDocument/2006/customXml" ds:itemID="{A1A97FB5-8A09-4EEA-89D4-6E1A93FC1E0C}">
  <ds:schemaRefs>
    <ds:schemaRef ds:uri="http://schemas.microsoft.com/sharepoint/v3/contenttype/forms"/>
  </ds:schemaRefs>
</ds:datastoreItem>
</file>

<file path=customXml/itemProps3.xml><?xml version="1.0" encoding="utf-8"?>
<ds:datastoreItem xmlns:ds="http://schemas.openxmlformats.org/officeDocument/2006/customXml" ds:itemID="{3912461A-5D2E-46F7-B6EE-E08A8B623C4D}"/>
</file>

<file path=customXml/itemProps4.xml><?xml version="1.0" encoding="utf-8"?>
<ds:datastoreItem xmlns:ds="http://schemas.openxmlformats.org/officeDocument/2006/customXml" ds:itemID="{C422BA4C-353E-4B83-9E15-4939B5D0310E}">
  <ds:schemaRefs>
    <ds:schemaRef ds:uri="http://schemas.openxmlformats.org/officeDocument/2006/bibliography"/>
  </ds:schemaRefs>
</ds:datastoreItem>
</file>

<file path=customXml/itemProps5.xml><?xml version="1.0" encoding="utf-8"?>
<ds:datastoreItem xmlns:ds="http://schemas.openxmlformats.org/officeDocument/2006/customXml" ds:itemID="{67E73565-BE42-4795-BB42-4F740F177F1B}"/>
</file>

<file path=docProps/app.xml><?xml version="1.0" encoding="utf-8"?>
<Properties xmlns="http://schemas.openxmlformats.org/officeDocument/2006/extended-properties" xmlns:vt="http://schemas.openxmlformats.org/officeDocument/2006/docPropsVTypes">
  <Template>Normal</Template>
  <TotalTime>2</TotalTime>
  <Pages>28</Pages>
  <Words>9338</Words>
  <Characters>53231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bill contents and bill requirements: Literature review</dc:title>
  <dc:subject/>
  <dc:creator>Bennetts-Kneebone, Laura</dc:creator>
  <cp:keywords/>
  <dc:description/>
  <cp:lastModifiedBy>Carnovale, Nick</cp:lastModifiedBy>
  <cp:revision>3</cp:revision>
  <cp:lastPrinted>2021-04-08T01:56:00Z</cp:lastPrinted>
  <dcterms:created xsi:type="dcterms:W3CDTF">2021-10-28T02:12:00Z</dcterms:created>
  <dcterms:modified xsi:type="dcterms:W3CDTF">2021-10-28T23:01:00Z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18;#Cabinet|84cba657-17c1-4642-9e59-a0df180c2be5</vt:lpwstr>
  </property>
  <property fmtid="{D5CDD505-2E9C-101B-9397-08002B2CF9AE}" pid="6" name="PMC.ESearch.TagGeneratedTime">
    <vt:lpwstr>2021-10-29T10:25:18</vt:lpwstr>
  </property>
  <property fmtid="{D5CDD505-2E9C-101B-9397-08002B2CF9AE}" pid="7" name="SecurityClassification">
    <vt:i4>1</vt:i4>
  </property>
  <property fmtid="{D5CDD505-2E9C-101B-9397-08002B2CF9AE}" pid="8" name="_dlc_DocIdItemGuid">
    <vt:lpwstr>1c8858ea-40c7-4d0e-84d0-f962ed8ad5c5</vt:lpwstr>
  </property>
</Properties>
</file>