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724E6" w14:textId="64D32ABD" w:rsidR="001E1876" w:rsidRPr="007A2489" w:rsidRDefault="002F7F3E" w:rsidP="00973727">
      <w:pPr>
        <w:pStyle w:val="Heading1"/>
        <w:spacing w:after="360"/>
        <w:rPr>
          <w:b/>
          <w:szCs w:val="28"/>
        </w:rPr>
      </w:pPr>
      <w:r w:rsidRPr="007A2489">
        <w:rPr>
          <w:b/>
        </w:rPr>
        <w:t>Incentivising excellence: Attracting high-</w:t>
      </w:r>
      <w:r w:rsidR="00D821BF">
        <w:rPr>
          <w:b/>
        </w:rPr>
        <w:t>achieving</w:t>
      </w:r>
      <w:r w:rsidRPr="007A2489">
        <w:rPr>
          <w:b/>
        </w:rPr>
        <w:t xml:space="preserve"> teaching candidates </w:t>
      </w:r>
    </w:p>
    <w:p w14:paraId="10FF1777" w14:textId="77777777" w:rsidR="00973727" w:rsidRPr="00973727" w:rsidRDefault="00973727" w:rsidP="00973727">
      <w:r w:rsidRPr="00973727">
        <w:t>BETA worked with the Quality Initial Teacher Education Review to test what incentives would appeal to high-achieving teaching candidates.</w:t>
      </w:r>
    </w:p>
    <w:p w14:paraId="539A9E25" w14:textId="0164C057" w:rsidR="00973727" w:rsidRDefault="00973727" w:rsidP="00973727">
      <w:r w:rsidRPr="00973727">
        <w:t>We ran a discrete choice experiment with young high-achievers and mid-career professionals. We found</w:t>
      </w:r>
      <w:r>
        <w:t>:</w:t>
      </w:r>
    </w:p>
    <w:p w14:paraId="7584C764" w14:textId="0E00E695" w:rsidR="007A2489" w:rsidRPr="007A2489" w:rsidRDefault="007A2489" w:rsidP="007A2489">
      <w:pPr>
        <w:pStyle w:val="Caption"/>
        <w:keepNext/>
        <w:rPr>
          <w:sz w:val="22"/>
        </w:rPr>
      </w:pPr>
      <w:r w:rsidRPr="007A2489">
        <w:rPr>
          <w:sz w:val="22"/>
        </w:rPr>
        <w:t xml:space="preserve">Figure </w:t>
      </w:r>
      <w:r w:rsidRPr="007A2489">
        <w:rPr>
          <w:sz w:val="22"/>
        </w:rPr>
        <w:fldChar w:fldCharType="begin"/>
      </w:r>
      <w:r w:rsidRPr="007A2489">
        <w:rPr>
          <w:sz w:val="22"/>
        </w:rPr>
        <w:instrText xml:space="preserve"> SEQ Figure \* ARABIC </w:instrText>
      </w:r>
      <w:r w:rsidRPr="007A2489">
        <w:rPr>
          <w:sz w:val="22"/>
        </w:rPr>
        <w:fldChar w:fldCharType="separate"/>
      </w:r>
      <w:r>
        <w:rPr>
          <w:noProof/>
          <w:sz w:val="22"/>
        </w:rPr>
        <w:t>1</w:t>
      </w:r>
      <w:r w:rsidRPr="007A2489">
        <w:rPr>
          <w:sz w:val="22"/>
        </w:rPr>
        <w:fldChar w:fldCharType="end"/>
      </w:r>
      <w:r w:rsidRPr="007A2489">
        <w:rPr>
          <w:sz w:val="22"/>
        </w:rPr>
        <w:t>-</w:t>
      </w:r>
      <w:r w:rsidRPr="007A2489">
        <w:rPr>
          <w:b/>
          <w:sz w:val="22"/>
        </w:rPr>
        <w:t>Additional probability of choosing teaching over a ‘baseline job’</w:t>
      </w:r>
      <w:r w:rsidRPr="007A2489">
        <w:rPr>
          <w:sz w:val="22"/>
        </w:rPr>
        <w:t xml:space="preserve"> (in percentage points) </w:t>
      </w:r>
      <w:r w:rsidRPr="007A2489">
        <w:rPr>
          <w:b/>
          <w:sz w:val="22"/>
        </w:rPr>
        <w:t>for Young High-Achievers</w:t>
      </w:r>
      <w:r w:rsidRPr="007A2489">
        <w:rPr>
          <w:sz w:val="22"/>
        </w:rPr>
        <w:t xml:space="preserve"> (18-25 year-olds with an ATAR of 80 or above).</w:t>
      </w:r>
    </w:p>
    <w:p w14:paraId="56479614" w14:textId="3A4B1C94" w:rsidR="002F7F3E" w:rsidRDefault="007A2489" w:rsidP="002F7F3E">
      <w:pPr>
        <w:spacing w:line="320" w:lineRule="atLeast"/>
        <w:ind w:left="57"/>
        <w:rPr>
          <w:rFonts w:ascii="Helvetica" w:hAnsi="Helvetica" w:cs="Helvetica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4E895391" wp14:editId="257BFCDF">
            <wp:extent cx="4615157" cy="4001064"/>
            <wp:effectExtent l="0" t="0" r="0" b="0"/>
            <wp:docPr id="1" name="Picture 1" descr="Horizontal bar chart showing the additional probability of choosing a teaching package, when that incentive was included in the package. X-axis label reads &quot;Additional probability (in percentage points) of young high-achievers choosing a teaching job. There are two sets of bars for the two attributes: 'Study Incentives', 'Work Incentives'. For Study Incentives, the additional probability was 1% for ATAR of 80 or above, 5% for Paid Teaching Internship, 6% for $20,000 p.a. Scholarship, 8% for Paid Work in Final Year, 9% for Paid Work Throughout Study, 12% for $30,000 p.a. Scholarship. For Work Incentives, the additional probability was 7% for Mentoring, 7% for Overtime Work is Paid, 9% for Manageable Workload, 10% for Guaranteed Ongoing Employment, and 12% for Guaranteed Ongoing Employment in Nearby School. " title="Horizontal bar chart showing additional probability of young high-achievers choosing teach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1660" cy="400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11C968" w14:textId="04E5AE47" w:rsidR="002F7F3E" w:rsidRDefault="002F7F3E" w:rsidP="002F7F3E">
      <w:pPr>
        <w:spacing w:line="320" w:lineRule="atLeast"/>
        <w:ind w:left="57"/>
        <w:rPr>
          <w:rFonts w:ascii="Helvetica" w:hAnsi="Helvetica" w:cs="Helvetica"/>
        </w:rPr>
      </w:pPr>
    </w:p>
    <w:p w14:paraId="2F6D75A6" w14:textId="46A2CBDB" w:rsidR="007A2489" w:rsidRPr="007A2489" w:rsidRDefault="007A2489" w:rsidP="007A2489">
      <w:pPr>
        <w:pStyle w:val="Caption"/>
        <w:keepNext/>
        <w:rPr>
          <w:sz w:val="22"/>
        </w:rPr>
      </w:pPr>
      <w:r w:rsidRPr="007A2489">
        <w:rPr>
          <w:sz w:val="22"/>
        </w:rPr>
        <w:lastRenderedPageBreak/>
        <w:t xml:space="preserve">Figure </w:t>
      </w:r>
      <w:r w:rsidRPr="007A2489">
        <w:rPr>
          <w:sz w:val="22"/>
        </w:rPr>
        <w:fldChar w:fldCharType="begin"/>
      </w:r>
      <w:r w:rsidRPr="007A2489">
        <w:rPr>
          <w:sz w:val="22"/>
        </w:rPr>
        <w:instrText xml:space="preserve"> SEQ Figure \* ARABIC </w:instrText>
      </w:r>
      <w:r w:rsidRPr="007A2489">
        <w:rPr>
          <w:sz w:val="22"/>
        </w:rPr>
        <w:fldChar w:fldCharType="separate"/>
      </w:r>
      <w:r w:rsidRPr="007A2489">
        <w:rPr>
          <w:noProof/>
          <w:sz w:val="22"/>
        </w:rPr>
        <w:t>2</w:t>
      </w:r>
      <w:r w:rsidRPr="007A2489">
        <w:rPr>
          <w:sz w:val="22"/>
        </w:rPr>
        <w:fldChar w:fldCharType="end"/>
      </w:r>
      <w:r w:rsidRPr="007A2489">
        <w:rPr>
          <w:sz w:val="22"/>
        </w:rPr>
        <w:t xml:space="preserve">- </w:t>
      </w:r>
      <w:r w:rsidRPr="007A2489">
        <w:rPr>
          <w:b/>
          <w:sz w:val="22"/>
        </w:rPr>
        <w:t>Additional probability of choosing teaching over a ‘baseline job’</w:t>
      </w:r>
      <w:r w:rsidRPr="007A2489">
        <w:rPr>
          <w:sz w:val="22"/>
        </w:rPr>
        <w:t xml:space="preserve"> (in percentage points) </w:t>
      </w:r>
      <w:r w:rsidRPr="007A2489">
        <w:rPr>
          <w:b/>
          <w:sz w:val="22"/>
        </w:rPr>
        <w:t>for Mid-Career Professionals</w:t>
      </w:r>
      <w:r w:rsidRPr="007A2489">
        <w:rPr>
          <w:sz w:val="22"/>
        </w:rPr>
        <w:t xml:space="preserve"> (26-60 year olds with a Bachelor’s degree or higher).</w:t>
      </w:r>
    </w:p>
    <w:p w14:paraId="29DBC6AD" w14:textId="54738A77" w:rsidR="007A2489" w:rsidRDefault="007A2489" w:rsidP="002F7F3E">
      <w:pPr>
        <w:spacing w:line="320" w:lineRule="atLeast"/>
        <w:ind w:left="57"/>
        <w:rPr>
          <w:rFonts w:ascii="Helvetica" w:hAnsi="Helvetica" w:cs="Helvetica"/>
        </w:rPr>
      </w:pPr>
      <w:r>
        <w:rPr>
          <w:noProof/>
          <w:lang w:eastAsia="en-AU"/>
        </w:rPr>
        <w:drawing>
          <wp:inline distT="0" distB="0" distL="0" distR="0" wp14:anchorId="37947B58" wp14:editId="1E3FCD36">
            <wp:extent cx="4162042" cy="3406732"/>
            <wp:effectExtent l="0" t="0" r="0" b="3810"/>
            <wp:docPr id="3" name="Picture 3" descr="For Study Incentives, the additional probability was 4.7% for Paid Teaching Internship, 6.6% for Paid Work in Final Year, 7% for $20,000 p.a. Scholarship, 7.3% for Condensed 1-Year Qualification, 9.7% for Mortgage/Rent Payments, 10.2% for $30,000 p.a. Scholarship, and 10.4% for Paid Work Throughout Study. For Work Incentives, the additional probability was 2.8% for Mentoring, 5.7% for Payment to Recognise Past Experience, 6% for Overtime Work is Paid, 7.4% for Manageable Workload, 8% for Guaranteed Ongoing Employment, and 9.7% for Guaranteed Ongoing Employment in Nearby School. &#10;" title="Horizontal bar chart showing additional probability of young mid-career professionals choosing teach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6227" cy="341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9D3A" w14:textId="77777777" w:rsidR="002F7F3E" w:rsidRDefault="002F7F3E" w:rsidP="002F7F3E">
      <w:pPr>
        <w:spacing w:line="320" w:lineRule="atLeast"/>
        <w:ind w:left="57"/>
        <w:rPr>
          <w:rFonts w:ascii="Helvetica" w:hAnsi="Helvetica" w:cs="Helvetica"/>
        </w:rPr>
      </w:pPr>
    </w:p>
    <w:p w14:paraId="22A810F0" w14:textId="2A402832" w:rsidR="002F7F3E" w:rsidRPr="002F7F3E" w:rsidRDefault="00480EDA" w:rsidP="00973727">
      <w:pPr>
        <w:spacing w:line="320" w:lineRule="atLeast"/>
        <w:ind w:left="-284"/>
        <w:rPr>
          <w:rFonts w:ascii="Helvetica" w:hAnsi="Helvetica" w:cs="Helvetica"/>
        </w:rPr>
      </w:pPr>
      <w:r>
        <w:rPr>
          <w:rFonts w:ascii="Helvetica" w:hAnsi="Helvetica" w:cs="Helvetica"/>
        </w:rPr>
        <w:t>(</w:t>
      </w:r>
      <w:r w:rsidR="007A2489">
        <w:rPr>
          <w:rFonts w:ascii="Helvetica" w:hAnsi="Helvetica" w:cs="Helvetica"/>
        </w:rPr>
        <w:t xml:space="preserve">For our study, we defined baseline job to have no study or work incentives, </w:t>
      </w:r>
      <w:r w:rsidR="007A2489" w:rsidRPr="007A2489">
        <w:rPr>
          <w:rFonts w:ascii="Helvetica" w:hAnsi="Helvetica" w:cs="Helvetica"/>
        </w:rPr>
        <w:t>$60,000 st</w:t>
      </w:r>
      <w:r>
        <w:rPr>
          <w:rFonts w:ascii="Helvetica" w:hAnsi="Helvetica" w:cs="Helvetica"/>
        </w:rPr>
        <w:t>arting pay and $100,000 top pay.)</w:t>
      </w:r>
    </w:p>
    <w:p w14:paraId="6673D09C" w14:textId="17CB258F" w:rsidR="002F7F3E" w:rsidRPr="002F7F3E" w:rsidRDefault="002F7F3E" w:rsidP="00973727">
      <w:pPr>
        <w:spacing w:line="320" w:lineRule="atLeast"/>
        <w:ind w:left="-284"/>
        <w:rPr>
          <w:rFonts w:ascii="Helvetica" w:hAnsi="Helvetica" w:cs="Helvetica"/>
        </w:rPr>
      </w:pPr>
      <w:r w:rsidRPr="002F7F3E">
        <w:rPr>
          <w:rFonts w:ascii="Helvetica" w:hAnsi="Helvetica" w:cs="Helvetica"/>
        </w:rPr>
        <w:t>Work, study and financial incentives play a part in encouraging people</w:t>
      </w:r>
      <w:r>
        <w:rPr>
          <w:rFonts w:ascii="Helvetica" w:hAnsi="Helvetica" w:cs="Helvetica"/>
        </w:rPr>
        <w:t xml:space="preserve"> </w:t>
      </w:r>
      <w:r w:rsidRPr="002F7F3E">
        <w:rPr>
          <w:rFonts w:ascii="Helvetica" w:hAnsi="Helvetica" w:cs="Helvetica"/>
        </w:rPr>
        <w:t>to a career in teaching. This research contributes to our understanding</w:t>
      </w:r>
      <w:r>
        <w:rPr>
          <w:rFonts w:ascii="Helvetica" w:hAnsi="Helvetica" w:cs="Helvetica"/>
        </w:rPr>
        <w:t xml:space="preserve"> </w:t>
      </w:r>
      <w:r w:rsidRPr="002F7F3E">
        <w:rPr>
          <w:rFonts w:ascii="Helvetica" w:hAnsi="Helvetica" w:cs="Helvetica"/>
        </w:rPr>
        <w:t>of how to best attract high-achieving candidates to the profession.</w:t>
      </w:r>
    </w:p>
    <w:p w14:paraId="1A45073B" w14:textId="676CA441" w:rsidR="009D5005" w:rsidRDefault="009D5005" w:rsidP="009D5005">
      <w:pPr>
        <w:spacing w:line="320" w:lineRule="atLeast"/>
        <w:ind w:left="57"/>
        <w:jc w:val="center"/>
        <w:rPr>
          <w:rFonts w:ascii="Helvetica" w:hAnsi="Helvetica" w:cs="Helvetica"/>
        </w:rPr>
      </w:pPr>
    </w:p>
    <w:sectPr w:rsidR="009D5005" w:rsidSect="001E187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7316"/>
    <w:multiLevelType w:val="hybridMultilevel"/>
    <w:tmpl w:val="2C5AF0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76"/>
    <w:rsid w:val="000353E5"/>
    <w:rsid w:val="0007544C"/>
    <w:rsid w:val="00140980"/>
    <w:rsid w:val="001E1876"/>
    <w:rsid w:val="002A5875"/>
    <w:rsid w:val="002C6086"/>
    <w:rsid w:val="002F7F3E"/>
    <w:rsid w:val="003775DE"/>
    <w:rsid w:val="003C0AD8"/>
    <w:rsid w:val="003E1C23"/>
    <w:rsid w:val="00480EDA"/>
    <w:rsid w:val="00527B35"/>
    <w:rsid w:val="00613D9E"/>
    <w:rsid w:val="007A2489"/>
    <w:rsid w:val="00973727"/>
    <w:rsid w:val="00994ACD"/>
    <w:rsid w:val="009D5005"/>
    <w:rsid w:val="00A27BA5"/>
    <w:rsid w:val="00A517B8"/>
    <w:rsid w:val="00A834CA"/>
    <w:rsid w:val="00B31C30"/>
    <w:rsid w:val="00D821BF"/>
    <w:rsid w:val="00F2172B"/>
    <w:rsid w:val="00F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F13D"/>
  <w15:chartTrackingRefBased/>
  <w15:docId w15:val="{9C626C18-5E58-491C-953C-DA333ACF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76"/>
  </w:style>
  <w:style w:type="paragraph" w:styleId="Heading1">
    <w:name w:val="heading 1"/>
    <w:basedOn w:val="Normal"/>
    <w:next w:val="Normal"/>
    <w:link w:val="Heading1Char"/>
    <w:uiPriority w:val="9"/>
    <w:qFormat/>
    <w:rsid w:val="002F7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1D5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4ACD"/>
    <w:pPr>
      <w:tabs>
        <w:tab w:val="right" w:pos="9638"/>
      </w:tabs>
      <w:spacing w:line="276" w:lineRule="auto"/>
    </w:pPr>
    <w:rPr>
      <w:rFonts w:ascii="Helvetica" w:hAnsi="Helvetica" w:cs="Helvetica"/>
      <w:b/>
      <w:noProof/>
      <w:sz w:val="52"/>
      <w:szCs w:val="5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94ACD"/>
    <w:rPr>
      <w:rFonts w:ascii="Helvetica" w:hAnsi="Helvetica" w:cs="Helvetica"/>
      <w:b/>
      <w:noProof/>
      <w:sz w:val="52"/>
      <w:szCs w:val="5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ACD"/>
    <w:pPr>
      <w:spacing w:before="120" w:line="276" w:lineRule="auto"/>
    </w:pPr>
    <w:rPr>
      <w:rFonts w:ascii="Helvetica" w:hAnsi="Helvetica" w:cs="Helvetica"/>
      <w:b/>
      <w:noProof/>
      <w:sz w:val="40"/>
      <w:szCs w:val="50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994ACD"/>
    <w:rPr>
      <w:rFonts w:ascii="Helvetica" w:hAnsi="Helvetica" w:cs="Helvetica"/>
      <w:b/>
      <w:noProof/>
      <w:sz w:val="40"/>
      <w:szCs w:val="50"/>
      <w:lang w:eastAsia="en-AU"/>
    </w:rPr>
  </w:style>
  <w:style w:type="paragraph" w:styleId="Revision">
    <w:name w:val="Revision"/>
    <w:hidden/>
    <w:uiPriority w:val="99"/>
    <w:semiHidden/>
    <w:rsid w:val="009D50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C3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7F3E"/>
    <w:rPr>
      <w:rFonts w:asciiTheme="majorHAnsi" w:eastAsiaTheme="majorEastAsia" w:hAnsiTheme="majorHAnsi" w:cstheme="majorBidi"/>
      <w:color w:val="201D50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2489"/>
    <w:pPr>
      <w:spacing w:after="200" w:line="240" w:lineRule="auto"/>
    </w:pPr>
    <w:rPr>
      <w:i/>
      <w:iCs/>
      <w:color w:val="142E3B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TA Final">
      <a:dk1>
        <a:srgbClr val="000000"/>
      </a:dk1>
      <a:lt1>
        <a:srgbClr val="FFFFFF"/>
      </a:lt1>
      <a:dk2>
        <a:srgbClr val="142E3B"/>
      </a:dk2>
      <a:lt2>
        <a:srgbClr val="ABDBF6"/>
      </a:lt2>
      <a:accent1>
        <a:srgbClr val="2C276C"/>
      </a:accent1>
      <a:accent2>
        <a:srgbClr val="4B245E"/>
      </a:accent2>
      <a:accent3>
        <a:srgbClr val="1FB9A3"/>
      </a:accent3>
      <a:accent4>
        <a:srgbClr val="AA328A"/>
      </a:accent4>
      <a:accent5>
        <a:srgbClr val="2058A8"/>
      </a:accent5>
      <a:accent6>
        <a:srgbClr val="8D7349"/>
      </a:accent6>
      <a:hlink>
        <a:srgbClr val="9E2033"/>
      </a:hlink>
      <a:folHlink>
        <a:srgbClr val="6D6E71"/>
      </a:folHlink>
    </a:clrScheme>
    <a:fontScheme name="BETA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DOC22-22149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PMCdoc-213507164-64422</_dlc_DocId>
    <_dlc_DocIdUrl xmlns="d0dfa800-9ef0-44cb-8a12-633e29de1e0b">
      <Url>https://pmc01.sharepoint.com/sites/pmc-ms-cb/_layouts/15/DocIdRedir.aspx?ID=PMCdoc-213507164-64422</Url>
      <Description>PMCdoc-213507164-64422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CEB67B-29EE-4D19-AE7E-1013F2E45AE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685f9fda-bd71-4433-b331-92feb9553089"/>
    <ds:schemaRef ds:uri="166541c0-0594-4e6a-9105-c24d4b6de6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589F9E-5659-4776-A993-1831AFFC7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97340-DFDE-4E4C-A3F5-E8FBCE12F974}"/>
</file>

<file path=customXml/itemProps4.xml><?xml version="1.0" encoding="utf-8"?>
<ds:datastoreItem xmlns:ds="http://schemas.openxmlformats.org/officeDocument/2006/customXml" ds:itemID="{1D187D4A-5E58-4DC0-BDC5-7E6F2CCCC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'Grok' app one-pager: Using Behavioural Insights to Help Students Graduate University</vt:lpstr>
    </vt:vector>
  </TitlesOfParts>
  <Company>Department of the Prime Minister and Cabinet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Incentivising excellence: Attracting high-achieving teaching candidates</dc:title>
  <dc:subject/>
  <dc:creator>The Department of the Prime Minister and Cabinet</dc:creator>
  <cp:keywords/>
  <dc:description/>
  <cp:lastModifiedBy>Cameron, Suzana</cp:lastModifiedBy>
  <cp:revision>7</cp:revision>
  <dcterms:created xsi:type="dcterms:W3CDTF">2022-01-26T23:39:00Z</dcterms:created>
  <dcterms:modified xsi:type="dcterms:W3CDTF">2022-02-02T02:35:00Z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2022-02-07T16:45:11</vt:lpwstr>
  </property>
  <property fmtid="{D5CDD505-2E9C-101B-9397-08002B2CF9AE}" pid="7" name="SecurityClassification">
    <vt:i4>1</vt:i4>
  </property>
  <property fmtid="{D5CDD505-2E9C-101B-9397-08002B2CF9AE}" pid="8" name="_dlc_DocIdItemGuid">
    <vt:lpwstr>321dc38c-0b40-4cbb-ac8d-a94caacbdf94</vt:lpwstr>
  </property>
</Properties>
</file>