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E59848" w14:textId="77777777" w:rsidR="00E77B59" w:rsidRDefault="00E77B59" w:rsidP="00C07DD1">
      <w:pPr>
        <w:spacing w:line="480" w:lineRule="auto"/>
      </w:pPr>
      <w:bookmarkStart w:id="0" w:name="_Toc432437392"/>
      <w:bookmarkStart w:id="1" w:name="_GoBack"/>
      <w:bookmarkEnd w:id="1"/>
    </w:p>
    <w:p w14:paraId="020FB556" w14:textId="77777777" w:rsidR="00E77B59" w:rsidRDefault="002B56BB" w:rsidP="00087D4E">
      <w:r>
        <w:rPr>
          <w:noProof/>
        </w:rPr>
        <w:drawing>
          <wp:inline distT="0" distB="0" distL="0" distR="0" wp14:anchorId="21C65FA0" wp14:editId="524F3565">
            <wp:extent cx="6645910" cy="46996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1208562603-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4699635"/>
                    </a:xfrm>
                    <a:prstGeom prst="rect">
                      <a:avLst/>
                    </a:prstGeom>
                  </pic:spPr>
                </pic:pic>
              </a:graphicData>
            </a:graphic>
          </wp:inline>
        </w:drawing>
      </w:r>
    </w:p>
    <w:p w14:paraId="2FAC5A0B" w14:textId="77777777" w:rsidR="001C2CBE" w:rsidRPr="00BD0246" w:rsidRDefault="00570354" w:rsidP="001C2CBE">
      <w:pPr>
        <w:pStyle w:val="Heading1"/>
        <w:ind w:left="4395"/>
        <w:rPr>
          <w:sz w:val="80"/>
          <w:szCs w:val="80"/>
        </w:rPr>
      </w:pPr>
      <w:r>
        <w:rPr>
          <w:sz w:val="80"/>
          <w:szCs w:val="80"/>
        </w:rPr>
        <w:t>Incentivising excellence</w:t>
      </w:r>
    </w:p>
    <w:p w14:paraId="02071B83" w14:textId="77777777" w:rsidR="001C2CBE" w:rsidRPr="008C5EFF" w:rsidRDefault="001C2CBE" w:rsidP="001C2CBE">
      <w:pPr>
        <w:spacing w:after="40"/>
        <w:ind w:left="4395"/>
        <w:rPr>
          <w:rFonts w:asciiTheme="majorHAnsi" w:hAnsiTheme="majorHAnsi" w:cstheme="majorHAnsi"/>
          <w:b/>
          <w:sz w:val="32"/>
          <w:szCs w:val="32"/>
        </w:rPr>
      </w:pPr>
      <w:r>
        <w:rPr>
          <w:rFonts w:asciiTheme="majorHAnsi" w:hAnsiTheme="majorHAnsi" w:cstheme="majorHAnsi"/>
          <w:b/>
          <w:sz w:val="32"/>
          <w:szCs w:val="32"/>
        </w:rPr>
        <w:t xml:space="preserve">Attracting </w:t>
      </w:r>
      <w:r w:rsidRPr="00EB2207">
        <w:rPr>
          <w:rFonts w:asciiTheme="majorHAnsi" w:hAnsiTheme="majorHAnsi" w:cstheme="majorHAnsi"/>
          <w:b/>
          <w:sz w:val="32"/>
          <w:szCs w:val="32"/>
        </w:rPr>
        <w:t>high-</w:t>
      </w:r>
      <w:r w:rsidR="00EB2207">
        <w:rPr>
          <w:rFonts w:asciiTheme="majorHAnsi" w:hAnsiTheme="majorHAnsi" w:cstheme="majorHAnsi"/>
          <w:b/>
          <w:sz w:val="32"/>
          <w:szCs w:val="32"/>
        </w:rPr>
        <w:t>achieving</w:t>
      </w:r>
      <w:r w:rsidR="00F50DE9" w:rsidRPr="00EB2207">
        <w:rPr>
          <w:rFonts w:asciiTheme="majorHAnsi" w:hAnsiTheme="majorHAnsi" w:cstheme="majorHAnsi"/>
          <w:b/>
          <w:sz w:val="32"/>
          <w:szCs w:val="32"/>
        </w:rPr>
        <w:t xml:space="preserve"> </w:t>
      </w:r>
      <w:r w:rsidRPr="00EB2207">
        <w:rPr>
          <w:rFonts w:asciiTheme="majorHAnsi" w:hAnsiTheme="majorHAnsi" w:cstheme="majorHAnsi"/>
          <w:b/>
          <w:sz w:val="32"/>
          <w:szCs w:val="32"/>
        </w:rPr>
        <w:t>teaching</w:t>
      </w:r>
      <w:r>
        <w:rPr>
          <w:rFonts w:asciiTheme="majorHAnsi" w:hAnsiTheme="majorHAnsi" w:cstheme="majorHAnsi"/>
          <w:b/>
          <w:sz w:val="32"/>
          <w:szCs w:val="32"/>
        </w:rPr>
        <w:t xml:space="preserve"> candidates</w:t>
      </w:r>
    </w:p>
    <w:p w14:paraId="65B72DF4" w14:textId="66E2C84F" w:rsidR="001C2CBE" w:rsidRPr="008C5EFF" w:rsidRDefault="00B8401D" w:rsidP="001C2CBE">
      <w:pPr>
        <w:spacing w:before="240" w:after="40"/>
        <w:ind w:left="4395"/>
        <w:rPr>
          <w:rFonts w:asciiTheme="majorHAnsi" w:hAnsiTheme="majorHAnsi" w:cstheme="majorHAnsi"/>
          <w:b/>
          <w:color w:val="117479" w:themeColor="accent2"/>
          <w:sz w:val="24"/>
        </w:rPr>
        <w:sectPr w:rsidR="001C2CBE" w:rsidRPr="008C5EFF" w:rsidSect="008D551E">
          <w:headerReference w:type="default" r:id="rId12"/>
          <w:pgSz w:w="11906" w:h="16838" w:code="9"/>
          <w:pgMar w:top="2126" w:right="720" w:bottom="567" w:left="720" w:header="567" w:footer="567" w:gutter="0"/>
          <w:pgNumType w:start="0"/>
          <w:cols w:space="708"/>
          <w:docGrid w:linePitch="360"/>
        </w:sectPr>
      </w:pPr>
      <w:r>
        <w:rPr>
          <w:rFonts w:asciiTheme="majorHAnsi" w:hAnsiTheme="majorHAnsi" w:cstheme="majorHAnsi"/>
          <w:b/>
          <w:color w:val="117479" w:themeColor="accent2"/>
          <w:sz w:val="24"/>
        </w:rPr>
        <w:t>February</w:t>
      </w:r>
      <w:r w:rsidR="007E56F0">
        <w:rPr>
          <w:rFonts w:asciiTheme="majorHAnsi" w:hAnsiTheme="majorHAnsi" w:cstheme="majorHAnsi"/>
          <w:b/>
          <w:color w:val="117479" w:themeColor="accent2"/>
          <w:sz w:val="24"/>
        </w:rPr>
        <w:t xml:space="preserve"> 2022</w:t>
      </w:r>
    </w:p>
    <w:p w14:paraId="3F6AE0C8" w14:textId="77777777" w:rsidR="00EB0609" w:rsidRPr="00E72621" w:rsidRDefault="00EB0609" w:rsidP="001C38BA">
      <w:pPr>
        <w:spacing w:before="5000" w:after="120"/>
        <w:outlineLvl w:val="1"/>
        <w:rPr>
          <w:b/>
          <w:color w:val="117479" w:themeColor="accent2"/>
          <w:sz w:val="22"/>
        </w:rPr>
      </w:pPr>
      <w:r w:rsidRPr="00E72621">
        <w:rPr>
          <w:b/>
          <w:color w:val="117479" w:themeColor="accent2"/>
          <w:sz w:val="22"/>
        </w:rPr>
        <w:lastRenderedPageBreak/>
        <w:t>Other uses</w:t>
      </w:r>
    </w:p>
    <w:p w14:paraId="023E1BCC" w14:textId="77777777" w:rsidR="00EB0609" w:rsidRDefault="00EB0609" w:rsidP="00E72621">
      <w:pPr>
        <w:spacing w:before="120" w:after="120"/>
      </w:pPr>
      <w:r>
        <w:t>Enquiries regarding this license and any other use of this document are welcome at:</w:t>
      </w:r>
    </w:p>
    <w:p w14:paraId="23BD0AFF" w14:textId="77777777" w:rsidR="00EB0609" w:rsidRDefault="00EB0609" w:rsidP="00E72621">
      <w:pPr>
        <w:spacing w:after="0"/>
      </w:pPr>
      <w:r>
        <w:t>Managing Director</w:t>
      </w:r>
    </w:p>
    <w:p w14:paraId="265BA0B9" w14:textId="77777777" w:rsidR="00EB0609" w:rsidRDefault="00EB0609" w:rsidP="00E72621">
      <w:pPr>
        <w:spacing w:after="0"/>
      </w:pPr>
      <w:r>
        <w:t>Behavioural Economics Team of the Australian Government</w:t>
      </w:r>
    </w:p>
    <w:p w14:paraId="243199A6" w14:textId="77777777" w:rsidR="00EB0609" w:rsidRDefault="00EB0609" w:rsidP="00E72621">
      <w:pPr>
        <w:spacing w:after="0"/>
      </w:pPr>
      <w:r>
        <w:t>Department of the Prime Minister and Cabinet</w:t>
      </w:r>
    </w:p>
    <w:p w14:paraId="1DE030E0" w14:textId="77777777" w:rsidR="00853F8F" w:rsidRDefault="00853F8F" w:rsidP="00E72621">
      <w:pPr>
        <w:spacing w:after="0"/>
      </w:pPr>
      <w:r>
        <w:t>1 National Circuit</w:t>
      </w:r>
    </w:p>
    <w:p w14:paraId="3CBFC45D" w14:textId="77777777" w:rsidR="00EB0609" w:rsidRDefault="00EB0609" w:rsidP="00E72621">
      <w:pPr>
        <w:spacing w:after="0"/>
      </w:pPr>
      <w:r>
        <w:t>Barton ACT 2600</w:t>
      </w:r>
    </w:p>
    <w:p w14:paraId="23DCE619" w14:textId="77777777" w:rsidR="00EB0609" w:rsidRDefault="00EB0609" w:rsidP="00E72621">
      <w:pPr>
        <w:spacing w:after="0"/>
      </w:pPr>
      <w:r>
        <w:t xml:space="preserve">Email: </w:t>
      </w:r>
      <w:hyperlink r:id="rId13" w:history="1">
        <w:r w:rsidR="000A1B0D" w:rsidRPr="00AF312A">
          <w:rPr>
            <w:rStyle w:val="Hyperlink"/>
          </w:rPr>
          <w:t>beta@pmc.gov.au</w:t>
        </w:r>
      </w:hyperlink>
      <w:r w:rsidR="000A1B0D">
        <w:t xml:space="preserve"> </w:t>
      </w:r>
    </w:p>
    <w:p w14:paraId="6C741D67" w14:textId="77777777"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3D98EDD5" w14:textId="77777777" w:rsidR="00EB0609" w:rsidRPr="00E72621" w:rsidRDefault="00EB0609" w:rsidP="00E72621">
      <w:pPr>
        <w:spacing w:before="240" w:after="120"/>
        <w:outlineLvl w:val="1"/>
        <w:rPr>
          <w:b/>
          <w:color w:val="117479" w:themeColor="accent2"/>
          <w:sz w:val="22"/>
        </w:rPr>
      </w:pPr>
      <w:r w:rsidRPr="00E72621">
        <w:rPr>
          <w:b/>
          <w:color w:val="117479" w:themeColor="accent2"/>
          <w:sz w:val="22"/>
        </w:rPr>
        <w:t>Research team</w:t>
      </w:r>
    </w:p>
    <w:p w14:paraId="2EE8D022" w14:textId="77777777" w:rsidR="008A22E8" w:rsidRDefault="008A22E8" w:rsidP="008A22E8">
      <w:pPr>
        <w:spacing w:before="120" w:after="120"/>
      </w:pPr>
      <w:r>
        <w:t>Andrei Turenko was the principal investigator for this project. Other (current and former) staff who contributed to the report were: Belinda Xie, Dan Carr, Cale Hubble and Andrea Willis.</w:t>
      </w:r>
    </w:p>
    <w:p w14:paraId="34857454" w14:textId="77777777" w:rsidR="00EB0609" w:rsidRPr="00E72621" w:rsidRDefault="00EB0609" w:rsidP="00E72621">
      <w:pPr>
        <w:spacing w:before="240" w:after="120"/>
        <w:outlineLvl w:val="1"/>
        <w:rPr>
          <w:b/>
          <w:color w:val="117479" w:themeColor="accent2"/>
          <w:sz w:val="22"/>
        </w:rPr>
      </w:pPr>
      <w:r w:rsidRPr="00E72621">
        <w:rPr>
          <w:b/>
          <w:color w:val="117479" w:themeColor="accent2"/>
          <w:sz w:val="22"/>
        </w:rPr>
        <w:t>Acknowledgments</w:t>
      </w:r>
    </w:p>
    <w:p w14:paraId="7ECC9B65" w14:textId="77777777" w:rsidR="00B14898" w:rsidRDefault="008A22E8" w:rsidP="00E72621">
      <w:pPr>
        <w:spacing w:before="120" w:after="120"/>
        <w:sectPr w:rsidR="00B14898" w:rsidSect="008253C4">
          <w:headerReference w:type="default" r:id="rId14"/>
          <w:footerReference w:type="default" r:id="rId15"/>
          <w:pgSz w:w="11906" w:h="16838" w:code="9"/>
          <w:pgMar w:top="2041" w:right="2381" w:bottom="1247" w:left="1247" w:header="720" w:footer="851" w:gutter="0"/>
          <w:cols w:space="708"/>
          <w:docGrid w:linePitch="360"/>
        </w:sectPr>
      </w:pPr>
      <w:r>
        <w:t xml:space="preserve">Thank you to the Department of </w:t>
      </w:r>
      <w:r w:rsidRPr="00765186">
        <w:t>Department of Education, Skills and Employment</w:t>
      </w:r>
      <w:r>
        <w:t xml:space="preserve"> and the </w:t>
      </w:r>
      <w:r w:rsidRPr="00765186">
        <w:t>Quality Initial Teacher Education Review Expert Panel</w:t>
      </w:r>
      <w:r>
        <w:t xml:space="preserve"> for their support and valuable contribution in making this project happen. In particular, special thanks to Anthony Flint,</w:t>
      </w:r>
      <w:r w:rsidRPr="00765186">
        <w:t xml:space="preserve"> Lisa Paul AO PSM</w:t>
      </w:r>
      <w:r>
        <w:t xml:space="preserve">, </w:t>
      </w:r>
      <w:r w:rsidRPr="00765186">
        <w:t>Malcolm Elliott, Bill Louden AM and Derek Scott</w:t>
      </w:r>
      <w:r>
        <w:t xml:space="preserve"> for their continuous support and work on this project.</w:t>
      </w:r>
    </w:p>
    <w:p w14:paraId="0A726C94" w14:textId="77777777" w:rsidR="004909C3" w:rsidRPr="003E6102" w:rsidRDefault="004909C3" w:rsidP="003E6102">
      <w:pPr>
        <w:pStyle w:val="TOCHeading"/>
        <w:pBdr>
          <w:bottom w:val="single" w:sz="24" w:space="21" w:color="20B9A3" w:themeColor="accent1"/>
        </w:pBdr>
      </w:pPr>
      <w:r w:rsidRPr="003E6102">
        <w:lastRenderedPageBreak/>
        <w:t>Who?</w:t>
      </w:r>
    </w:p>
    <w:p w14:paraId="62BC190B" w14:textId="77777777" w:rsidR="004909C3" w:rsidRPr="001540CB" w:rsidRDefault="004909C3" w:rsidP="001540CB">
      <w:pPr>
        <w:pStyle w:val="Heading3"/>
        <w:rPr>
          <w:color w:val="FFFFFF" w:themeColor="background1"/>
        </w:rPr>
      </w:pPr>
      <w:r w:rsidRPr="001540CB">
        <w:rPr>
          <w:color w:val="FFFFFF" w:themeColor="background1"/>
        </w:rPr>
        <w:t>Who are we?</w:t>
      </w:r>
    </w:p>
    <w:p w14:paraId="6519AC70" w14:textId="77777777" w:rsidR="004909C3" w:rsidRPr="001540CB" w:rsidRDefault="004909C3" w:rsidP="00BD0246">
      <w:pPr>
        <w:pStyle w:val="NormalWhite"/>
      </w:pPr>
      <w:r w:rsidRPr="001540CB">
        <w:t xml:space="preserve">We are the Behavioural Economics Team of the Australian Government, or BETA. We are the Australian Government’s first central unit applying behavioural economics to improve public policy, programs and processes. </w:t>
      </w:r>
    </w:p>
    <w:p w14:paraId="24F91EAE" w14:textId="77777777" w:rsidR="004909C3" w:rsidRPr="001540CB" w:rsidRDefault="004909C3" w:rsidP="00BD0246">
      <w:pPr>
        <w:pStyle w:val="NormalWhite"/>
      </w:pPr>
      <w:r w:rsidRPr="001540CB">
        <w:t>We use behavioural economics, science and psychology to improve policy outcomes. Our mission is to advance the wellbeing of Australians through the application and rigorous evaluation of behavioural insights to public policy and administration.</w:t>
      </w:r>
    </w:p>
    <w:p w14:paraId="041AB276" w14:textId="77777777" w:rsidR="004909C3" w:rsidRPr="001540CB" w:rsidRDefault="004909C3" w:rsidP="001540CB">
      <w:pPr>
        <w:pStyle w:val="Heading3"/>
        <w:rPr>
          <w:color w:val="FFFFFF" w:themeColor="background1"/>
        </w:rPr>
      </w:pPr>
      <w:r w:rsidRPr="001540CB">
        <w:rPr>
          <w:color w:val="FFFFFF" w:themeColor="background1"/>
        </w:rPr>
        <w:t>What is behavioural economics?</w:t>
      </w:r>
    </w:p>
    <w:p w14:paraId="0F3D03A8" w14:textId="77777777" w:rsidR="004909C3" w:rsidRPr="001540CB" w:rsidRDefault="004909C3" w:rsidP="00BD0246">
      <w:pPr>
        <w:pStyle w:val="NormalWhite"/>
      </w:pPr>
      <w:r w:rsidRPr="001540CB">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32C1ECA5" w14:textId="77777777" w:rsidR="004909C3" w:rsidRPr="001540CB" w:rsidRDefault="004909C3" w:rsidP="001540CB">
      <w:pPr>
        <w:pStyle w:val="Heading3"/>
        <w:rPr>
          <w:color w:val="FFFFFF" w:themeColor="background1"/>
        </w:rPr>
      </w:pPr>
      <w:r w:rsidRPr="001540CB">
        <w:rPr>
          <w:color w:val="FFFFFF" w:themeColor="background1"/>
        </w:rPr>
        <w:t xml:space="preserve">What are behavioural insights and how are they useful for policy design?  </w:t>
      </w:r>
    </w:p>
    <w:p w14:paraId="54A03AA6" w14:textId="77777777" w:rsidR="004909C3" w:rsidRPr="004909C3" w:rsidRDefault="004909C3" w:rsidP="00BD0246">
      <w:pPr>
        <w:pStyle w:val="NormalWhite"/>
      </w:pPr>
      <w:r w:rsidRPr="001540CB">
        <w:t xml:space="preserve">Behavioural insights apply behavioural economics concepts to the real world by drawing on empirically-tested results. These new tools can inform the design of government interventions to improve </w:t>
      </w:r>
      <w:r w:rsidRPr="004909C3">
        <w:t>the welfare of citizens.</w:t>
      </w:r>
    </w:p>
    <w:p w14:paraId="21F6E1CD" w14:textId="77777777" w:rsidR="004909C3" w:rsidRDefault="004909C3" w:rsidP="00BD0246">
      <w:pPr>
        <w:pStyle w:val="NormalWhite"/>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174133BE"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000000" w:themeColor="text1"/>
          <w:sz w:val="22"/>
          <w:szCs w:val="24"/>
        </w:rPr>
        <w:id w:val="667208857"/>
        <w:docPartObj>
          <w:docPartGallery w:val="Table of Contents"/>
          <w:docPartUnique/>
        </w:docPartObj>
      </w:sdtPr>
      <w:sdtEndPr>
        <w:rPr>
          <w:noProof/>
          <w:color w:val="auto"/>
          <w:sz w:val="20"/>
        </w:rPr>
      </w:sdtEndPr>
      <w:sdtContent>
        <w:p w14:paraId="3B6AB154" w14:textId="77777777" w:rsidR="004909C3" w:rsidRPr="0097749C" w:rsidRDefault="004909C3" w:rsidP="003E6102">
          <w:pPr>
            <w:pStyle w:val="TOCHeading"/>
          </w:pPr>
          <w:r w:rsidRPr="0097749C">
            <w:t>Contents</w:t>
          </w:r>
        </w:p>
        <w:p w14:paraId="0721AAED" w14:textId="77777777" w:rsidR="005E6E79" w:rsidRDefault="003B499C">
          <w:pPr>
            <w:pStyle w:val="TOC1"/>
            <w:rPr>
              <w:rFonts w:eastAsiaTheme="minorEastAsia" w:cstheme="minorBidi"/>
              <w:b w:val="0"/>
              <w:color w:val="auto"/>
              <w:sz w:val="22"/>
              <w:szCs w:val="22"/>
            </w:rPr>
          </w:pPr>
          <w:r>
            <w:rPr>
              <w:b w:val="0"/>
            </w:rPr>
            <w:fldChar w:fldCharType="begin"/>
          </w:r>
          <w:r>
            <w:rPr>
              <w:b w:val="0"/>
            </w:rPr>
            <w:instrText xml:space="preserve"> TOC \h \z \t "Heading 2,1" </w:instrText>
          </w:r>
          <w:r>
            <w:rPr>
              <w:b w:val="0"/>
            </w:rPr>
            <w:fldChar w:fldCharType="separate"/>
          </w:r>
          <w:hyperlink w:anchor="_Toc91166056" w:history="1">
            <w:r w:rsidR="005E6E79" w:rsidRPr="00AA58CA">
              <w:rPr>
                <w:rStyle w:val="Hyperlink"/>
              </w:rPr>
              <w:t>Executive summary</w:t>
            </w:r>
            <w:r w:rsidR="005E6E79">
              <w:rPr>
                <w:webHidden/>
              </w:rPr>
              <w:tab/>
            </w:r>
            <w:r w:rsidR="005E6E79">
              <w:rPr>
                <w:webHidden/>
              </w:rPr>
              <w:fldChar w:fldCharType="begin"/>
            </w:r>
            <w:r w:rsidR="005E6E79">
              <w:rPr>
                <w:webHidden/>
              </w:rPr>
              <w:instrText xml:space="preserve"> PAGEREF _Toc91166056 \h </w:instrText>
            </w:r>
            <w:r w:rsidR="005E6E79">
              <w:rPr>
                <w:webHidden/>
              </w:rPr>
            </w:r>
            <w:r w:rsidR="005E6E79">
              <w:rPr>
                <w:webHidden/>
              </w:rPr>
              <w:fldChar w:fldCharType="separate"/>
            </w:r>
            <w:r w:rsidR="005E6E79">
              <w:rPr>
                <w:webHidden/>
              </w:rPr>
              <w:t>4</w:t>
            </w:r>
            <w:r w:rsidR="005E6E79">
              <w:rPr>
                <w:webHidden/>
              </w:rPr>
              <w:fldChar w:fldCharType="end"/>
            </w:r>
          </w:hyperlink>
        </w:p>
        <w:p w14:paraId="31A6FD8C" w14:textId="77777777" w:rsidR="005E6E79" w:rsidRDefault="00720FC3">
          <w:pPr>
            <w:pStyle w:val="TOC1"/>
            <w:rPr>
              <w:rFonts w:eastAsiaTheme="minorEastAsia" w:cstheme="minorBidi"/>
              <w:b w:val="0"/>
              <w:color w:val="auto"/>
              <w:sz w:val="22"/>
              <w:szCs w:val="22"/>
            </w:rPr>
          </w:pPr>
          <w:hyperlink w:anchor="_Toc91166057" w:history="1">
            <w:r w:rsidR="005E6E79" w:rsidRPr="00AA58CA">
              <w:rPr>
                <w:rStyle w:val="Hyperlink"/>
              </w:rPr>
              <w:t>Why?</w:t>
            </w:r>
            <w:r w:rsidR="005E6E79">
              <w:rPr>
                <w:webHidden/>
              </w:rPr>
              <w:tab/>
            </w:r>
            <w:r w:rsidR="005E6E79">
              <w:rPr>
                <w:webHidden/>
              </w:rPr>
              <w:fldChar w:fldCharType="begin"/>
            </w:r>
            <w:r w:rsidR="005E6E79">
              <w:rPr>
                <w:webHidden/>
              </w:rPr>
              <w:instrText xml:space="preserve"> PAGEREF _Toc91166057 \h </w:instrText>
            </w:r>
            <w:r w:rsidR="005E6E79">
              <w:rPr>
                <w:webHidden/>
              </w:rPr>
            </w:r>
            <w:r w:rsidR="005E6E79">
              <w:rPr>
                <w:webHidden/>
              </w:rPr>
              <w:fldChar w:fldCharType="separate"/>
            </w:r>
            <w:r w:rsidR="005E6E79">
              <w:rPr>
                <w:webHidden/>
              </w:rPr>
              <w:t>5</w:t>
            </w:r>
            <w:r w:rsidR="005E6E79">
              <w:rPr>
                <w:webHidden/>
              </w:rPr>
              <w:fldChar w:fldCharType="end"/>
            </w:r>
          </w:hyperlink>
        </w:p>
        <w:p w14:paraId="6E59A738" w14:textId="77777777" w:rsidR="005E6E79" w:rsidRDefault="00720FC3">
          <w:pPr>
            <w:pStyle w:val="TOC1"/>
            <w:rPr>
              <w:rFonts w:eastAsiaTheme="minorEastAsia" w:cstheme="minorBidi"/>
              <w:b w:val="0"/>
              <w:color w:val="auto"/>
              <w:sz w:val="22"/>
              <w:szCs w:val="22"/>
            </w:rPr>
          </w:pPr>
          <w:hyperlink w:anchor="_Toc91166058" w:history="1">
            <w:r w:rsidR="005E6E79" w:rsidRPr="00AA58CA">
              <w:rPr>
                <w:rStyle w:val="Hyperlink"/>
              </w:rPr>
              <w:t>What we did</w:t>
            </w:r>
            <w:r w:rsidR="005E6E79">
              <w:rPr>
                <w:webHidden/>
              </w:rPr>
              <w:tab/>
            </w:r>
            <w:r w:rsidR="005E6E79">
              <w:rPr>
                <w:webHidden/>
              </w:rPr>
              <w:fldChar w:fldCharType="begin"/>
            </w:r>
            <w:r w:rsidR="005E6E79">
              <w:rPr>
                <w:webHidden/>
              </w:rPr>
              <w:instrText xml:space="preserve"> PAGEREF _Toc91166058 \h </w:instrText>
            </w:r>
            <w:r w:rsidR="005E6E79">
              <w:rPr>
                <w:webHidden/>
              </w:rPr>
            </w:r>
            <w:r w:rsidR="005E6E79">
              <w:rPr>
                <w:webHidden/>
              </w:rPr>
              <w:fldChar w:fldCharType="separate"/>
            </w:r>
            <w:r w:rsidR="005E6E79">
              <w:rPr>
                <w:webHidden/>
              </w:rPr>
              <w:t>6</w:t>
            </w:r>
            <w:r w:rsidR="005E6E79">
              <w:rPr>
                <w:webHidden/>
              </w:rPr>
              <w:fldChar w:fldCharType="end"/>
            </w:r>
          </w:hyperlink>
        </w:p>
        <w:p w14:paraId="0070F480" w14:textId="77777777" w:rsidR="005E6E79" w:rsidRDefault="00720FC3">
          <w:pPr>
            <w:pStyle w:val="TOC1"/>
            <w:rPr>
              <w:rFonts w:eastAsiaTheme="minorEastAsia" w:cstheme="minorBidi"/>
              <w:b w:val="0"/>
              <w:color w:val="auto"/>
              <w:sz w:val="22"/>
              <w:szCs w:val="22"/>
            </w:rPr>
          </w:pPr>
          <w:hyperlink w:anchor="_Toc91166059" w:history="1">
            <w:r w:rsidR="005E6E79" w:rsidRPr="00AA58CA">
              <w:rPr>
                <w:rStyle w:val="Hyperlink"/>
              </w:rPr>
              <w:t>Results: Young High-Achievers</w:t>
            </w:r>
            <w:r w:rsidR="005E6E79">
              <w:rPr>
                <w:webHidden/>
              </w:rPr>
              <w:tab/>
            </w:r>
            <w:r w:rsidR="005E6E79">
              <w:rPr>
                <w:webHidden/>
              </w:rPr>
              <w:fldChar w:fldCharType="begin"/>
            </w:r>
            <w:r w:rsidR="005E6E79">
              <w:rPr>
                <w:webHidden/>
              </w:rPr>
              <w:instrText xml:space="preserve"> PAGEREF _Toc91166059 \h </w:instrText>
            </w:r>
            <w:r w:rsidR="005E6E79">
              <w:rPr>
                <w:webHidden/>
              </w:rPr>
            </w:r>
            <w:r w:rsidR="005E6E79">
              <w:rPr>
                <w:webHidden/>
              </w:rPr>
              <w:fldChar w:fldCharType="separate"/>
            </w:r>
            <w:r w:rsidR="005E6E79">
              <w:rPr>
                <w:webHidden/>
              </w:rPr>
              <w:t>8</w:t>
            </w:r>
            <w:r w:rsidR="005E6E79">
              <w:rPr>
                <w:webHidden/>
              </w:rPr>
              <w:fldChar w:fldCharType="end"/>
            </w:r>
          </w:hyperlink>
        </w:p>
        <w:p w14:paraId="08608E5F" w14:textId="77777777" w:rsidR="005E6E79" w:rsidRDefault="00720FC3">
          <w:pPr>
            <w:pStyle w:val="TOC1"/>
            <w:rPr>
              <w:rFonts w:eastAsiaTheme="minorEastAsia" w:cstheme="minorBidi"/>
              <w:b w:val="0"/>
              <w:color w:val="auto"/>
              <w:sz w:val="22"/>
              <w:szCs w:val="22"/>
            </w:rPr>
          </w:pPr>
          <w:hyperlink w:anchor="_Toc91166060" w:history="1">
            <w:r w:rsidR="005E6E79" w:rsidRPr="00AA58CA">
              <w:rPr>
                <w:rStyle w:val="Hyperlink"/>
              </w:rPr>
              <w:t>Results: Mid-Career Professionals</w:t>
            </w:r>
            <w:r w:rsidR="005E6E79">
              <w:rPr>
                <w:webHidden/>
              </w:rPr>
              <w:tab/>
            </w:r>
            <w:r w:rsidR="005E6E79">
              <w:rPr>
                <w:webHidden/>
              </w:rPr>
              <w:fldChar w:fldCharType="begin"/>
            </w:r>
            <w:r w:rsidR="005E6E79">
              <w:rPr>
                <w:webHidden/>
              </w:rPr>
              <w:instrText xml:space="preserve"> PAGEREF _Toc91166060 \h </w:instrText>
            </w:r>
            <w:r w:rsidR="005E6E79">
              <w:rPr>
                <w:webHidden/>
              </w:rPr>
            </w:r>
            <w:r w:rsidR="005E6E79">
              <w:rPr>
                <w:webHidden/>
              </w:rPr>
              <w:fldChar w:fldCharType="separate"/>
            </w:r>
            <w:r w:rsidR="005E6E79">
              <w:rPr>
                <w:webHidden/>
              </w:rPr>
              <w:t>10</w:t>
            </w:r>
            <w:r w:rsidR="005E6E79">
              <w:rPr>
                <w:webHidden/>
              </w:rPr>
              <w:fldChar w:fldCharType="end"/>
            </w:r>
          </w:hyperlink>
        </w:p>
        <w:p w14:paraId="7B428B01" w14:textId="77777777" w:rsidR="005E6E79" w:rsidRDefault="00720FC3">
          <w:pPr>
            <w:pStyle w:val="TOC1"/>
            <w:rPr>
              <w:rFonts w:eastAsiaTheme="minorEastAsia" w:cstheme="minorBidi"/>
              <w:b w:val="0"/>
              <w:color w:val="auto"/>
              <w:sz w:val="22"/>
              <w:szCs w:val="22"/>
            </w:rPr>
          </w:pPr>
          <w:hyperlink w:anchor="_Toc91166061" w:history="1">
            <w:r w:rsidR="005E6E79" w:rsidRPr="00AA58CA">
              <w:rPr>
                <w:rStyle w:val="Hyperlink"/>
              </w:rPr>
              <w:t>Discussion and conclusion</w:t>
            </w:r>
            <w:r w:rsidR="005E6E79">
              <w:rPr>
                <w:webHidden/>
              </w:rPr>
              <w:tab/>
            </w:r>
            <w:r w:rsidR="005E6E79">
              <w:rPr>
                <w:webHidden/>
              </w:rPr>
              <w:fldChar w:fldCharType="begin"/>
            </w:r>
            <w:r w:rsidR="005E6E79">
              <w:rPr>
                <w:webHidden/>
              </w:rPr>
              <w:instrText xml:space="preserve"> PAGEREF _Toc91166061 \h </w:instrText>
            </w:r>
            <w:r w:rsidR="005E6E79">
              <w:rPr>
                <w:webHidden/>
              </w:rPr>
            </w:r>
            <w:r w:rsidR="005E6E79">
              <w:rPr>
                <w:webHidden/>
              </w:rPr>
              <w:fldChar w:fldCharType="separate"/>
            </w:r>
            <w:r w:rsidR="005E6E79">
              <w:rPr>
                <w:webHidden/>
              </w:rPr>
              <w:t>14</w:t>
            </w:r>
            <w:r w:rsidR="005E6E79">
              <w:rPr>
                <w:webHidden/>
              </w:rPr>
              <w:fldChar w:fldCharType="end"/>
            </w:r>
          </w:hyperlink>
        </w:p>
        <w:p w14:paraId="42DBAF6B" w14:textId="77777777" w:rsidR="005E6E79" w:rsidRDefault="00720FC3">
          <w:pPr>
            <w:pStyle w:val="TOC1"/>
            <w:rPr>
              <w:rFonts w:eastAsiaTheme="minorEastAsia" w:cstheme="minorBidi"/>
              <w:b w:val="0"/>
              <w:color w:val="auto"/>
              <w:sz w:val="22"/>
              <w:szCs w:val="22"/>
            </w:rPr>
          </w:pPr>
          <w:hyperlink w:anchor="_Toc91166062" w:history="1">
            <w:r w:rsidR="005E6E79" w:rsidRPr="00AA58CA">
              <w:rPr>
                <w:rStyle w:val="Hyperlink"/>
              </w:rPr>
              <w:t>References</w:t>
            </w:r>
            <w:r w:rsidR="005E6E79">
              <w:rPr>
                <w:webHidden/>
              </w:rPr>
              <w:tab/>
            </w:r>
            <w:r w:rsidR="005E6E79">
              <w:rPr>
                <w:webHidden/>
              </w:rPr>
              <w:fldChar w:fldCharType="begin"/>
            </w:r>
            <w:r w:rsidR="005E6E79">
              <w:rPr>
                <w:webHidden/>
              </w:rPr>
              <w:instrText xml:space="preserve"> PAGEREF _Toc91166062 \h </w:instrText>
            </w:r>
            <w:r w:rsidR="005E6E79">
              <w:rPr>
                <w:webHidden/>
              </w:rPr>
            </w:r>
            <w:r w:rsidR="005E6E79">
              <w:rPr>
                <w:webHidden/>
              </w:rPr>
              <w:fldChar w:fldCharType="separate"/>
            </w:r>
            <w:r w:rsidR="005E6E79">
              <w:rPr>
                <w:webHidden/>
              </w:rPr>
              <w:t>16</w:t>
            </w:r>
            <w:r w:rsidR="005E6E79">
              <w:rPr>
                <w:webHidden/>
              </w:rPr>
              <w:fldChar w:fldCharType="end"/>
            </w:r>
          </w:hyperlink>
        </w:p>
        <w:p w14:paraId="00E57C75" w14:textId="77777777" w:rsidR="004909C3" w:rsidRDefault="003B499C" w:rsidP="00AF6321">
          <w:pPr>
            <w:spacing w:after="0" w:line="240" w:lineRule="auto"/>
          </w:pPr>
          <w:r>
            <w:rPr>
              <w:b/>
              <w:noProof/>
              <w:color w:val="FFFFFF" w:themeColor="background1"/>
              <w:sz w:val="28"/>
            </w:rPr>
            <w:fldChar w:fldCharType="end"/>
          </w:r>
        </w:p>
      </w:sdtContent>
    </w:sdt>
    <w:p w14:paraId="7EE44D25" w14:textId="77777777" w:rsidR="008253C4" w:rsidRDefault="008253C4" w:rsidP="004909C3">
      <w:pPr>
        <w:rPr>
          <w:noProof/>
        </w:rPr>
      </w:pPr>
    </w:p>
    <w:p w14:paraId="177090F0" w14:textId="77777777" w:rsidR="004909C3" w:rsidRDefault="004909C3" w:rsidP="004909C3">
      <w:pPr>
        <w:rPr>
          <w:noProof/>
        </w:rPr>
      </w:pPr>
    </w:p>
    <w:p w14:paraId="5474F604" w14:textId="77777777" w:rsidR="008253C4" w:rsidRDefault="008253C4" w:rsidP="00087D4E">
      <w:pPr>
        <w:rPr>
          <w:b/>
          <w:noProof/>
          <w:color w:val="FFFFFF" w:themeColor="background1"/>
          <w:sz w:val="28"/>
        </w:rPr>
        <w:sectPr w:rsidR="008253C4" w:rsidSect="008253C4">
          <w:headerReference w:type="default" r:id="rId16"/>
          <w:footerReference w:type="default" r:id="rId17"/>
          <w:pgSz w:w="11906" w:h="16838" w:code="9"/>
          <w:pgMar w:top="2041" w:right="2381" w:bottom="1247" w:left="1247" w:header="720" w:footer="851" w:gutter="0"/>
          <w:cols w:space="708"/>
          <w:docGrid w:linePitch="360"/>
        </w:sectPr>
      </w:pPr>
    </w:p>
    <w:p w14:paraId="260EE573" w14:textId="77777777" w:rsidR="0004635E" w:rsidRDefault="0004635E">
      <w:pPr>
        <w:spacing w:after="0" w:line="240" w:lineRule="auto"/>
        <w:rPr>
          <w:rFonts w:asciiTheme="majorHAnsi" w:hAnsiTheme="majorHAnsi"/>
          <w:b/>
          <w:sz w:val="96"/>
          <w:szCs w:val="44"/>
        </w:rPr>
      </w:pPr>
      <w:r>
        <w:br w:type="page"/>
      </w:r>
    </w:p>
    <w:p w14:paraId="24853922" w14:textId="77777777" w:rsidR="004B4BC0" w:rsidRPr="00313BE5" w:rsidRDefault="00CA787C" w:rsidP="00191A5D">
      <w:pPr>
        <w:pStyle w:val="Heading2"/>
      </w:pPr>
      <w:bookmarkStart w:id="2" w:name="_Toc91166056"/>
      <w:r w:rsidRPr="00313BE5">
        <w:t>Executive</w:t>
      </w:r>
      <w:r w:rsidR="007C6C73" w:rsidRPr="00313BE5">
        <w:t xml:space="preserve"> </w:t>
      </w:r>
      <w:r w:rsidRPr="00313BE5">
        <w:t>summar</w:t>
      </w:r>
      <w:r w:rsidR="008A22E8" w:rsidRPr="00313BE5">
        <w:t>y</w:t>
      </w:r>
      <w:bookmarkEnd w:id="2"/>
    </w:p>
    <w:p w14:paraId="25ED845A" w14:textId="77777777" w:rsidR="00402AFA" w:rsidRDefault="00E7126B" w:rsidP="00402AFA">
      <w:r w:rsidRPr="00313BE5">
        <w:t xml:space="preserve">Quality teachers help their students excel. </w:t>
      </w:r>
      <w:r w:rsidR="008A22E8" w:rsidRPr="00313BE5">
        <w:t>In recent years</w:t>
      </w:r>
      <w:r w:rsidRPr="00313BE5">
        <w:t>,</w:t>
      </w:r>
      <w:r w:rsidR="008A22E8" w:rsidRPr="00313BE5">
        <w:t xml:space="preserve"> however, </w:t>
      </w:r>
      <w:r w:rsidR="002B1227" w:rsidRPr="00313BE5">
        <w:t>there</w:t>
      </w:r>
      <w:r w:rsidR="008B0673" w:rsidRPr="00313BE5">
        <w:t xml:space="preserve"> ha</w:t>
      </w:r>
      <w:r w:rsidR="002B1227" w:rsidRPr="00313BE5">
        <w:t xml:space="preserve">s been a decline in </w:t>
      </w:r>
      <w:r w:rsidR="008A22E8" w:rsidRPr="00313BE5">
        <w:t>high-achieving</w:t>
      </w:r>
      <w:r w:rsidR="008A22E8">
        <w:t xml:space="preserve"> young adults </w:t>
      </w:r>
      <w:r>
        <w:t xml:space="preserve">and </w:t>
      </w:r>
      <w:r w:rsidR="008A22E8">
        <w:t xml:space="preserve">university-educated mid-career professionals </w:t>
      </w:r>
      <w:r w:rsidR="008B0673">
        <w:t>choosing</w:t>
      </w:r>
      <w:r w:rsidR="002B1227">
        <w:t xml:space="preserve"> teaching as </w:t>
      </w:r>
      <w:r w:rsidR="008B0673">
        <w:t>their</w:t>
      </w:r>
      <w:r w:rsidR="002B1227">
        <w:t xml:space="preserve"> career</w:t>
      </w:r>
      <w:r w:rsidR="0066741A">
        <w:t xml:space="preserve"> (QITE Review 2021)</w:t>
      </w:r>
      <w:r w:rsidR="008A22E8">
        <w:t>.</w:t>
      </w:r>
      <w:r w:rsidRPr="00E7126B">
        <w:t xml:space="preserve"> </w:t>
      </w:r>
    </w:p>
    <w:p w14:paraId="23FB309C" w14:textId="77777777" w:rsidR="00E7126B" w:rsidRDefault="00402AFA" w:rsidP="008A22E8">
      <w:r>
        <w:t xml:space="preserve">The Behavioural Economics Team of the Australian Government (BETA) assisted the </w:t>
      </w:r>
      <w:r w:rsidR="00E7126B">
        <w:t xml:space="preserve">Quality Initial Teacher Education Review (the Review) </w:t>
      </w:r>
      <w:r>
        <w:t xml:space="preserve">by </w:t>
      </w:r>
      <w:r w:rsidRPr="00402AFA">
        <w:t>explor</w:t>
      </w:r>
      <w:r>
        <w:t xml:space="preserve">ing </w:t>
      </w:r>
      <w:r w:rsidRPr="00402AFA">
        <w:t>what incentives young high</w:t>
      </w:r>
      <w:r>
        <w:t>-</w:t>
      </w:r>
      <w:r w:rsidRPr="00402AFA">
        <w:t>achievers and mid-career professional</w:t>
      </w:r>
      <w:r w:rsidR="001F7AF2">
        <w:t>s</w:t>
      </w:r>
      <w:r w:rsidRPr="00402AFA">
        <w:t xml:space="preserve"> find most attractive when considering a career in teaching.</w:t>
      </w:r>
      <w:r>
        <w:t xml:space="preserve"> </w:t>
      </w:r>
      <w:r w:rsidRPr="00402AFA">
        <w:t xml:space="preserve">We also looked at mid-career professionals with a Science, Technology, Engineering and Mathematics (STEM) background, as </w:t>
      </w:r>
      <w:r w:rsidR="008B0673">
        <w:t xml:space="preserve">STEM teachers </w:t>
      </w:r>
      <w:r w:rsidRPr="00402AFA">
        <w:t>are in high demand.</w:t>
      </w:r>
    </w:p>
    <w:p w14:paraId="7684A82F" w14:textId="77777777" w:rsidR="00E7126B" w:rsidRDefault="00402AFA" w:rsidP="008A22E8">
      <w:r w:rsidRPr="00402AFA">
        <w:t>We ran an online survey containing a discrete choice experiment with 501 young high achievers and 1,432 mid-career professionals.</w:t>
      </w:r>
      <w:r>
        <w:t xml:space="preserve"> </w:t>
      </w:r>
      <w:r w:rsidRPr="00402AFA">
        <w:t>We used the discrete choice experiment to quantify the relative importance of various incentives related to work and study, as well as a teacher’s starting and top pay.</w:t>
      </w:r>
      <w:r>
        <w:t xml:space="preserve"> We</w:t>
      </w:r>
      <w:r w:rsidRPr="00402AFA">
        <w:t xml:space="preserve"> also asked respondents about their intentions to become a teacher and expectations of a teacher’s salary.</w:t>
      </w:r>
    </w:p>
    <w:p w14:paraId="5A351945" w14:textId="77777777" w:rsidR="00402AFA" w:rsidRDefault="00402AFA" w:rsidP="00EB2207">
      <w:pPr>
        <w:rPr>
          <w:b/>
        </w:rPr>
      </w:pPr>
      <w:r>
        <w:rPr>
          <w:b/>
        </w:rPr>
        <w:t>Young high achievers</w:t>
      </w:r>
    </w:p>
    <w:p w14:paraId="42175232" w14:textId="77777777" w:rsidR="00C870C9" w:rsidRDefault="003D00C7" w:rsidP="00402AFA">
      <w:pPr>
        <w:ind w:left="1560"/>
      </w:pPr>
      <w:r w:rsidRPr="00402AFA">
        <w:rPr>
          <w:noProof/>
        </w:rPr>
        <w:drawing>
          <wp:anchor distT="0" distB="0" distL="114300" distR="114300" simplePos="0" relativeHeight="251654144" behindDoc="1" locked="0" layoutInCell="1" allowOverlap="1" wp14:anchorId="43C04D57" wp14:editId="4363E0CA">
            <wp:simplePos x="0" y="0"/>
            <wp:positionH relativeFrom="column">
              <wp:posOffset>1270</wp:posOffset>
            </wp:positionH>
            <wp:positionV relativeFrom="paragraph">
              <wp:posOffset>79606</wp:posOffset>
            </wp:positionV>
            <wp:extent cx="683895" cy="683895"/>
            <wp:effectExtent l="0" t="0" r="0" b="0"/>
            <wp:wrapSquare wrapText="bothSides"/>
            <wp:docPr id="11" name="Picture 4" title="Icon of person with 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3895" cy="683895"/>
                    </a:xfrm>
                    <a:prstGeom prst="rect">
                      <a:avLst/>
                    </a:prstGeom>
                  </pic:spPr>
                </pic:pic>
              </a:graphicData>
            </a:graphic>
            <wp14:sizeRelH relativeFrom="page">
              <wp14:pctWidth>0</wp14:pctWidth>
            </wp14:sizeRelH>
            <wp14:sizeRelV relativeFrom="page">
              <wp14:pctHeight>0</wp14:pctHeight>
            </wp14:sizeRelV>
          </wp:anchor>
        </w:drawing>
      </w:r>
      <w:r w:rsidR="004758F2">
        <w:rPr>
          <w:b/>
        </w:rPr>
        <w:t>A</w:t>
      </w:r>
      <w:r w:rsidR="004758F2" w:rsidRPr="00E565B7">
        <w:rPr>
          <w:b/>
        </w:rPr>
        <w:t xml:space="preserve"> </w:t>
      </w:r>
      <w:r w:rsidR="00402AFA" w:rsidRPr="00E565B7">
        <w:rPr>
          <w:b/>
        </w:rPr>
        <w:t xml:space="preserve">$30,000 scholarship was the most effective work </w:t>
      </w:r>
      <w:r w:rsidR="00402AFA">
        <w:rPr>
          <w:b/>
        </w:rPr>
        <w:t xml:space="preserve">or study </w:t>
      </w:r>
      <w:r w:rsidR="00402AFA" w:rsidRPr="00E565B7">
        <w:rPr>
          <w:b/>
        </w:rPr>
        <w:t>incentive</w:t>
      </w:r>
      <w:r w:rsidR="00402AFA" w:rsidRPr="00402AFA">
        <w:t xml:space="preserve">, followed by </w:t>
      </w:r>
      <w:r w:rsidR="00402AFA" w:rsidRPr="00E565B7">
        <w:rPr>
          <w:b/>
        </w:rPr>
        <w:t xml:space="preserve">guaranteed </w:t>
      </w:r>
      <w:r w:rsidR="00762E1E">
        <w:rPr>
          <w:b/>
        </w:rPr>
        <w:t xml:space="preserve">ongoing </w:t>
      </w:r>
      <w:r w:rsidR="00402AFA" w:rsidRPr="00E565B7">
        <w:rPr>
          <w:b/>
        </w:rPr>
        <w:t>employment in a nearby school</w:t>
      </w:r>
      <w:r w:rsidR="004758F2">
        <w:rPr>
          <w:b/>
        </w:rPr>
        <w:t xml:space="preserve"> </w:t>
      </w:r>
      <w:r w:rsidR="004758F2">
        <w:t>(both</w:t>
      </w:r>
      <w:r w:rsidR="00CA715C">
        <w:t xml:space="preserve"> increased</w:t>
      </w:r>
      <w:r w:rsidR="004758F2">
        <w:t xml:space="preserve"> the probability of choosing a teaching job by around 12</w:t>
      </w:r>
      <w:r w:rsidR="00CA715C">
        <w:t>%)</w:t>
      </w:r>
      <w:r w:rsidR="00402AFA" w:rsidRPr="00402AFA">
        <w:t>.</w:t>
      </w:r>
      <w:r w:rsidR="00C870C9">
        <w:t xml:space="preserve"> </w:t>
      </w:r>
      <w:r w:rsidR="004758F2">
        <w:t xml:space="preserve">Most </w:t>
      </w:r>
      <w:r w:rsidR="00CA715C">
        <w:t>study</w:t>
      </w:r>
      <w:r w:rsidR="004758F2">
        <w:t xml:space="preserve"> and all work incentives were valued greater than a $15,000 increase to starting or top pay. </w:t>
      </w:r>
    </w:p>
    <w:p w14:paraId="13B911BF" w14:textId="77777777" w:rsidR="00402AFA" w:rsidRDefault="00402AFA" w:rsidP="00402AFA">
      <w:pPr>
        <w:ind w:left="1560"/>
      </w:pPr>
      <w:r w:rsidRPr="00402AFA">
        <w:t xml:space="preserve">Of </w:t>
      </w:r>
      <w:r w:rsidR="00C870C9">
        <w:t xml:space="preserve">young high-achievers not </w:t>
      </w:r>
      <w:r w:rsidRPr="00402AFA">
        <w:t xml:space="preserve">studying initial teacher education, </w:t>
      </w:r>
      <w:r w:rsidRPr="00E565B7">
        <w:rPr>
          <w:b/>
        </w:rPr>
        <w:t>8% plan to become a teacher</w:t>
      </w:r>
      <w:r w:rsidRPr="00402AFA">
        <w:t xml:space="preserve"> and </w:t>
      </w:r>
      <w:r w:rsidRPr="00E565B7">
        <w:rPr>
          <w:b/>
        </w:rPr>
        <w:t>4 in 10 are open to the idea</w:t>
      </w:r>
      <w:r w:rsidRPr="00402AFA">
        <w:t xml:space="preserve">. </w:t>
      </w:r>
      <w:r w:rsidR="00B940C8" w:rsidRPr="00B940C8">
        <w:t>About half of surveyed young high-achievers underestimated teachers’ starting and top pay</w:t>
      </w:r>
      <w:r w:rsidRPr="00402AFA">
        <w:t>.</w:t>
      </w:r>
    </w:p>
    <w:p w14:paraId="3DEA8E19" w14:textId="77777777" w:rsidR="00402AFA" w:rsidRPr="00E565B7" w:rsidRDefault="00402AFA" w:rsidP="00EB2207">
      <w:pPr>
        <w:rPr>
          <w:b/>
        </w:rPr>
      </w:pPr>
      <w:r w:rsidRPr="00402AFA">
        <w:rPr>
          <w:noProof/>
        </w:rPr>
        <w:drawing>
          <wp:anchor distT="0" distB="0" distL="114300" distR="114300" simplePos="0" relativeHeight="251657216" behindDoc="0" locked="0" layoutInCell="1" allowOverlap="1" wp14:anchorId="69B38B95" wp14:editId="27FECA0B">
            <wp:simplePos x="0" y="0"/>
            <wp:positionH relativeFrom="column">
              <wp:posOffset>1270</wp:posOffset>
            </wp:positionH>
            <wp:positionV relativeFrom="paragraph">
              <wp:posOffset>336550</wp:posOffset>
            </wp:positionV>
            <wp:extent cx="683895" cy="683895"/>
            <wp:effectExtent l="0" t="0" r="0" b="0"/>
            <wp:wrapSquare wrapText="bothSides"/>
            <wp:docPr id="14" name="Picture 13" title="Icon of person moving up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3895" cy="683895"/>
                    </a:xfrm>
                    <a:prstGeom prst="rect">
                      <a:avLst/>
                    </a:prstGeom>
                  </pic:spPr>
                </pic:pic>
              </a:graphicData>
            </a:graphic>
            <wp14:sizeRelH relativeFrom="page">
              <wp14:pctWidth>0</wp14:pctWidth>
            </wp14:sizeRelH>
            <wp14:sizeRelV relativeFrom="page">
              <wp14:pctHeight>0</wp14:pctHeight>
            </wp14:sizeRelV>
          </wp:anchor>
        </w:drawing>
      </w:r>
      <w:r>
        <w:rPr>
          <w:b/>
        </w:rPr>
        <w:t>Mid-career professionals</w:t>
      </w:r>
    </w:p>
    <w:p w14:paraId="6A5A3A62" w14:textId="77777777" w:rsidR="00402AFA" w:rsidRPr="00402AFA" w:rsidRDefault="00402AFA" w:rsidP="00402AFA">
      <w:pPr>
        <w:ind w:left="1560"/>
      </w:pPr>
      <w:r w:rsidRPr="00E565B7">
        <w:rPr>
          <w:b/>
        </w:rPr>
        <w:t>P</w:t>
      </w:r>
      <w:r w:rsidRPr="00402AFA">
        <w:rPr>
          <w:b/>
          <w:bCs/>
        </w:rPr>
        <w:t xml:space="preserve">aid work throughout study, a $30,000 scholarship, mortgage/rent relief </w:t>
      </w:r>
      <w:r w:rsidRPr="00402AFA">
        <w:t xml:space="preserve">and </w:t>
      </w:r>
      <w:r w:rsidRPr="00402AFA">
        <w:rPr>
          <w:b/>
          <w:bCs/>
        </w:rPr>
        <w:t xml:space="preserve">guaranteed </w:t>
      </w:r>
      <w:r w:rsidR="00762E1E">
        <w:rPr>
          <w:b/>
          <w:bCs/>
        </w:rPr>
        <w:t xml:space="preserve">ongoing </w:t>
      </w:r>
      <w:r w:rsidRPr="00402AFA">
        <w:rPr>
          <w:b/>
          <w:bCs/>
        </w:rPr>
        <w:t xml:space="preserve">employment in a nearby school </w:t>
      </w:r>
      <w:r w:rsidRPr="00402AFA">
        <w:t xml:space="preserve">were the most impactful </w:t>
      </w:r>
      <w:r>
        <w:t xml:space="preserve">work and study related </w:t>
      </w:r>
      <w:r w:rsidRPr="00402AFA">
        <w:t xml:space="preserve">incentives. </w:t>
      </w:r>
    </w:p>
    <w:p w14:paraId="227EB19F" w14:textId="77777777" w:rsidR="00C870C9" w:rsidRDefault="00402AFA" w:rsidP="00402AFA">
      <w:pPr>
        <w:ind w:left="1560"/>
      </w:pPr>
      <w:r w:rsidRPr="00402AFA">
        <w:t xml:space="preserve">For professionals coming from a </w:t>
      </w:r>
      <w:r w:rsidRPr="00402AFA">
        <w:rPr>
          <w:b/>
          <w:bCs/>
        </w:rPr>
        <w:t xml:space="preserve">STEM background, </w:t>
      </w:r>
      <w:r w:rsidRPr="00402AFA">
        <w:t>the</w:t>
      </w:r>
      <w:r w:rsidRPr="00402AFA">
        <w:rPr>
          <w:b/>
          <w:bCs/>
        </w:rPr>
        <w:t xml:space="preserve"> $30,000 scholarship </w:t>
      </w:r>
      <w:r w:rsidRPr="00402AFA">
        <w:t xml:space="preserve">was the most attractive study incentive. For </w:t>
      </w:r>
      <w:r w:rsidRPr="00402AFA">
        <w:rPr>
          <w:b/>
          <w:bCs/>
        </w:rPr>
        <w:t xml:space="preserve">younger professionals, rent/mortgage relief </w:t>
      </w:r>
      <w:r w:rsidRPr="00402AFA">
        <w:t>was particularly attractive.</w:t>
      </w:r>
    </w:p>
    <w:p w14:paraId="7170E971" w14:textId="77777777" w:rsidR="00402AFA" w:rsidRDefault="00762E1E" w:rsidP="00402AFA">
      <w:pPr>
        <w:ind w:left="1560"/>
      </w:pPr>
      <w:r>
        <w:t>Of m</w:t>
      </w:r>
      <w:r w:rsidR="00C870C9">
        <w:t xml:space="preserve">id-career professionals </w:t>
      </w:r>
      <w:r>
        <w:t xml:space="preserve">not </w:t>
      </w:r>
      <w:r w:rsidR="00402AFA" w:rsidRPr="00402AFA">
        <w:t>currently studying initial teacher education</w:t>
      </w:r>
      <w:r w:rsidR="00402AFA" w:rsidRPr="00E565B7">
        <w:rPr>
          <w:b/>
        </w:rPr>
        <w:t>, 1 in 10 are planning a career change to be a teacher</w:t>
      </w:r>
      <w:r w:rsidR="00402AFA" w:rsidRPr="00402AFA">
        <w:t xml:space="preserve"> and 3 in 10 are open to the idea.</w:t>
      </w:r>
    </w:p>
    <w:p w14:paraId="13B8753C" w14:textId="77777777" w:rsidR="008A22E8" w:rsidRDefault="00E7126B" w:rsidP="008A22E8">
      <w:r w:rsidRPr="00E7126B">
        <w:t>Attracting high-</w:t>
      </w:r>
      <w:r w:rsidR="00F50DE9" w:rsidRPr="00313BE5">
        <w:t xml:space="preserve">achieving </w:t>
      </w:r>
      <w:r w:rsidRPr="00313BE5">
        <w:t>candidates to the teaching profession requires a careful mix of incentives and remuneration packages.</w:t>
      </w:r>
      <w:r w:rsidR="00402AFA" w:rsidRPr="00313BE5">
        <w:t xml:space="preserve"> This research contribute</w:t>
      </w:r>
      <w:r w:rsidR="00495C3C" w:rsidRPr="00313BE5">
        <w:t>s</w:t>
      </w:r>
      <w:r w:rsidR="00402AFA" w:rsidRPr="00313BE5">
        <w:t xml:space="preserve"> to </w:t>
      </w:r>
      <w:r w:rsidR="005E6E79" w:rsidRPr="00313BE5">
        <w:t xml:space="preserve">the </w:t>
      </w:r>
      <w:r w:rsidR="00402AFA" w:rsidRPr="00313BE5">
        <w:t>discussion on how such packages could be constructed.</w:t>
      </w:r>
      <w:r w:rsidR="003D00C7" w:rsidRPr="00313BE5">
        <w:t xml:space="preserve"> </w:t>
      </w:r>
      <w:r w:rsidR="00452C8A" w:rsidRPr="00313BE5">
        <w:t>Further research could focus on how to best bridge the gap between perceptions and reality of teaching (for instance, relating to starting and top pay, and qualification requirements) and strategies to bolster retention in the sector.</w:t>
      </w:r>
    </w:p>
    <w:p w14:paraId="267648E7" w14:textId="77777777" w:rsidR="00973B23" w:rsidRDefault="00973B23" w:rsidP="00191A5D">
      <w:pPr>
        <w:pStyle w:val="Heading2"/>
      </w:pPr>
      <w:bookmarkStart w:id="3" w:name="_Toc91166057"/>
      <w:r>
        <w:t>Why?</w:t>
      </w:r>
      <w:bookmarkEnd w:id="3"/>
    </w:p>
    <w:p w14:paraId="22D7920C" w14:textId="77777777" w:rsidR="00A46A32" w:rsidRPr="0068479D" w:rsidRDefault="00F50DE9" w:rsidP="00A46A32">
      <w:pPr>
        <w:pStyle w:val="Heading3"/>
      </w:pPr>
      <w:r w:rsidRPr="00EB2207">
        <w:t xml:space="preserve">Great </w:t>
      </w:r>
      <w:r w:rsidR="00A46A32" w:rsidRPr="00EB2207">
        <w:t>teachers</w:t>
      </w:r>
      <w:r w:rsidR="00A46A32">
        <w:t xml:space="preserve"> help students excel</w:t>
      </w:r>
    </w:p>
    <w:p w14:paraId="430A9ED1" w14:textId="57188074" w:rsidR="00A46A32" w:rsidRDefault="00A46A32" w:rsidP="00A46A32">
      <w:r>
        <w:t xml:space="preserve">The academic outcomes of Australian students have fallen in recent years, both </w:t>
      </w:r>
      <w:r w:rsidDel="00ED172B">
        <w:t xml:space="preserve">compared to other </w:t>
      </w:r>
      <w:r>
        <w:t>nations and in absolute terms (Programme for International Student Assessment 2018). Since t</w:t>
      </w:r>
      <w:r w:rsidRPr="00ED172B">
        <w:t>eachers are the number one in-school influence on student outcomes</w:t>
      </w:r>
      <w:r w:rsidR="00762E1E">
        <w:t xml:space="preserve"> (Hattie 2003; Deloitte Access Economics 2017;</w:t>
      </w:r>
      <w:r w:rsidR="00762E1E" w:rsidRPr="00D6432B">
        <w:t xml:space="preserve"> </w:t>
      </w:r>
      <w:r w:rsidR="00762E1E">
        <w:t>QITE Review</w:t>
      </w:r>
      <w:r w:rsidR="00762E1E" w:rsidRPr="00D6432B">
        <w:t xml:space="preserve"> 2021</w:t>
      </w:r>
      <w:r w:rsidR="00762E1E">
        <w:t>)</w:t>
      </w:r>
      <w:r w:rsidR="00FF7E88">
        <w:t>,</w:t>
      </w:r>
      <w:r>
        <w:t xml:space="preserve"> the Australian Government established the Quality Initial Teacher Education Review (the Review) to identify how to best attract and educate high-</w:t>
      </w:r>
      <w:r w:rsidR="00903562">
        <w:t xml:space="preserve">achievers into the </w:t>
      </w:r>
      <w:r>
        <w:t>teach</w:t>
      </w:r>
      <w:r w:rsidR="00903562">
        <w:t>ing profession</w:t>
      </w:r>
      <w:r w:rsidR="001705CB">
        <w:t>. A high-quality teaching workforce can help</w:t>
      </w:r>
      <w:r w:rsidR="00E80F69">
        <w:t xml:space="preserve"> </w:t>
      </w:r>
      <w:r w:rsidR="00BA2DE4">
        <w:t>lift</w:t>
      </w:r>
      <w:r w:rsidR="001705CB">
        <w:t xml:space="preserve"> </w:t>
      </w:r>
      <w:r w:rsidR="00495C3C">
        <w:t>student</w:t>
      </w:r>
      <w:r w:rsidR="001705CB">
        <w:t xml:space="preserve"> </w:t>
      </w:r>
      <w:r w:rsidR="00903562">
        <w:t>performance</w:t>
      </w:r>
      <w:r>
        <w:t>.</w:t>
      </w:r>
    </w:p>
    <w:p w14:paraId="097B8435" w14:textId="4E35D426" w:rsidR="0072206A" w:rsidRDefault="00177C37">
      <w:r>
        <w:t xml:space="preserve">One </w:t>
      </w:r>
      <w:r w:rsidR="0072206A">
        <w:t>way</w:t>
      </w:r>
      <w:r w:rsidR="00737E76">
        <w:t xml:space="preserve"> to bolster Australia’s </w:t>
      </w:r>
      <w:r>
        <w:t>teacher</w:t>
      </w:r>
      <w:r w:rsidR="0072206A">
        <w:t xml:space="preserve"> workforce </w:t>
      </w:r>
      <w:r w:rsidR="00737E76">
        <w:t xml:space="preserve">is by attracting </w:t>
      </w:r>
      <w:r>
        <w:t>high-achieving school leavers</w:t>
      </w:r>
      <w:r w:rsidR="001705CB">
        <w:t xml:space="preserve"> (typically defined as </w:t>
      </w:r>
      <w:r w:rsidR="00737E76">
        <w:t>graduates</w:t>
      </w:r>
      <w:r w:rsidR="001705CB">
        <w:t xml:space="preserve"> with an</w:t>
      </w:r>
      <w:r w:rsidR="00E81D70" w:rsidRPr="00E81D70">
        <w:t xml:space="preserve"> Australian Tertiary Admission Rank</w:t>
      </w:r>
      <w:r w:rsidR="001705CB">
        <w:t xml:space="preserve"> </w:t>
      </w:r>
      <w:r w:rsidR="00E81D70">
        <w:t>(</w:t>
      </w:r>
      <w:r w:rsidR="001705CB">
        <w:t>ATAR</w:t>
      </w:r>
      <w:r w:rsidR="00E81D70">
        <w:t>)</w:t>
      </w:r>
      <w:r w:rsidR="001705CB">
        <w:t xml:space="preserve"> of 80 or more)</w:t>
      </w:r>
      <w:r w:rsidR="004A76D1">
        <w:t xml:space="preserve">. </w:t>
      </w:r>
      <w:r w:rsidR="0044756A" w:rsidRPr="0044756A">
        <w:t>In 2019, 24 percent of undergraduate initial teacher education entrants were admitted on the basis of their secondary education with an ATAR. 39 per cent of these entrants had an ATAR above 80 (QITE</w:t>
      </w:r>
      <w:r w:rsidR="007A2CDB">
        <w:t xml:space="preserve"> Review</w:t>
      </w:r>
      <w:r w:rsidR="0044756A" w:rsidRPr="0044756A">
        <w:t xml:space="preserve"> 2021).</w:t>
      </w:r>
      <w:r w:rsidR="004A76D1" w:rsidRPr="00EC37C8">
        <w:t xml:space="preserve"> </w:t>
      </w:r>
    </w:p>
    <w:p w14:paraId="628B9548" w14:textId="35D52522" w:rsidR="00A46A32" w:rsidRDefault="00654290">
      <w:r>
        <w:t xml:space="preserve">Mid-career professionals – with tertiary education, work experience and practical knowledge – can also </w:t>
      </w:r>
      <w:r w:rsidR="008C3382">
        <w:t>transition to being</w:t>
      </w:r>
      <w:r>
        <w:t xml:space="preserve"> high-</w:t>
      </w:r>
      <w:r w:rsidR="008B3041">
        <w:t>achieving</w:t>
      </w:r>
      <w:r>
        <w:t xml:space="preserve"> </w:t>
      </w:r>
      <w:r w:rsidR="00762E1E">
        <w:t>teachers</w:t>
      </w:r>
      <w:r>
        <w:t xml:space="preserve">. </w:t>
      </w:r>
      <w:r w:rsidR="008C3382">
        <w:t>These p</w:t>
      </w:r>
      <w:r>
        <w:t xml:space="preserve">rofessionals </w:t>
      </w:r>
      <w:r w:rsidR="00876A2D">
        <w:t>can help boost</w:t>
      </w:r>
      <w:r>
        <w:t xml:space="preserve"> teacher supply in </w:t>
      </w:r>
      <w:r w:rsidR="00030588">
        <w:t xml:space="preserve">certain </w:t>
      </w:r>
      <w:r>
        <w:t>subject areas. However, postgraduate completions in</w:t>
      </w:r>
      <w:r w:rsidR="0072206A">
        <w:t xml:space="preserve"> </w:t>
      </w:r>
      <w:r w:rsidR="007A4783">
        <w:t xml:space="preserve">teacher education </w:t>
      </w:r>
      <w:r>
        <w:t>have declined</w:t>
      </w:r>
      <w:r w:rsidR="0072206A">
        <w:t xml:space="preserve"> </w:t>
      </w:r>
      <w:r>
        <w:t xml:space="preserve">since 2014, </w:t>
      </w:r>
      <w:r w:rsidR="00876A2D">
        <w:t>even though</w:t>
      </w:r>
      <w:r>
        <w:t xml:space="preserve"> </w:t>
      </w:r>
      <w:r w:rsidR="00876A2D">
        <w:t xml:space="preserve">postgraduate </w:t>
      </w:r>
      <w:r>
        <w:t xml:space="preserve">completions in </w:t>
      </w:r>
      <w:r w:rsidR="00876A2D">
        <w:t>general</w:t>
      </w:r>
      <w:r>
        <w:t xml:space="preserve"> have increased </w:t>
      </w:r>
      <w:r w:rsidR="0072206A">
        <w:t>(QITE Review</w:t>
      </w:r>
      <w:r w:rsidR="0072206A" w:rsidRPr="00D6432B">
        <w:t xml:space="preserve"> 2021</w:t>
      </w:r>
      <w:r w:rsidR="0072206A">
        <w:t>).</w:t>
      </w:r>
    </w:p>
    <w:p w14:paraId="1FEAD58F" w14:textId="77777777" w:rsidR="00A46A32" w:rsidRPr="00EB2207" w:rsidRDefault="00A46A32" w:rsidP="00A46A32">
      <w:pPr>
        <w:pStyle w:val="Heading3"/>
      </w:pPr>
      <w:r w:rsidRPr="00ED172B" w:rsidDel="00916F7C">
        <w:t xml:space="preserve">Attracting </w:t>
      </w:r>
      <w:r w:rsidRPr="00EB2207" w:rsidDel="00916F7C">
        <w:t>high-</w:t>
      </w:r>
      <w:r w:rsidR="00F50DE9" w:rsidRPr="00EB2207">
        <w:t>achieving</w:t>
      </w:r>
      <w:r w:rsidR="00F50DE9" w:rsidRPr="00EB2207" w:rsidDel="00916F7C">
        <w:t xml:space="preserve"> </w:t>
      </w:r>
      <w:r w:rsidRPr="00EB2207" w:rsidDel="00916F7C">
        <w:t xml:space="preserve">candidates </w:t>
      </w:r>
      <w:r w:rsidRPr="00EB2207">
        <w:t xml:space="preserve">can be challenging </w:t>
      </w:r>
    </w:p>
    <w:p w14:paraId="0F0F7FBB" w14:textId="77777777" w:rsidR="00A46A32" w:rsidRPr="00EB2207" w:rsidRDefault="00BA2DE4" w:rsidP="00A46A32">
      <w:r w:rsidRPr="00EB2207">
        <w:t xml:space="preserve">There are </w:t>
      </w:r>
      <w:r w:rsidR="00A46A32" w:rsidRPr="00EB2207">
        <w:t xml:space="preserve">various reasons for </w:t>
      </w:r>
      <w:r w:rsidRPr="00EB2207">
        <w:t xml:space="preserve">the </w:t>
      </w:r>
      <w:r w:rsidR="00A46A32" w:rsidRPr="00EB2207">
        <w:t xml:space="preserve">decline in </w:t>
      </w:r>
      <w:r w:rsidRPr="00EB2207">
        <w:t xml:space="preserve">the number of high achievers </w:t>
      </w:r>
      <w:r w:rsidR="00A46A32" w:rsidRPr="00EB2207">
        <w:t xml:space="preserve">pursuing </w:t>
      </w:r>
      <w:r w:rsidRPr="00EB2207">
        <w:t xml:space="preserve">a career in </w:t>
      </w:r>
      <w:r w:rsidR="00A46A32" w:rsidRPr="00EB2207">
        <w:t>teaching. Some high school students and older adults believe teaching is not a respected career (Stokes and Tyler 2003, Richardson and Watt 2005).</w:t>
      </w:r>
      <w:r w:rsidR="00E05407" w:rsidRPr="00EB2207">
        <w:t xml:space="preserve"> Some y</w:t>
      </w:r>
      <w:r w:rsidR="00FE0980" w:rsidRPr="00EB2207">
        <w:t>ounger adults think teaching lacks career progression opportunities and is less intellectually challenging than other careers (Goss, Sonnemann and Nolan 2019).</w:t>
      </w:r>
      <w:r w:rsidR="00A46A32" w:rsidRPr="00EB2207">
        <w:t xml:space="preserve"> Poor pay is </w:t>
      </w:r>
      <w:r w:rsidRPr="00EB2207">
        <w:t xml:space="preserve">also </w:t>
      </w:r>
      <w:r w:rsidR="00A46A32" w:rsidRPr="00EB2207">
        <w:t xml:space="preserve">commonly cited </w:t>
      </w:r>
      <w:r w:rsidR="00060A00" w:rsidRPr="00EB2207">
        <w:t xml:space="preserve">as a reason </w:t>
      </w:r>
      <w:r w:rsidR="00A46A32" w:rsidRPr="00EB2207">
        <w:t>for not considering teaching (Stokes and Tyler 2003; Peter D Hart Research Associates 2008)</w:t>
      </w:r>
      <w:r w:rsidR="00495C3C" w:rsidRPr="00EB2207">
        <w:t>, along with the perception that teaching involves</w:t>
      </w:r>
      <w:r w:rsidR="00A46A32" w:rsidRPr="00EB2207">
        <w:t xml:space="preserve"> stressful and demanding overtime work (Stokes and Tyler 2003). </w:t>
      </w:r>
    </w:p>
    <w:p w14:paraId="60A3E5EC" w14:textId="77777777" w:rsidR="00A46A32" w:rsidRPr="00EB2207" w:rsidRDefault="00A46A32" w:rsidP="00A46A32">
      <w:pPr>
        <w:pStyle w:val="Heading3"/>
      </w:pPr>
      <w:r w:rsidRPr="00EB2207">
        <w:t>BETA explored how to best attract high</w:t>
      </w:r>
      <w:r w:rsidR="00F50DE9" w:rsidRPr="00EB2207">
        <w:t xml:space="preserve">-achieving </w:t>
      </w:r>
      <w:r w:rsidRPr="00EB2207">
        <w:t xml:space="preserve">candidates into teaching </w:t>
      </w:r>
    </w:p>
    <w:p w14:paraId="0AB88965" w14:textId="77777777" w:rsidR="00FE0980" w:rsidRDefault="00A46A32" w:rsidP="00FE0980">
      <w:r w:rsidRPr="00EB2207">
        <w:t>The Review commissioned BETA to understand which incentives would best attract high</w:t>
      </w:r>
      <w:r w:rsidR="00BA2DE4" w:rsidRPr="00EB2207">
        <w:t xml:space="preserve"> achievers</w:t>
      </w:r>
      <w:r w:rsidRPr="00EB2207">
        <w:t xml:space="preserve"> to teaching. </w:t>
      </w:r>
      <w:r w:rsidR="00FE0980" w:rsidRPr="00EB2207">
        <w:t>The Grattan Institute had conducted similar research in 2019 (Goss, Sonnemann and Nolan</w:t>
      </w:r>
      <w:r w:rsidR="00FE0980">
        <w:t xml:space="preserve"> 2019). It found the best ways to attract </w:t>
      </w:r>
      <w:r w:rsidR="00E05407">
        <w:t xml:space="preserve">young </w:t>
      </w:r>
      <w:r w:rsidR="00FE0980">
        <w:t>high-achiev</w:t>
      </w:r>
      <w:r w:rsidR="00E05407">
        <w:t>ers w</w:t>
      </w:r>
      <w:r w:rsidR="00C15B8A">
        <w:t>ere</w:t>
      </w:r>
      <w:r w:rsidR="00E05407">
        <w:t xml:space="preserve"> to offer</w:t>
      </w:r>
      <w:r w:rsidR="00FE0980">
        <w:t xml:space="preserve"> </w:t>
      </w:r>
      <w:r w:rsidR="00C22D26">
        <w:t xml:space="preserve">annual </w:t>
      </w:r>
      <w:r w:rsidR="00FE0980">
        <w:t xml:space="preserve">$10,000 scholarships and to create new career pathways with higher pay and greater responsibility. </w:t>
      </w:r>
    </w:p>
    <w:p w14:paraId="647BA86D" w14:textId="77777777" w:rsidR="001E0A87" w:rsidRDefault="00FE0980" w:rsidP="00495C3C">
      <w:pPr>
        <w:rPr>
          <w:rFonts w:asciiTheme="majorHAnsi" w:hAnsiTheme="majorHAnsi"/>
          <w:b/>
          <w:sz w:val="72"/>
          <w:szCs w:val="44"/>
        </w:rPr>
      </w:pPr>
      <w:r>
        <w:t>We aimed to build on the Grattan Institute’s research by testing new incentives suggested by the Review Expert Panel. These incentives included higher-value scholarships, paid work during study, and guaranteed ongoing employment.</w:t>
      </w:r>
      <w:r w:rsidRPr="00FE0980">
        <w:t xml:space="preserve"> </w:t>
      </w:r>
      <w:r>
        <w:t xml:space="preserve">We also surveyed a new cohort – mid-career professionals with a Bachelor’s degree or higher – to understand what might appeal to </w:t>
      </w:r>
      <w:r w:rsidR="00553515">
        <w:t>potential career changers</w:t>
      </w:r>
      <w:r>
        <w:t>.</w:t>
      </w:r>
      <w:r w:rsidR="00DA0DA8">
        <w:t xml:space="preserve"> In the mid-career cohort, we recruited a high proportion of individuals with a STEM background, because STEM </w:t>
      </w:r>
      <w:r w:rsidR="00553515">
        <w:t>teachers are</w:t>
      </w:r>
      <w:r w:rsidR="00DA0DA8">
        <w:t xml:space="preserve"> a </w:t>
      </w:r>
      <w:r w:rsidR="0009322F">
        <w:t xml:space="preserve">high priority </w:t>
      </w:r>
      <w:r w:rsidR="004758F2">
        <w:t xml:space="preserve">and </w:t>
      </w:r>
      <w:r w:rsidR="00553515">
        <w:t xml:space="preserve">often in short supply </w:t>
      </w:r>
      <w:r w:rsidR="0009322F">
        <w:t>(DESE 2021</w:t>
      </w:r>
      <w:r w:rsidR="00553515">
        <w:t>, QITE Review 2021</w:t>
      </w:r>
      <w:r w:rsidR="0009322F">
        <w:t>).</w:t>
      </w:r>
    </w:p>
    <w:p w14:paraId="76F95B66" w14:textId="77777777" w:rsidR="00191A5D" w:rsidRDefault="008A5FEA" w:rsidP="00191A5D">
      <w:pPr>
        <w:pStyle w:val="Heading2"/>
      </w:pPr>
      <w:bookmarkStart w:id="4" w:name="_Toc91166058"/>
      <w:r>
        <w:t>What we did</w:t>
      </w:r>
      <w:bookmarkEnd w:id="4"/>
    </w:p>
    <w:p w14:paraId="57345748" w14:textId="77777777" w:rsidR="00FF349E" w:rsidRDefault="00FF349E" w:rsidP="00FF349E">
      <w:pPr>
        <w:pStyle w:val="Heading3"/>
      </w:pPr>
      <w:r w:rsidRPr="001E0A87">
        <w:t xml:space="preserve">We used a discrete choice experiment to understand what would </w:t>
      </w:r>
      <w:r>
        <w:t>incentivise</w:t>
      </w:r>
      <w:r w:rsidRPr="001E0A87">
        <w:t xml:space="preserve"> a career in teaching</w:t>
      </w:r>
    </w:p>
    <w:p w14:paraId="0E054F7C" w14:textId="77777777" w:rsidR="00B160CE" w:rsidRDefault="00B160CE" w:rsidP="00E565B7">
      <w:r>
        <w:t xml:space="preserve">We surveyed 501 </w:t>
      </w:r>
      <w:r w:rsidRPr="00D10B40">
        <w:t>young high-achievers</w:t>
      </w:r>
      <w:r>
        <w:t xml:space="preserve"> (18-25 years old, scored an ATAR of 80 or above, and never studied teaching) and 1,432 </w:t>
      </w:r>
      <w:r w:rsidRPr="00D10B40">
        <w:t xml:space="preserve">mid-career professionals </w:t>
      </w:r>
      <w:r>
        <w:t>(26-60 years old, with a Bachelor’s degree or higher, and never studied teaching or worked as a teacher).</w:t>
      </w:r>
      <w:r w:rsidR="00424AF5" w:rsidDel="00424AF5">
        <w:rPr>
          <w:rStyle w:val="FootnoteReference"/>
        </w:rPr>
        <w:t xml:space="preserve"> </w:t>
      </w:r>
      <w:r>
        <w:t>The survey included</w:t>
      </w:r>
      <w:r w:rsidR="00424AF5">
        <w:t xml:space="preserve"> a discrete choice experiment and asked about </w:t>
      </w:r>
      <w:r>
        <w:t xml:space="preserve">respondents’ career intentions and their perceptions of teachers’ pay and qualifications. </w:t>
      </w:r>
    </w:p>
    <w:p w14:paraId="7CC6F1DA" w14:textId="77777777" w:rsidR="001E0A87" w:rsidRPr="001E0A87" w:rsidRDefault="001E0A87" w:rsidP="002019C1">
      <w:r w:rsidRPr="001E0A87">
        <w:t>A discrete choice experiment allows us to quantify the relative importance of teaching-related incentives. The experiment works by presenting</w:t>
      </w:r>
      <w:r w:rsidR="00FF349E">
        <w:t xml:space="preserve"> people with</w:t>
      </w:r>
      <w:r w:rsidRPr="001E0A87">
        <w:t xml:space="preserve"> different</w:t>
      </w:r>
      <w:r w:rsidR="00FF349E">
        <w:t xml:space="preserve"> incentive</w:t>
      </w:r>
      <w:r w:rsidRPr="001E0A87">
        <w:t xml:space="preserve"> packages </w:t>
      </w:r>
      <w:r w:rsidR="00FF349E">
        <w:t>(</w:t>
      </w:r>
      <w:r w:rsidR="00E61045">
        <w:t>Figure 1</w:t>
      </w:r>
      <w:r w:rsidR="00FF349E">
        <w:t>)</w:t>
      </w:r>
      <w:r w:rsidRPr="001E0A87">
        <w:t xml:space="preserve">. By analysing which packages </w:t>
      </w:r>
      <w:r w:rsidR="00FF349E">
        <w:t>people</w:t>
      </w:r>
      <w:r w:rsidRPr="001E0A87">
        <w:t xml:space="preserve"> chose</w:t>
      </w:r>
      <w:r w:rsidR="00FF349E">
        <w:t xml:space="preserve"> most often</w:t>
      </w:r>
      <w:r w:rsidRPr="001E0A87">
        <w:t>, we can estimate how impactful each incentive might be and what trade-offs people make when comparing different incentives</w:t>
      </w:r>
      <w:r w:rsidR="00E61045">
        <w:t>.</w:t>
      </w:r>
    </w:p>
    <w:p w14:paraId="77394608" w14:textId="77777777" w:rsidR="001E0A87" w:rsidRPr="00495C3C" w:rsidRDefault="001E0A87" w:rsidP="007414D5">
      <w:pPr>
        <w:pStyle w:val="FigureHeading"/>
        <w:numPr>
          <w:ilvl w:val="0"/>
          <w:numId w:val="3"/>
        </w:numPr>
        <w:tabs>
          <w:tab w:val="clear" w:pos="1134"/>
          <w:tab w:val="left" w:pos="851"/>
        </w:tabs>
        <w:ind w:left="0" w:firstLine="0"/>
        <w:rPr>
          <w:b w:val="0"/>
        </w:rPr>
      </w:pPr>
      <w:r w:rsidRPr="00A46A32">
        <w:rPr>
          <w:b w:val="0"/>
        </w:rPr>
        <w:t>A screenshot from the discrete choice experiment, illustrating the teaching packages participants compared</w:t>
      </w:r>
      <w:r>
        <w:rPr>
          <w:b w:val="0"/>
        </w:rPr>
        <w:t>.</w:t>
      </w:r>
      <w:r w:rsidR="00E61045">
        <w:rPr>
          <w:b w:val="0"/>
        </w:rPr>
        <w:t xml:space="preserve"> Participants were asked “Which of these packages would make you most likely to consider a career in teaching?”.</w:t>
      </w:r>
    </w:p>
    <w:p w14:paraId="6B409B43" w14:textId="77777777" w:rsidR="00ED0DBB" w:rsidRDefault="00ED0DBB" w:rsidP="001E0A87">
      <w:r w:rsidRPr="00ED0DBB">
        <w:rPr>
          <w:noProof/>
        </w:rPr>
        <w:drawing>
          <wp:inline distT="0" distB="0" distL="0" distR="0" wp14:anchorId="7499C596" wp14:editId="4A3DF12B">
            <wp:extent cx="5515337" cy="1980455"/>
            <wp:effectExtent l="0" t="0" r="0" b="1270"/>
            <wp:docPr id="13" name="Picture 13" descr="Screenshot showing an example question in the discrete choice experiment. The question is shown at the top, &quot;Which of these packages would make you most likely to consider a career in teaching?&quot;.  Three rectangles are shown next to each other. In the first, 'Package 1' specifies a 'During Study' incentive of &quot;Paid work in a school throughout your entire period of study&quot;, a 'During Work' incentive of &quot;Guaranteed ongoing employment as a teacher, a 'Starting Pay' of &quot;$65,000&quot; and a 'Top Pay' of &quot;$115,000&quot;. In the second rectangle, 'Package 2' specifies a 'During Study' incentive of &quot;$30,000/year scholarship during study&quot;, a 'During Work' incentive of &quot;Manageable workload that supports your work/life balance&quot;, a 'Starting Pay' of &quot;$90,000&quot; and a 'Top Pay' of &quot;$120,000&quot;. The third rectangle states &quot;Neither of these packages&quot;." title="Screenshot of discrete choice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20989" cy="1982485"/>
                    </a:xfrm>
                    <a:prstGeom prst="rect">
                      <a:avLst/>
                    </a:prstGeom>
                  </pic:spPr>
                </pic:pic>
              </a:graphicData>
            </a:graphic>
          </wp:inline>
        </w:drawing>
      </w:r>
    </w:p>
    <w:p w14:paraId="28914B02" w14:textId="77777777" w:rsidR="00A46A32" w:rsidRDefault="007467C8" w:rsidP="00A46A32">
      <w:pPr>
        <w:spacing w:before="240"/>
      </w:pPr>
      <w:r>
        <w:t>E</w:t>
      </w:r>
      <w:r w:rsidRPr="001E0A87">
        <w:t xml:space="preserve">ach </w:t>
      </w:r>
      <w:r w:rsidR="00302BF9">
        <w:t>respondent</w:t>
      </w:r>
      <w:r>
        <w:t xml:space="preserve"> </w:t>
      </w:r>
      <w:r w:rsidRPr="001E0A87">
        <w:t xml:space="preserve">compared six to seven </w:t>
      </w:r>
      <w:r w:rsidR="00FF349E">
        <w:t xml:space="preserve">incentive </w:t>
      </w:r>
      <w:r w:rsidRPr="001E0A87">
        <w:t>package</w:t>
      </w:r>
      <w:r w:rsidR="00FF349E">
        <w:t>s</w:t>
      </w:r>
      <w:r w:rsidR="00E61045">
        <w:t xml:space="preserve">. </w:t>
      </w:r>
      <w:r w:rsidR="00EA25AA">
        <w:t xml:space="preserve">The incentives we tested were based on what has been </w:t>
      </w:r>
      <w:r w:rsidR="00A46A32">
        <w:t xml:space="preserve">shown to be effective in </w:t>
      </w:r>
      <w:r w:rsidR="00EA25AA">
        <w:t>previous research</w:t>
      </w:r>
      <w:r w:rsidR="00A46A32">
        <w:t xml:space="preserve"> and</w:t>
      </w:r>
      <w:r w:rsidR="00EA25AA">
        <w:t xml:space="preserve"> also on the back of </w:t>
      </w:r>
      <w:r w:rsidR="00A46A32">
        <w:t xml:space="preserve">advice </w:t>
      </w:r>
      <w:r w:rsidR="00EA25AA">
        <w:t xml:space="preserve">provided by </w:t>
      </w:r>
      <w:r w:rsidR="00A46A32">
        <w:t>the Review Expert Panel. We tested four types of incentive</w:t>
      </w:r>
      <w:r w:rsidR="0080520D">
        <w:t>s</w:t>
      </w:r>
      <w:r w:rsidR="00A46A32">
        <w:t>:</w:t>
      </w:r>
    </w:p>
    <w:p w14:paraId="68F75454" w14:textId="77777777" w:rsidR="00424AF5" w:rsidRDefault="00424AF5">
      <w:pPr>
        <w:spacing w:after="0" w:line="240" w:lineRule="auto"/>
        <w:rPr>
          <w:b/>
        </w:rPr>
      </w:pPr>
      <w:r>
        <w:rPr>
          <w:b/>
        </w:rPr>
        <w:br w:type="page"/>
      </w:r>
    </w:p>
    <w:p w14:paraId="736B1B17" w14:textId="77777777" w:rsidR="00A46A32" w:rsidRDefault="00FE1913" w:rsidP="00E565B7">
      <w:pPr>
        <w:spacing w:after="120"/>
        <w:ind w:left="1701"/>
        <w:contextualSpacing/>
      </w:pPr>
      <w:r>
        <w:rPr>
          <w:b/>
          <w:noProof/>
        </w:rPr>
        <w:drawing>
          <wp:anchor distT="0" distB="0" distL="114300" distR="114300" simplePos="0" relativeHeight="251658240" behindDoc="0" locked="0" layoutInCell="1" allowOverlap="1" wp14:anchorId="4559EB31" wp14:editId="25A09836">
            <wp:simplePos x="0" y="0"/>
            <wp:positionH relativeFrom="column">
              <wp:posOffset>234249</wp:posOffset>
            </wp:positionH>
            <wp:positionV relativeFrom="paragraph">
              <wp:posOffset>69330</wp:posOffset>
            </wp:positionV>
            <wp:extent cx="586105" cy="589280"/>
            <wp:effectExtent l="0" t="0" r="4445" b="1270"/>
            <wp:wrapSquare wrapText="bothSides"/>
            <wp:docPr id="17" name="Picture 17" title="Icon of green 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oun-study-1923518-105D52.png"/>
                    <pic:cNvPicPr/>
                  </pic:nvPicPr>
                  <pic:blipFill rotWithShape="1">
                    <a:blip r:embed="rId21" cstate="print">
                      <a:extLst>
                        <a:ext uri="{28A0092B-C50C-407E-A947-70E740481C1C}">
                          <a14:useLocalDpi xmlns:a14="http://schemas.microsoft.com/office/drawing/2010/main" val="0"/>
                        </a:ext>
                      </a:extLst>
                    </a:blip>
                    <a:srcRect l="3827" t="1558" r="2280" b="3873"/>
                    <a:stretch/>
                  </pic:blipFill>
                  <pic:spPr bwMode="auto">
                    <a:xfrm>
                      <a:off x="0" y="0"/>
                      <a:ext cx="586105" cy="58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44F">
        <w:rPr>
          <w:b/>
        </w:rPr>
        <w:t>Study I</w:t>
      </w:r>
      <w:r w:rsidR="00A46A32">
        <w:rPr>
          <w:b/>
        </w:rPr>
        <w:t xml:space="preserve">ncentives </w:t>
      </w:r>
      <w:r w:rsidR="00A46A32">
        <w:t>– incentives during the period spent studying:</w:t>
      </w:r>
    </w:p>
    <w:p w14:paraId="6EFB35DE" w14:textId="77777777" w:rsidR="00A46A32" w:rsidRDefault="00A46A32" w:rsidP="00E565B7">
      <w:pPr>
        <w:pStyle w:val="ListParagraph"/>
        <w:numPr>
          <w:ilvl w:val="0"/>
          <w:numId w:val="29"/>
        </w:numPr>
        <w:spacing w:after="120"/>
        <w:contextualSpacing/>
      </w:pPr>
      <w:r>
        <w:t>$20,000/year scholarship during study</w:t>
      </w:r>
    </w:p>
    <w:p w14:paraId="364E70DF" w14:textId="77777777" w:rsidR="00A46A32" w:rsidRDefault="00A46A32" w:rsidP="00E565B7">
      <w:pPr>
        <w:pStyle w:val="ListParagraph"/>
        <w:numPr>
          <w:ilvl w:val="0"/>
          <w:numId w:val="29"/>
        </w:numPr>
        <w:spacing w:after="120"/>
        <w:contextualSpacing/>
      </w:pPr>
      <w:r>
        <w:t>$30,000/year scholarship during study</w:t>
      </w:r>
    </w:p>
    <w:p w14:paraId="7A4CF226" w14:textId="77777777" w:rsidR="00A46A32" w:rsidRDefault="00A46A32" w:rsidP="00E565B7">
      <w:pPr>
        <w:pStyle w:val="ListParagraph"/>
        <w:numPr>
          <w:ilvl w:val="0"/>
          <w:numId w:val="29"/>
        </w:numPr>
        <w:spacing w:after="120"/>
        <w:contextualSpacing/>
      </w:pPr>
      <w:r>
        <w:t>Opportunity to complete a paid 4-week teaching internship before commencing study</w:t>
      </w:r>
    </w:p>
    <w:p w14:paraId="74F2A585" w14:textId="77777777" w:rsidR="00A46A32" w:rsidRDefault="00A46A32" w:rsidP="00E565B7">
      <w:pPr>
        <w:pStyle w:val="ListParagraph"/>
        <w:numPr>
          <w:ilvl w:val="0"/>
          <w:numId w:val="29"/>
        </w:numPr>
        <w:spacing w:after="120"/>
        <w:contextualSpacing/>
      </w:pPr>
      <w:r>
        <w:t>Paid work in a school throughout your period of study</w:t>
      </w:r>
    </w:p>
    <w:p w14:paraId="1BC4DA20" w14:textId="77777777" w:rsidR="00A46A32" w:rsidRDefault="00A46A32" w:rsidP="00E565B7">
      <w:pPr>
        <w:pStyle w:val="ListParagraph"/>
        <w:numPr>
          <w:ilvl w:val="0"/>
          <w:numId w:val="29"/>
        </w:numPr>
        <w:spacing w:after="120"/>
        <w:contextualSpacing/>
      </w:pPr>
      <w:r>
        <w:t>Paid work in a school in your final year of study</w:t>
      </w:r>
    </w:p>
    <w:p w14:paraId="69F0CC5F" w14:textId="77777777" w:rsidR="00A46A32" w:rsidRDefault="00A46A32" w:rsidP="00E565B7">
      <w:pPr>
        <w:pStyle w:val="ListParagraph"/>
        <w:numPr>
          <w:ilvl w:val="0"/>
          <w:numId w:val="29"/>
        </w:numPr>
        <w:spacing w:after="120"/>
        <w:contextualSpacing/>
      </w:pPr>
      <w:r>
        <w:t>Studying in a course where all students have an ATAR of 80</w:t>
      </w:r>
      <w:r w:rsidR="00C046C0">
        <w:t xml:space="preserve"> or above</w:t>
      </w:r>
      <w:r>
        <w:t xml:space="preserve"> (young high-achievers only)</w:t>
      </w:r>
    </w:p>
    <w:p w14:paraId="55DD550B" w14:textId="77777777" w:rsidR="00A46A32" w:rsidRDefault="00A46A32" w:rsidP="00E565B7">
      <w:pPr>
        <w:pStyle w:val="ListParagraph"/>
        <w:numPr>
          <w:ilvl w:val="0"/>
          <w:numId w:val="29"/>
        </w:numPr>
        <w:spacing w:after="120"/>
        <w:contextualSpacing/>
      </w:pPr>
      <w:r>
        <w:t>A condensed one-year full-time qualification (mid-career professionals only)</w:t>
      </w:r>
    </w:p>
    <w:p w14:paraId="27145C7E" w14:textId="77777777" w:rsidR="00A46A32" w:rsidRDefault="00A46A32" w:rsidP="00E565B7">
      <w:pPr>
        <w:pStyle w:val="ListParagraph"/>
        <w:numPr>
          <w:ilvl w:val="0"/>
          <w:numId w:val="29"/>
        </w:numPr>
        <w:spacing w:after="240"/>
      </w:pPr>
      <w:r>
        <w:t>Mortgage or rent payments covered throughout study (mid-career professionals only).</w:t>
      </w:r>
    </w:p>
    <w:p w14:paraId="532D0AEA" w14:textId="77777777" w:rsidR="00A46A32" w:rsidRDefault="00FE2EB7" w:rsidP="00E565B7">
      <w:pPr>
        <w:spacing w:after="120"/>
        <w:ind w:left="1701"/>
        <w:contextualSpacing/>
      </w:pPr>
      <w:r>
        <w:rPr>
          <w:noProof/>
        </w:rPr>
        <w:drawing>
          <wp:anchor distT="0" distB="0" distL="114300" distR="114300" simplePos="0" relativeHeight="251659264" behindDoc="0" locked="0" layoutInCell="1" allowOverlap="1" wp14:anchorId="1CFC0831" wp14:editId="0BD2F89A">
            <wp:simplePos x="0" y="0"/>
            <wp:positionH relativeFrom="column">
              <wp:posOffset>104775</wp:posOffset>
            </wp:positionH>
            <wp:positionV relativeFrom="paragraph">
              <wp:posOffset>20955</wp:posOffset>
            </wp:positionV>
            <wp:extent cx="666115" cy="698500"/>
            <wp:effectExtent l="0" t="0" r="635" b="6350"/>
            <wp:wrapSquare wrapText="bothSides"/>
            <wp:docPr id="22" name="Picture 22" title="Green icon of apple on top of thre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un-teacher-2094027-105D52.pn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666115" cy="69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44F">
        <w:rPr>
          <w:b/>
        </w:rPr>
        <w:t>Work I</w:t>
      </w:r>
      <w:r w:rsidR="00A46A32">
        <w:rPr>
          <w:b/>
        </w:rPr>
        <w:t xml:space="preserve">ncentives </w:t>
      </w:r>
      <w:r w:rsidR="0080520D">
        <w:t>–</w:t>
      </w:r>
      <w:r w:rsidR="00A46A32">
        <w:t xml:space="preserve"> incentives related to the teaching workplace:</w:t>
      </w:r>
    </w:p>
    <w:p w14:paraId="0208953E" w14:textId="77777777" w:rsidR="00A46A32" w:rsidRDefault="00A46A32" w:rsidP="00E565B7">
      <w:pPr>
        <w:pStyle w:val="ListParagraph"/>
        <w:numPr>
          <w:ilvl w:val="0"/>
          <w:numId w:val="30"/>
        </w:numPr>
        <w:spacing w:after="120"/>
        <w:contextualSpacing/>
      </w:pPr>
      <w:r>
        <w:t>Guaranteed ongoing employment as a teacher</w:t>
      </w:r>
    </w:p>
    <w:p w14:paraId="1E522406" w14:textId="77777777" w:rsidR="00A46A32" w:rsidRDefault="00A46A32" w:rsidP="00E565B7">
      <w:pPr>
        <w:pStyle w:val="ListParagraph"/>
        <w:numPr>
          <w:ilvl w:val="0"/>
          <w:numId w:val="30"/>
        </w:numPr>
        <w:spacing w:after="120"/>
        <w:contextualSpacing/>
      </w:pPr>
      <w:r>
        <w:t>Guaranteed ongoing employment as a teacher in a nearby school</w:t>
      </w:r>
    </w:p>
    <w:p w14:paraId="503CAC02" w14:textId="77777777" w:rsidR="00A46A32" w:rsidRDefault="00A46A32" w:rsidP="00E565B7">
      <w:pPr>
        <w:pStyle w:val="ListParagraph"/>
        <w:numPr>
          <w:ilvl w:val="0"/>
          <w:numId w:val="30"/>
        </w:numPr>
        <w:spacing w:after="120"/>
        <w:contextualSpacing/>
      </w:pPr>
      <w:r>
        <w:t>Manageable workload that supports your work/life balance</w:t>
      </w:r>
    </w:p>
    <w:p w14:paraId="429FB18D" w14:textId="77777777" w:rsidR="00A46A32" w:rsidRDefault="00A46A32" w:rsidP="00E565B7">
      <w:pPr>
        <w:pStyle w:val="ListParagraph"/>
        <w:numPr>
          <w:ilvl w:val="0"/>
          <w:numId w:val="30"/>
        </w:numPr>
        <w:spacing w:after="120"/>
        <w:contextualSpacing/>
      </w:pPr>
      <w:r>
        <w:t>Overtime work is recognised and paid</w:t>
      </w:r>
    </w:p>
    <w:p w14:paraId="036B4C7D" w14:textId="77777777" w:rsidR="00A46A32" w:rsidRDefault="00A46A32" w:rsidP="00E565B7">
      <w:pPr>
        <w:pStyle w:val="ListParagraph"/>
        <w:numPr>
          <w:ilvl w:val="0"/>
          <w:numId w:val="30"/>
        </w:numPr>
        <w:spacing w:after="120"/>
        <w:contextualSpacing/>
      </w:pPr>
      <w:r>
        <w:t>Mentoring and support from senior staff</w:t>
      </w:r>
    </w:p>
    <w:p w14:paraId="4661F7DB" w14:textId="77777777" w:rsidR="00A46A32" w:rsidRDefault="00FE2EB7" w:rsidP="00E565B7">
      <w:pPr>
        <w:pStyle w:val="ListParagraph"/>
        <w:numPr>
          <w:ilvl w:val="0"/>
          <w:numId w:val="30"/>
        </w:numPr>
        <w:spacing w:after="240"/>
      </w:pPr>
      <w:r>
        <w:rPr>
          <w:noProof/>
        </w:rPr>
        <w:drawing>
          <wp:anchor distT="0" distB="0" distL="114300" distR="114300" simplePos="0" relativeHeight="251660288" behindDoc="0" locked="0" layoutInCell="1" allowOverlap="1" wp14:anchorId="3797D349" wp14:editId="569158DB">
            <wp:simplePos x="0" y="0"/>
            <wp:positionH relativeFrom="column">
              <wp:posOffset>147487</wp:posOffset>
            </wp:positionH>
            <wp:positionV relativeFrom="paragraph">
              <wp:posOffset>473710</wp:posOffset>
            </wp:positionV>
            <wp:extent cx="568960" cy="568960"/>
            <wp:effectExtent l="0" t="0" r="2540" b="2540"/>
            <wp:wrapSquare wrapText="bothSides"/>
            <wp:docPr id="23" name="Picture 23" title="Green icon of dollar sign insid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un-pay-4218063-105D5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8960" cy="568960"/>
                    </a:xfrm>
                    <a:prstGeom prst="rect">
                      <a:avLst/>
                    </a:prstGeom>
                  </pic:spPr>
                </pic:pic>
              </a:graphicData>
            </a:graphic>
            <wp14:sizeRelH relativeFrom="page">
              <wp14:pctWidth>0</wp14:pctWidth>
            </wp14:sizeRelH>
            <wp14:sizeRelV relativeFrom="page">
              <wp14:pctHeight>0</wp14:pctHeight>
            </wp14:sizeRelV>
          </wp:anchor>
        </w:drawing>
      </w:r>
      <w:r w:rsidR="00A46A32">
        <w:t>Additional payment (on top of your starting salary) to recognise your prior experience (mid-career professionals only).</w:t>
      </w:r>
    </w:p>
    <w:p w14:paraId="376E58FC" w14:textId="77777777" w:rsidR="00A46A32" w:rsidRDefault="0048344F" w:rsidP="00E565B7">
      <w:pPr>
        <w:spacing w:after="120"/>
        <w:ind w:left="1701"/>
        <w:contextualSpacing/>
      </w:pPr>
      <w:r>
        <w:rPr>
          <w:b/>
        </w:rPr>
        <w:t>Starting P</w:t>
      </w:r>
      <w:r w:rsidR="00A46A32">
        <w:rPr>
          <w:b/>
        </w:rPr>
        <w:t xml:space="preserve">ay </w:t>
      </w:r>
      <w:r w:rsidR="00A46A32">
        <w:t>– what the applicant would earn in the first year working as a teacher:</w:t>
      </w:r>
    </w:p>
    <w:p w14:paraId="1F589FE1" w14:textId="77777777" w:rsidR="00A46A32" w:rsidRDefault="00A46A32" w:rsidP="00E565B7">
      <w:pPr>
        <w:pStyle w:val="ListParagraph"/>
        <w:numPr>
          <w:ilvl w:val="0"/>
          <w:numId w:val="31"/>
        </w:numPr>
        <w:spacing w:after="240"/>
      </w:pPr>
      <w:r w:rsidRPr="004E5B11">
        <w:t>Between $65,000 and $90,000, increasing in $5,000 increments.</w:t>
      </w:r>
    </w:p>
    <w:p w14:paraId="25FA3688" w14:textId="77777777" w:rsidR="00A46A32" w:rsidRDefault="0048344F" w:rsidP="00E565B7">
      <w:pPr>
        <w:spacing w:after="120"/>
        <w:ind w:left="1701"/>
        <w:contextualSpacing/>
      </w:pPr>
      <w:r>
        <w:rPr>
          <w:b/>
        </w:rPr>
        <w:t>Top P</w:t>
      </w:r>
      <w:r w:rsidR="00A46A32">
        <w:rPr>
          <w:b/>
        </w:rPr>
        <w:t xml:space="preserve">ay </w:t>
      </w:r>
      <w:r w:rsidR="00A46A32">
        <w:t>– the maximum yearly amount the applicant would earn as a teacher:</w:t>
      </w:r>
    </w:p>
    <w:p w14:paraId="0B0AD74D" w14:textId="77777777" w:rsidR="00A46A32" w:rsidRPr="00CB3DA8" w:rsidRDefault="00A46A32" w:rsidP="00E565B7">
      <w:pPr>
        <w:pStyle w:val="ListParagraph"/>
        <w:numPr>
          <w:ilvl w:val="0"/>
          <w:numId w:val="31"/>
        </w:numPr>
        <w:spacing w:after="120"/>
        <w:contextualSpacing/>
      </w:pPr>
      <w:r w:rsidRPr="004E5B11">
        <w:t>Between $105,000 and $130,000, increasing in $5,000 increments</w:t>
      </w:r>
      <w:r>
        <w:t>.</w:t>
      </w:r>
    </w:p>
    <w:p w14:paraId="39F25AEC" w14:textId="77777777" w:rsidR="001F4A91" w:rsidRDefault="001F4A91">
      <w:pPr>
        <w:spacing w:after="0" w:line="240" w:lineRule="auto"/>
        <w:rPr>
          <w:rFonts w:asciiTheme="majorHAnsi" w:hAnsiTheme="majorHAnsi"/>
          <w:b/>
          <w:sz w:val="72"/>
          <w:szCs w:val="44"/>
        </w:rPr>
      </w:pPr>
      <w:r>
        <w:br w:type="page"/>
      </w:r>
    </w:p>
    <w:p w14:paraId="2196E12F" w14:textId="77777777" w:rsidR="00081366" w:rsidRPr="0073375B" w:rsidRDefault="00081366" w:rsidP="00191A5D">
      <w:pPr>
        <w:pStyle w:val="Heading2"/>
      </w:pPr>
      <w:bookmarkStart w:id="5" w:name="_Toc91166059"/>
      <w:r w:rsidRPr="0073375B">
        <w:t>Results</w:t>
      </w:r>
      <w:r w:rsidR="00FA3AAF">
        <w:t>:</w:t>
      </w:r>
      <w:r w:rsidR="007D226A">
        <w:t xml:space="preserve"> Young High-Achievers</w:t>
      </w:r>
      <w:bookmarkEnd w:id="5"/>
    </w:p>
    <w:p w14:paraId="34498C8F" w14:textId="77777777" w:rsidR="007D226A" w:rsidRDefault="007E4A40" w:rsidP="007D226A">
      <w:pPr>
        <w:pStyle w:val="Heading3"/>
        <w:spacing w:after="0"/>
      </w:pPr>
      <w:r>
        <w:t xml:space="preserve">Introducing most incentives (except </w:t>
      </w:r>
      <w:r w:rsidR="00C7217F">
        <w:t xml:space="preserve">a </w:t>
      </w:r>
      <w:r>
        <w:t xml:space="preserve">minimum ATAR requirement) increased </w:t>
      </w:r>
      <w:r w:rsidR="00B057CC">
        <w:t xml:space="preserve">the </w:t>
      </w:r>
      <w:r>
        <w:t>probability of young high-achievers selecting a teaching job</w:t>
      </w:r>
      <w:r w:rsidR="00B057CC">
        <w:t xml:space="preserve"> </w:t>
      </w:r>
    </w:p>
    <w:p w14:paraId="04A2248B" w14:textId="77777777" w:rsidR="007D226A" w:rsidRPr="007414D5" w:rsidRDefault="001D3AB0" w:rsidP="00330E7A">
      <w:pPr>
        <w:pStyle w:val="FigureHeading"/>
        <w:numPr>
          <w:ilvl w:val="0"/>
          <w:numId w:val="3"/>
        </w:numPr>
        <w:tabs>
          <w:tab w:val="clear" w:pos="1134"/>
          <w:tab w:val="left" w:pos="851"/>
        </w:tabs>
        <w:spacing w:after="0"/>
        <w:ind w:left="4253" w:firstLine="0"/>
        <w:rPr>
          <w:b w:val="0"/>
        </w:rPr>
      </w:pPr>
      <w:r>
        <w:rPr>
          <w:b w:val="0"/>
        </w:rPr>
        <w:t>Impact of incentives on young high-achievers.</w:t>
      </w:r>
    </w:p>
    <w:p w14:paraId="5B608CC3" w14:textId="77777777" w:rsidR="001F4A91" w:rsidRDefault="00763B1F" w:rsidP="001F4A91">
      <w:r>
        <w:rPr>
          <w:noProof/>
        </w:rPr>
        <w:drawing>
          <wp:anchor distT="0" distB="0" distL="114300" distR="114300" simplePos="0" relativeHeight="251662336" behindDoc="0" locked="0" layoutInCell="1" allowOverlap="1" wp14:anchorId="210AB263" wp14:editId="326A37DD">
            <wp:simplePos x="0" y="0"/>
            <wp:positionH relativeFrom="column">
              <wp:posOffset>2693670</wp:posOffset>
            </wp:positionH>
            <wp:positionV relativeFrom="paragraph">
              <wp:posOffset>88017</wp:posOffset>
            </wp:positionV>
            <wp:extent cx="2967355" cy="5741670"/>
            <wp:effectExtent l="0" t="0" r="4445" b="0"/>
            <wp:wrapSquare wrapText="bothSides"/>
            <wp:docPr id="12" name="Picture 12" descr="Horizontal bar chart showing the additional probability of choosing a teaching package, when that incentive was included in the package. X-axis label reads &quot;Additional probability (in percentage points) of young high-achievers choosing a teaching job. There are four sets of bars for the four attributes: 'Study Incentives', 'Work Incentives', 'Starting Pay', 'Top Pay'. For Study Incentives, the additional probability was 1% for ATAR of 80 or above, 5% for Paid Teaching Internship, 6% for $20,000 p.a. Scholarship, 8% for Paid Work in Final Year, 9% for Paid Work Throughout Study, 12% for $30,000 p.a. Scholarship. For Work Incentives, the additional probability was 7% for Mentoring, 7% for Overtime Work is Paid, 9% for Manageable Workload, 10% for Guaranteed Ongoing Employment, and 12% for Guaranteed Ongoing Employment in Nearby School. For Starting Pay, the additional probability was 2% for $65,000 (+$5k), 3% for $70,000 (+$10k), 5% for $75,000 (+$15k), 7% for $80,000 (+$20k), 10% for $85,000 (+$25k), 13% for $90,000 (+$30k). For Top Pay, the additional probability was 2% for $105,000 (+$5k), 3% for $110,000 (+%10k), 5% for $115,000 (+$15k), 8% for $120,000 (+$20k), 10% for $125,000 (+$25k), 13% for $130,000 (+$30k)." title="Horizontal bar chart showing additional probability of young high-achievers choosing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CE_YHA_ylabe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7355" cy="5741670"/>
                    </a:xfrm>
                    <a:prstGeom prst="rect">
                      <a:avLst/>
                    </a:prstGeom>
                  </pic:spPr>
                </pic:pic>
              </a:graphicData>
            </a:graphic>
            <wp14:sizeRelH relativeFrom="margin">
              <wp14:pctWidth>0</wp14:pctWidth>
            </wp14:sizeRelH>
            <wp14:sizeRelV relativeFrom="margin">
              <wp14:pctHeight>0</wp14:pctHeight>
            </wp14:sizeRelV>
          </wp:anchor>
        </w:drawing>
      </w:r>
      <w:r w:rsidR="00AE5935">
        <w:t>To establish a reference point, we first looked at how many young high-achievers picked a package with no additional incentives, $60,000 starting pay and $100,000 top</w:t>
      </w:r>
      <w:r w:rsidR="00C046C0">
        <w:t xml:space="preserve"> pay</w:t>
      </w:r>
      <w:r w:rsidR="00AE5935">
        <w:t>. We saw that about 1</w:t>
      </w:r>
      <w:r w:rsidR="001F4A91" w:rsidRPr="001F4A91">
        <w:t xml:space="preserve">0% </w:t>
      </w:r>
      <w:r w:rsidR="00C046C0">
        <w:t>of</w:t>
      </w:r>
      <w:r w:rsidR="001F4A91" w:rsidRPr="001F4A91">
        <w:t xml:space="preserve"> </w:t>
      </w:r>
      <w:r w:rsidR="00AE5935">
        <w:t xml:space="preserve">young high-achievers chose this </w:t>
      </w:r>
      <w:r w:rsidR="00670B25">
        <w:t xml:space="preserve">‘baseline’ </w:t>
      </w:r>
      <w:r w:rsidR="00AE5935">
        <w:t>package</w:t>
      </w:r>
      <w:r w:rsidR="001F4A91">
        <w:t>.</w:t>
      </w:r>
    </w:p>
    <w:p w14:paraId="2204EB62" w14:textId="77777777" w:rsidR="0056761B" w:rsidRDefault="007D226A" w:rsidP="001F4A91">
      <w:r>
        <w:t xml:space="preserve">As shown in Figure </w:t>
      </w:r>
      <w:r w:rsidR="00C7217F">
        <w:t>2</w:t>
      </w:r>
      <w:r>
        <w:t xml:space="preserve">, </w:t>
      </w:r>
      <w:r w:rsidR="001F4A91">
        <w:t xml:space="preserve">the $30,000 per annum scholarship was the most attractive </w:t>
      </w:r>
      <w:r w:rsidR="00571FC2">
        <w:t xml:space="preserve">study or work </w:t>
      </w:r>
      <w:r w:rsidR="001F4A91">
        <w:t>incentive on offer</w:t>
      </w:r>
      <w:r w:rsidR="00AE5935">
        <w:t xml:space="preserve">, increasing the probability of a young high-achiever choosing </w:t>
      </w:r>
      <w:r w:rsidR="00C046C0">
        <w:t xml:space="preserve">a </w:t>
      </w:r>
      <w:r w:rsidR="00AE5935">
        <w:t xml:space="preserve">teaching </w:t>
      </w:r>
      <w:r w:rsidR="00C046C0">
        <w:t>job</w:t>
      </w:r>
      <w:r w:rsidR="00AE5935">
        <w:t xml:space="preserve"> by more than 12 percentage point</w:t>
      </w:r>
      <w:r w:rsidR="00C046C0">
        <w:t>s</w:t>
      </w:r>
      <w:r w:rsidR="00AE5935">
        <w:t xml:space="preserve"> over the baseline package</w:t>
      </w:r>
      <w:r w:rsidR="001F4A91">
        <w:t xml:space="preserve">. </w:t>
      </w:r>
      <w:r w:rsidR="00571FC2" w:rsidRPr="00571FC2">
        <w:t xml:space="preserve">Specifying that guaranteed </w:t>
      </w:r>
      <w:r w:rsidR="00560166">
        <w:t xml:space="preserve">ongoing </w:t>
      </w:r>
      <w:r w:rsidR="00571FC2" w:rsidRPr="00571FC2">
        <w:t xml:space="preserve">employment will take place in a nearby school </w:t>
      </w:r>
      <w:r w:rsidR="007414D5">
        <w:t xml:space="preserve">was the second most attractive study or work incentive. </w:t>
      </w:r>
    </w:p>
    <w:p w14:paraId="31C6E093" w14:textId="77777777" w:rsidR="007414D5" w:rsidRDefault="007414D5" w:rsidP="001F4A91">
      <w:r>
        <w:t xml:space="preserve">The minimum ATAR requirement was the only incentive that did not significantly increase the attractiveness of a teaching job. </w:t>
      </w:r>
    </w:p>
    <w:p w14:paraId="35A2364E" w14:textId="77777777" w:rsidR="001F4A91" w:rsidRDefault="007414D5" w:rsidP="007414D5">
      <w:r>
        <w:t xml:space="preserve">Large increases in both starting and top pay (+$20,000 and above) were also attractive to young high-achievers. </w:t>
      </w:r>
      <w:r w:rsidR="0014329D">
        <w:t xml:space="preserve">However, </w:t>
      </w:r>
      <w:r w:rsidR="000E122B">
        <w:t>smaller</w:t>
      </w:r>
      <w:r w:rsidR="0014329D">
        <w:t xml:space="preserve"> increase</w:t>
      </w:r>
      <w:r w:rsidR="000E122B">
        <w:t>s in pay</w:t>
      </w:r>
      <w:r w:rsidR="0014329D">
        <w:t xml:space="preserve"> </w:t>
      </w:r>
      <w:r w:rsidR="00920594">
        <w:t xml:space="preserve">(around $5,000) </w:t>
      </w:r>
      <w:r w:rsidR="0014329D" w:rsidRPr="00F6483F">
        <w:t xml:space="preserve">were </w:t>
      </w:r>
      <w:r w:rsidR="0014329D">
        <w:t>relatively</w:t>
      </w:r>
      <w:r w:rsidR="0014329D" w:rsidRPr="00F6483F">
        <w:t xml:space="preserve"> ineffective</w:t>
      </w:r>
      <w:r w:rsidR="00560E8E">
        <w:t>. M</w:t>
      </w:r>
      <w:r w:rsidR="00571FC2" w:rsidRPr="00571FC2">
        <w:t xml:space="preserve">ost study and all work incentives </w:t>
      </w:r>
      <w:r w:rsidR="00C870C9">
        <w:t xml:space="preserve">were valued greater than a </w:t>
      </w:r>
      <w:r w:rsidR="004629DE">
        <w:t>fifteen thousand</w:t>
      </w:r>
      <w:r w:rsidR="00571FC2" w:rsidRPr="00571FC2">
        <w:t xml:space="preserve"> </w:t>
      </w:r>
      <w:r w:rsidR="004629DE">
        <w:t>dollar</w:t>
      </w:r>
      <w:r w:rsidR="00571FC2" w:rsidRPr="00571FC2">
        <w:t xml:space="preserve"> increase to starting pay or top pay. </w:t>
      </w:r>
    </w:p>
    <w:p w14:paraId="2B0A0C14" w14:textId="77777777" w:rsidR="00A46A32" w:rsidRPr="003451D1" w:rsidRDefault="00A46A32" w:rsidP="009F06A2">
      <w:pPr>
        <w:pStyle w:val="Heading3"/>
      </w:pPr>
      <w:r>
        <w:t>While nearly half of the young high-achievers are open to teaching, m</w:t>
      </w:r>
      <w:r w:rsidRPr="00B657D2">
        <w:t>any underestimate teachers’ salary</w:t>
      </w:r>
    </w:p>
    <w:p w14:paraId="3B7E2884" w14:textId="77777777" w:rsidR="00A46A32" w:rsidRDefault="00A82736" w:rsidP="00A46A32">
      <w:r>
        <w:t>Four in 10</w:t>
      </w:r>
      <w:r w:rsidR="006E4782">
        <w:t xml:space="preserve"> (37%)</w:t>
      </w:r>
      <w:r>
        <w:t xml:space="preserve"> young high-achievers have considered teaching as a career and are still open to the idea</w:t>
      </w:r>
      <w:r w:rsidR="00A46A32">
        <w:t xml:space="preserve">. </w:t>
      </w:r>
      <w:r w:rsidR="006E4782" w:rsidRPr="006E4782">
        <w:t xml:space="preserve">Consistent with prior research, we find 8% are planning to become a teacher </w:t>
      </w:r>
      <w:r w:rsidR="006E4782">
        <w:t>(</w:t>
      </w:r>
      <w:r w:rsidR="006E4782" w:rsidRPr="006E4782">
        <w:t xml:space="preserve">Goss </w:t>
      </w:r>
      <w:r w:rsidR="00560E8E">
        <w:t>and</w:t>
      </w:r>
      <w:r w:rsidR="006E4782" w:rsidRPr="006E4782">
        <w:t xml:space="preserve"> Sonnemann</w:t>
      </w:r>
      <w:r w:rsidR="006E4782">
        <w:t xml:space="preserve"> 2019)</w:t>
      </w:r>
      <w:r w:rsidR="00A46A32">
        <w:t xml:space="preserve">. </w:t>
      </w:r>
    </w:p>
    <w:p w14:paraId="71E53434" w14:textId="77777777" w:rsidR="00A46A32" w:rsidRDefault="006E4782" w:rsidP="00A46A32">
      <w:r>
        <w:t>Many young high</w:t>
      </w:r>
      <w:r w:rsidR="00F230E5">
        <w:t>-</w:t>
      </w:r>
      <w:r>
        <w:t>achievers underestimated teachers</w:t>
      </w:r>
      <w:r w:rsidR="003D0EEF">
        <w:t>’</w:t>
      </w:r>
      <w:r>
        <w:t xml:space="preserve"> starting pay. </w:t>
      </w:r>
      <w:r w:rsidR="00F230E5">
        <w:t>Figure 3 shows o</w:t>
      </w:r>
      <w:r>
        <w:t xml:space="preserve">nly 37% could correctly identify </w:t>
      </w:r>
      <w:r w:rsidR="005348CA">
        <w:t>it was between $60,000 - $79,000,</w:t>
      </w:r>
      <w:r>
        <w:t xml:space="preserve"> and nearly half (47%) expected it to be $59,000 or less</w:t>
      </w:r>
      <w:r w:rsidR="00A46A32">
        <w:t>.</w:t>
      </w:r>
      <w:r>
        <w:t xml:space="preserve"> </w:t>
      </w:r>
    </w:p>
    <w:p w14:paraId="0110B072" w14:textId="77777777" w:rsidR="00171FEA" w:rsidRDefault="00A46A32" w:rsidP="007414D5">
      <w:pPr>
        <w:pStyle w:val="FigureHeading"/>
        <w:numPr>
          <w:ilvl w:val="0"/>
          <w:numId w:val="3"/>
        </w:numPr>
        <w:tabs>
          <w:tab w:val="clear" w:pos="1134"/>
          <w:tab w:val="left" w:pos="851"/>
        </w:tabs>
        <w:ind w:left="357" w:hanging="357"/>
      </w:pPr>
      <w:r w:rsidRPr="00A46A32">
        <w:rPr>
          <w:b w:val="0"/>
        </w:rPr>
        <w:t xml:space="preserve">Young high-achievers’ expectations of teachers’ starting </w:t>
      </w:r>
      <w:r w:rsidR="00571B22">
        <w:rPr>
          <w:b w:val="0"/>
        </w:rPr>
        <w:t>pay</w:t>
      </w:r>
      <w:r w:rsidRPr="00A46A32">
        <w:rPr>
          <w:b w:val="0"/>
        </w:rPr>
        <w:t xml:space="preserve"> in </w:t>
      </w:r>
      <w:r w:rsidR="00171FEA">
        <w:rPr>
          <w:b w:val="0"/>
        </w:rPr>
        <w:t xml:space="preserve">teaching </w:t>
      </w:r>
      <w:r w:rsidR="00571B22">
        <w:rPr>
          <w:b w:val="0"/>
        </w:rPr>
        <w:t xml:space="preserve">and </w:t>
      </w:r>
      <w:r w:rsidRPr="00A46A32">
        <w:rPr>
          <w:b w:val="0"/>
        </w:rPr>
        <w:t xml:space="preserve">their chosen </w:t>
      </w:r>
      <w:r w:rsidR="00571B22">
        <w:rPr>
          <w:b w:val="0"/>
        </w:rPr>
        <w:t>occupation</w:t>
      </w:r>
      <w:r>
        <w:t>.</w:t>
      </w:r>
    </w:p>
    <w:p w14:paraId="784DBB22" w14:textId="77777777" w:rsidR="005C13AE" w:rsidRPr="00650AD6" w:rsidRDefault="005C13AE" w:rsidP="00E565B7">
      <w:pPr>
        <w:jc w:val="center"/>
      </w:pPr>
      <w:r>
        <w:rPr>
          <w:noProof/>
        </w:rPr>
        <w:drawing>
          <wp:inline distT="0" distB="0" distL="0" distR="0" wp14:anchorId="2FEDE018" wp14:editId="53BAC525">
            <wp:extent cx="4978400" cy="2809478"/>
            <wp:effectExtent l="0" t="0" r="0" b="0"/>
            <wp:docPr id="10" name="Picture 10" descr="Clustered column chart with two bars each (one for 'Teaching' and one for 'Expected Occupation') for 9 salary brackets. ‘Expected starting annual salary' is on the x-axis from &quot;&lt;$40k&quot; to &quot;$200k plus&quot;, and '% of young high-achievers' is on the y-axis from 0% to 40%. Each bar shows what percentage of young high-achievers expected starting pay to be in that salary range for Teaching and Expected Occupation, respectively: 6% and 8% expected &lt;$40k; 12% and 6% expected $40k-$49k; 29% and 16% expected $50-59k; 37% and 38% expected $60k-$79k; 10% and 19% expected $80k-$99k; 3% and 5% expected $100k-$119k; 2% and 6% expected $120k-$149k; 1% and 1% expected $150k-$199k; and 1% and 1% expected $200k plus. There is a dashed line box around “$60k - $79k” and an arrow labeling it as “Average starting salary for teachers (Nolan and Sonnemann 2019)”." title="Clustered column chart showing percentage of young high-achievers who expected the given salary bracket for starting p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rtingsalary_YHA.png"/>
                    <pic:cNvPicPr/>
                  </pic:nvPicPr>
                  <pic:blipFill>
                    <a:blip r:embed="rId25">
                      <a:extLst>
                        <a:ext uri="{28A0092B-C50C-407E-A947-70E740481C1C}">
                          <a14:useLocalDpi xmlns:a14="http://schemas.microsoft.com/office/drawing/2010/main" val="0"/>
                        </a:ext>
                      </a:extLst>
                    </a:blip>
                    <a:stretch>
                      <a:fillRect/>
                    </a:stretch>
                  </pic:blipFill>
                  <pic:spPr>
                    <a:xfrm>
                      <a:off x="0" y="0"/>
                      <a:ext cx="4985014" cy="2813210"/>
                    </a:xfrm>
                    <a:prstGeom prst="rect">
                      <a:avLst/>
                    </a:prstGeom>
                  </pic:spPr>
                </pic:pic>
              </a:graphicData>
            </a:graphic>
          </wp:inline>
        </w:drawing>
      </w:r>
    </w:p>
    <w:p w14:paraId="5911109F" w14:textId="77777777" w:rsidR="009F06A2" w:rsidRDefault="00571B22" w:rsidP="004B263B">
      <w:r w:rsidRPr="00E35B57">
        <w:t xml:space="preserve">Similarly, half </w:t>
      </w:r>
      <w:r w:rsidR="00363C3C">
        <w:t xml:space="preserve">(51%) </w:t>
      </w:r>
      <w:r w:rsidRPr="00E35B57">
        <w:t xml:space="preserve">of the young high-achievers underestimated the top teacher salary (broadly consistent with </w:t>
      </w:r>
      <w:r>
        <w:t>Goss, Sonnemann and Nolan 2019</w:t>
      </w:r>
      <w:r w:rsidRPr="00E35B57">
        <w:t>). However, even if young high-achievers held accurate expectations of teacher’s top salary, 56% still expect to earn more in their chosen career.</w:t>
      </w:r>
      <w:r w:rsidR="009F06A2">
        <w:br w:type="page"/>
      </w:r>
    </w:p>
    <w:p w14:paraId="7EB78025" w14:textId="77777777" w:rsidR="00363C3C" w:rsidRDefault="009F06A2" w:rsidP="00E565B7">
      <w:pPr>
        <w:pStyle w:val="Heading2"/>
      </w:pPr>
      <w:bookmarkStart w:id="6" w:name="_Toc91166060"/>
      <w:r w:rsidRPr="00E565B7">
        <w:t>Results: Mid-Career Professionals</w:t>
      </w:r>
      <w:bookmarkEnd w:id="6"/>
    </w:p>
    <w:p w14:paraId="60BC0A38" w14:textId="77777777" w:rsidR="001D3AB0" w:rsidRPr="001D3AB0" w:rsidRDefault="00DF5274" w:rsidP="001D3AB0">
      <w:pPr>
        <w:pStyle w:val="Heading3"/>
        <w:spacing w:after="0"/>
      </w:pPr>
      <w:r>
        <w:t>M</w:t>
      </w:r>
      <w:r w:rsidRPr="004178C2">
        <w:t xml:space="preserve">id-career professionals </w:t>
      </w:r>
      <w:r w:rsidR="00F85242">
        <w:t>value ongoing</w:t>
      </w:r>
      <w:r>
        <w:t xml:space="preserve"> financial assistance</w:t>
      </w:r>
      <w:r w:rsidR="00F85242">
        <w:t xml:space="preserve"> and guaranteed work</w:t>
      </w:r>
    </w:p>
    <w:p w14:paraId="28E0ED12" w14:textId="77777777" w:rsidR="00DF5274" w:rsidRPr="00D346EF" w:rsidRDefault="00A02653" w:rsidP="005F0FC1">
      <w:pPr>
        <w:pStyle w:val="FigureHeading"/>
        <w:numPr>
          <w:ilvl w:val="0"/>
          <w:numId w:val="3"/>
        </w:numPr>
        <w:tabs>
          <w:tab w:val="clear" w:pos="1134"/>
          <w:tab w:val="clear" w:pos="1361"/>
          <w:tab w:val="left" w:pos="4962"/>
        </w:tabs>
        <w:spacing w:before="0" w:after="0"/>
        <w:ind w:left="4111" w:right="-113" w:firstLine="0"/>
        <w:rPr>
          <w:b w:val="0"/>
        </w:rPr>
      </w:pPr>
      <w:r>
        <w:rPr>
          <w:b w:val="0"/>
        </w:rPr>
        <w:t xml:space="preserve">Impact of incentives on mid-career professionals. </w:t>
      </w:r>
    </w:p>
    <w:p w14:paraId="57F3A680" w14:textId="74E2893C" w:rsidR="00016117" w:rsidRDefault="002B6225" w:rsidP="00DF5274">
      <w:r>
        <w:rPr>
          <w:rFonts w:ascii="Segoe UI" w:hAnsi="Segoe UI" w:cs="Segoe UI"/>
          <w:noProof/>
          <w:color w:val="444444"/>
          <w:szCs w:val="20"/>
        </w:rPr>
        <w:drawing>
          <wp:anchor distT="0" distB="0" distL="114300" distR="114300" simplePos="0" relativeHeight="251664384" behindDoc="1" locked="0" layoutInCell="1" allowOverlap="1" wp14:anchorId="6740EB26" wp14:editId="110E2F6A">
            <wp:simplePos x="0" y="0"/>
            <wp:positionH relativeFrom="column">
              <wp:posOffset>2611755</wp:posOffset>
            </wp:positionH>
            <wp:positionV relativeFrom="paragraph">
              <wp:posOffset>87976</wp:posOffset>
            </wp:positionV>
            <wp:extent cx="3165475" cy="5895975"/>
            <wp:effectExtent l="0" t="0" r="0" b="9525"/>
            <wp:wrapSquare wrapText="bothSides"/>
            <wp:docPr id="6" name="Picture 6" descr="Horizontal bar chart showing the additional probability of choosing a teaching package, when that incentive was included in the package. X-axis label reads &quot;Additional probability (in percentage points) of mid-career professionals choosing a teaching job. There are four sets of bars for the four attributes: 'Study Incentives', 'Work Incentives', 'Starting Pay', 'Top Pay'. &#10;For Study Incentives, the additional probability was 4.7% for Paid Teaching Internship, 6.6% for Paid Work in Final Year, 7% for $20,000 p.a. Scholarship, 7.3% for Condensed 1-Year Qualification, 9.7% for Mortgage/Rent Payments, 10.2% for $30,000 p.a. Scholarship, and 10.4% for Paid Work Throughout Study. For Work Incentives, the additional probability was 2.8% for Mentoring, 5.7% for Payment to Recognise Past Experience, 6% for Overtime Work is Paid, 7.4% for Manageable Workload, 8% for Guaranteed Ongoing Employment, and 9.7% for Guaranteed Ongoing Employment in Nearby School. For Starting Pay, the additional probability was 1.5% for $65,000 (+$5k), 3.1% for $70,000 (+$10k), 4.9% for $75,000 (+$15k), 6.9% for $80,000 (+$20k), 9% for $85,000 (+$25k), 11.4% for $90,000 (+$30k). For Top Pay, the additional probability was 1.6% for $105,000 (+$5k), 3.3% for $110,000 (+%10k), 5.2% for $115,000 (+$15k), 7.3% for $120,000 (+$20k), 9.7% for $125,000 (+$25k), 12.2% for $130,000 (+$30k).&#10;" title="Horizontal bar chart showing additional probability of young mid-career professionals choosing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E_MCP_ylabe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5475" cy="589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5242">
        <w:t>Eleven percent</w:t>
      </w:r>
      <w:r w:rsidR="00DF5274" w:rsidRPr="00052490">
        <w:t xml:space="preserve"> of mid-career professionals chose the baseline teaching job package.</w:t>
      </w:r>
      <w:r w:rsidR="00DF5274">
        <w:t xml:space="preserve"> </w:t>
      </w:r>
    </w:p>
    <w:p w14:paraId="394769F9" w14:textId="339EF9D1" w:rsidR="00DF5274" w:rsidRDefault="00016117" w:rsidP="00DF5274">
      <w:r>
        <w:t>A</w:t>
      </w:r>
      <w:r w:rsidR="00DF5274">
        <w:t>ll forms of ongoing financial assistance during study were attractive</w:t>
      </w:r>
      <w:r w:rsidR="00363C3C">
        <w:t xml:space="preserve"> to mid-career professionals</w:t>
      </w:r>
      <w:r w:rsidR="00DF5274">
        <w:t>. Paid work throughout study, a $30,000 per annum scholarship and mortgage or rent payments during study were chosen at similarly high rates.</w:t>
      </w:r>
      <w:r w:rsidR="00DF5274" w:rsidRPr="004178C2">
        <w:rPr>
          <w:noProof/>
        </w:rPr>
        <w:t xml:space="preserve"> </w:t>
      </w:r>
    </w:p>
    <w:p w14:paraId="03B93766" w14:textId="261D9BCE" w:rsidR="00DF5274" w:rsidRDefault="00DF5274" w:rsidP="00DF5274">
      <w:r>
        <w:t>Guaranteed ongoing employment in a nearby school was the most attractive work incentive. This was nearly as impactful as the most generous financial study incentives. Mentoring was the lowest performing work incentive, having even less impact than it did when tested with young high-achievers.</w:t>
      </w:r>
    </w:p>
    <w:p w14:paraId="738EF189" w14:textId="1219EF40" w:rsidR="00495C3C" w:rsidRDefault="00495C3C" w:rsidP="00495C3C">
      <w:r>
        <w:t>Increasing top pay was more impactful than an equivalent increase in starting pay.</w:t>
      </w:r>
      <w:r w:rsidRPr="004178C2">
        <w:rPr>
          <w:noProof/>
        </w:rPr>
        <w:t xml:space="preserve"> </w:t>
      </w:r>
      <w:r>
        <w:rPr>
          <w:noProof/>
        </w:rPr>
        <w:t xml:space="preserve">This </w:t>
      </w:r>
      <w:r w:rsidR="00363C3C">
        <w:rPr>
          <w:noProof/>
        </w:rPr>
        <w:t>suggests</w:t>
      </w:r>
      <w:r>
        <w:rPr>
          <w:noProof/>
        </w:rPr>
        <w:t xml:space="preserve"> potential earnings throughout a career are more impactful than the initial earnings at the</w:t>
      </w:r>
      <w:r w:rsidR="00016117">
        <w:rPr>
          <w:noProof/>
        </w:rPr>
        <w:t xml:space="preserve"> beginning of a teaching career, for mid-career professionals.</w:t>
      </w:r>
    </w:p>
    <w:p w14:paraId="4DD4F86C" w14:textId="77777777" w:rsidR="00DF5274" w:rsidRDefault="00DF5274" w:rsidP="00DF5274">
      <w:pPr>
        <w:pStyle w:val="Heading3"/>
      </w:pPr>
      <w:r>
        <w:t>Mid-career professionals with a STEM background value higher starting pay as well as the $30,000 scholarship</w:t>
      </w:r>
    </w:p>
    <w:p w14:paraId="7E4B378C" w14:textId="77777777" w:rsidR="00AA1A2B" w:rsidRDefault="00DF5274" w:rsidP="00AA1A2B">
      <w:r>
        <w:t>In our sample, 599 or 42% of mid-career professionals had a STEM background.</w:t>
      </w:r>
      <w:r>
        <w:rPr>
          <w:rStyle w:val="FootnoteReference"/>
        </w:rPr>
        <w:footnoteReference w:id="2"/>
      </w:r>
      <w:r>
        <w:t xml:space="preserve"> </w:t>
      </w:r>
      <w:r w:rsidR="00776215">
        <w:t xml:space="preserve">Figure </w:t>
      </w:r>
      <w:r w:rsidR="002B6BE0">
        <w:t>5</w:t>
      </w:r>
      <w:r w:rsidR="00776215">
        <w:t xml:space="preserve"> </w:t>
      </w:r>
      <w:r w:rsidR="00AA1A2B">
        <w:t>compares the impact of incentives for STEM and non-STEM m</w:t>
      </w:r>
      <w:r w:rsidR="00312502">
        <w:t>i</w:t>
      </w:r>
      <w:r w:rsidR="00AA1A2B">
        <w:t>d-career professionals. A</w:t>
      </w:r>
      <w:r>
        <w:t xml:space="preserve"> $30,000 scholarship was the most attractive study incentive for those with a STEM background. For </w:t>
      </w:r>
      <w:r w:rsidR="00AA1A2B">
        <w:t>those</w:t>
      </w:r>
      <w:r>
        <w:t xml:space="preserve"> without a STEM background</w:t>
      </w:r>
      <w:r w:rsidDel="00BB1C97">
        <w:t xml:space="preserve">, </w:t>
      </w:r>
      <w:r>
        <w:t>mortgage or rent payments was the most attractive study incentive</w:t>
      </w:r>
      <w:r w:rsidR="006E5C92">
        <w:t>. I</w:t>
      </w:r>
      <w:r w:rsidR="00776215">
        <w:t xml:space="preserve">f attracting mid-career professionals with a STEM background is a particular priority, then a scholarship is likely to be the more impactful study incentive. </w:t>
      </w:r>
      <w:r w:rsidR="00AA1A2B">
        <w:t>Both groups responded similarly to the work incentives on offer.</w:t>
      </w:r>
    </w:p>
    <w:p w14:paraId="269F00C7" w14:textId="77777777" w:rsidR="00DF5274" w:rsidRPr="00A02653" w:rsidRDefault="00FB34B3" w:rsidP="00A02653">
      <w:pPr>
        <w:pStyle w:val="FigureHeading"/>
        <w:numPr>
          <w:ilvl w:val="0"/>
          <w:numId w:val="3"/>
        </w:numPr>
        <w:tabs>
          <w:tab w:val="clear" w:pos="1134"/>
          <w:tab w:val="left" w:pos="851"/>
        </w:tabs>
        <w:ind w:left="0" w:firstLine="0"/>
        <w:rPr>
          <w:b w:val="0"/>
        </w:rPr>
      </w:pPr>
      <w:r>
        <w:rPr>
          <w:b w:val="0"/>
        </w:rPr>
        <w:t>Impact of incentives on</w:t>
      </w:r>
      <w:r w:rsidR="00DF5274" w:rsidRPr="00A02653">
        <w:rPr>
          <w:b w:val="0"/>
        </w:rPr>
        <w:t xml:space="preserve"> STEM </w:t>
      </w:r>
      <w:r>
        <w:rPr>
          <w:b w:val="0"/>
        </w:rPr>
        <w:t>and</w:t>
      </w:r>
      <w:r w:rsidR="00DF5274" w:rsidRPr="00A02653">
        <w:rPr>
          <w:b w:val="0"/>
        </w:rPr>
        <w:t xml:space="preserve"> non-STEM mid-career professionals.</w:t>
      </w:r>
    </w:p>
    <w:p w14:paraId="3CEDA324" w14:textId="77777777" w:rsidR="00DF5274" w:rsidRDefault="00FB34B3" w:rsidP="00DF5274">
      <w:r>
        <w:rPr>
          <w:noProof/>
        </w:rPr>
        <w:drawing>
          <wp:inline distT="0" distB="0" distL="0" distR="0" wp14:anchorId="5ED3FC19" wp14:editId="057B2766">
            <wp:extent cx="5779135" cy="2340610"/>
            <wp:effectExtent l="0" t="0" r="0" b="2540"/>
            <wp:docPr id="15" name="Picture 15" descr="Horizontal bar charts showing the additional probability of choosing a teaching package, when that Study Incentive was included in the package, for mid-career professionals with a STEM background (left) or with a non-STEM background (right). For those with a STEM background, the additional probability was 4% for Paid Teaching Internship, 6% for $20,000 Scholarship, 6% for Mortgage/Rent Payments, 7% for Condensed 1-Year Qualification, 8% for Paid Work in Final Year, 9% for Paid Work Throughout Study, 9% for $30,000 Scholarship. For those with a non-STEM background, the additional probability was 5% for Paid Teaching Internship, 11% for Paid Work in Final Year, 7% for Condensed 1-Year Qualification, 8% for $20,000 Scholarship, 10% for $30,000 Scholarship, 11% for Paid Work Throughout Study, and 12% for Mortgage/Rent Payments. There is a solid gold line down from the top &quot;$30,000 Scholarship&quot; bar on the left to the 3rd &quot;$30,000 Scholarship&quot; bar on the right. There is a dotted gold line from the 5th &quot;Mortgage/Rent Payments&quot; bar on the left up to the top &quot;Mortgage/Rent Payments&quot; bar on the right. " title="Two horizontal bar charts showing the additional probability of mid-career professionals with a STEM or non-STEM background choosing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CE_MCP_STE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79135" cy="2340610"/>
                    </a:xfrm>
                    <a:prstGeom prst="rect">
                      <a:avLst/>
                    </a:prstGeom>
                  </pic:spPr>
                </pic:pic>
              </a:graphicData>
            </a:graphic>
          </wp:inline>
        </w:drawing>
      </w:r>
    </w:p>
    <w:p w14:paraId="0398758C" w14:textId="77777777" w:rsidR="00DF5274" w:rsidRDefault="00363C3C" w:rsidP="00DF5274">
      <w:pPr>
        <w:rPr>
          <w:rFonts w:asciiTheme="majorHAnsi" w:hAnsiTheme="majorHAnsi"/>
          <w:b/>
          <w:color w:val="117479" w:themeColor="accent2"/>
          <w:sz w:val="24"/>
        </w:rPr>
      </w:pPr>
      <w:r>
        <w:t>Mid-career professionals with</w:t>
      </w:r>
      <w:r w:rsidR="000C376C">
        <w:t xml:space="preserve"> a</w:t>
      </w:r>
      <w:r>
        <w:t xml:space="preserve"> STEM background were more </w:t>
      </w:r>
      <w:r w:rsidR="00FB34B3">
        <w:t>responsive</w:t>
      </w:r>
      <w:r>
        <w:t xml:space="preserve"> to pay incentives.</w:t>
      </w:r>
      <w:r w:rsidR="00FB34B3">
        <w:t xml:space="preserve"> </w:t>
      </w:r>
      <w:r w:rsidR="003719DD">
        <w:t>A $30,000 increase in starting pay increased the probability of STEM individuals choosing a teaching job by 14 percentage points,</w:t>
      </w:r>
      <w:r w:rsidR="003719DD" w:rsidDel="004107D8">
        <w:t xml:space="preserve"> </w:t>
      </w:r>
      <w:r w:rsidR="003719DD">
        <w:t>but only by 10 percentage points for non-STEM individuals. This may be because STEM professionals in our sample earned slightly more than non-STEM professionals (as they do in the general population; Karmel and Carroll 2017), which could explain this group valuing higher starting pay more than others.</w:t>
      </w:r>
    </w:p>
    <w:p w14:paraId="0AE22AB1" w14:textId="77777777" w:rsidR="00776215" w:rsidRDefault="00776215" w:rsidP="00776215">
      <w:pPr>
        <w:pStyle w:val="Heading3"/>
      </w:pPr>
      <w:r w:rsidRPr="00F04DA2">
        <w:t>Younger mid-career professionals value mortgage or rent payments and work incentives</w:t>
      </w:r>
    </w:p>
    <w:p w14:paraId="218C8FEF" w14:textId="77777777" w:rsidR="00832776" w:rsidRDefault="00776215">
      <w:r>
        <w:t xml:space="preserve">Figure </w:t>
      </w:r>
      <w:r w:rsidR="00100B5F">
        <w:t xml:space="preserve">6 </w:t>
      </w:r>
      <w:r>
        <w:t xml:space="preserve">compares younger mid-career professionals, aged 26-40 (comprising 52% of the sample), </w:t>
      </w:r>
      <w:r w:rsidR="00832776">
        <w:t xml:space="preserve">with </w:t>
      </w:r>
      <w:r>
        <w:t xml:space="preserve">older mid-career professionals, aged 41-60. Younger mid-career professionals value mortgage or rent payments more than their older counterparts. </w:t>
      </w:r>
      <w:r w:rsidR="00576EB8">
        <w:t>Paid work</w:t>
      </w:r>
      <w:r w:rsidRPr="004107D8">
        <w:t xml:space="preserve"> throughout study was more appealing to older professionals.</w:t>
      </w:r>
      <w:r>
        <w:t xml:space="preserve"> </w:t>
      </w:r>
    </w:p>
    <w:p w14:paraId="287A902E" w14:textId="77777777" w:rsidR="00E126A2" w:rsidRDefault="00776215">
      <w:r>
        <w:t>Across the board, work incentives were more attractive to younger professionals than older professionals. For example, guaranteed ongoing employment in a nearby school led to a 10.6</w:t>
      </w:r>
      <w:r w:rsidR="00A5379A">
        <w:t> </w:t>
      </w:r>
      <w:r w:rsidR="006E5C92">
        <w:t>percentage point</w:t>
      </w:r>
      <w:r>
        <w:t xml:space="preserve"> increase in younger professionals choosing teaching, but only an 8.7</w:t>
      </w:r>
      <w:r w:rsidR="006E5C92">
        <w:t xml:space="preserve"> percentage point </w:t>
      </w:r>
      <w:r>
        <w:t xml:space="preserve">increase for older professionals. </w:t>
      </w:r>
    </w:p>
    <w:p w14:paraId="00F9EBB6" w14:textId="77777777" w:rsidR="00100B5F" w:rsidRDefault="00776215">
      <w:pPr>
        <w:rPr>
          <w:noProof/>
        </w:rPr>
      </w:pPr>
      <w:r>
        <w:t>Higher starting and top pay were equally impactful across the two age cohorts.</w:t>
      </w:r>
      <w:r w:rsidRPr="008C3BB4">
        <w:rPr>
          <w:noProof/>
        </w:rPr>
        <w:t xml:space="preserve"> </w:t>
      </w:r>
    </w:p>
    <w:p w14:paraId="0ED46509" w14:textId="77777777" w:rsidR="00776215" w:rsidRPr="00100B5F" w:rsidRDefault="002005FF" w:rsidP="00FB34B3">
      <w:pPr>
        <w:pStyle w:val="FigureHeading"/>
        <w:numPr>
          <w:ilvl w:val="0"/>
          <w:numId w:val="3"/>
        </w:numPr>
        <w:tabs>
          <w:tab w:val="clear" w:pos="1134"/>
          <w:tab w:val="left" w:pos="851"/>
        </w:tabs>
        <w:ind w:left="357" w:hanging="357"/>
        <w:rPr>
          <w:b w:val="0"/>
        </w:rPr>
      </w:pPr>
      <w:r>
        <w:rPr>
          <w:noProof/>
        </w:rPr>
        <w:drawing>
          <wp:anchor distT="0" distB="0" distL="114300" distR="114300" simplePos="0" relativeHeight="251663360" behindDoc="0" locked="0" layoutInCell="1" allowOverlap="1" wp14:anchorId="60A31F23" wp14:editId="6CEE6C8F">
            <wp:simplePos x="0" y="0"/>
            <wp:positionH relativeFrom="margin">
              <wp:align>right</wp:align>
            </wp:positionH>
            <wp:positionV relativeFrom="paragraph">
              <wp:posOffset>268653</wp:posOffset>
            </wp:positionV>
            <wp:extent cx="5779135" cy="3902710"/>
            <wp:effectExtent l="0" t="0" r="0" b="2540"/>
            <wp:wrapSquare wrapText="bothSides"/>
            <wp:docPr id="16" name="Picture 16" descr="Horizontal bar charts showing the additional probability of choosing a teaching package, when a Study or Work Incentive was included in the package. The left chart is for 'Younger mid-career professionals (26-40 y/o)' and the right chart is for 'Older mid-career professionals (41-65 y/o)'. For younger mid-career professionals, the additional probability was 4% for Paid Teaching Internship, 6% for Paid Work in Final Year, 6% for Condensed 1-Year Qualification, 6% for $20,000 Scholarship, 9% for $30,000 Scholarship, 9% for Paid Work Throughout Study, 11% for Mortgage/Rent Payments, 3% for Mentoring, 7% for Payment to Recognise Past Experience, 8% for Overtime Work is Paid, 9% for Guaranteed Ongoing Employment, 9% for Manageable Workload, and 11% for Guaranteed Ongoing Employment in Nearby School. For older mid-career professionals, the additional probability was 5% for Paid Teaching Internship, 7% for $20,000 Scholarship, 7% for Paid Work in Final Year, 8% for Mortgage/Rent Payments, 8% for Condensed 1-Year Qualification, 11% for $30,000 Scholarship, 12% for Paid Work Throughout Study, 3% for Mentoring, 4% for Overtime Work is Paid, 5% for Payment to Recognise Past Experience, 5% for Manageable Workload, 7% for Guaranteed Ongoing Employment, and 9% for Guaranteed Ongoing Employment in Nearby School. There is a solid gold arrow from Mortgage/Rent Payments on the left (top bar) down to the fourth Mortgage/Rent Payments bar on the right." title="Two horizontal bar charts showing the additional probability of younger or older mid-career professionals choosing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CE_MCP_youngerolder.png"/>
                    <pic:cNvPicPr/>
                  </pic:nvPicPr>
                  <pic:blipFill>
                    <a:blip r:embed="rId28">
                      <a:extLst>
                        <a:ext uri="{28A0092B-C50C-407E-A947-70E740481C1C}">
                          <a14:useLocalDpi xmlns:a14="http://schemas.microsoft.com/office/drawing/2010/main" val="0"/>
                        </a:ext>
                      </a:extLst>
                    </a:blip>
                    <a:stretch>
                      <a:fillRect/>
                    </a:stretch>
                  </pic:blipFill>
                  <pic:spPr>
                    <a:xfrm>
                      <a:off x="0" y="0"/>
                      <a:ext cx="5779135" cy="3902710"/>
                    </a:xfrm>
                    <a:prstGeom prst="rect">
                      <a:avLst/>
                    </a:prstGeom>
                  </pic:spPr>
                </pic:pic>
              </a:graphicData>
            </a:graphic>
          </wp:anchor>
        </w:drawing>
      </w:r>
      <w:r w:rsidR="00FB34B3">
        <w:rPr>
          <w:b w:val="0"/>
        </w:rPr>
        <w:t>Impact of incentives on</w:t>
      </w:r>
      <w:r w:rsidR="00776215" w:rsidRPr="003E7B6B">
        <w:rPr>
          <w:rStyle w:val="FigureHeadingChar"/>
        </w:rPr>
        <w:t xml:space="preserve"> younger and older mid-career professionals</w:t>
      </w:r>
      <w:r w:rsidR="00776215" w:rsidRPr="00100B5F">
        <w:rPr>
          <w:b w:val="0"/>
          <w:noProof/>
        </w:rPr>
        <mc:AlternateContent>
          <mc:Choice Requires="wps">
            <w:drawing>
              <wp:anchor distT="0" distB="0" distL="114300" distR="114300" simplePos="0" relativeHeight="251652096" behindDoc="0" locked="0" layoutInCell="1" allowOverlap="1" wp14:anchorId="11C7AAE7" wp14:editId="33F42A9F">
                <wp:simplePos x="0" y="0"/>
                <wp:positionH relativeFrom="column">
                  <wp:posOffset>1236663</wp:posOffset>
                </wp:positionH>
                <wp:positionV relativeFrom="paragraph">
                  <wp:posOffset>10843260</wp:posOffset>
                </wp:positionV>
                <wp:extent cx="1311525" cy="400110"/>
                <wp:effectExtent l="0" t="0" r="0" b="0"/>
                <wp:wrapNone/>
                <wp:docPr id="84" name="TextBox 19"/>
                <wp:cNvGraphicFramePr/>
                <a:graphic xmlns:a="http://schemas.openxmlformats.org/drawingml/2006/main">
                  <a:graphicData uri="http://schemas.microsoft.com/office/word/2010/wordprocessingShape">
                    <wps:wsp>
                      <wps:cNvSpPr txBox="1"/>
                      <wps:spPr>
                        <a:xfrm rot="16200000">
                          <a:off x="0" y="0"/>
                          <a:ext cx="1311525" cy="400110"/>
                        </a:xfrm>
                        <a:prstGeom prst="rect">
                          <a:avLst/>
                        </a:prstGeom>
                        <a:noFill/>
                      </wps:spPr>
                      <wps:txbx>
                        <w:txbxContent>
                          <w:p w14:paraId="7A0FF4FD" w14:textId="77777777" w:rsidR="00AE5935" w:rsidRDefault="00AE5935" w:rsidP="00776215">
                            <w:pPr>
                              <w:pStyle w:val="NormalWeb"/>
                              <w:spacing w:before="0" w:beforeAutospacing="0" w:after="0" w:afterAutospacing="0"/>
                              <w:jc w:val="center"/>
                            </w:pPr>
                            <w:r>
                              <w:rPr>
                                <w:rFonts w:ascii="Helvetica" w:eastAsia="+mn-ea" w:hAnsi="Helvetica" w:cs="+mn-cs"/>
                                <w:b/>
                                <w:bCs/>
                                <w:color w:val="6D6E71"/>
                                <w:kern w:val="24"/>
                                <w:sz w:val="20"/>
                                <w:szCs w:val="20"/>
                              </w:rPr>
                              <w:t xml:space="preserve">Work </w:t>
                            </w:r>
                          </w:p>
                          <w:p w14:paraId="51369348" w14:textId="77777777" w:rsidR="00AE5935" w:rsidRDefault="00AE5935" w:rsidP="00776215">
                            <w:pPr>
                              <w:pStyle w:val="NormalWeb"/>
                              <w:spacing w:before="0" w:beforeAutospacing="0" w:after="0" w:afterAutospacing="0"/>
                              <w:jc w:val="center"/>
                            </w:pPr>
                            <w:r>
                              <w:rPr>
                                <w:rFonts w:ascii="Helvetica" w:eastAsia="+mn-ea" w:hAnsi="Helvetica" w:cs="+mn-cs"/>
                                <w:b/>
                                <w:bCs/>
                                <w:color w:val="6D6E71"/>
                                <w:kern w:val="24"/>
                                <w:sz w:val="20"/>
                                <w:szCs w:val="20"/>
                              </w:rPr>
                              <w:t>incentives</w:t>
                            </w:r>
                          </w:p>
                        </w:txbxContent>
                      </wps:txbx>
                      <wps:bodyPr wrap="square" rtlCol="0">
                        <a:spAutoFit/>
                      </wps:bodyPr>
                    </wps:wsp>
                  </a:graphicData>
                </a:graphic>
              </wp:anchor>
            </w:drawing>
          </mc:Choice>
          <mc:Fallback>
            <w:pict>
              <v:shapetype w14:anchorId="11C7AAE7" id="_x0000_t202" coordsize="21600,21600" o:spt="202" path="m,l,21600r21600,l21600,xe">
                <v:stroke joinstyle="miter"/>
                <v:path gradientshapeok="t" o:connecttype="rect"/>
              </v:shapetype>
              <v:shape id="TextBox 19" o:spid="_x0000_s1026" type="#_x0000_t202" style="position:absolute;left:0;text-align:left;margin-left:97.4pt;margin-top:853.8pt;width:103.25pt;height:31.5pt;rotation:-90;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" filled="f" stroked="f">
                <v:textbox style="mso-fit-shape-to-text:t">
                  <w:txbxContent>
                    <w:p w14:paraId="7A0FF4FD" w14:textId="77777777" w:rsidR="00AE5935" w:rsidRDefault="00AE5935" w:rsidP="00776215">
                      <w:pPr>
                        <w:pStyle w:val="NormalWeb"/>
                        <w:spacing w:before="0" w:beforeAutospacing="0" w:after="0" w:afterAutospacing="0"/>
                        <w:jc w:val="center"/>
                      </w:pPr>
                      <w:r>
                        <w:rPr>
                          <w:rFonts w:ascii="Helvetica" w:eastAsia="+mn-ea" w:hAnsi="Helvetica" w:cs="+mn-cs"/>
                          <w:b/>
                          <w:bCs/>
                          <w:color w:val="6D6E71"/>
                          <w:kern w:val="24"/>
                          <w:sz w:val="20"/>
                          <w:szCs w:val="20"/>
                        </w:rPr>
                        <w:t xml:space="preserve">Work </w:t>
                      </w:r>
                    </w:p>
                    <w:p w14:paraId="51369348" w14:textId="77777777" w:rsidR="00AE5935" w:rsidRDefault="00AE5935" w:rsidP="00776215">
                      <w:pPr>
                        <w:pStyle w:val="NormalWeb"/>
                        <w:spacing w:before="0" w:beforeAutospacing="0" w:after="0" w:afterAutospacing="0"/>
                        <w:jc w:val="center"/>
                      </w:pPr>
                      <w:r>
                        <w:rPr>
                          <w:rFonts w:ascii="Helvetica" w:eastAsia="+mn-ea" w:hAnsi="Helvetica" w:cs="+mn-cs"/>
                          <w:b/>
                          <w:bCs/>
                          <w:color w:val="6D6E71"/>
                          <w:kern w:val="24"/>
                          <w:sz w:val="20"/>
                          <w:szCs w:val="20"/>
                        </w:rPr>
                        <w:t>incentives</w:t>
                      </w:r>
                    </w:p>
                  </w:txbxContent>
                </v:textbox>
              </v:shape>
            </w:pict>
          </mc:Fallback>
        </mc:AlternateContent>
      </w:r>
      <w:r w:rsidR="00776215" w:rsidRPr="00100B5F">
        <w:rPr>
          <w:b w:val="0"/>
          <w:noProof/>
        </w:rPr>
        <mc:AlternateContent>
          <mc:Choice Requires="wps">
            <w:drawing>
              <wp:anchor distT="0" distB="0" distL="114300" distR="114300" simplePos="0" relativeHeight="251653120" behindDoc="0" locked="0" layoutInCell="1" allowOverlap="1" wp14:anchorId="3913F346" wp14:editId="4D689248">
                <wp:simplePos x="0" y="0"/>
                <wp:positionH relativeFrom="column">
                  <wp:posOffset>1246188</wp:posOffset>
                </wp:positionH>
                <wp:positionV relativeFrom="paragraph">
                  <wp:posOffset>9462135</wp:posOffset>
                </wp:positionV>
                <wp:extent cx="1311525" cy="400110"/>
                <wp:effectExtent l="0" t="0" r="0" b="0"/>
                <wp:wrapNone/>
                <wp:docPr id="85" name="TextBox 17"/>
                <wp:cNvGraphicFramePr/>
                <a:graphic xmlns:a="http://schemas.openxmlformats.org/drawingml/2006/main">
                  <a:graphicData uri="http://schemas.microsoft.com/office/word/2010/wordprocessingShape">
                    <wps:wsp>
                      <wps:cNvSpPr txBox="1"/>
                      <wps:spPr>
                        <a:xfrm rot="16200000">
                          <a:off x="0" y="0"/>
                          <a:ext cx="1311525" cy="400110"/>
                        </a:xfrm>
                        <a:prstGeom prst="rect">
                          <a:avLst/>
                        </a:prstGeom>
                        <a:noFill/>
                      </wps:spPr>
                      <wps:txbx>
                        <w:txbxContent>
                          <w:p w14:paraId="3233151A" w14:textId="77777777" w:rsidR="00AE5935" w:rsidRDefault="00AE5935" w:rsidP="00776215">
                            <w:pPr>
                              <w:pStyle w:val="NormalWeb"/>
                              <w:spacing w:before="0" w:beforeAutospacing="0" w:after="0" w:afterAutospacing="0"/>
                              <w:jc w:val="center"/>
                            </w:pPr>
                            <w:r>
                              <w:rPr>
                                <w:rFonts w:ascii="Helvetica" w:eastAsia="+mn-ea" w:hAnsi="Helvetica" w:cs="+mn-cs"/>
                                <w:b/>
                                <w:bCs/>
                                <w:color w:val="6D6E71"/>
                                <w:kern w:val="24"/>
                                <w:sz w:val="20"/>
                                <w:szCs w:val="20"/>
                              </w:rPr>
                              <w:t xml:space="preserve">Study </w:t>
                            </w:r>
                          </w:p>
                          <w:p w14:paraId="6CBD4828" w14:textId="77777777" w:rsidR="00AE5935" w:rsidRDefault="00AE5935" w:rsidP="00776215">
                            <w:pPr>
                              <w:pStyle w:val="NormalWeb"/>
                              <w:spacing w:before="0" w:beforeAutospacing="0" w:after="0" w:afterAutospacing="0"/>
                              <w:jc w:val="center"/>
                            </w:pPr>
                            <w:r>
                              <w:rPr>
                                <w:rFonts w:ascii="Helvetica" w:eastAsia="+mn-ea" w:hAnsi="Helvetica" w:cs="+mn-cs"/>
                                <w:b/>
                                <w:bCs/>
                                <w:color w:val="6D6E71"/>
                                <w:kern w:val="24"/>
                                <w:sz w:val="20"/>
                                <w:szCs w:val="20"/>
                              </w:rPr>
                              <w:t>incentives</w:t>
                            </w:r>
                          </w:p>
                        </w:txbxContent>
                      </wps:txbx>
                      <wps:bodyPr wrap="square" rtlCol="0">
                        <a:spAutoFit/>
                      </wps:bodyPr>
                    </wps:wsp>
                  </a:graphicData>
                </a:graphic>
              </wp:anchor>
            </w:drawing>
          </mc:Choice>
          <mc:Fallback>
            <w:pict>
              <v:shape w14:anchorId="3913F346" id="TextBox 17" o:spid="_x0000_s1027" type="#_x0000_t202" style="position:absolute;left:0;text-align:left;margin-left:98.15pt;margin-top:745.05pt;width:103.25pt;height:31.5pt;rotation:-90;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" filled="f" stroked="f">
                <v:textbox style="mso-fit-shape-to-text:t">
                  <w:txbxContent>
                    <w:p w14:paraId="3233151A" w14:textId="77777777" w:rsidR="00AE5935" w:rsidRDefault="00AE5935" w:rsidP="00776215">
                      <w:pPr>
                        <w:pStyle w:val="NormalWeb"/>
                        <w:spacing w:before="0" w:beforeAutospacing="0" w:after="0" w:afterAutospacing="0"/>
                        <w:jc w:val="center"/>
                      </w:pPr>
                      <w:r>
                        <w:rPr>
                          <w:rFonts w:ascii="Helvetica" w:eastAsia="+mn-ea" w:hAnsi="Helvetica" w:cs="+mn-cs"/>
                          <w:b/>
                          <w:bCs/>
                          <w:color w:val="6D6E71"/>
                          <w:kern w:val="24"/>
                          <w:sz w:val="20"/>
                          <w:szCs w:val="20"/>
                        </w:rPr>
                        <w:t xml:space="preserve">Study </w:t>
                      </w:r>
                    </w:p>
                    <w:p w14:paraId="6CBD4828" w14:textId="77777777" w:rsidR="00AE5935" w:rsidRDefault="00AE5935" w:rsidP="00776215">
                      <w:pPr>
                        <w:pStyle w:val="NormalWeb"/>
                        <w:spacing w:before="0" w:beforeAutospacing="0" w:after="0" w:afterAutospacing="0"/>
                        <w:jc w:val="center"/>
                      </w:pPr>
                      <w:r>
                        <w:rPr>
                          <w:rFonts w:ascii="Helvetica" w:eastAsia="+mn-ea" w:hAnsi="Helvetica" w:cs="+mn-cs"/>
                          <w:b/>
                          <w:bCs/>
                          <w:color w:val="6D6E71"/>
                          <w:kern w:val="24"/>
                          <w:sz w:val="20"/>
                          <w:szCs w:val="20"/>
                        </w:rPr>
                        <w:t>incentives</w:t>
                      </w:r>
                    </w:p>
                  </w:txbxContent>
                </v:textbox>
              </v:shape>
            </w:pict>
          </mc:Fallback>
        </mc:AlternateContent>
      </w:r>
      <w:r w:rsidR="00F670B4" w:rsidRPr="00100B5F">
        <w:rPr>
          <w:b w:val="0"/>
        </w:rPr>
        <w:t>.</w:t>
      </w:r>
    </w:p>
    <w:p w14:paraId="0534BB6D" w14:textId="77777777" w:rsidR="00100B5F" w:rsidRDefault="00100B5F" w:rsidP="00E565B7"/>
    <w:p w14:paraId="53070991" w14:textId="77777777" w:rsidR="00D40DFE" w:rsidRDefault="00D40DFE" w:rsidP="00D40DFE">
      <w:pPr>
        <w:pStyle w:val="Heading3"/>
      </w:pPr>
      <w:r>
        <w:t xml:space="preserve">There is interest from mid-career professionals to enter teaching, although most </w:t>
      </w:r>
      <w:r w:rsidRPr="006911FB">
        <w:t>underestimate the length of study required</w:t>
      </w:r>
    </w:p>
    <w:p w14:paraId="5006F460" w14:textId="77777777" w:rsidR="003971B7" w:rsidRDefault="00D40DFE" w:rsidP="001A7AFE">
      <w:pPr>
        <w:ind w:right="29"/>
        <w:rPr>
          <w:b/>
        </w:rPr>
      </w:pPr>
      <w:r>
        <w:t>One in 10</w:t>
      </w:r>
      <w:r w:rsidRPr="00D20292">
        <w:t xml:space="preserve"> mid-career professionals </w:t>
      </w:r>
      <w:r>
        <w:t xml:space="preserve">indicated they </w:t>
      </w:r>
      <w:r w:rsidRPr="00D20292">
        <w:t xml:space="preserve">plan to become </w:t>
      </w:r>
      <w:r>
        <w:t xml:space="preserve">a </w:t>
      </w:r>
      <w:r w:rsidRPr="00D20292">
        <w:t>teacher</w:t>
      </w:r>
      <w:r>
        <w:t xml:space="preserve"> (10%)</w:t>
      </w:r>
      <w:r w:rsidR="001A7AFE">
        <w:t xml:space="preserve">, </w:t>
      </w:r>
      <w:r w:rsidR="003971B7">
        <w:t xml:space="preserve">and another 29% have considered it and are still open to it. </w:t>
      </w:r>
      <w:r w:rsidR="00251A75">
        <w:t xml:space="preserve">The rest (61%) </w:t>
      </w:r>
      <w:r w:rsidR="00251A75" w:rsidRPr="00251A75">
        <w:t>have either never considered</w:t>
      </w:r>
      <w:r w:rsidR="00251A75">
        <w:t xml:space="preserve"> it</w:t>
      </w:r>
      <w:r w:rsidR="00251A75" w:rsidRPr="00251A75">
        <w:t xml:space="preserve">, or </w:t>
      </w:r>
      <w:r w:rsidR="00E126A2">
        <w:t xml:space="preserve">considered it but </w:t>
      </w:r>
      <w:r w:rsidR="00251A75" w:rsidRPr="00251A75">
        <w:t>are no longer open to the idea</w:t>
      </w:r>
      <w:r w:rsidR="00251A75">
        <w:t>.</w:t>
      </w:r>
    </w:p>
    <w:p w14:paraId="35D9F03A" w14:textId="77777777" w:rsidR="00D40DFE" w:rsidRDefault="00D40DFE" w:rsidP="001A7AFE">
      <w:pPr>
        <w:ind w:right="29"/>
      </w:pPr>
      <w:r>
        <w:t xml:space="preserve">Most mid-career professionals </w:t>
      </w:r>
      <w:r w:rsidR="003971B7">
        <w:t>(67%)</w:t>
      </w:r>
      <w:r>
        <w:t xml:space="preserve"> </w:t>
      </w:r>
      <w:r w:rsidR="001A7AFE">
        <w:t>underestimate the length of study</w:t>
      </w:r>
      <w:r>
        <w:t xml:space="preserve"> required to become a teacher. </w:t>
      </w:r>
      <w:r w:rsidR="001A7AFE">
        <w:t xml:space="preserve">Only </w:t>
      </w:r>
      <w:r w:rsidR="0011342C">
        <w:t>a third knew</w:t>
      </w:r>
      <w:r w:rsidR="001A7AFE">
        <w:t xml:space="preserve"> that </w:t>
      </w:r>
      <w:r>
        <w:t>a 2-year Master’s</w:t>
      </w:r>
      <w:r w:rsidR="001A7AFE">
        <w:t xml:space="preserve"> </w:t>
      </w:r>
      <w:r w:rsidR="0011342C">
        <w:t xml:space="preserve">degree is </w:t>
      </w:r>
      <w:r w:rsidR="001A7AFE">
        <w:t>required</w:t>
      </w:r>
      <w:r w:rsidR="0011342C">
        <w:t xml:space="preserve"> to become a teacher</w:t>
      </w:r>
      <w:r w:rsidR="001A7AFE">
        <w:t xml:space="preserve">. </w:t>
      </w:r>
      <w:r>
        <w:t>Even among the 10% who indicated they were ‘planning to become a teacher’, only 28% knew a 2-year Master’s degree was required. This shows knowledge about postgraduate teaching studies is low, even among those most willing to become a teacher.</w:t>
      </w:r>
      <w:r w:rsidRPr="00195753">
        <w:rPr>
          <w:noProof/>
        </w:rPr>
        <w:t xml:space="preserve"> </w:t>
      </w:r>
    </w:p>
    <w:p w14:paraId="04E1A363" w14:textId="77777777" w:rsidR="00D40DFE" w:rsidRDefault="00FB34B3" w:rsidP="00D40DFE">
      <w:pPr>
        <w:tabs>
          <w:tab w:val="left" w:pos="4536"/>
        </w:tabs>
        <w:ind w:right="312"/>
      </w:pPr>
      <w:r>
        <w:t>Similar</w:t>
      </w:r>
      <w:r w:rsidR="00D40DFE">
        <w:t xml:space="preserve"> to young-high achievers, </w:t>
      </w:r>
      <w:r w:rsidR="0011342C">
        <w:t>four in ten</w:t>
      </w:r>
      <w:r w:rsidR="00D40DFE">
        <w:t xml:space="preserve"> mid-career professionals correctly identified a teacher’s starting pay. Figure </w:t>
      </w:r>
      <w:r w:rsidR="009E2223">
        <w:t>7</w:t>
      </w:r>
      <w:r w:rsidR="00D40DFE">
        <w:t xml:space="preserve"> shows a third (33%) underestimated this pay, and 28% overestimated it. </w:t>
      </w:r>
    </w:p>
    <w:p w14:paraId="5F45B6EC" w14:textId="77777777" w:rsidR="00D40DFE" w:rsidRDefault="0011342C" w:rsidP="00D40DFE">
      <w:pPr>
        <w:ind w:right="28"/>
      </w:pPr>
      <w:r>
        <w:t>A quarter of mid-career professional</w:t>
      </w:r>
      <w:r w:rsidR="00E126A2">
        <w:t>s</w:t>
      </w:r>
      <w:r>
        <w:t xml:space="preserve"> (</w:t>
      </w:r>
      <w:r w:rsidR="00D40DFE">
        <w:t>23%</w:t>
      </w:r>
      <w:r>
        <w:t>)</w:t>
      </w:r>
      <w:r w:rsidR="00D40DFE">
        <w:t xml:space="preserve"> currently earn less than a starting teacher would. Although these individuals stand to get a pay rise by becoming a teacher, they are slightly less likely to be open to teaching (34% planning or open to becoming a teacher) than individuals who earn more or the same as a starting teacher (41% planning or open to becoming a teacher).</w:t>
      </w:r>
      <w:r w:rsidR="00FE1913">
        <w:rPr>
          <w:rStyle w:val="FootnoteReference"/>
        </w:rPr>
        <w:footnoteReference w:id="3"/>
      </w:r>
    </w:p>
    <w:p w14:paraId="10877126" w14:textId="77777777" w:rsidR="00D40DFE" w:rsidRDefault="00D40DFE" w:rsidP="00E274F8">
      <w:pPr>
        <w:pStyle w:val="FigureHeading"/>
        <w:numPr>
          <w:ilvl w:val="0"/>
          <w:numId w:val="3"/>
        </w:numPr>
        <w:tabs>
          <w:tab w:val="clear" w:pos="1134"/>
          <w:tab w:val="left" w:pos="851"/>
        </w:tabs>
        <w:ind w:left="0" w:firstLine="0"/>
        <w:rPr>
          <w:b w:val="0"/>
        </w:rPr>
      </w:pPr>
      <w:r w:rsidRPr="001A7AFE">
        <w:rPr>
          <w:b w:val="0"/>
        </w:rPr>
        <w:t>Mid-career professionals’ expectations of teacher’s starting pay compared to the income they currently earn.</w:t>
      </w:r>
    </w:p>
    <w:p w14:paraId="370C8A7C" w14:textId="77777777" w:rsidR="00DA53A0" w:rsidRPr="00650AD6" w:rsidRDefault="00DA53A0" w:rsidP="00E565B7">
      <w:r>
        <w:rPr>
          <w:noProof/>
        </w:rPr>
        <w:drawing>
          <wp:inline distT="0" distB="0" distL="0" distR="0" wp14:anchorId="3FC0A36E" wp14:editId="5C4A938B">
            <wp:extent cx="4895850" cy="3135689"/>
            <wp:effectExtent l="0" t="0" r="0" b="7620"/>
            <wp:docPr id="28" name="Picture 28" descr="Clustered column chart with two bars each (one for 'Teaching' and one for 'Current Income') for 9 salary brackets. 'Annual salary' is on the x-axis from &quot;&lt;$40k&quot; to &quot;$200k plus&quot;, and '% of mid-career professionals' is on the y-axis from 0% to 40%. Each bar shows what percentage of mid-career professionals expected annual salary to be in that salary range for Teaching compared to their current annual salary, respectively: 4% and 9% expected &lt;$40k; 8% and 6% expected $40k-$49k; 21% and 9% expected $50-59k; 39% and 16% expected $60k-$79k; 14% and 17% expected $80k-$99k; 7% and 16% expected $100k-$119k; 4% and 13% expected $120k-$149k; 2% and 7% expected $150k-$199k; and 1% and 4% expected $200k plus." title="Clustered column chart showing percentage of mid-career professionals who expected the given salary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artingsalary_MCP.png"/>
                    <pic:cNvPicPr/>
                  </pic:nvPicPr>
                  <pic:blipFill>
                    <a:blip r:embed="rId29">
                      <a:extLst>
                        <a:ext uri="{28A0092B-C50C-407E-A947-70E740481C1C}">
                          <a14:useLocalDpi xmlns:a14="http://schemas.microsoft.com/office/drawing/2010/main" val="0"/>
                        </a:ext>
                      </a:extLst>
                    </a:blip>
                    <a:stretch>
                      <a:fillRect/>
                    </a:stretch>
                  </pic:blipFill>
                  <pic:spPr>
                    <a:xfrm>
                      <a:off x="0" y="0"/>
                      <a:ext cx="4897661" cy="3136849"/>
                    </a:xfrm>
                    <a:prstGeom prst="rect">
                      <a:avLst/>
                    </a:prstGeom>
                  </pic:spPr>
                </pic:pic>
              </a:graphicData>
            </a:graphic>
          </wp:inline>
        </w:drawing>
      </w:r>
    </w:p>
    <w:p w14:paraId="77297C0E" w14:textId="77777777" w:rsidR="001959C4" w:rsidRPr="00EE67D7" w:rsidRDefault="001959C4" w:rsidP="00EE67D7">
      <w:r>
        <w:br w:type="page"/>
      </w:r>
    </w:p>
    <w:p w14:paraId="0D890A18" w14:textId="77777777" w:rsidR="00B85446" w:rsidRPr="0050783B" w:rsidRDefault="00B85446" w:rsidP="00191A5D">
      <w:pPr>
        <w:pStyle w:val="Heading2"/>
      </w:pPr>
      <w:bookmarkStart w:id="7" w:name="_Toc91166061"/>
      <w:r w:rsidRPr="0050783B">
        <w:t>Discussion and conclusion</w:t>
      </w:r>
      <w:bookmarkEnd w:id="7"/>
    </w:p>
    <w:p w14:paraId="5D54E880" w14:textId="77777777" w:rsidR="00D60E20" w:rsidRDefault="00D60E20" w:rsidP="00D60E20">
      <w:pPr>
        <w:pStyle w:val="Heading3"/>
      </w:pPr>
      <w:r>
        <w:t>Guaranteeing ongoing employment, particularly in a nearby school, is attractive for all cohorts</w:t>
      </w:r>
    </w:p>
    <w:p w14:paraId="1D684FAB" w14:textId="77777777" w:rsidR="00D60E20" w:rsidRDefault="00D60E20" w:rsidP="00D60E20">
      <w:r>
        <w:t xml:space="preserve">Guaranteed ongoing employment in a nearby school was the top-performing work incentive for young high-achievers and mid-career professionals. This incentive outperformed improvements to workload or additional payments for overtime or past experience. This implies long-term job stability, especially coupled with the convenience of a nearby workplace, is one of the most important considerations. The second most attractive work incentive was the guarantee of ongoing employment, without the condition of being placed in a nearby school. </w:t>
      </w:r>
    </w:p>
    <w:p w14:paraId="45C50C71" w14:textId="77777777" w:rsidR="00F670B4" w:rsidRDefault="00F670B4" w:rsidP="00F670B4">
      <w:pPr>
        <w:pStyle w:val="Heading3"/>
      </w:pPr>
      <w:r>
        <w:t>People value support during study</w:t>
      </w:r>
    </w:p>
    <w:p w14:paraId="337B232B" w14:textId="77777777" w:rsidR="00F670B4" w:rsidRDefault="00D60E20" w:rsidP="00F670B4">
      <w:r>
        <w:t xml:space="preserve">Across the board, young high-achievers and mid-career professionals were attracted to incentives that offered financial support during the period of study. </w:t>
      </w:r>
      <w:r w:rsidR="00F670B4">
        <w:t xml:space="preserve">For young high-achievers, a $30,000 per annum scholarship was the </w:t>
      </w:r>
      <w:r w:rsidR="000D4838">
        <w:t xml:space="preserve">best performing </w:t>
      </w:r>
      <w:r w:rsidR="00F670B4">
        <w:t xml:space="preserve">non-pay incentive. For mid-career professionals, </w:t>
      </w:r>
      <w:r>
        <w:t>such</w:t>
      </w:r>
      <w:r w:rsidR="00F670B4">
        <w:t xml:space="preserve"> </w:t>
      </w:r>
      <w:r w:rsidR="00FB34B3">
        <w:t xml:space="preserve">a </w:t>
      </w:r>
      <w:r w:rsidR="00F670B4">
        <w:t xml:space="preserve">scholarship was on par with the other </w:t>
      </w:r>
      <w:r w:rsidR="000D4838">
        <w:t xml:space="preserve">top ranking </w:t>
      </w:r>
      <w:r w:rsidR="00F670B4">
        <w:t>incentives.</w:t>
      </w:r>
      <w:r w:rsidR="000D4838">
        <w:t xml:space="preserve"> </w:t>
      </w:r>
      <w:r>
        <w:t xml:space="preserve">There was some variability in how study support incentives </w:t>
      </w:r>
      <w:r w:rsidR="00F670B4">
        <w:t>affect</w:t>
      </w:r>
      <w:r>
        <w:t>ed</w:t>
      </w:r>
      <w:r w:rsidR="00F670B4">
        <w:t xml:space="preserve"> cohorts. </w:t>
      </w:r>
      <w:r>
        <w:t>P</w:t>
      </w:r>
      <w:r w:rsidR="00F670B4">
        <w:t xml:space="preserve">aid work throughout study was more attractive to STEM professionals than non-STEM professionals. The $30,000 scholarship </w:t>
      </w:r>
      <w:r w:rsidR="00EF62E1">
        <w:t>was relatively more attractive to young high-achievers than it was to mid-career professionals.</w:t>
      </w:r>
      <w:r>
        <w:t xml:space="preserve"> </w:t>
      </w:r>
    </w:p>
    <w:p w14:paraId="1600F37A" w14:textId="77777777" w:rsidR="00F670B4" w:rsidRDefault="00F670B4" w:rsidP="00F670B4">
      <w:r>
        <w:t>For some study incentives, further research would help to identify the specific conditions that make them attractive. For example, the study incentive of ‘paid work in a school throughout your two-year qualification’ was somewhat ambiguous: we did not specify the hours of work, level of remuneration, or impact on study time this paid work would involve. Some additional insight into how participants were interpreting this incentive could improve its implementation.</w:t>
      </w:r>
    </w:p>
    <w:p w14:paraId="3D895468" w14:textId="77777777" w:rsidR="00D61679" w:rsidRPr="0092313B" w:rsidRDefault="00D61679" w:rsidP="00D61679">
      <w:pPr>
        <w:pStyle w:val="Heading3"/>
      </w:pPr>
      <w:r>
        <w:t>Increasing top pay would likely be more impactful than increasing starting pay</w:t>
      </w:r>
    </w:p>
    <w:p w14:paraId="5877DF63" w14:textId="77777777" w:rsidR="00D61679" w:rsidRDefault="00D61679">
      <w:r>
        <w:t xml:space="preserve">In our discrete choice experiment, increases in top pay led to a greater increase in the probability of choosing a teaching </w:t>
      </w:r>
      <w:r w:rsidR="00F1377D">
        <w:t xml:space="preserve">job </w:t>
      </w:r>
      <w:r>
        <w:t xml:space="preserve">than an equivalent increase in starting pay. This finding shows the earning potential throughout a career is a more influential consideration than the earning potential at the beginning of a career. In fact, </w:t>
      </w:r>
      <w:r w:rsidR="00435EE3">
        <w:t>at the beginning of their</w:t>
      </w:r>
      <w:r w:rsidR="00737AD9">
        <w:t xml:space="preserve"> career, teachers </w:t>
      </w:r>
      <w:r w:rsidR="00435EE3">
        <w:t xml:space="preserve">earn a competitive wage compared to other professionals (Nolan and Sonnemann 2019). </w:t>
      </w:r>
    </w:p>
    <w:p w14:paraId="09C1CF5B" w14:textId="77777777" w:rsidR="00D61679" w:rsidRDefault="00D61679" w:rsidP="00D61679">
      <w:r>
        <w:t xml:space="preserve">Increases in pay </w:t>
      </w:r>
      <w:r w:rsidR="00652078">
        <w:t xml:space="preserve">should be </w:t>
      </w:r>
      <w:r w:rsidR="00FE1913">
        <w:t>complimented</w:t>
      </w:r>
      <w:r>
        <w:t xml:space="preserve"> by efforts to ensure potential candidates’ perceptions </w:t>
      </w:r>
      <w:r w:rsidR="00A23072">
        <w:t xml:space="preserve">of pay </w:t>
      </w:r>
      <w:r>
        <w:t xml:space="preserve">align with reality. We found many young high-achievers and mid-career professionals currently underestimate a teacher’s starting and top pay. Correcting these </w:t>
      </w:r>
      <w:r w:rsidR="00F1377D">
        <w:t>perceptions</w:t>
      </w:r>
      <w:r>
        <w:t xml:space="preserve"> would make any increases to teachers’ pay more impactful.</w:t>
      </w:r>
    </w:p>
    <w:p w14:paraId="6B3C893B" w14:textId="77777777" w:rsidR="00F670B4" w:rsidRDefault="002005FF" w:rsidP="00F670B4">
      <w:pPr>
        <w:pStyle w:val="Heading3"/>
      </w:pPr>
      <w:r>
        <w:t>Length of study is important for mid-career professionals</w:t>
      </w:r>
    </w:p>
    <w:p w14:paraId="0C699EF6" w14:textId="77777777" w:rsidR="00B03B9D" w:rsidRDefault="00B03B9D" w:rsidP="00B03B9D">
      <w:r>
        <w:t xml:space="preserve">There may be value attached to shortening the time required to attain a postgraduate teaching qualification. </w:t>
      </w:r>
      <w:r w:rsidR="00F670B4">
        <w:t xml:space="preserve">In our discrete choice experiment, a condensed 1-year course was as attractive as </w:t>
      </w:r>
      <w:r w:rsidR="002005FF">
        <w:t xml:space="preserve">a $20,000 increase in top pay. </w:t>
      </w:r>
      <w:r>
        <w:t xml:space="preserve">Mid-career professionals also had a poor understanding of the length of study required to attain a teaching qualification. Most believed it can be done in one year or less. </w:t>
      </w:r>
      <w:r w:rsidRPr="002005FF">
        <w:t xml:space="preserve">This </w:t>
      </w:r>
      <w:r>
        <w:t xml:space="preserve">confusion </w:t>
      </w:r>
      <w:r w:rsidRPr="002005FF">
        <w:t xml:space="preserve">may be </w:t>
      </w:r>
      <w:r>
        <w:t>due to</w:t>
      </w:r>
      <w:r w:rsidRPr="002005FF">
        <w:t xml:space="preserve"> one-year </w:t>
      </w:r>
      <w:r>
        <w:t>teaching</w:t>
      </w:r>
      <w:r w:rsidRPr="002005FF">
        <w:t xml:space="preserve"> Graduate Diplomas </w:t>
      </w:r>
      <w:r w:rsidR="005E6E79">
        <w:t xml:space="preserve">being offered, but then </w:t>
      </w:r>
      <w:r>
        <w:t>discontinued</w:t>
      </w:r>
      <w:r w:rsidRPr="002005FF">
        <w:t xml:space="preserve"> in 2017.</w:t>
      </w:r>
      <w:r>
        <w:t xml:space="preserve"> Potential teaching candidates may be discouraged once they understand the required time investment to become a teacher.</w:t>
      </w:r>
    </w:p>
    <w:p w14:paraId="4B040707" w14:textId="77777777" w:rsidR="00C67F21" w:rsidRDefault="00C67F21" w:rsidP="00F04EF6"/>
    <w:p w14:paraId="748E7234" w14:textId="77777777" w:rsidR="00757CB3" w:rsidRDefault="00757CB3">
      <w:pPr>
        <w:spacing w:after="0" w:line="240" w:lineRule="auto"/>
        <w:rPr>
          <w:rFonts w:asciiTheme="majorHAnsi" w:hAnsiTheme="majorHAnsi"/>
          <w:b/>
          <w:sz w:val="72"/>
          <w:szCs w:val="44"/>
        </w:rPr>
      </w:pPr>
      <w:r>
        <w:br w:type="page"/>
      </w:r>
    </w:p>
    <w:p w14:paraId="17C02CDB" w14:textId="77777777" w:rsidR="001E6A27" w:rsidRDefault="00C67F21" w:rsidP="00191A5D">
      <w:pPr>
        <w:pStyle w:val="Heading2"/>
      </w:pPr>
      <w:bookmarkStart w:id="8" w:name="_Toc91166062"/>
      <w:r>
        <w:t>References</w:t>
      </w:r>
      <w:bookmarkEnd w:id="8"/>
    </w:p>
    <w:p w14:paraId="428579B1" w14:textId="77777777" w:rsidR="00F670B4" w:rsidRPr="003E7B6B" w:rsidRDefault="00F670B4" w:rsidP="00F670B4">
      <w:pPr>
        <w:rPr>
          <w:rFonts w:asciiTheme="majorHAnsi" w:hAnsiTheme="majorHAnsi" w:cstheme="majorHAnsi"/>
          <w:sz w:val="21"/>
          <w:szCs w:val="21"/>
          <w:shd w:val="clear" w:color="auto" w:fill="FFFFFF"/>
        </w:rPr>
      </w:pPr>
      <w:r w:rsidRPr="003E7B6B">
        <w:rPr>
          <w:rFonts w:asciiTheme="majorHAnsi" w:hAnsiTheme="majorHAnsi" w:cstheme="majorHAnsi"/>
          <w:sz w:val="21"/>
          <w:szCs w:val="21"/>
          <w:shd w:val="clear" w:color="auto" w:fill="FFFFFF"/>
        </w:rPr>
        <w:t>Audit Office of New South Wales (2019) ‘</w:t>
      </w:r>
      <w:hyperlink r:id="rId30" w:history="1">
        <w:r w:rsidRPr="003E7B6B">
          <w:rPr>
            <w:rStyle w:val="Hyperlink"/>
            <w:rFonts w:asciiTheme="majorHAnsi" w:hAnsiTheme="majorHAnsi" w:cstheme="majorHAnsi"/>
            <w:sz w:val="21"/>
            <w:szCs w:val="21"/>
            <w:shd w:val="clear" w:color="auto" w:fill="FFFFFF"/>
          </w:rPr>
          <w:t>Supply of secondary teachers in STEM-related disciplines</w:t>
        </w:r>
      </w:hyperlink>
      <w:r w:rsidRPr="003E7B6B">
        <w:rPr>
          <w:rFonts w:asciiTheme="majorHAnsi" w:hAnsiTheme="majorHAnsi" w:cstheme="majorHAnsi"/>
          <w:sz w:val="21"/>
          <w:szCs w:val="21"/>
          <w:shd w:val="clear" w:color="auto" w:fill="FFFFFF"/>
        </w:rPr>
        <w:t>’, accessed 25 August 2021.</w:t>
      </w:r>
    </w:p>
    <w:p w14:paraId="159A549E" w14:textId="77777777" w:rsidR="00F670B4" w:rsidRDefault="00F670B4" w:rsidP="00F670B4">
      <w:pPr>
        <w:rPr>
          <w:rFonts w:asciiTheme="majorHAnsi" w:hAnsiTheme="majorHAnsi" w:cstheme="majorHAnsi"/>
          <w:sz w:val="21"/>
          <w:szCs w:val="21"/>
          <w:shd w:val="clear" w:color="auto" w:fill="FFFFFF"/>
        </w:rPr>
      </w:pPr>
      <w:r w:rsidRPr="003E7B6B">
        <w:rPr>
          <w:rFonts w:asciiTheme="majorHAnsi" w:hAnsiTheme="majorHAnsi" w:cstheme="majorHAnsi"/>
          <w:sz w:val="21"/>
          <w:szCs w:val="21"/>
          <w:shd w:val="clear" w:color="auto" w:fill="FFFFFF"/>
        </w:rPr>
        <w:t>Deloitte Access Economics (</w:t>
      </w:r>
      <w:r>
        <w:rPr>
          <w:rFonts w:asciiTheme="majorHAnsi" w:hAnsiTheme="majorHAnsi" w:cstheme="majorHAnsi"/>
          <w:sz w:val="21"/>
          <w:szCs w:val="21"/>
          <w:shd w:val="clear" w:color="auto" w:fill="FFFFFF"/>
        </w:rPr>
        <w:t>2017</w:t>
      </w:r>
      <w:r w:rsidRPr="003E7B6B">
        <w:rPr>
          <w:rFonts w:asciiTheme="majorHAnsi" w:hAnsiTheme="majorHAnsi" w:cstheme="majorHAnsi"/>
          <w:sz w:val="21"/>
          <w:szCs w:val="21"/>
          <w:shd w:val="clear" w:color="auto" w:fill="FFFFFF"/>
        </w:rPr>
        <w:t>)</w:t>
      </w:r>
      <w:r>
        <w:rPr>
          <w:rFonts w:asciiTheme="majorHAnsi" w:hAnsiTheme="majorHAnsi" w:cstheme="majorHAnsi"/>
          <w:sz w:val="21"/>
          <w:szCs w:val="21"/>
          <w:shd w:val="clear" w:color="auto" w:fill="FFFFFF"/>
        </w:rPr>
        <w:t xml:space="preserve"> ‘</w:t>
      </w:r>
      <w:hyperlink r:id="rId31" w:history="1">
        <w:r w:rsidRPr="007F34B6">
          <w:rPr>
            <w:rStyle w:val="Hyperlink"/>
            <w:rFonts w:asciiTheme="majorHAnsi" w:hAnsiTheme="majorHAnsi" w:cstheme="majorHAnsi"/>
            <w:sz w:val="21"/>
            <w:szCs w:val="21"/>
            <w:shd w:val="clear" w:color="auto" w:fill="FFFFFF"/>
          </w:rPr>
          <w:t>School quality in Australia</w:t>
        </w:r>
      </w:hyperlink>
      <w:r>
        <w:rPr>
          <w:rFonts w:asciiTheme="majorHAnsi" w:hAnsiTheme="majorHAnsi" w:cstheme="majorHAnsi"/>
          <w:sz w:val="21"/>
          <w:szCs w:val="21"/>
          <w:shd w:val="clear" w:color="auto" w:fill="FFFFFF"/>
        </w:rPr>
        <w:t>’, DESE, accessed on 27 October 2021.</w:t>
      </w:r>
      <w:r>
        <w:rPr>
          <w:rFonts w:asciiTheme="majorHAnsi" w:hAnsiTheme="majorHAnsi" w:cstheme="majorHAnsi"/>
          <w:sz w:val="21"/>
          <w:szCs w:val="21"/>
          <w:shd w:val="clear" w:color="auto" w:fill="FFFFFF"/>
        </w:rPr>
        <w:tab/>
      </w:r>
    </w:p>
    <w:p w14:paraId="5CACF8A7" w14:textId="77777777" w:rsidR="0009322F" w:rsidRPr="003E7B6B" w:rsidRDefault="0009322F" w:rsidP="00F670B4">
      <w:pPr>
        <w:rPr>
          <w:rFonts w:asciiTheme="majorHAnsi" w:hAnsiTheme="majorHAnsi" w:cstheme="majorHAnsi"/>
          <w:sz w:val="21"/>
          <w:szCs w:val="21"/>
          <w:shd w:val="clear" w:color="auto" w:fill="FFFFFF"/>
        </w:rPr>
      </w:pPr>
      <w:r>
        <w:rPr>
          <w:rFonts w:asciiTheme="majorHAnsi" w:hAnsiTheme="majorHAnsi" w:cstheme="majorHAnsi"/>
          <w:sz w:val="21"/>
          <w:szCs w:val="21"/>
          <w:shd w:val="clear" w:color="auto" w:fill="FFFFFF"/>
        </w:rPr>
        <w:t>Department of Education, Skills and Employment (2021) ‘</w:t>
      </w:r>
      <w:hyperlink r:id="rId32" w:history="1">
        <w:r w:rsidRPr="0009322F">
          <w:rPr>
            <w:rStyle w:val="Hyperlink"/>
            <w:rFonts w:asciiTheme="majorHAnsi" w:hAnsiTheme="majorHAnsi" w:cstheme="majorHAnsi"/>
            <w:sz w:val="21"/>
            <w:szCs w:val="21"/>
            <w:shd w:val="clear" w:color="auto" w:fill="FFFFFF"/>
          </w:rPr>
          <w:t>Support for Science, Technology, Engineering and Mathematics (STEM)</w:t>
        </w:r>
      </w:hyperlink>
      <w:r>
        <w:rPr>
          <w:rFonts w:asciiTheme="majorHAnsi" w:hAnsiTheme="majorHAnsi" w:cstheme="majorHAnsi"/>
          <w:sz w:val="21"/>
          <w:szCs w:val="21"/>
          <w:shd w:val="clear" w:color="auto" w:fill="FFFFFF"/>
        </w:rPr>
        <w:t>’, accessed 20 December 2021.</w:t>
      </w:r>
    </w:p>
    <w:p w14:paraId="72CC14E7" w14:textId="77777777" w:rsidR="00F670B4" w:rsidRPr="003E7B6B" w:rsidRDefault="00F670B4" w:rsidP="00F670B4">
      <w:pPr>
        <w:rPr>
          <w:rFonts w:asciiTheme="majorHAnsi" w:hAnsiTheme="majorHAnsi" w:cstheme="majorHAnsi"/>
          <w:sz w:val="21"/>
          <w:szCs w:val="21"/>
          <w:shd w:val="clear" w:color="auto" w:fill="FFFFFF"/>
        </w:rPr>
      </w:pPr>
      <w:r w:rsidRPr="003E7B6B">
        <w:rPr>
          <w:rFonts w:asciiTheme="majorHAnsi" w:hAnsiTheme="majorHAnsi" w:cstheme="majorHAnsi"/>
          <w:sz w:val="21"/>
          <w:szCs w:val="21"/>
          <w:shd w:val="clear" w:color="auto" w:fill="FFFFFF"/>
        </w:rPr>
        <w:t>Goss P, Sonnemann J and Nolan J (2019) ‘</w:t>
      </w:r>
      <w:hyperlink r:id="rId33" w:history="1">
        <w:r w:rsidRPr="003E7B6B">
          <w:rPr>
            <w:rStyle w:val="Hyperlink"/>
            <w:rFonts w:asciiTheme="majorHAnsi" w:hAnsiTheme="majorHAnsi" w:cstheme="majorHAnsi"/>
            <w:sz w:val="21"/>
            <w:szCs w:val="21"/>
            <w:shd w:val="clear" w:color="auto" w:fill="FFFFFF"/>
          </w:rPr>
          <w:t>Attracting high achievers to teaching</w:t>
        </w:r>
      </w:hyperlink>
      <w:r w:rsidRPr="003E7B6B">
        <w:rPr>
          <w:rFonts w:asciiTheme="majorHAnsi" w:hAnsiTheme="majorHAnsi" w:cstheme="majorHAnsi"/>
          <w:sz w:val="21"/>
          <w:szCs w:val="21"/>
          <w:shd w:val="clear" w:color="auto" w:fill="FFFFFF"/>
        </w:rPr>
        <w:t>’, Grattan Institute, accessed 21 May 2021.</w:t>
      </w:r>
    </w:p>
    <w:p w14:paraId="1A4AD3E3" w14:textId="77777777" w:rsidR="00F670B4" w:rsidRPr="003E7B6B" w:rsidRDefault="00F670B4" w:rsidP="00F670B4">
      <w:pPr>
        <w:rPr>
          <w:rFonts w:asciiTheme="majorHAnsi" w:hAnsiTheme="majorHAnsi" w:cstheme="majorHAnsi"/>
          <w:sz w:val="21"/>
          <w:szCs w:val="21"/>
          <w:shd w:val="clear" w:color="auto" w:fill="FFFFFF"/>
        </w:rPr>
      </w:pPr>
      <w:r w:rsidRPr="003E7B6B">
        <w:rPr>
          <w:rFonts w:asciiTheme="majorHAnsi" w:hAnsiTheme="majorHAnsi" w:cstheme="majorHAnsi"/>
          <w:sz w:val="21"/>
          <w:szCs w:val="21"/>
          <w:shd w:val="clear" w:color="auto" w:fill="FFFFFF"/>
        </w:rPr>
        <w:t>Hattie JAC (2003) ‘</w:t>
      </w:r>
      <w:hyperlink r:id="rId34" w:history="1">
        <w:r w:rsidRPr="003E7B6B">
          <w:rPr>
            <w:rStyle w:val="Hyperlink"/>
            <w:rFonts w:asciiTheme="majorHAnsi" w:hAnsiTheme="majorHAnsi" w:cstheme="majorHAnsi"/>
            <w:sz w:val="21"/>
            <w:szCs w:val="21"/>
            <w:shd w:val="clear" w:color="auto" w:fill="FFFFFF"/>
          </w:rPr>
          <w:t>Teachers make a difference: What is the research evidence?</w:t>
        </w:r>
      </w:hyperlink>
      <w:r w:rsidRPr="003E7B6B">
        <w:rPr>
          <w:rFonts w:asciiTheme="majorHAnsi" w:hAnsiTheme="majorHAnsi" w:cstheme="majorHAnsi"/>
          <w:sz w:val="21"/>
          <w:szCs w:val="21"/>
          <w:shd w:val="clear" w:color="auto" w:fill="FFFFFF"/>
        </w:rPr>
        <w:t xml:space="preserve">‘  [conference paper], Australian Council for Educational Research Conference, Melbourne, accessed 21 May 2021. </w:t>
      </w:r>
    </w:p>
    <w:p w14:paraId="43AF6995" w14:textId="77777777" w:rsidR="00F670B4" w:rsidRPr="003E7B6B" w:rsidRDefault="00F670B4" w:rsidP="00F670B4">
      <w:pPr>
        <w:rPr>
          <w:rFonts w:asciiTheme="majorHAnsi" w:hAnsiTheme="majorHAnsi" w:cstheme="majorHAnsi"/>
          <w:sz w:val="21"/>
          <w:szCs w:val="21"/>
          <w:shd w:val="clear" w:color="auto" w:fill="FFFFFF"/>
        </w:rPr>
      </w:pPr>
      <w:r>
        <w:rPr>
          <w:rFonts w:ascii="Arial" w:hAnsi="Arial" w:cs="Arial"/>
          <w:sz w:val="21"/>
          <w:szCs w:val="21"/>
          <w:shd w:val="clear" w:color="auto" w:fill="FFFFFF"/>
        </w:rPr>
        <w:t>Karmel T and Carroll D (2017) ‘</w:t>
      </w:r>
      <w:hyperlink r:id="rId35" w:history="1">
        <w:r w:rsidRPr="00331E26">
          <w:rPr>
            <w:rStyle w:val="Hyperlink"/>
            <w:rFonts w:ascii="Arial" w:hAnsi="Arial" w:cs="Arial"/>
            <w:sz w:val="21"/>
            <w:szCs w:val="21"/>
            <w:shd w:val="clear" w:color="auto" w:fill="FFFFFF"/>
          </w:rPr>
          <w:t>Do STEM graduates command a premium?</w:t>
        </w:r>
      </w:hyperlink>
      <w:r w:rsidRPr="003E7B6B">
        <w:rPr>
          <w:rFonts w:asciiTheme="majorHAnsi" w:hAnsiTheme="majorHAnsi" w:cstheme="majorHAnsi"/>
          <w:sz w:val="21"/>
          <w:szCs w:val="21"/>
          <w:shd w:val="clear" w:color="auto" w:fill="FFFFFF"/>
        </w:rPr>
        <w:t>’, National Institute of Labour Studies, Adelaide, accessed 3 November 2021.</w:t>
      </w:r>
    </w:p>
    <w:p w14:paraId="3B7242DC" w14:textId="77777777" w:rsidR="00F670B4" w:rsidRPr="003E7B6B" w:rsidRDefault="00F670B4" w:rsidP="00F670B4">
      <w:pPr>
        <w:rPr>
          <w:rFonts w:asciiTheme="majorHAnsi" w:hAnsiTheme="majorHAnsi" w:cstheme="majorHAnsi"/>
          <w:sz w:val="21"/>
          <w:szCs w:val="21"/>
          <w:shd w:val="clear" w:color="auto" w:fill="FFFFFF"/>
        </w:rPr>
      </w:pPr>
      <w:r w:rsidRPr="003E7B6B">
        <w:rPr>
          <w:rFonts w:asciiTheme="majorHAnsi" w:hAnsiTheme="majorHAnsi" w:cstheme="majorHAnsi"/>
          <w:sz w:val="21"/>
          <w:szCs w:val="21"/>
          <w:shd w:val="clear" w:color="auto" w:fill="FFFFFF"/>
        </w:rPr>
        <w:t>Nolan J and Sonnemann J (2019) ‘</w:t>
      </w:r>
      <w:hyperlink r:id="rId36" w:history="1">
        <w:r w:rsidRPr="003E7B6B">
          <w:rPr>
            <w:rStyle w:val="Hyperlink"/>
            <w:rFonts w:asciiTheme="majorHAnsi" w:hAnsiTheme="majorHAnsi" w:cstheme="majorHAnsi"/>
            <w:sz w:val="21"/>
            <w:szCs w:val="21"/>
            <w:shd w:val="clear" w:color="auto" w:fill="FFFFFF"/>
          </w:rPr>
          <w:t>Three charts on teachers’ pay in Australia: it starts out OK, but goes downhill pretty quickly</w:t>
        </w:r>
      </w:hyperlink>
      <w:r w:rsidRPr="003E7B6B">
        <w:rPr>
          <w:rFonts w:asciiTheme="majorHAnsi" w:hAnsiTheme="majorHAnsi" w:cstheme="majorHAnsi"/>
          <w:sz w:val="21"/>
          <w:szCs w:val="21"/>
          <w:shd w:val="clear" w:color="auto" w:fill="FFFFFF"/>
        </w:rPr>
        <w:t xml:space="preserve">’, </w:t>
      </w:r>
      <w:r w:rsidRPr="003E7B6B">
        <w:rPr>
          <w:rFonts w:asciiTheme="majorHAnsi" w:hAnsiTheme="majorHAnsi" w:cstheme="majorHAnsi"/>
          <w:i/>
          <w:sz w:val="21"/>
          <w:szCs w:val="21"/>
          <w:shd w:val="clear" w:color="auto" w:fill="FFFFFF"/>
        </w:rPr>
        <w:t>The Conversation</w:t>
      </w:r>
      <w:r w:rsidRPr="003E7B6B">
        <w:rPr>
          <w:rFonts w:asciiTheme="majorHAnsi" w:hAnsiTheme="majorHAnsi" w:cstheme="majorHAnsi"/>
          <w:sz w:val="21"/>
          <w:szCs w:val="21"/>
          <w:shd w:val="clear" w:color="auto" w:fill="FFFFFF"/>
        </w:rPr>
        <w:t>, accessed 2 July 2021.</w:t>
      </w:r>
    </w:p>
    <w:p w14:paraId="297BC193" w14:textId="77777777" w:rsidR="00F670B4" w:rsidRPr="003E7B6B" w:rsidRDefault="00F670B4" w:rsidP="00F670B4">
      <w:pPr>
        <w:rPr>
          <w:rFonts w:asciiTheme="majorHAnsi" w:hAnsiTheme="majorHAnsi" w:cstheme="majorHAnsi"/>
          <w:sz w:val="21"/>
          <w:szCs w:val="21"/>
          <w:shd w:val="clear" w:color="auto" w:fill="FFFFFF"/>
        </w:rPr>
      </w:pPr>
      <w:r w:rsidRPr="003E7B6B">
        <w:rPr>
          <w:rFonts w:asciiTheme="majorHAnsi" w:hAnsiTheme="majorHAnsi" w:cstheme="majorHAnsi"/>
          <w:sz w:val="21"/>
          <w:szCs w:val="21"/>
          <w:shd w:val="clear" w:color="auto" w:fill="FFFFFF"/>
        </w:rPr>
        <w:t>Peter D Hart Research Associates (2008) ‘</w:t>
      </w:r>
      <w:hyperlink r:id="rId37" w:history="1">
        <w:r w:rsidRPr="0039503D">
          <w:rPr>
            <w:rStyle w:val="Hyperlink"/>
            <w:rFonts w:asciiTheme="majorHAnsi" w:hAnsiTheme="majorHAnsi" w:cstheme="majorHAnsi"/>
            <w:sz w:val="21"/>
            <w:szCs w:val="21"/>
            <w:shd w:val="clear" w:color="auto" w:fill="FFFFFF"/>
          </w:rPr>
          <w:t>Teaching as a Second Career’</w:t>
        </w:r>
      </w:hyperlink>
      <w:r>
        <w:rPr>
          <w:rFonts w:asciiTheme="majorHAnsi" w:hAnsiTheme="majorHAnsi" w:cstheme="majorHAnsi"/>
          <w:sz w:val="21"/>
          <w:szCs w:val="21"/>
          <w:shd w:val="clear" w:color="auto" w:fill="FFFFFF"/>
        </w:rPr>
        <w:t>, accessed 24 May 2021.</w:t>
      </w:r>
      <w:r w:rsidRPr="003E7B6B">
        <w:rPr>
          <w:rFonts w:asciiTheme="majorHAnsi" w:hAnsiTheme="majorHAnsi" w:cstheme="majorHAnsi"/>
          <w:sz w:val="21"/>
          <w:szCs w:val="21"/>
          <w:shd w:val="clear" w:color="auto" w:fill="FFFFFF"/>
        </w:rPr>
        <w:t xml:space="preserve"> </w:t>
      </w:r>
    </w:p>
    <w:p w14:paraId="0BBDDB1B" w14:textId="77777777" w:rsidR="00F670B4" w:rsidRDefault="00F670B4" w:rsidP="00F670B4">
      <w:pPr>
        <w:rPr>
          <w:rFonts w:ascii="Arial" w:hAnsi="Arial" w:cs="Arial"/>
          <w:sz w:val="21"/>
          <w:szCs w:val="21"/>
          <w:shd w:val="clear" w:color="auto" w:fill="FFFFFF"/>
        </w:rPr>
      </w:pPr>
      <w:r>
        <w:rPr>
          <w:rFonts w:ascii="Arial" w:hAnsi="Arial" w:cs="Arial"/>
          <w:sz w:val="21"/>
          <w:szCs w:val="21"/>
          <w:shd w:val="clear" w:color="auto" w:fill="FFFFFF"/>
        </w:rPr>
        <w:t>Programme for International Student Assessment (PISA) (2018) ‘</w:t>
      </w:r>
      <w:hyperlink r:id="rId38" w:history="1">
        <w:r w:rsidRPr="00BE2DDD">
          <w:rPr>
            <w:rStyle w:val="Hyperlink"/>
            <w:rFonts w:ascii="Arial" w:hAnsi="Arial" w:cs="Arial"/>
            <w:sz w:val="21"/>
            <w:szCs w:val="21"/>
            <w:shd w:val="clear" w:color="auto" w:fill="FFFFFF"/>
          </w:rPr>
          <w:t>Results from PISA 2018. Country Note: Australia</w:t>
        </w:r>
      </w:hyperlink>
      <w:r>
        <w:rPr>
          <w:rFonts w:ascii="Arial" w:hAnsi="Arial" w:cs="Arial"/>
          <w:sz w:val="21"/>
          <w:szCs w:val="21"/>
          <w:shd w:val="clear" w:color="auto" w:fill="FFFFFF"/>
        </w:rPr>
        <w:t>’, Organisation for Economic Co-operation and Development, accessed 25 August 2021.</w:t>
      </w:r>
    </w:p>
    <w:p w14:paraId="0D8B3EDA" w14:textId="77777777" w:rsidR="00F670B4" w:rsidRPr="003E7B6B" w:rsidRDefault="00F670B4" w:rsidP="00F670B4">
      <w:pPr>
        <w:rPr>
          <w:rFonts w:asciiTheme="majorHAnsi" w:hAnsiTheme="majorHAnsi" w:cstheme="majorHAnsi"/>
          <w:sz w:val="21"/>
          <w:szCs w:val="21"/>
          <w:shd w:val="clear" w:color="auto" w:fill="FFFFFF"/>
        </w:rPr>
      </w:pPr>
      <w:r w:rsidRPr="003E7B6B">
        <w:rPr>
          <w:rFonts w:asciiTheme="majorHAnsi" w:hAnsiTheme="majorHAnsi" w:cstheme="majorHAnsi"/>
          <w:sz w:val="21"/>
          <w:szCs w:val="21"/>
          <w:shd w:val="clear" w:color="auto" w:fill="FFFFFF"/>
        </w:rPr>
        <w:t>Porter S and Bear K (2014) ‘</w:t>
      </w:r>
      <w:hyperlink r:id="rId39" w:history="1">
        <w:r w:rsidRPr="003E7B6B">
          <w:rPr>
            <w:rStyle w:val="Hyperlink"/>
            <w:rFonts w:asciiTheme="majorHAnsi" w:hAnsiTheme="majorHAnsi" w:cstheme="majorHAnsi"/>
            <w:sz w:val="21"/>
            <w:szCs w:val="21"/>
            <w:shd w:val="clear" w:color="auto" w:fill="FFFFFF"/>
          </w:rPr>
          <w:t>The role scholarships play in graduate recruitment for Initial Teacher Training</w:t>
        </w:r>
      </w:hyperlink>
      <w:r w:rsidRPr="003E7B6B">
        <w:rPr>
          <w:rFonts w:asciiTheme="majorHAnsi" w:hAnsiTheme="majorHAnsi" w:cstheme="majorHAnsi"/>
          <w:sz w:val="21"/>
          <w:szCs w:val="21"/>
          <w:shd w:val="clear" w:color="auto" w:fill="FFFFFF"/>
        </w:rPr>
        <w:t>’, National College for Teaching and Leadership, accessed 25 August 2021.</w:t>
      </w:r>
    </w:p>
    <w:p w14:paraId="31F6F2D5" w14:textId="77777777" w:rsidR="00F670B4" w:rsidRPr="003E7B6B" w:rsidRDefault="00F670B4" w:rsidP="00F670B4">
      <w:pPr>
        <w:rPr>
          <w:rFonts w:asciiTheme="majorHAnsi" w:hAnsiTheme="majorHAnsi" w:cstheme="majorHAnsi"/>
          <w:sz w:val="21"/>
          <w:szCs w:val="21"/>
          <w:shd w:val="clear" w:color="auto" w:fill="FFFFFF"/>
        </w:rPr>
      </w:pPr>
      <w:r w:rsidRPr="003E7B6B">
        <w:rPr>
          <w:rFonts w:asciiTheme="majorHAnsi" w:hAnsiTheme="majorHAnsi" w:cstheme="majorHAnsi"/>
          <w:sz w:val="21"/>
          <w:szCs w:val="21"/>
          <w:shd w:val="clear" w:color="auto" w:fill="FFFFFF"/>
        </w:rPr>
        <w:t>QITE</w:t>
      </w:r>
      <w:r w:rsidR="007E56F0">
        <w:rPr>
          <w:rFonts w:asciiTheme="majorHAnsi" w:hAnsiTheme="majorHAnsi" w:cstheme="majorHAnsi"/>
          <w:sz w:val="21"/>
          <w:szCs w:val="21"/>
          <w:shd w:val="clear" w:color="auto" w:fill="FFFFFF"/>
        </w:rPr>
        <w:t xml:space="preserve"> </w:t>
      </w:r>
      <w:r w:rsidRPr="003E7B6B">
        <w:rPr>
          <w:rFonts w:asciiTheme="majorHAnsi" w:hAnsiTheme="majorHAnsi" w:cstheme="majorHAnsi"/>
          <w:sz w:val="21"/>
          <w:szCs w:val="21"/>
          <w:shd w:val="clear" w:color="auto" w:fill="FFFFFF"/>
        </w:rPr>
        <w:t>R</w:t>
      </w:r>
      <w:r w:rsidR="007E56F0">
        <w:rPr>
          <w:rFonts w:asciiTheme="majorHAnsi" w:hAnsiTheme="majorHAnsi" w:cstheme="majorHAnsi"/>
          <w:sz w:val="21"/>
          <w:szCs w:val="21"/>
          <w:shd w:val="clear" w:color="auto" w:fill="FFFFFF"/>
        </w:rPr>
        <w:t>eview</w:t>
      </w:r>
      <w:r w:rsidRPr="003E7B6B">
        <w:rPr>
          <w:rFonts w:asciiTheme="majorHAnsi" w:hAnsiTheme="majorHAnsi" w:cstheme="majorHAnsi"/>
          <w:sz w:val="21"/>
          <w:szCs w:val="21"/>
          <w:shd w:val="clear" w:color="auto" w:fill="FFFFFF"/>
        </w:rPr>
        <w:t xml:space="preserve"> (Quality Initial Teacher Education Review) (2021) ‘</w:t>
      </w:r>
      <w:hyperlink r:id="rId40" w:history="1">
        <w:r w:rsidRPr="003E7B6B">
          <w:rPr>
            <w:rStyle w:val="Hyperlink"/>
            <w:rFonts w:asciiTheme="majorHAnsi" w:hAnsiTheme="majorHAnsi" w:cstheme="majorHAnsi"/>
            <w:sz w:val="21"/>
            <w:szCs w:val="21"/>
            <w:shd w:val="clear" w:color="auto" w:fill="FFFFFF"/>
          </w:rPr>
          <w:t>Discussion Paper</w:t>
        </w:r>
      </w:hyperlink>
      <w:r w:rsidRPr="003E7B6B">
        <w:rPr>
          <w:rFonts w:asciiTheme="majorHAnsi" w:hAnsiTheme="majorHAnsi" w:cstheme="majorHAnsi"/>
          <w:sz w:val="21"/>
          <w:szCs w:val="21"/>
          <w:shd w:val="clear" w:color="auto" w:fill="FFFFFF"/>
        </w:rPr>
        <w:t xml:space="preserve">’ DESE, accessed 1 November 2021. </w:t>
      </w:r>
    </w:p>
    <w:p w14:paraId="69CEB3B6" w14:textId="77777777" w:rsidR="00F670B4" w:rsidRPr="003E7B6B" w:rsidRDefault="00F670B4" w:rsidP="00F670B4">
      <w:pPr>
        <w:rPr>
          <w:rFonts w:asciiTheme="majorHAnsi" w:hAnsiTheme="majorHAnsi" w:cstheme="majorHAnsi"/>
          <w:sz w:val="21"/>
          <w:szCs w:val="21"/>
          <w:shd w:val="clear" w:color="auto" w:fill="FFFFFF"/>
        </w:rPr>
      </w:pPr>
      <w:r w:rsidRPr="003E7B6B">
        <w:rPr>
          <w:rFonts w:asciiTheme="majorHAnsi" w:hAnsiTheme="majorHAnsi" w:cstheme="majorHAnsi"/>
          <w:sz w:val="21"/>
          <w:szCs w:val="21"/>
          <w:shd w:val="clear" w:color="auto" w:fill="FFFFFF"/>
        </w:rPr>
        <w:t>Richardson PW and Watt HMG (2005) “</w:t>
      </w:r>
      <w:hyperlink r:id="rId41" w:history="1">
        <w:r w:rsidRPr="003E7B6B">
          <w:rPr>
            <w:rStyle w:val="Hyperlink"/>
            <w:rFonts w:asciiTheme="majorHAnsi" w:hAnsiTheme="majorHAnsi" w:cstheme="majorHAnsi"/>
            <w:sz w:val="21"/>
            <w:szCs w:val="21"/>
            <w:shd w:val="clear" w:color="auto" w:fill="FFFFFF"/>
          </w:rPr>
          <w:t>I’ve decided to become a teacher’: Influences on career change</w:t>
        </w:r>
      </w:hyperlink>
      <w:r w:rsidRPr="003E7B6B">
        <w:rPr>
          <w:rFonts w:asciiTheme="majorHAnsi" w:hAnsiTheme="majorHAnsi" w:cstheme="majorHAnsi"/>
          <w:sz w:val="21"/>
          <w:szCs w:val="21"/>
          <w:shd w:val="clear" w:color="auto" w:fill="FFFFFF"/>
        </w:rPr>
        <w:t>’, Teaching and Teacher Education, 21(5): 475-489. doi: 10.1016/j.tate.2005.03.007</w:t>
      </w:r>
    </w:p>
    <w:p w14:paraId="39D14142" w14:textId="77777777" w:rsidR="00F670B4" w:rsidRPr="003E7B6B" w:rsidRDefault="00F670B4" w:rsidP="00F670B4">
      <w:pPr>
        <w:rPr>
          <w:rFonts w:asciiTheme="majorHAnsi" w:hAnsiTheme="majorHAnsi" w:cstheme="majorHAnsi"/>
          <w:sz w:val="21"/>
          <w:szCs w:val="21"/>
        </w:rPr>
      </w:pPr>
      <w:r w:rsidRPr="003E7B6B">
        <w:rPr>
          <w:rFonts w:asciiTheme="majorHAnsi" w:hAnsiTheme="majorHAnsi" w:cstheme="majorHAnsi"/>
          <w:sz w:val="21"/>
          <w:szCs w:val="21"/>
        </w:rPr>
        <w:t>Stokes H and Tyler D (2003) ‘</w:t>
      </w:r>
      <w:hyperlink r:id="rId42" w:history="1">
        <w:r w:rsidRPr="003E7B6B">
          <w:rPr>
            <w:rStyle w:val="Hyperlink"/>
            <w:rFonts w:asciiTheme="majorHAnsi" w:hAnsiTheme="majorHAnsi" w:cstheme="majorHAnsi"/>
            <w:sz w:val="21"/>
            <w:szCs w:val="21"/>
          </w:rPr>
          <w:t>Secondary Students’ Attitudes to Teaching as a Career, Youth Research Centre</w:t>
        </w:r>
      </w:hyperlink>
      <w:r w:rsidRPr="003E7B6B">
        <w:rPr>
          <w:rFonts w:asciiTheme="majorHAnsi" w:hAnsiTheme="majorHAnsi" w:cstheme="majorHAnsi"/>
          <w:sz w:val="21"/>
          <w:szCs w:val="21"/>
        </w:rPr>
        <w:t>’, University of Melbourne, accessed 21 May 2021.</w:t>
      </w:r>
    </w:p>
    <w:p w14:paraId="2BC14949" w14:textId="77777777" w:rsidR="00F670B4" w:rsidRPr="003E7B6B" w:rsidRDefault="00F670B4" w:rsidP="00F670B4">
      <w:pPr>
        <w:rPr>
          <w:rFonts w:asciiTheme="majorHAnsi" w:hAnsiTheme="majorHAnsi" w:cstheme="majorHAnsi"/>
          <w:sz w:val="21"/>
          <w:szCs w:val="21"/>
        </w:rPr>
      </w:pPr>
      <w:r w:rsidRPr="003E7B6B">
        <w:rPr>
          <w:rFonts w:asciiTheme="majorHAnsi" w:hAnsiTheme="majorHAnsi" w:cstheme="majorHAnsi"/>
          <w:sz w:val="21"/>
          <w:szCs w:val="21"/>
        </w:rPr>
        <w:t xml:space="preserve">Tes Global (2021) </w:t>
      </w:r>
      <w:hyperlink r:id="rId43" w:history="1">
        <w:r w:rsidRPr="003E7B6B">
          <w:rPr>
            <w:rStyle w:val="Hyperlink"/>
            <w:rFonts w:asciiTheme="majorHAnsi" w:hAnsiTheme="majorHAnsi" w:cstheme="majorHAnsi"/>
            <w:sz w:val="21"/>
            <w:szCs w:val="21"/>
          </w:rPr>
          <w:t>NSW teacher salary: What you could be earning</w:t>
        </w:r>
      </w:hyperlink>
      <w:r w:rsidRPr="003E7B6B">
        <w:rPr>
          <w:rFonts w:asciiTheme="majorHAnsi" w:hAnsiTheme="majorHAnsi" w:cstheme="majorHAnsi"/>
          <w:sz w:val="21"/>
          <w:szCs w:val="21"/>
        </w:rPr>
        <w:t xml:space="preserve">, </w:t>
      </w:r>
      <w:r>
        <w:rPr>
          <w:rFonts w:asciiTheme="majorHAnsi" w:hAnsiTheme="majorHAnsi" w:cstheme="majorHAnsi"/>
          <w:sz w:val="21"/>
          <w:szCs w:val="21"/>
        </w:rPr>
        <w:t>T</w:t>
      </w:r>
      <w:r w:rsidRPr="003E7B6B">
        <w:rPr>
          <w:rFonts w:asciiTheme="majorHAnsi" w:hAnsiTheme="majorHAnsi" w:cstheme="majorHAnsi"/>
          <w:sz w:val="21"/>
          <w:szCs w:val="21"/>
        </w:rPr>
        <w:t>es, accessed 22 August 2021.</w:t>
      </w:r>
    </w:p>
    <w:p w14:paraId="312533DC" w14:textId="77777777" w:rsidR="007F24BF" w:rsidRDefault="007F24BF" w:rsidP="007F24BF"/>
    <w:p w14:paraId="7B435D8E" w14:textId="77777777" w:rsidR="007F24BF" w:rsidRDefault="007F24BF" w:rsidP="007F24BF"/>
    <w:p w14:paraId="6268FA3C" w14:textId="77777777" w:rsidR="00EB0609" w:rsidRPr="00A96B0F" w:rsidRDefault="00EB0609" w:rsidP="00630A29">
      <w:pPr>
        <w:pStyle w:val="Heading3"/>
      </w:pPr>
      <w:r w:rsidRPr="00A96B0F">
        <w:t xml:space="preserve">© </w:t>
      </w:r>
      <w:r w:rsidR="002B2858" w:rsidRPr="00A96B0F">
        <w:t>Commonwealth of Australia 202</w:t>
      </w:r>
      <w:r w:rsidR="00BC5F0D">
        <w:t>1</w:t>
      </w:r>
    </w:p>
    <w:p w14:paraId="7054AE21" w14:textId="1FE34CA1" w:rsidR="00BC5F0D" w:rsidRDefault="003A6EB9" w:rsidP="001540CB">
      <w:r>
        <w:t xml:space="preserve">ISBN </w:t>
      </w:r>
      <w:r w:rsidR="007A1476">
        <w:t xml:space="preserve">978-1-925364-98-9 </w:t>
      </w:r>
      <w:r w:rsidR="007A1476" w:rsidRPr="007A1476">
        <w:t>Incentivising excellence. Attracting high-achieving teaching candidates (online)</w:t>
      </w:r>
    </w:p>
    <w:p w14:paraId="7BA91C20" w14:textId="77777777" w:rsidR="00EB0609" w:rsidRPr="00A96B0F" w:rsidRDefault="00EB0609" w:rsidP="00630A29">
      <w:pPr>
        <w:pStyle w:val="Heading3"/>
      </w:pPr>
      <w:r w:rsidRPr="00A96B0F">
        <w:t>Copyright Notice</w:t>
      </w:r>
    </w:p>
    <w:p w14:paraId="21A8E672"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44" w:history="1">
        <w:r w:rsidR="000F762E" w:rsidRPr="00B3464D">
          <w:rPr>
            <w:rStyle w:val="Hyperlink"/>
          </w:rPr>
          <w:t>https://creativecommons.org/licenses/by/4.0/</w:t>
        </w:r>
      </w:hyperlink>
      <w:r w:rsidR="000F762E">
        <w:t>)</w:t>
      </w:r>
    </w:p>
    <w:p w14:paraId="679D6FC4" w14:textId="77777777" w:rsidR="00EB0609" w:rsidRDefault="00EB0609" w:rsidP="00EB0609">
      <w:pPr>
        <w:spacing w:before="240"/>
      </w:pPr>
      <w:r>
        <w:rPr>
          <w:noProof/>
        </w:rPr>
        <w:drawing>
          <wp:inline distT="0" distB="0" distL="0" distR="0" wp14:anchorId="465CC1C8" wp14:editId="6F82E5AD">
            <wp:extent cx="771146" cy="307849"/>
            <wp:effectExtent l="0" t="0" r="0" b="0"/>
            <wp:docPr id="2" name="Picture 2"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45">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1DD58F91" w14:textId="77777777" w:rsidR="00EB0609" w:rsidRPr="00A96B0F" w:rsidRDefault="00EB0609" w:rsidP="00630A29">
      <w:pPr>
        <w:pStyle w:val="Heading3"/>
      </w:pPr>
      <w:r w:rsidRPr="00A96B0F">
        <w:t>Third party copyright</w:t>
      </w:r>
    </w:p>
    <w:p w14:paraId="24F16D97" w14:textId="77777777" w:rsidR="00EB0609" w:rsidRDefault="00EB0609" w:rsidP="001540CB">
      <w:r>
        <w:t>Wherever a third party holds copyright in this material, the copyright remains with that party. Their permission may be required to use the material. Please contact them directly.</w:t>
      </w:r>
    </w:p>
    <w:p w14:paraId="5D06115F" w14:textId="77777777" w:rsidR="00EB0609" w:rsidRPr="00A96B0F" w:rsidRDefault="00EB0609" w:rsidP="00630A29">
      <w:pPr>
        <w:pStyle w:val="Heading3"/>
      </w:pPr>
      <w:r w:rsidRPr="00A96B0F">
        <w:t>Attribution</w:t>
      </w:r>
    </w:p>
    <w:p w14:paraId="4CD54958" w14:textId="77777777" w:rsidR="003A6EB9" w:rsidRDefault="00EB0609" w:rsidP="00EB0609">
      <w:r>
        <w:t xml:space="preserve">This publication should be attributed as follows: </w:t>
      </w:r>
    </w:p>
    <w:p w14:paraId="2D6B9B06" w14:textId="671A091C" w:rsidR="00EB0609" w:rsidRDefault="003A6EB9" w:rsidP="00EB0609">
      <w:r>
        <w:t xml:space="preserve">© </w:t>
      </w:r>
      <w:r w:rsidR="00EB0609">
        <w:t xml:space="preserve">Commonwealth of Australia, Department of the Prime Minister and Cabinet, </w:t>
      </w:r>
      <w:r w:rsidR="007A1476" w:rsidRPr="007A1476">
        <w:rPr>
          <w:i/>
        </w:rPr>
        <w:t>978-1-925364-98-9</w:t>
      </w:r>
      <w:r w:rsidR="007A1476" w:rsidRPr="007A1476">
        <w:rPr>
          <w:i/>
        </w:rPr>
        <w:tab/>
        <w:t>Incentivising excellence. Attracting high-achieving teaching candidates (online)</w:t>
      </w:r>
      <w:r w:rsidR="00EB0609" w:rsidRPr="007A1476">
        <w:t>.</w:t>
      </w:r>
      <w:r w:rsidR="00EB0609">
        <w:t xml:space="preserve"> </w:t>
      </w:r>
    </w:p>
    <w:p w14:paraId="1426F7CB" w14:textId="77777777" w:rsidR="00EB0609" w:rsidRPr="00A96B0F" w:rsidRDefault="00EB0609" w:rsidP="00630A29">
      <w:pPr>
        <w:pStyle w:val="Heading3"/>
      </w:pPr>
      <w:r w:rsidRPr="00A96B0F">
        <w:t>Use of the Coat of Arms</w:t>
      </w:r>
    </w:p>
    <w:p w14:paraId="35FCEC95" w14:textId="77777777" w:rsidR="00EB0609" w:rsidRPr="00514D8C" w:rsidRDefault="00EB0609" w:rsidP="00EB0609">
      <w:pPr>
        <w:rPr>
          <w:rFonts w:cstheme="minorHAnsi"/>
          <w:szCs w:val="20"/>
        </w:rPr>
      </w:pPr>
      <w:r w:rsidRPr="00514D8C">
        <w:rPr>
          <w:rFonts w:cstheme="minorHAnsi"/>
          <w:szCs w:val="20"/>
        </w:rPr>
        <w:t xml:space="preserve">The terms under which the Coat of Arms can be used are detailed on the following website: </w:t>
      </w:r>
      <w:hyperlink r:id="rId46" w:history="1">
        <w:r w:rsidR="003A6EB9" w:rsidRPr="00514D8C">
          <w:rPr>
            <w:rStyle w:val="Hyperlink"/>
            <w:rFonts w:cstheme="minorHAnsi"/>
            <w:szCs w:val="20"/>
            <w:lang w:val="en-US"/>
          </w:rPr>
          <w:t>https://pmc.gov.au/cca</w:t>
        </w:r>
      </w:hyperlink>
    </w:p>
    <w:p w14:paraId="430CCEB2" w14:textId="77777777" w:rsidR="000A48B2" w:rsidRDefault="000A48B2" w:rsidP="00F04EF6"/>
    <w:p w14:paraId="5D624FD7" w14:textId="77777777" w:rsidR="009C7EE6" w:rsidRDefault="009C7EE6" w:rsidP="00C6442A">
      <w:pPr>
        <w:sectPr w:rsidR="009C7EE6" w:rsidSect="00F10FA5">
          <w:headerReference w:type="default" r:id="rId47"/>
          <w:footerReference w:type="default" r:id="rId48"/>
          <w:type w:val="continuous"/>
          <w:pgSz w:w="11906" w:h="16838" w:code="9"/>
          <w:pgMar w:top="2041" w:right="1558" w:bottom="1247" w:left="1247" w:header="720" w:footer="851" w:gutter="0"/>
          <w:cols w:space="708"/>
          <w:docGrid w:linePitch="360"/>
        </w:sectPr>
      </w:pPr>
    </w:p>
    <w:p w14:paraId="1F9DC865" w14:textId="77777777" w:rsidR="00D10FA1" w:rsidRDefault="00037F3D" w:rsidP="00E320C4">
      <w:pPr>
        <w:ind w:left="-378"/>
      </w:pPr>
      <w:r>
        <w:rPr>
          <w:noProof/>
        </w:rPr>
        <w:drawing>
          <wp:inline distT="0" distB="0" distL="0" distR="0" wp14:anchorId="0BB21DC1" wp14:editId="4B2C2AFD">
            <wp:extent cx="2524404" cy="3496063"/>
            <wp:effectExtent l="0" t="0" r="0" b="9525"/>
            <wp:docPr id="9" name="Picture 9" descr="Cover Includes Aus Gov arms, Dept of Prime Minister Cabinet and BETA branding" title="Al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49">
                      <a:extLst>
                        <a:ext uri="{28A0092B-C50C-407E-A947-70E740481C1C}">
                          <a14:useLocalDpi xmlns:a14="http://schemas.microsoft.com/office/drawing/2010/main" val="0"/>
                        </a:ext>
                      </a:extLst>
                    </a:blip>
                    <a:stretch>
                      <a:fillRect/>
                    </a:stretch>
                  </pic:blipFill>
                  <pic:spPr>
                    <a:xfrm>
                      <a:off x="0" y="0"/>
                      <a:ext cx="2524404" cy="3496063"/>
                    </a:xfrm>
                    <a:prstGeom prst="rect">
                      <a:avLst/>
                    </a:prstGeom>
                  </pic:spPr>
                </pic:pic>
              </a:graphicData>
            </a:graphic>
          </wp:inline>
        </w:drawing>
      </w:r>
    </w:p>
    <w:p w14:paraId="031D83A4" w14:textId="77777777" w:rsidR="001A0BF0" w:rsidRPr="00DF234F" w:rsidRDefault="001A0BF0" w:rsidP="001A0BF0">
      <w:pPr>
        <w:pStyle w:val="BackPageH1"/>
      </w:pPr>
      <w:r w:rsidRPr="00037F3D">
        <w:t xml:space="preserve">Behavioural Economics Team </w:t>
      </w:r>
      <w:r>
        <w:br/>
      </w:r>
      <w:r w:rsidRPr="00037F3D">
        <w:t>of the Australian Government</w:t>
      </w:r>
    </w:p>
    <w:p w14:paraId="1E4FDFDB" w14:textId="77777777" w:rsidR="001A0BF0" w:rsidRPr="004A4D74" w:rsidRDefault="001A0BF0" w:rsidP="004A4D74">
      <w:pPr>
        <w:pStyle w:val="BackPageH2"/>
      </w:pPr>
      <w:r w:rsidRPr="004A4D74">
        <w:t xml:space="preserve">General enquiries </w:t>
      </w:r>
      <w:hyperlink r:id="rId50" w:history="1">
        <w:r w:rsidRPr="004A4D74">
          <w:rPr>
            <w:rStyle w:val="Hyperlink"/>
          </w:rPr>
          <w:t>beta@pmc.gov.au</w:t>
        </w:r>
      </w:hyperlink>
    </w:p>
    <w:p w14:paraId="794B8DA7" w14:textId="77777777" w:rsidR="001A0BF0" w:rsidRPr="004A4D74" w:rsidRDefault="001A0BF0" w:rsidP="004A4D74">
      <w:pPr>
        <w:pStyle w:val="BackPageH2"/>
      </w:pPr>
      <w:r w:rsidRPr="004A4D74">
        <w:t xml:space="preserve">Media enquiries </w:t>
      </w:r>
      <w:hyperlink r:id="rId51" w:history="1">
        <w:r w:rsidRPr="004A4D74">
          <w:rPr>
            <w:rStyle w:val="Hyperlink"/>
          </w:rPr>
          <w:t>media@pmc.gov.au</w:t>
        </w:r>
      </w:hyperlink>
    </w:p>
    <w:p w14:paraId="6286403E" w14:textId="77777777" w:rsidR="00037F3D" w:rsidRPr="00037F3D" w:rsidRDefault="001A0BF0" w:rsidP="007D16C2">
      <w:pPr>
        <w:pStyle w:val="BackPageH2"/>
        <w:rPr>
          <w:sz w:val="2"/>
          <w:szCs w:val="2"/>
        </w:rPr>
      </w:pPr>
      <w:r w:rsidRPr="004A4D74">
        <w:t xml:space="preserve">Find out more </w:t>
      </w:r>
      <w:hyperlink r:id="rId52" w:history="1">
        <w:r w:rsidRPr="004A4D74">
          <w:rPr>
            <w:rStyle w:val="Hyperlink"/>
          </w:rPr>
          <w:t>www.pmc.gov.au/beta</w:t>
        </w:r>
      </w:hyperlink>
    </w:p>
    <w:sectPr w:rsidR="00037F3D" w:rsidRPr="00037F3D" w:rsidSect="00F202CA">
      <w:headerReference w:type="default" r:id="rId53"/>
      <w:footerReference w:type="default" r:id="rId54"/>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A81328" w14:textId="77777777" w:rsidR="001B55AF" w:rsidRDefault="001B55AF">
      <w:r>
        <w:separator/>
      </w:r>
    </w:p>
  </w:endnote>
  <w:endnote w:type="continuationSeparator" w:id="0">
    <w:p w14:paraId="67A2EC78" w14:textId="77777777" w:rsidR="001B55AF" w:rsidRDefault="001B55AF">
      <w:r>
        <w:continuationSeparator/>
      </w:r>
    </w:p>
  </w:endnote>
  <w:endnote w:type="continuationNotice" w:id="1">
    <w:p w14:paraId="47D915AC" w14:textId="77777777" w:rsidR="001B55AF" w:rsidRDefault="001B55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4E8A8" w14:textId="77777777" w:rsidR="00AE5935" w:rsidRDefault="00AE5935" w:rsidP="00A00EEB">
    <w:pPr>
      <w:pStyle w:val="Footer"/>
    </w:pPr>
  </w:p>
  <w:p w14:paraId="7C6E59A8" w14:textId="640C7D5E" w:rsidR="00AE5935" w:rsidRDefault="00AE5935" w:rsidP="00A00EEB">
    <w:pPr>
      <w:pStyle w:val="Footer"/>
    </w:pPr>
    <w:r w:rsidRPr="003F31E6">
      <w:rPr>
        <w:noProof/>
      </w:rPr>
      <mc:AlternateContent>
        <mc:Choice Requires="wps">
          <w:drawing>
            <wp:anchor distT="0" distB="0" distL="114300" distR="114300" simplePos="0" relativeHeight="251658241" behindDoc="1" locked="0" layoutInCell="1" allowOverlap="1" wp14:anchorId="782C3CD4" wp14:editId="54269005">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6C4E6" id="Rectangle 4" o:spid="_x0000_s1026"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6xoAIAAKoFAAAOAAAAZHJzL2Uyb0RvYy54bWysVE1v2zAMvQ/YfxB0X+0Ea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AGQXrGgAgAAqg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720FC3">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70064" w14:textId="27C03C32" w:rsidR="00AE5935" w:rsidRPr="008253C4" w:rsidRDefault="00AE5935" w:rsidP="00A00EEB">
    <w:pPr>
      <w:pStyle w:val="Footer"/>
      <w:rPr>
        <w:color w:val="FFFFFF" w:themeColor="background1"/>
      </w:rPr>
    </w:pPr>
    <w:r w:rsidRPr="003F31E6">
      <w:rPr>
        <w:noProof/>
      </w:rPr>
      <mc:AlternateContent>
        <mc:Choice Requires="wps">
          <w:drawing>
            <wp:anchor distT="0" distB="0" distL="114300" distR="114300" simplePos="0" relativeHeight="251658240" behindDoc="1" locked="0" layoutInCell="1" allowOverlap="1" wp14:anchorId="666FE528" wp14:editId="6DB72B76">
              <wp:simplePos x="0" y="0"/>
              <wp:positionH relativeFrom="page">
                <wp:posOffset>0</wp:posOffset>
              </wp:positionH>
              <wp:positionV relativeFrom="page">
                <wp:posOffset>0</wp:posOffset>
              </wp:positionV>
              <wp:extent cx="7560000" cy="10692000"/>
              <wp:effectExtent l="0" t="0" r="3175" b="0"/>
              <wp:wrapNone/>
              <wp:docPr id="3" name="Rectangle 3"/>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15149" id="Rectangle 3"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" fillcolor="#117479 [3205]"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720FC3">
      <w:rPr>
        <w:noProof/>
        <w:color w:val="FFFFFF" w:themeColor="background1"/>
      </w:rPr>
      <w:t>2</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69DDE" w14:textId="77777777" w:rsidR="00AE5935" w:rsidRDefault="00AE5935" w:rsidP="00A00EEB">
    <w:pPr>
      <w:pStyle w:val="Footer"/>
    </w:pPr>
  </w:p>
  <w:p w14:paraId="15C32DC9" w14:textId="09768DF7" w:rsidR="00AE5935" w:rsidRDefault="00AE5935"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B8401D">
      <w:rPr>
        <w:noProof/>
      </w:rPr>
      <w:t>17</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4619D" w14:textId="77777777" w:rsidR="00AE5935" w:rsidRPr="00F202CA" w:rsidRDefault="00AE5935"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4ACFE" w14:textId="77777777" w:rsidR="001B55AF" w:rsidRDefault="001B55AF">
      <w:r>
        <w:separator/>
      </w:r>
    </w:p>
  </w:footnote>
  <w:footnote w:type="continuationSeparator" w:id="0">
    <w:p w14:paraId="04837446" w14:textId="77777777" w:rsidR="001B55AF" w:rsidRDefault="001B55AF">
      <w:r>
        <w:continuationSeparator/>
      </w:r>
    </w:p>
  </w:footnote>
  <w:footnote w:type="continuationNotice" w:id="1">
    <w:p w14:paraId="094DE62B" w14:textId="77777777" w:rsidR="001B55AF" w:rsidRDefault="001B55AF">
      <w:pPr>
        <w:spacing w:after="0" w:line="240" w:lineRule="auto"/>
      </w:pPr>
    </w:p>
  </w:footnote>
  <w:footnote w:id="2">
    <w:p w14:paraId="40F2085D" w14:textId="77777777" w:rsidR="00AE5935" w:rsidRDefault="00AE5935" w:rsidP="00DF5274">
      <w:pPr>
        <w:pStyle w:val="FootnoteText"/>
      </w:pPr>
      <w:r>
        <w:rPr>
          <w:rStyle w:val="FootnoteReference"/>
        </w:rPr>
        <w:footnoteRef/>
      </w:r>
      <w:r>
        <w:t xml:space="preserve"> </w:t>
      </w:r>
      <w:r w:rsidRPr="00077A60">
        <w:t xml:space="preserve">We defined STEM background as either having studied a STEM subject or currently working in a STEM industry (‘Science and Mathematics’, ‘Computing and Information Systems’, ‘Engineering’, and ‘Agriculture and Environmental Studies’; ABS 2011). </w:t>
      </w:r>
    </w:p>
  </w:footnote>
  <w:footnote w:id="3">
    <w:p w14:paraId="2037A5A3" w14:textId="77777777" w:rsidR="00FE1913" w:rsidRDefault="00FE1913">
      <w:pPr>
        <w:pStyle w:val="FootnoteText"/>
      </w:pPr>
      <w:r w:rsidRPr="00EB2207">
        <w:rPr>
          <w:rStyle w:val="FootnoteReference"/>
        </w:rPr>
        <w:footnoteRef/>
      </w:r>
      <w:r w:rsidRPr="00EB2207">
        <w:t xml:space="preserve"> This analysis did not control for people’s patterns of work (full time or part time)</w:t>
      </w:r>
      <w:r w:rsidR="006122D9" w:rsidRPr="00EB2207">
        <w:t xml:space="preserve"> and it is possible some </w:t>
      </w:r>
      <w:r w:rsidR="00EB2207" w:rsidRPr="00EB2207">
        <w:t>people</w:t>
      </w:r>
      <w:r w:rsidR="006122D9" w:rsidRPr="00EB2207">
        <w:t xml:space="preserve"> who currently earn less tha</w:t>
      </w:r>
      <w:r w:rsidR="00EB2207" w:rsidRPr="00EB2207">
        <w:t>n</w:t>
      </w:r>
      <w:r w:rsidR="006122D9" w:rsidRPr="00EB2207">
        <w:t xml:space="preserve"> </w:t>
      </w:r>
      <w:r w:rsidR="00EB2207" w:rsidRPr="00EB2207">
        <w:t>teacher’s starting</w:t>
      </w:r>
      <w:r w:rsidR="006122D9" w:rsidRPr="00EB2207">
        <w:t xml:space="preserve"> pay are working part</w:t>
      </w:r>
      <w:r w:rsidR="006122D9">
        <w:t>-time.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99E92" w14:textId="77777777" w:rsidR="00AE5935" w:rsidRDefault="00AE5935" w:rsidP="00330274">
    <w:pPr>
      <w:pStyle w:val="Header"/>
      <w:tabs>
        <w:tab w:val="clear" w:pos="10319"/>
        <w:tab w:val="left" w:pos="803"/>
      </w:tabs>
      <w:ind w:right="-24"/>
    </w:pPr>
    <w:r>
      <w:rPr>
        <w:noProof/>
      </w:rPr>
      <w:drawing>
        <wp:anchor distT="0" distB="0" distL="114300" distR="114300" simplePos="0" relativeHeight="251658242" behindDoc="1" locked="0" layoutInCell="1" allowOverlap="1" wp14:anchorId="2197D600" wp14:editId="58F989E7">
          <wp:simplePos x="0" y="0"/>
          <wp:positionH relativeFrom="page">
            <wp:align>left</wp:align>
          </wp:positionH>
          <wp:positionV relativeFrom="page">
            <wp:align>top</wp:align>
          </wp:positionV>
          <wp:extent cx="7558721" cy="10690735"/>
          <wp:effectExtent l="0" t="0" r="4445" b="0"/>
          <wp:wrapNone/>
          <wp:docPr id="27" name="Picture 27" descr="Cover Includes Aus Gov arms, Dept of Prime Minister Cabinet and BETA branding"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DFAA1" w14:textId="77777777" w:rsidR="00AE5935" w:rsidRDefault="00AE59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7AD5F" w14:textId="77777777" w:rsidR="00EB2207" w:rsidRPr="00EB2207" w:rsidRDefault="00EB2207" w:rsidP="00EB2207">
    <w:pPr>
      <w:pStyle w:val="Header"/>
      <w:rPr>
        <w:color w:val="FFFFFF" w:themeColor="background1"/>
      </w:rPr>
    </w:pPr>
    <w:r w:rsidRPr="00EB2207">
      <w:rPr>
        <w:color w:val="FFFFFF" w:themeColor="background1"/>
      </w:rPr>
      <w:t>Attracting high-achieving teaching candidates</w:t>
    </w:r>
  </w:p>
  <w:p w14:paraId="42B2DAE5" w14:textId="77777777" w:rsidR="00AE5935" w:rsidRPr="00EB2207" w:rsidRDefault="00AE5935" w:rsidP="00EB22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14171" w14:textId="77777777" w:rsidR="00AE5935" w:rsidRDefault="00AE5935">
    <w:pPr>
      <w:pStyle w:val="Header"/>
    </w:pPr>
    <w:r>
      <w:t>Attracting high-</w:t>
    </w:r>
    <w:r w:rsidR="00F50DE9">
      <w:t xml:space="preserve">achieving </w:t>
    </w:r>
    <w:r>
      <w:t>teaching candidates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395D6" w14:textId="77777777" w:rsidR="00AE5935" w:rsidRPr="00F202CA" w:rsidRDefault="00AE5935"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99CE93C"/>
    <w:lvl w:ilvl="0">
      <w:start w:val="1"/>
      <w:numFmt w:val="decimal"/>
      <w:lvlText w:val="%1."/>
      <w:lvlJc w:val="left"/>
      <w:pPr>
        <w:tabs>
          <w:tab w:val="num" w:pos="5320"/>
        </w:tabs>
        <w:ind w:left="5320" w:hanging="360"/>
      </w:pPr>
    </w:lvl>
  </w:abstractNum>
  <w:abstractNum w:abstractNumId="1" w15:restartNumberingAfterBreak="0">
    <w:nsid w:val="FFFFFF7D"/>
    <w:multiLevelType w:val="singleLevel"/>
    <w:tmpl w:val="8C122A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0641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A41C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5A00C34"/>
    <w:multiLevelType w:val="hybridMultilevel"/>
    <w:tmpl w:val="B87A98CC"/>
    <w:lvl w:ilvl="0" w:tplc="0C090001">
      <w:start w:val="1"/>
      <w:numFmt w:val="bullet"/>
      <w:lvlText w:val=""/>
      <w:lvlJc w:val="left"/>
      <w:pPr>
        <w:ind w:left="2206" w:hanging="360"/>
      </w:pPr>
      <w:rPr>
        <w:rFonts w:ascii="Symbol" w:hAnsi="Symbol" w:hint="default"/>
      </w:rPr>
    </w:lvl>
    <w:lvl w:ilvl="1" w:tplc="0C090003" w:tentative="1">
      <w:start w:val="1"/>
      <w:numFmt w:val="bullet"/>
      <w:lvlText w:val="o"/>
      <w:lvlJc w:val="left"/>
      <w:pPr>
        <w:ind w:left="2926" w:hanging="360"/>
      </w:pPr>
      <w:rPr>
        <w:rFonts w:ascii="Courier New" w:hAnsi="Courier New" w:cs="Courier New" w:hint="default"/>
      </w:rPr>
    </w:lvl>
    <w:lvl w:ilvl="2" w:tplc="0C090005" w:tentative="1">
      <w:start w:val="1"/>
      <w:numFmt w:val="bullet"/>
      <w:lvlText w:val=""/>
      <w:lvlJc w:val="left"/>
      <w:pPr>
        <w:ind w:left="3646" w:hanging="360"/>
      </w:pPr>
      <w:rPr>
        <w:rFonts w:ascii="Wingdings" w:hAnsi="Wingdings" w:hint="default"/>
      </w:rPr>
    </w:lvl>
    <w:lvl w:ilvl="3" w:tplc="0C090001" w:tentative="1">
      <w:start w:val="1"/>
      <w:numFmt w:val="bullet"/>
      <w:lvlText w:val=""/>
      <w:lvlJc w:val="left"/>
      <w:pPr>
        <w:ind w:left="4366" w:hanging="360"/>
      </w:pPr>
      <w:rPr>
        <w:rFonts w:ascii="Symbol" w:hAnsi="Symbol" w:hint="default"/>
      </w:rPr>
    </w:lvl>
    <w:lvl w:ilvl="4" w:tplc="0C090003" w:tentative="1">
      <w:start w:val="1"/>
      <w:numFmt w:val="bullet"/>
      <w:lvlText w:val="o"/>
      <w:lvlJc w:val="left"/>
      <w:pPr>
        <w:ind w:left="5086" w:hanging="360"/>
      </w:pPr>
      <w:rPr>
        <w:rFonts w:ascii="Courier New" w:hAnsi="Courier New" w:cs="Courier New" w:hint="default"/>
      </w:rPr>
    </w:lvl>
    <w:lvl w:ilvl="5" w:tplc="0C090005" w:tentative="1">
      <w:start w:val="1"/>
      <w:numFmt w:val="bullet"/>
      <w:lvlText w:val=""/>
      <w:lvlJc w:val="left"/>
      <w:pPr>
        <w:ind w:left="5806" w:hanging="360"/>
      </w:pPr>
      <w:rPr>
        <w:rFonts w:ascii="Wingdings" w:hAnsi="Wingdings" w:hint="default"/>
      </w:rPr>
    </w:lvl>
    <w:lvl w:ilvl="6" w:tplc="0C090001" w:tentative="1">
      <w:start w:val="1"/>
      <w:numFmt w:val="bullet"/>
      <w:lvlText w:val=""/>
      <w:lvlJc w:val="left"/>
      <w:pPr>
        <w:ind w:left="6526" w:hanging="360"/>
      </w:pPr>
      <w:rPr>
        <w:rFonts w:ascii="Symbol" w:hAnsi="Symbol" w:hint="default"/>
      </w:rPr>
    </w:lvl>
    <w:lvl w:ilvl="7" w:tplc="0C090003" w:tentative="1">
      <w:start w:val="1"/>
      <w:numFmt w:val="bullet"/>
      <w:lvlText w:val="o"/>
      <w:lvlJc w:val="left"/>
      <w:pPr>
        <w:ind w:left="7246" w:hanging="360"/>
      </w:pPr>
      <w:rPr>
        <w:rFonts w:ascii="Courier New" w:hAnsi="Courier New" w:cs="Courier New" w:hint="default"/>
      </w:rPr>
    </w:lvl>
    <w:lvl w:ilvl="8" w:tplc="0C090005" w:tentative="1">
      <w:start w:val="1"/>
      <w:numFmt w:val="bullet"/>
      <w:lvlText w:val=""/>
      <w:lvlJc w:val="left"/>
      <w:pPr>
        <w:ind w:left="7966" w:hanging="360"/>
      </w:pPr>
      <w:rPr>
        <w:rFonts w:ascii="Wingdings" w:hAnsi="Wingdings" w:hint="default"/>
      </w:rPr>
    </w:lvl>
  </w:abstractNum>
  <w:abstractNum w:abstractNumId="9" w15:restartNumberingAfterBreak="0">
    <w:nsid w:val="14D9034F"/>
    <w:multiLevelType w:val="multilevel"/>
    <w:tmpl w:val="0C3CB0B6"/>
    <w:lvl w:ilvl="0">
      <w:numFmt w:val="decimal"/>
      <w:lvlText w:val="Appendix %1."/>
      <w:lvlJc w:val="left"/>
      <w:pPr>
        <w:ind w:left="720" w:hanging="720"/>
      </w:pPr>
      <w:rPr>
        <w:rFonts w:ascii="Helvetica" w:hAnsi="Helvetica" w:hint="default"/>
        <w:b w:val="0"/>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0" w15:restartNumberingAfterBreak="0">
    <w:nsid w:val="16D22123"/>
    <w:multiLevelType w:val="multilevel"/>
    <w:tmpl w:val="B606776A"/>
    <w:lvl w:ilvl="0">
      <w:numFmt w:val="decimal"/>
      <w:suff w:val="nothing"/>
      <w:lvlText w:val="Appendix %1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1" w15:restartNumberingAfterBreak="0">
    <w:nsid w:val="17461FE5"/>
    <w:multiLevelType w:val="hybridMultilevel"/>
    <w:tmpl w:val="17081296"/>
    <w:lvl w:ilvl="0" w:tplc="87FC2FB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F261B8"/>
    <w:multiLevelType w:val="multilevel"/>
    <w:tmpl w:val="54C697D8"/>
    <w:lvl w:ilvl="0">
      <w:start w:val="1"/>
      <w:numFmt w:val="decimal"/>
      <w:suff w:val="nothing"/>
      <w:lvlText w:val="Appendix %1 -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9A92AAD"/>
    <w:multiLevelType w:val="multilevel"/>
    <w:tmpl w:val="84484120"/>
    <w:lvl w:ilvl="0">
      <w:numFmt w:val="decimal"/>
      <w:lvlText w:val="Appendix %1 -"/>
      <w:lvlJc w:val="left"/>
      <w:pPr>
        <w:ind w:left="851" w:hanging="851"/>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4" w15:restartNumberingAfterBreak="0">
    <w:nsid w:val="1B525CF2"/>
    <w:multiLevelType w:val="multilevel"/>
    <w:tmpl w:val="F1586810"/>
    <w:lvl w:ilvl="0">
      <w:numFmt w:val="decimal"/>
      <w:lvlText w:val="Appendix %1."/>
      <w:lvlJc w:val="left"/>
      <w:pPr>
        <w:ind w:left="720" w:hanging="720"/>
      </w:pPr>
      <w:rPr>
        <w:rFonts w:ascii="Helvetica" w:hAnsi="Helvetica" w:hint="default"/>
        <w:b w:val="0"/>
        <w:i w:val="0"/>
        <w:color w:val="20B9A3"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5" w15:restartNumberingAfterBreak="0">
    <w:nsid w:val="246A3667"/>
    <w:multiLevelType w:val="hybridMultilevel"/>
    <w:tmpl w:val="6080920A"/>
    <w:lvl w:ilvl="0" w:tplc="580C23F2">
      <w:start w:val="1"/>
      <w:numFmt w:val="decimal"/>
      <w:pStyle w:val="HeadingTable"/>
      <w:lvlText w:val="Table %1."/>
      <w:lvlJc w:val="left"/>
      <w:pPr>
        <w:ind w:left="360"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19" w15:restartNumberingAfterBreak="0">
    <w:nsid w:val="3EA203A6"/>
    <w:multiLevelType w:val="hybridMultilevel"/>
    <w:tmpl w:val="5DEA5FD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36A7891"/>
    <w:multiLevelType w:val="multilevel"/>
    <w:tmpl w:val="DB4C86BA"/>
    <w:lvl w:ilvl="0">
      <w:start w:val="1"/>
      <w:numFmt w:val="decimal"/>
      <w:lvlText w:val="Figure %1."/>
      <w:lvlJc w:val="left"/>
      <w:pPr>
        <w:ind w:left="1778" w:hanging="360"/>
      </w:pPr>
      <w:rPr>
        <w:rFonts w:hint="default"/>
        <w:b/>
        <w:bCs w:val="0"/>
        <w:i w:val="0"/>
        <w:iCs w:val="0"/>
        <w:caps w:val="0"/>
        <w:smallCaps w:val="0"/>
        <w:strike w:val="0"/>
        <w:dstrike w:val="0"/>
        <w:outline w:val="0"/>
        <w:shadow w:val="0"/>
        <w:emboss w:val="0"/>
        <w:imprint w:val="0"/>
        <w:noProof w:val="0"/>
        <w:vanish w:val="0"/>
        <w:spacing w:val="0"/>
        <w:kern w:val="0"/>
        <w:position w:val="0"/>
        <w:sz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28" w:hanging="360"/>
      </w:pPr>
      <w:rPr>
        <w:rFonts w:hint="default"/>
      </w:rPr>
    </w:lvl>
    <w:lvl w:ilvl="2">
      <w:start w:val="1"/>
      <w:numFmt w:val="lowerRoman"/>
      <w:lvlText w:val="%3."/>
      <w:lvlJc w:val="right"/>
      <w:pPr>
        <w:ind w:left="-108" w:hanging="180"/>
      </w:pPr>
      <w:rPr>
        <w:rFonts w:hint="default"/>
      </w:rPr>
    </w:lvl>
    <w:lvl w:ilvl="3">
      <w:start w:val="1"/>
      <w:numFmt w:val="decimal"/>
      <w:lvlText w:val="%4."/>
      <w:lvlJc w:val="left"/>
      <w:pPr>
        <w:ind w:left="612" w:hanging="360"/>
      </w:pPr>
      <w:rPr>
        <w:rFonts w:hint="default"/>
      </w:rPr>
    </w:lvl>
    <w:lvl w:ilvl="4">
      <w:start w:val="1"/>
      <w:numFmt w:val="lowerLetter"/>
      <w:lvlText w:val="%5."/>
      <w:lvlJc w:val="left"/>
      <w:pPr>
        <w:ind w:left="1332" w:hanging="360"/>
      </w:pPr>
      <w:rPr>
        <w:rFonts w:hint="default"/>
      </w:rPr>
    </w:lvl>
    <w:lvl w:ilvl="5">
      <w:start w:val="1"/>
      <w:numFmt w:val="lowerRoman"/>
      <w:lvlText w:val="%6."/>
      <w:lvlJc w:val="right"/>
      <w:pPr>
        <w:ind w:left="2052" w:hanging="180"/>
      </w:pPr>
      <w:rPr>
        <w:rFonts w:hint="default"/>
      </w:rPr>
    </w:lvl>
    <w:lvl w:ilvl="6">
      <w:start w:val="1"/>
      <w:numFmt w:val="decimal"/>
      <w:lvlText w:val="%7."/>
      <w:lvlJc w:val="left"/>
      <w:pPr>
        <w:ind w:left="2772" w:hanging="360"/>
      </w:pPr>
      <w:rPr>
        <w:rFonts w:hint="default"/>
      </w:rPr>
    </w:lvl>
    <w:lvl w:ilvl="7">
      <w:start w:val="1"/>
      <w:numFmt w:val="lowerLetter"/>
      <w:lvlText w:val="%8."/>
      <w:lvlJc w:val="left"/>
      <w:pPr>
        <w:ind w:left="3492" w:hanging="360"/>
      </w:pPr>
      <w:rPr>
        <w:rFonts w:hint="default"/>
      </w:rPr>
    </w:lvl>
    <w:lvl w:ilvl="8">
      <w:start w:val="1"/>
      <w:numFmt w:val="lowerRoman"/>
      <w:lvlText w:val="%9."/>
      <w:lvlJc w:val="right"/>
      <w:pPr>
        <w:ind w:left="4212" w:hanging="180"/>
      </w:pPr>
      <w:rPr>
        <w:rFonts w:hint="default"/>
      </w:rPr>
    </w:lvl>
  </w:abstractNum>
  <w:abstractNum w:abstractNumId="21" w15:restartNumberingAfterBreak="0">
    <w:nsid w:val="52B47E44"/>
    <w:multiLevelType w:val="multilevel"/>
    <w:tmpl w:val="47E0E20E"/>
    <w:lvl w:ilvl="0">
      <w:numFmt w:val="decimal"/>
      <w:lvlText w:val="Appendix %1 -"/>
      <w:lvlJc w:val="left"/>
      <w:pPr>
        <w:ind w:left="720" w:hanging="720"/>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2"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3" w15:restartNumberingAfterBreak="0">
    <w:nsid w:val="65011EE3"/>
    <w:multiLevelType w:val="multilevel"/>
    <w:tmpl w:val="3E0CB6BE"/>
    <w:lvl w:ilvl="0">
      <w:numFmt w:val="decimal"/>
      <w:lvlText w:val="Appendix %1."/>
      <w:lvlJc w:val="left"/>
      <w:pPr>
        <w:ind w:left="720" w:hanging="720"/>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24" w15:restartNumberingAfterBreak="0">
    <w:nsid w:val="74D725C0"/>
    <w:multiLevelType w:val="hybridMultilevel"/>
    <w:tmpl w:val="BE3807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A1A108A"/>
    <w:multiLevelType w:val="hybridMultilevel"/>
    <w:tmpl w:val="804663A0"/>
    <w:lvl w:ilvl="0" w:tplc="0C090001">
      <w:start w:val="1"/>
      <w:numFmt w:val="bullet"/>
      <w:lvlText w:val=""/>
      <w:lvlJc w:val="left"/>
      <w:pPr>
        <w:ind w:left="2206" w:hanging="360"/>
      </w:pPr>
      <w:rPr>
        <w:rFonts w:ascii="Symbol" w:hAnsi="Symbol" w:hint="default"/>
      </w:rPr>
    </w:lvl>
    <w:lvl w:ilvl="1" w:tplc="0C090003" w:tentative="1">
      <w:start w:val="1"/>
      <w:numFmt w:val="bullet"/>
      <w:lvlText w:val="o"/>
      <w:lvlJc w:val="left"/>
      <w:pPr>
        <w:ind w:left="2926" w:hanging="360"/>
      </w:pPr>
      <w:rPr>
        <w:rFonts w:ascii="Courier New" w:hAnsi="Courier New" w:cs="Courier New" w:hint="default"/>
      </w:rPr>
    </w:lvl>
    <w:lvl w:ilvl="2" w:tplc="0C090005" w:tentative="1">
      <w:start w:val="1"/>
      <w:numFmt w:val="bullet"/>
      <w:lvlText w:val=""/>
      <w:lvlJc w:val="left"/>
      <w:pPr>
        <w:ind w:left="3646" w:hanging="360"/>
      </w:pPr>
      <w:rPr>
        <w:rFonts w:ascii="Wingdings" w:hAnsi="Wingdings" w:hint="default"/>
      </w:rPr>
    </w:lvl>
    <w:lvl w:ilvl="3" w:tplc="0C090001" w:tentative="1">
      <w:start w:val="1"/>
      <w:numFmt w:val="bullet"/>
      <w:lvlText w:val=""/>
      <w:lvlJc w:val="left"/>
      <w:pPr>
        <w:ind w:left="4366" w:hanging="360"/>
      </w:pPr>
      <w:rPr>
        <w:rFonts w:ascii="Symbol" w:hAnsi="Symbol" w:hint="default"/>
      </w:rPr>
    </w:lvl>
    <w:lvl w:ilvl="4" w:tplc="0C090003" w:tentative="1">
      <w:start w:val="1"/>
      <w:numFmt w:val="bullet"/>
      <w:lvlText w:val="o"/>
      <w:lvlJc w:val="left"/>
      <w:pPr>
        <w:ind w:left="5086" w:hanging="360"/>
      </w:pPr>
      <w:rPr>
        <w:rFonts w:ascii="Courier New" w:hAnsi="Courier New" w:cs="Courier New" w:hint="default"/>
      </w:rPr>
    </w:lvl>
    <w:lvl w:ilvl="5" w:tplc="0C090005" w:tentative="1">
      <w:start w:val="1"/>
      <w:numFmt w:val="bullet"/>
      <w:lvlText w:val=""/>
      <w:lvlJc w:val="left"/>
      <w:pPr>
        <w:ind w:left="5806" w:hanging="360"/>
      </w:pPr>
      <w:rPr>
        <w:rFonts w:ascii="Wingdings" w:hAnsi="Wingdings" w:hint="default"/>
      </w:rPr>
    </w:lvl>
    <w:lvl w:ilvl="6" w:tplc="0C090001" w:tentative="1">
      <w:start w:val="1"/>
      <w:numFmt w:val="bullet"/>
      <w:lvlText w:val=""/>
      <w:lvlJc w:val="left"/>
      <w:pPr>
        <w:ind w:left="6526" w:hanging="360"/>
      </w:pPr>
      <w:rPr>
        <w:rFonts w:ascii="Symbol" w:hAnsi="Symbol" w:hint="default"/>
      </w:rPr>
    </w:lvl>
    <w:lvl w:ilvl="7" w:tplc="0C090003" w:tentative="1">
      <w:start w:val="1"/>
      <w:numFmt w:val="bullet"/>
      <w:lvlText w:val="o"/>
      <w:lvlJc w:val="left"/>
      <w:pPr>
        <w:ind w:left="7246" w:hanging="360"/>
      </w:pPr>
      <w:rPr>
        <w:rFonts w:ascii="Courier New" w:hAnsi="Courier New" w:cs="Courier New" w:hint="default"/>
      </w:rPr>
    </w:lvl>
    <w:lvl w:ilvl="8" w:tplc="0C090005" w:tentative="1">
      <w:start w:val="1"/>
      <w:numFmt w:val="bullet"/>
      <w:lvlText w:val=""/>
      <w:lvlJc w:val="left"/>
      <w:pPr>
        <w:ind w:left="7966" w:hanging="360"/>
      </w:pPr>
      <w:rPr>
        <w:rFonts w:ascii="Wingdings" w:hAnsi="Wingdings" w:hint="default"/>
      </w:rPr>
    </w:lvl>
  </w:abstractNum>
  <w:abstractNum w:abstractNumId="26" w15:restartNumberingAfterBreak="0">
    <w:nsid w:val="7D685851"/>
    <w:multiLevelType w:val="hybridMultilevel"/>
    <w:tmpl w:val="1AF45B9E"/>
    <w:lvl w:ilvl="0" w:tplc="0C090001">
      <w:start w:val="1"/>
      <w:numFmt w:val="bullet"/>
      <w:lvlText w:val=""/>
      <w:lvlJc w:val="left"/>
      <w:pPr>
        <w:ind w:left="2206" w:hanging="360"/>
      </w:pPr>
      <w:rPr>
        <w:rFonts w:ascii="Symbol" w:hAnsi="Symbol" w:hint="default"/>
      </w:rPr>
    </w:lvl>
    <w:lvl w:ilvl="1" w:tplc="0C090003" w:tentative="1">
      <w:start w:val="1"/>
      <w:numFmt w:val="bullet"/>
      <w:lvlText w:val="o"/>
      <w:lvlJc w:val="left"/>
      <w:pPr>
        <w:ind w:left="2926" w:hanging="360"/>
      </w:pPr>
      <w:rPr>
        <w:rFonts w:ascii="Courier New" w:hAnsi="Courier New" w:cs="Courier New" w:hint="default"/>
      </w:rPr>
    </w:lvl>
    <w:lvl w:ilvl="2" w:tplc="0C090005" w:tentative="1">
      <w:start w:val="1"/>
      <w:numFmt w:val="bullet"/>
      <w:lvlText w:val=""/>
      <w:lvlJc w:val="left"/>
      <w:pPr>
        <w:ind w:left="3646" w:hanging="360"/>
      </w:pPr>
      <w:rPr>
        <w:rFonts w:ascii="Wingdings" w:hAnsi="Wingdings" w:hint="default"/>
      </w:rPr>
    </w:lvl>
    <w:lvl w:ilvl="3" w:tplc="0C090001" w:tentative="1">
      <w:start w:val="1"/>
      <w:numFmt w:val="bullet"/>
      <w:lvlText w:val=""/>
      <w:lvlJc w:val="left"/>
      <w:pPr>
        <w:ind w:left="4366" w:hanging="360"/>
      </w:pPr>
      <w:rPr>
        <w:rFonts w:ascii="Symbol" w:hAnsi="Symbol" w:hint="default"/>
      </w:rPr>
    </w:lvl>
    <w:lvl w:ilvl="4" w:tplc="0C090003" w:tentative="1">
      <w:start w:val="1"/>
      <w:numFmt w:val="bullet"/>
      <w:lvlText w:val="o"/>
      <w:lvlJc w:val="left"/>
      <w:pPr>
        <w:ind w:left="5086" w:hanging="360"/>
      </w:pPr>
      <w:rPr>
        <w:rFonts w:ascii="Courier New" w:hAnsi="Courier New" w:cs="Courier New" w:hint="default"/>
      </w:rPr>
    </w:lvl>
    <w:lvl w:ilvl="5" w:tplc="0C090005" w:tentative="1">
      <w:start w:val="1"/>
      <w:numFmt w:val="bullet"/>
      <w:lvlText w:val=""/>
      <w:lvlJc w:val="left"/>
      <w:pPr>
        <w:ind w:left="5806" w:hanging="360"/>
      </w:pPr>
      <w:rPr>
        <w:rFonts w:ascii="Wingdings" w:hAnsi="Wingdings" w:hint="default"/>
      </w:rPr>
    </w:lvl>
    <w:lvl w:ilvl="6" w:tplc="0C090001" w:tentative="1">
      <w:start w:val="1"/>
      <w:numFmt w:val="bullet"/>
      <w:lvlText w:val=""/>
      <w:lvlJc w:val="left"/>
      <w:pPr>
        <w:ind w:left="6526" w:hanging="360"/>
      </w:pPr>
      <w:rPr>
        <w:rFonts w:ascii="Symbol" w:hAnsi="Symbol" w:hint="default"/>
      </w:rPr>
    </w:lvl>
    <w:lvl w:ilvl="7" w:tplc="0C090003" w:tentative="1">
      <w:start w:val="1"/>
      <w:numFmt w:val="bullet"/>
      <w:lvlText w:val="o"/>
      <w:lvlJc w:val="left"/>
      <w:pPr>
        <w:ind w:left="7246" w:hanging="360"/>
      </w:pPr>
      <w:rPr>
        <w:rFonts w:ascii="Courier New" w:hAnsi="Courier New" w:cs="Courier New" w:hint="default"/>
      </w:rPr>
    </w:lvl>
    <w:lvl w:ilvl="8" w:tplc="0C090005" w:tentative="1">
      <w:start w:val="1"/>
      <w:numFmt w:val="bullet"/>
      <w:lvlText w:val=""/>
      <w:lvlJc w:val="left"/>
      <w:pPr>
        <w:ind w:left="7966" w:hanging="360"/>
      </w:pPr>
      <w:rPr>
        <w:rFonts w:ascii="Wingdings" w:hAnsi="Wingdings" w:hint="default"/>
      </w:rPr>
    </w:lvl>
  </w:abstractNum>
  <w:abstractNum w:abstractNumId="27" w15:restartNumberingAfterBreak="0">
    <w:nsid w:val="7FD27E35"/>
    <w:multiLevelType w:val="multilevel"/>
    <w:tmpl w:val="10F25FEC"/>
    <w:lvl w:ilvl="0">
      <w:start w:val="1"/>
      <w:numFmt w:val="decimal"/>
      <w:lvlText w:val="Appendix %1."/>
      <w:lvlJc w:val="left"/>
      <w:pPr>
        <w:ind w:left="720" w:firstLine="0"/>
      </w:pPr>
      <w:rPr>
        <w:rFonts w:ascii="Helvetica" w:hAnsi="Helvetica" w:hint="default"/>
        <w:b w:val="0"/>
        <w:i w:val="0"/>
        <w:color w:val="20B9A3"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num w:numId="1">
    <w:abstractNumId w:val="17"/>
  </w:num>
  <w:num w:numId="2">
    <w:abstractNumId w:val="22"/>
  </w:num>
  <w:num w:numId="3">
    <w:abstractNumId w:val="20"/>
  </w:num>
  <w:num w:numId="4">
    <w:abstractNumId w:val="12"/>
  </w:num>
  <w:num w:numId="5">
    <w:abstractNumId w:val="7"/>
  </w:num>
  <w:num w:numId="6">
    <w:abstractNumId w:val="6"/>
  </w:num>
  <w:num w:numId="7">
    <w:abstractNumId w:val="3"/>
  </w:num>
  <w:num w:numId="8">
    <w:abstractNumId w:val="2"/>
  </w:num>
  <w:num w:numId="9">
    <w:abstractNumId w:val="0"/>
  </w:num>
  <w:num w:numId="10">
    <w:abstractNumId w:val="1"/>
  </w:num>
  <w:num w:numId="11">
    <w:abstractNumId w:val="4"/>
  </w:num>
  <w:num w:numId="12">
    <w:abstractNumId w:val="5"/>
  </w:num>
  <w:num w:numId="13">
    <w:abstractNumId w:val="18"/>
  </w:num>
  <w:num w:numId="14">
    <w:abstractNumId w:val="27"/>
  </w:num>
  <w:num w:numId="15">
    <w:abstractNumId w:val="14"/>
  </w:num>
  <w:num w:numId="16">
    <w:abstractNumId w:val="9"/>
  </w:num>
  <w:num w:numId="17">
    <w:abstractNumId w:val="23"/>
  </w:num>
  <w:num w:numId="18">
    <w:abstractNumId w:val="21"/>
  </w:num>
  <w:num w:numId="19">
    <w:abstractNumId w:val="13"/>
  </w:num>
  <w:num w:numId="20">
    <w:abstractNumId w:val="10"/>
  </w:num>
  <w:num w:numId="21">
    <w:abstractNumId w:val="15"/>
  </w:num>
  <w:num w:numId="22">
    <w:abstractNumId w:val="16"/>
  </w:num>
  <w:num w:numId="23">
    <w:abstractNumId w:val="11"/>
  </w:num>
  <w:num w:numId="24">
    <w:abstractNumId w:val="24"/>
  </w:num>
  <w:num w:numId="25">
    <w:abstractNumId w:val="19"/>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8"/>
  </w:num>
  <w:num w:numId="31">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inkAnnotations="0"/>
  <w:documentProtection w:edit="readOnly" w:enforcement="0"/>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5785"/>
    <w:rsid w:val="00006876"/>
    <w:rsid w:val="000079AD"/>
    <w:rsid w:val="00007D1F"/>
    <w:rsid w:val="00010D84"/>
    <w:rsid w:val="00010F15"/>
    <w:rsid w:val="00011CE3"/>
    <w:rsid w:val="00011FC0"/>
    <w:rsid w:val="000131D0"/>
    <w:rsid w:val="00016117"/>
    <w:rsid w:val="000176B5"/>
    <w:rsid w:val="0001771B"/>
    <w:rsid w:val="00020002"/>
    <w:rsid w:val="00022E9C"/>
    <w:rsid w:val="000249CC"/>
    <w:rsid w:val="00024EF0"/>
    <w:rsid w:val="00025631"/>
    <w:rsid w:val="00025710"/>
    <w:rsid w:val="00027B26"/>
    <w:rsid w:val="00030588"/>
    <w:rsid w:val="00030705"/>
    <w:rsid w:val="0003114F"/>
    <w:rsid w:val="00032861"/>
    <w:rsid w:val="00032B77"/>
    <w:rsid w:val="00033BCE"/>
    <w:rsid w:val="00036581"/>
    <w:rsid w:val="00037F3D"/>
    <w:rsid w:val="00042285"/>
    <w:rsid w:val="00043256"/>
    <w:rsid w:val="00045A89"/>
    <w:rsid w:val="0004635E"/>
    <w:rsid w:val="00046F8E"/>
    <w:rsid w:val="00047261"/>
    <w:rsid w:val="00047524"/>
    <w:rsid w:val="0005040E"/>
    <w:rsid w:val="0005087D"/>
    <w:rsid w:val="00050F9E"/>
    <w:rsid w:val="00051761"/>
    <w:rsid w:val="000547EF"/>
    <w:rsid w:val="00056004"/>
    <w:rsid w:val="00056B0F"/>
    <w:rsid w:val="00057CFE"/>
    <w:rsid w:val="0006075A"/>
    <w:rsid w:val="00060A00"/>
    <w:rsid w:val="00061C84"/>
    <w:rsid w:val="00062484"/>
    <w:rsid w:val="00063129"/>
    <w:rsid w:val="0006489E"/>
    <w:rsid w:val="00064EE9"/>
    <w:rsid w:val="00065022"/>
    <w:rsid w:val="00065088"/>
    <w:rsid w:val="00065A5E"/>
    <w:rsid w:val="00070681"/>
    <w:rsid w:val="0007097B"/>
    <w:rsid w:val="00070F67"/>
    <w:rsid w:val="00072DA5"/>
    <w:rsid w:val="00075E45"/>
    <w:rsid w:val="00080A09"/>
    <w:rsid w:val="00081366"/>
    <w:rsid w:val="0008174B"/>
    <w:rsid w:val="00081CEB"/>
    <w:rsid w:val="00082C85"/>
    <w:rsid w:val="00083082"/>
    <w:rsid w:val="00083F36"/>
    <w:rsid w:val="00086D9F"/>
    <w:rsid w:val="0008773D"/>
    <w:rsid w:val="00087B2C"/>
    <w:rsid w:val="00087D4E"/>
    <w:rsid w:val="00087DBD"/>
    <w:rsid w:val="00090718"/>
    <w:rsid w:val="00091B4E"/>
    <w:rsid w:val="00091B67"/>
    <w:rsid w:val="00091CD7"/>
    <w:rsid w:val="0009322F"/>
    <w:rsid w:val="00093DD5"/>
    <w:rsid w:val="000940A5"/>
    <w:rsid w:val="00095DE6"/>
    <w:rsid w:val="000A03DD"/>
    <w:rsid w:val="000A0816"/>
    <w:rsid w:val="000A1193"/>
    <w:rsid w:val="000A1A09"/>
    <w:rsid w:val="000A1B0D"/>
    <w:rsid w:val="000A47A8"/>
    <w:rsid w:val="000A48B2"/>
    <w:rsid w:val="000A4C19"/>
    <w:rsid w:val="000A73FB"/>
    <w:rsid w:val="000B0129"/>
    <w:rsid w:val="000B218A"/>
    <w:rsid w:val="000B2372"/>
    <w:rsid w:val="000B39C7"/>
    <w:rsid w:val="000B6BAC"/>
    <w:rsid w:val="000C014D"/>
    <w:rsid w:val="000C29B4"/>
    <w:rsid w:val="000C376C"/>
    <w:rsid w:val="000C49B2"/>
    <w:rsid w:val="000C5CD8"/>
    <w:rsid w:val="000C7A69"/>
    <w:rsid w:val="000D1158"/>
    <w:rsid w:val="000D34CF"/>
    <w:rsid w:val="000D3E9A"/>
    <w:rsid w:val="000D4703"/>
    <w:rsid w:val="000D4838"/>
    <w:rsid w:val="000D6340"/>
    <w:rsid w:val="000E0B53"/>
    <w:rsid w:val="000E122B"/>
    <w:rsid w:val="000E12D4"/>
    <w:rsid w:val="000E39EF"/>
    <w:rsid w:val="000E51CE"/>
    <w:rsid w:val="000E620E"/>
    <w:rsid w:val="000F2063"/>
    <w:rsid w:val="000F3D28"/>
    <w:rsid w:val="000F63C4"/>
    <w:rsid w:val="000F7463"/>
    <w:rsid w:val="000F762E"/>
    <w:rsid w:val="000F7C79"/>
    <w:rsid w:val="00100200"/>
    <w:rsid w:val="00100B5F"/>
    <w:rsid w:val="0010263D"/>
    <w:rsid w:val="00102824"/>
    <w:rsid w:val="0010300A"/>
    <w:rsid w:val="00103CE6"/>
    <w:rsid w:val="00104EFB"/>
    <w:rsid w:val="00106675"/>
    <w:rsid w:val="001131F0"/>
    <w:rsid w:val="0011342C"/>
    <w:rsid w:val="001139C7"/>
    <w:rsid w:val="00114EBC"/>
    <w:rsid w:val="0012073F"/>
    <w:rsid w:val="001239B3"/>
    <w:rsid w:val="0012427E"/>
    <w:rsid w:val="001247E0"/>
    <w:rsid w:val="001252F6"/>
    <w:rsid w:val="00126750"/>
    <w:rsid w:val="001271A1"/>
    <w:rsid w:val="00131C0F"/>
    <w:rsid w:val="001325BF"/>
    <w:rsid w:val="00132F0D"/>
    <w:rsid w:val="00133713"/>
    <w:rsid w:val="00133A4A"/>
    <w:rsid w:val="00135B7E"/>
    <w:rsid w:val="00137FDB"/>
    <w:rsid w:val="00140AF6"/>
    <w:rsid w:val="00140FC9"/>
    <w:rsid w:val="001413C5"/>
    <w:rsid w:val="00141E4A"/>
    <w:rsid w:val="0014231B"/>
    <w:rsid w:val="00142956"/>
    <w:rsid w:val="00142D10"/>
    <w:rsid w:val="0014329D"/>
    <w:rsid w:val="001432B0"/>
    <w:rsid w:val="00144042"/>
    <w:rsid w:val="00144868"/>
    <w:rsid w:val="001452BC"/>
    <w:rsid w:val="00146E12"/>
    <w:rsid w:val="00150D2A"/>
    <w:rsid w:val="00150E25"/>
    <w:rsid w:val="00150EA9"/>
    <w:rsid w:val="001512BB"/>
    <w:rsid w:val="00151650"/>
    <w:rsid w:val="001540CB"/>
    <w:rsid w:val="00155968"/>
    <w:rsid w:val="00155B98"/>
    <w:rsid w:val="00157001"/>
    <w:rsid w:val="00157709"/>
    <w:rsid w:val="00160B66"/>
    <w:rsid w:val="00160E91"/>
    <w:rsid w:val="00165626"/>
    <w:rsid w:val="00166272"/>
    <w:rsid w:val="001671D2"/>
    <w:rsid w:val="00167623"/>
    <w:rsid w:val="00167CF4"/>
    <w:rsid w:val="001705CB"/>
    <w:rsid w:val="00170BE9"/>
    <w:rsid w:val="0017147C"/>
    <w:rsid w:val="0017194E"/>
    <w:rsid w:val="00171FEA"/>
    <w:rsid w:val="0017249B"/>
    <w:rsid w:val="001727A4"/>
    <w:rsid w:val="00176148"/>
    <w:rsid w:val="0017712F"/>
    <w:rsid w:val="00177C37"/>
    <w:rsid w:val="00177EC4"/>
    <w:rsid w:val="00181533"/>
    <w:rsid w:val="00181862"/>
    <w:rsid w:val="001824C8"/>
    <w:rsid w:val="00182698"/>
    <w:rsid w:val="001828FA"/>
    <w:rsid w:val="001854D0"/>
    <w:rsid w:val="001864FD"/>
    <w:rsid w:val="00191A5D"/>
    <w:rsid w:val="001936A7"/>
    <w:rsid w:val="001943DD"/>
    <w:rsid w:val="001959C4"/>
    <w:rsid w:val="00196BAC"/>
    <w:rsid w:val="001A009A"/>
    <w:rsid w:val="001A00D5"/>
    <w:rsid w:val="001A0BF0"/>
    <w:rsid w:val="001A13F6"/>
    <w:rsid w:val="001A2D78"/>
    <w:rsid w:val="001A61C4"/>
    <w:rsid w:val="001A7249"/>
    <w:rsid w:val="001A7AFE"/>
    <w:rsid w:val="001B1EA0"/>
    <w:rsid w:val="001B385A"/>
    <w:rsid w:val="001B3904"/>
    <w:rsid w:val="001B3AEC"/>
    <w:rsid w:val="001B3E8D"/>
    <w:rsid w:val="001B5259"/>
    <w:rsid w:val="001B53B8"/>
    <w:rsid w:val="001B55AF"/>
    <w:rsid w:val="001B60D4"/>
    <w:rsid w:val="001B6F28"/>
    <w:rsid w:val="001C12DB"/>
    <w:rsid w:val="001C2CBE"/>
    <w:rsid w:val="001C35DA"/>
    <w:rsid w:val="001C38BA"/>
    <w:rsid w:val="001C4F4F"/>
    <w:rsid w:val="001C6BA1"/>
    <w:rsid w:val="001C6F22"/>
    <w:rsid w:val="001D141C"/>
    <w:rsid w:val="001D2904"/>
    <w:rsid w:val="001D38E8"/>
    <w:rsid w:val="001D3AB0"/>
    <w:rsid w:val="001D652D"/>
    <w:rsid w:val="001D693F"/>
    <w:rsid w:val="001D6EDF"/>
    <w:rsid w:val="001D6F9E"/>
    <w:rsid w:val="001E0A87"/>
    <w:rsid w:val="001E38FB"/>
    <w:rsid w:val="001E52C2"/>
    <w:rsid w:val="001E6A27"/>
    <w:rsid w:val="001E7E5A"/>
    <w:rsid w:val="001F0BE1"/>
    <w:rsid w:val="001F101A"/>
    <w:rsid w:val="001F24EF"/>
    <w:rsid w:val="001F319B"/>
    <w:rsid w:val="001F4A91"/>
    <w:rsid w:val="001F50D9"/>
    <w:rsid w:val="001F56C7"/>
    <w:rsid w:val="001F7838"/>
    <w:rsid w:val="001F7AF2"/>
    <w:rsid w:val="002005FF"/>
    <w:rsid w:val="002019C1"/>
    <w:rsid w:val="00203039"/>
    <w:rsid w:val="00203A42"/>
    <w:rsid w:val="00204B17"/>
    <w:rsid w:val="002069D2"/>
    <w:rsid w:val="002111E1"/>
    <w:rsid w:val="00211DA2"/>
    <w:rsid w:val="00213210"/>
    <w:rsid w:val="00213693"/>
    <w:rsid w:val="00215137"/>
    <w:rsid w:val="00215479"/>
    <w:rsid w:val="00215B78"/>
    <w:rsid w:val="00215CCB"/>
    <w:rsid w:val="00216CF5"/>
    <w:rsid w:val="00217C38"/>
    <w:rsid w:val="0022037B"/>
    <w:rsid w:val="00222C8D"/>
    <w:rsid w:val="002256A8"/>
    <w:rsid w:val="00225A61"/>
    <w:rsid w:val="002268B1"/>
    <w:rsid w:val="00226D96"/>
    <w:rsid w:val="00230261"/>
    <w:rsid w:val="00230E6B"/>
    <w:rsid w:val="002320BC"/>
    <w:rsid w:val="00232B97"/>
    <w:rsid w:val="00233077"/>
    <w:rsid w:val="0023523A"/>
    <w:rsid w:val="0023757C"/>
    <w:rsid w:val="00237C47"/>
    <w:rsid w:val="002402E4"/>
    <w:rsid w:val="002421A0"/>
    <w:rsid w:val="00242B98"/>
    <w:rsid w:val="002445A1"/>
    <w:rsid w:val="00246FE6"/>
    <w:rsid w:val="002470E3"/>
    <w:rsid w:val="00251695"/>
    <w:rsid w:val="00251A75"/>
    <w:rsid w:val="0025207D"/>
    <w:rsid w:val="002535AE"/>
    <w:rsid w:val="00254DE9"/>
    <w:rsid w:val="00257A66"/>
    <w:rsid w:val="002602FC"/>
    <w:rsid w:val="002615D3"/>
    <w:rsid w:val="0026268A"/>
    <w:rsid w:val="00262845"/>
    <w:rsid w:val="00263335"/>
    <w:rsid w:val="0026371E"/>
    <w:rsid w:val="00265941"/>
    <w:rsid w:val="00266190"/>
    <w:rsid w:val="002672F1"/>
    <w:rsid w:val="00271414"/>
    <w:rsid w:val="00271922"/>
    <w:rsid w:val="00273412"/>
    <w:rsid w:val="00273459"/>
    <w:rsid w:val="0027373F"/>
    <w:rsid w:val="002741EC"/>
    <w:rsid w:val="002743EB"/>
    <w:rsid w:val="0027462A"/>
    <w:rsid w:val="00274ACF"/>
    <w:rsid w:val="00277388"/>
    <w:rsid w:val="00277C8F"/>
    <w:rsid w:val="0028159B"/>
    <w:rsid w:val="00282671"/>
    <w:rsid w:val="00282861"/>
    <w:rsid w:val="002843E2"/>
    <w:rsid w:val="002876D5"/>
    <w:rsid w:val="00287BAA"/>
    <w:rsid w:val="0029180D"/>
    <w:rsid w:val="00293489"/>
    <w:rsid w:val="00295B30"/>
    <w:rsid w:val="00296F5E"/>
    <w:rsid w:val="00297A8D"/>
    <w:rsid w:val="002A0D8C"/>
    <w:rsid w:val="002A1BE8"/>
    <w:rsid w:val="002A30F0"/>
    <w:rsid w:val="002A3443"/>
    <w:rsid w:val="002A38A4"/>
    <w:rsid w:val="002A6DF5"/>
    <w:rsid w:val="002B1227"/>
    <w:rsid w:val="002B2858"/>
    <w:rsid w:val="002B50E6"/>
    <w:rsid w:val="002B56BB"/>
    <w:rsid w:val="002B5D67"/>
    <w:rsid w:val="002B6225"/>
    <w:rsid w:val="002B6406"/>
    <w:rsid w:val="002B6809"/>
    <w:rsid w:val="002B6BE0"/>
    <w:rsid w:val="002C3771"/>
    <w:rsid w:val="002C4231"/>
    <w:rsid w:val="002C44DD"/>
    <w:rsid w:val="002C56D7"/>
    <w:rsid w:val="002C5FBA"/>
    <w:rsid w:val="002C7080"/>
    <w:rsid w:val="002C76BF"/>
    <w:rsid w:val="002D00B0"/>
    <w:rsid w:val="002D2364"/>
    <w:rsid w:val="002D2E16"/>
    <w:rsid w:val="002D6050"/>
    <w:rsid w:val="002D6E3E"/>
    <w:rsid w:val="002E21D6"/>
    <w:rsid w:val="002E45F0"/>
    <w:rsid w:val="002E7778"/>
    <w:rsid w:val="002F5755"/>
    <w:rsid w:val="002F680D"/>
    <w:rsid w:val="002F6850"/>
    <w:rsid w:val="002F7FA8"/>
    <w:rsid w:val="00302BF9"/>
    <w:rsid w:val="00304011"/>
    <w:rsid w:val="00304B3E"/>
    <w:rsid w:val="00304D97"/>
    <w:rsid w:val="0031180A"/>
    <w:rsid w:val="003122C7"/>
    <w:rsid w:val="0031246D"/>
    <w:rsid w:val="00312502"/>
    <w:rsid w:val="00313127"/>
    <w:rsid w:val="00313304"/>
    <w:rsid w:val="00313BE5"/>
    <w:rsid w:val="003155F4"/>
    <w:rsid w:val="003158EE"/>
    <w:rsid w:val="00320309"/>
    <w:rsid w:val="003213A1"/>
    <w:rsid w:val="00321D1E"/>
    <w:rsid w:val="00322BE0"/>
    <w:rsid w:val="00324FDC"/>
    <w:rsid w:val="0032530E"/>
    <w:rsid w:val="00325A61"/>
    <w:rsid w:val="00326976"/>
    <w:rsid w:val="00326B01"/>
    <w:rsid w:val="003279E4"/>
    <w:rsid w:val="00330274"/>
    <w:rsid w:val="00330E7A"/>
    <w:rsid w:val="003311D7"/>
    <w:rsid w:val="00332B8B"/>
    <w:rsid w:val="0033319B"/>
    <w:rsid w:val="0033521E"/>
    <w:rsid w:val="00335DB0"/>
    <w:rsid w:val="003364C7"/>
    <w:rsid w:val="00337CA2"/>
    <w:rsid w:val="003402FB"/>
    <w:rsid w:val="003404A4"/>
    <w:rsid w:val="003418E4"/>
    <w:rsid w:val="00343179"/>
    <w:rsid w:val="00346843"/>
    <w:rsid w:val="00347104"/>
    <w:rsid w:val="00347B06"/>
    <w:rsid w:val="00350852"/>
    <w:rsid w:val="0035096E"/>
    <w:rsid w:val="00350FC0"/>
    <w:rsid w:val="0035129C"/>
    <w:rsid w:val="0035219F"/>
    <w:rsid w:val="00355D01"/>
    <w:rsid w:val="003566B0"/>
    <w:rsid w:val="00360B81"/>
    <w:rsid w:val="00363C3C"/>
    <w:rsid w:val="00364E30"/>
    <w:rsid w:val="00366283"/>
    <w:rsid w:val="0036777E"/>
    <w:rsid w:val="003701FA"/>
    <w:rsid w:val="00371916"/>
    <w:rsid w:val="003719DD"/>
    <w:rsid w:val="0037271A"/>
    <w:rsid w:val="00372A26"/>
    <w:rsid w:val="00372EC7"/>
    <w:rsid w:val="003733DE"/>
    <w:rsid w:val="0037469F"/>
    <w:rsid w:val="0037484C"/>
    <w:rsid w:val="003749CD"/>
    <w:rsid w:val="00374A6C"/>
    <w:rsid w:val="0038045A"/>
    <w:rsid w:val="003816C8"/>
    <w:rsid w:val="00382718"/>
    <w:rsid w:val="00382B3B"/>
    <w:rsid w:val="00385ED2"/>
    <w:rsid w:val="003866D6"/>
    <w:rsid w:val="0038714A"/>
    <w:rsid w:val="00391F86"/>
    <w:rsid w:val="003923FB"/>
    <w:rsid w:val="003931C7"/>
    <w:rsid w:val="00393F00"/>
    <w:rsid w:val="003945C0"/>
    <w:rsid w:val="00395E2F"/>
    <w:rsid w:val="003971B7"/>
    <w:rsid w:val="003A25A7"/>
    <w:rsid w:val="003A5AF9"/>
    <w:rsid w:val="003A6EB9"/>
    <w:rsid w:val="003B21AD"/>
    <w:rsid w:val="003B28CC"/>
    <w:rsid w:val="003B499C"/>
    <w:rsid w:val="003B4EE0"/>
    <w:rsid w:val="003B52CE"/>
    <w:rsid w:val="003B535C"/>
    <w:rsid w:val="003B5F0C"/>
    <w:rsid w:val="003C2120"/>
    <w:rsid w:val="003C2D04"/>
    <w:rsid w:val="003C47C0"/>
    <w:rsid w:val="003C4BB1"/>
    <w:rsid w:val="003C63A3"/>
    <w:rsid w:val="003C6CBC"/>
    <w:rsid w:val="003D00C7"/>
    <w:rsid w:val="003D030E"/>
    <w:rsid w:val="003D040D"/>
    <w:rsid w:val="003D0EEF"/>
    <w:rsid w:val="003D1A1F"/>
    <w:rsid w:val="003D1F49"/>
    <w:rsid w:val="003D2061"/>
    <w:rsid w:val="003D3A37"/>
    <w:rsid w:val="003D543B"/>
    <w:rsid w:val="003D6AE7"/>
    <w:rsid w:val="003D7E3D"/>
    <w:rsid w:val="003E02C5"/>
    <w:rsid w:val="003E1FE3"/>
    <w:rsid w:val="003E24F1"/>
    <w:rsid w:val="003E32A7"/>
    <w:rsid w:val="003E6102"/>
    <w:rsid w:val="003E74AE"/>
    <w:rsid w:val="003F1A33"/>
    <w:rsid w:val="003F3072"/>
    <w:rsid w:val="003F31E6"/>
    <w:rsid w:val="003F3E06"/>
    <w:rsid w:val="004004C3"/>
    <w:rsid w:val="00401057"/>
    <w:rsid w:val="00401E56"/>
    <w:rsid w:val="0040207C"/>
    <w:rsid w:val="004024E4"/>
    <w:rsid w:val="00402AFA"/>
    <w:rsid w:val="004061B4"/>
    <w:rsid w:val="00406289"/>
    <w:rsid w:val="00406578"/>
    <w:rsid w:val="004074EF"/>
    <w:rsid w:val="004078CC"/>
    <w:rsid w:val="00407BF1"/>
    <w:rsid w:val="004102C3"/>
    <w:rsid w:val="0041307C"/>
    <w:rsid w:val="00413699"/>
    <w:rsid w:val="00413BCF"/>
    <w:rsid w:val="004167B4"/>
    <w:rsid w:val="004167BC"/>
    <w:rsid w:val="00416D8E"/>
    <w:rsid w:val="0042032D"/>
    <w:rsid w:val="004225DC"/>
    <w:rsid w:val="00423A41"/>
    <w:rsid w:val="00424AF5"/>
    <w:rsid w:val="00425FBA"/>
    <w:rsid w:val="00427C7D"/>
    <w:rsid w:val="00430D7E"/>
    <w:rsid w:val="00432332"/>
    <w:rsid w:val="00432368"/>
    <w:rsid w:val="00433B04"/>
    <w:rsid w:val="00434B74"/>
    <w:rsid w:val="00435C4D"/>
    <w:rsid w:val="00435EE3"/>
    <w:rsid w:val="00436F73"/>
    <w:rsid w:val="0043784D"/>
    <w:rsid w:val="00440256"/>
    <w:rsid w:val="00440E22"/>
    <w:rsid w:val="0044547D"/>
    <w:rsid w:val="00446F93"/>
    <w:rsid w:val="00447220"/>
    <w:rsid w:val="0044756A"/>
    <w:rsid w:val="00451A74"/>
    <w:rsid w:val="00452C8A"/>
    <w:rsid w:val="004533A1"/>
    <w:rsid w:val="004552AB"/>
    <w:rsid w:val="004553FF"/>
    <w:rsid w:val="0045622C"/>
    <w:rsid w:val="004629DE"/>
    <w:rsid w:val="00464B51"/>
    <w:rsid w:val="00464FB1"/>
    <w:rsid w:val="00466320"/>
    <w:rsid w:val="00467185"/>
    <w:rsid w:val="00467736"/>
    <w:rsid w:val="0047050C"/>
    <w:rsid w:val="0047085E"/>
    <w:rsid w:val="00472272"/>
    <w:rsid w:val="00472A45"/>
    <w:rsid w:val="00473540"/>
    <w:rsid w:val="00473930"/>
    <w:rsid w:val="00474D25"/>
    <w:rsid w:val="004750DB"/>
    <w:rsid w:val="004750FB"/>
    <w:rsid w:val="004758F2"/>
    <w:rsid w:val="0047649C"/>
    <w:rsid w:val="00480F21"/>
    <w:rsid w:val="0048108E"/>
    <w:rsid w:val="00481389"/>
    <w:rsid w:val="004821BA"/>
    <w:rsid w:val="00482BE3"/>
    <w:rsid w:val="0048344F"/>
    <w:rsid w:val="0048537F"/>
    <w:rsid w:val="004874E5"/>
    <w:rsid w:val="00487885"/>
    <w:rsid w:val="004909C3"/>
    <w:rsid w:val="00490A65"/>
    <w:rsid w:val="0049116C"/>
    <w:rsid w:val="00491968"/>
    <w:rsid w:val="004930C9"/>
    <w:rsid w:val="00493EAC"/>
    <w:rsid w:val="00493F62"/>
    <w:rsid w:val="00494832"/>
    <w:rsid w:val="004957C2"/>
    <w:rsid w:val="00495AF1"/>
    <w:rsid w:val="00495C3C"/>
    <w:rsid w:val="00497A89"/>
    <w:rsid w:val="004A4CED"/>
    <w:rsid w:val="004A4D74"/>
    <w:rsid w:val="004A6BE6"/>
    <w:rsid w:val="004A76D1"/>
    <w:rsid w:val="004B047F"/>
    <w:rsid w:val="004B0828"/>
    <w:rsid w:val="004B263B"/>
    <w:rsid w:val="004B3304"/>
    <w:rsid w:val="004B3DF1"/>
    <w:rsid w:val="004B4BC0"/>
    <w:rsid w:val="004B52CE"/>
    <w:rsid w:val="004B5555"/>
    <w:rsid w:val="004B6E41"/>
    <w:rsid w:val="004C011C"/>
    <w:rsid w:val="004C0484"/>
    <w:rsid w:val="004C259B"/>
    <w:rsid w:val="004C777E"/>
    <w:rsid w:val="004D0605"/>
    <w:rsid w:val="004D0C54"/>
    <w:rsid w:val="004D16A4"/>
    <w:rsid w:val="004E57B6"/>
    <w:rsid w:val="004E6682"/>
    <w:rsid w:val="004E668D"/>
    <w:rsid w:val="004E6D8A"/>
    <w:rsid w:val="004F0411"/>
    <w:rsid w:val="004F0BB9"/>
    <w:rsid w:val="004F10C1"/>
    <w:rsid w:val="004F15EF"/>
    <w:rsid w:val="004F22FE"/>
    <w:rsid w:val="004F774D"/>
    <w:rsid w:val="005002FC"/>
    <w:rsid w:val="005013B0"/>
    <w:rsid w:val="005015E4"/>
    <w:rsid w:val="005017A6"/>
    <w:rsid w:val="0050291D"/>
    <w:rsid w:val="005064CD"/>
    <w:rsid w:val="00506C00"/>
    <w:rsid w:val="0050783B"/>
    <w:rsid w:val="00511016"/>
    <w:rsid w:val="005146FC"/>
    <w:rsid w:val="00514D8C"/>
    <w:rsid w:val="005159B3"/>
    <w:rsid w:val="00522C03"/>
    <w:rsid w:val="00523110"/>
    <w:rsid w:val="00525EA4"/>
    <w:rsid w:val="00526448"/>
    <w:rsid w:val="00526AC7"/>
    <w:rsid w:val="005276B7"/>
    <w:rsid w:val="0052791F"/>
    <w:rsid w:val="00532B3C"/>
    <w:rsid w:val="00532CFF"/>
    <w:rsid w:val="005348CA"/>
    <w:rsid w:val="00534D3D"/>
    <w:rsid w:val="00536880"/>
    <w:rsid w:val="0053759C"/>
    <w:rsid w:val="005375B6"/>
    <w:rsid w:val="00537CEC"/>
    <w:rsid w:val="00540AD0"/>
    <w:rsid w:val="00542E69"/>
    <w:rsid w:val="0054357A"/>
    <w:rsid w:val="00543A76"/>
    <w:rsid w:val="00547738"/>
    <w:rsid w:val="005522F3"/>
    <w:rsid w:val="005523D1"/>
    <w:rsid w:val="00553515"/>
    <w:rsid w:val="0055401F"/>
    <w:rsid w:val="00554A1D"/>
    <w:rsid w:val="0055532E"/>
    <w:rsid w:val="00555BC3"/>
    <w:rsid w:val="00556DD8"/>
    <w:rsid w:val="00557C8E"/>
    <w:rsid w:val="00560166"/>
    <w:rsid w:val="00560E8E"/>
    <w:rsid w:val="00561B2B"/>
    <w:rsid w:val="0056357E"/>
    <w:rsid w:val="00564952"/>
    <w:rsid w:val="0056645F"/>
    <w:rsid w:val="0056761B"/>
    <w:rsid w:val="00570354"/>
    <w:rsid w:val="00570E4B"/>
    <w:rsid w:val="00571AB1"/>
    <w:rsid w:val="00571B22"/>
    <w:rsid w:val="00571FC2"/>
    <w:rsid w:val="00573797"/>
    <w:rsid w:val="00576EB8"/>
    <w:rsid w:val="00577E1C"/>
    <w:rsid w:val="00580DB1"/>
    <w:rsid w:val="005814AC"/>
    <w:rsid w:val="00584676"/>
    <w:rsid w:val="00584923"/>
    <w:rsid w:val="005854B7"/>
    <w:rsid w:val="00585708"/>
    <w:rsid w:val="00587AB1"/>
    <w:rsid w:val="0059070B"/>
    <w:rsid w:val="0059283C"/>
    <w:rsid w:val="00592966"/>
    <w:rsid w:val="00595082"/>
    <w:rsid w:val="00596824"/>
    <w:rsid w:val="005A0D95"/>
    <w:rsid w:val="005A224B"/>
    <w:rsid w:val="005A2741"/>
    <w:rsid w:val="005A5EAE"/>
    <w:rsid w:val="005A68E9"/>
    <w:rsid w:val="005B1225"/>
    <w:rsid w:val="005B17D8"/>
    <w:rsid w:val="005B1D82"/>
    <w:rsid w:val="005B2DF6"/>
    <w:rsid w:val="005B4077"/>
    <w:rsid w:val="005B65E5"/>
    <w:rsid w:val="005C13AE"/>
    <w:rsid w:val="005C28B0"/>
    <w:rsid w:val="005C2F01"/>
    <w:rsid w:val="005C3930"/>
    <w:rsid w:val="005C5F3C"/>
    <w:rsid w:val="005D01BE"/>
    <w:rsid w:val="005D1177"/>
    <w:rsid w:val="005D1D13"/>
    <w:rsid w:val="005D254A"/>
    <w:rsid w:val="005D5460"/>
    <w:rsid w:val="005E08CD"/>
    <w:rsid w:val="005E23F0"/>
    <w:rsid w:val="005E37E8"/>
    <w:rsid w:val="005E3B81"/>
    <w:rsid w:val="005E3E8F"/>
    <w:rsid w:val="005E6E79"/>
    <w:rsid w:val="005E74C5"/>
    <w:rsid w:val="005F0FC1"/>
    <w:rsid w:val="005F219D"/>
    <w:rsid w:val="005F2437"/>
    <w:rsid w:val="005F318A"/>
    <w:rsid w:val="005F76F4"/>
    <w:rsid w:val="005F7710"/>
    <w:rsid w:val="006004F7"/>
    <w:rsid w:val="00601B98"/>
    <w:rsid w:val="00603261"/>
    <w:rsid w:val="00606080"/>
    <w:rsid w:val="0060683C"/>
    <w:rsid w:val="00607597"/>
    <w:rsid w:val="00610F93"/>
    <w:rsid w:val="006122D9"/>
    <w:rsid w:val="006127CC"/>
    <w:rsid w:val="00612BF7"/>
    <w:rsid w:val="00614661"/>
    <w:rsid w:val="00624227"/>
    <w:rsid w:val="006243C6"/>
    <w:rsid w:val="006273BC"/>
    <w:rsid w:val="00630A29"/>
    <w:rsid w:val="00632009"/>
    <w:rsid w:val="00632D70"/>
    <w:rsid w:val="00633CF1"/>
    <w:rsid w:val="00635A6C"/>
    <w:rsid w:val="00636E86"/>
    <w:rsid w:val="00637091"/>
    <w:rsid w:val="00642839"/>
    <w:rsid w:val="006457F8"/>
    <w:rsid w:val="00645CCB"/>
    <w:rsid w:val="0064700E"/>
    <w:rsid w:val="006472A3"/>
    <w:rsid w:val="006474E0"/>
    <w:rsid w:val="006478CB"/>
    <w:rsid w:val="00650AD6"/>
    <w:rsid w:val="00650B88"/>
    <w:rsid w:val="00650E2C"/>
    <w:rsid w:val="00652078"/>
    <w:rsid w:val="0065263E"/>
    <w:rsid w:val="00652C58"/>
    <w:rsid w:val="006530EF"/>
    <w:rsid w:val="00654290"/>
    <w:rsid w:val="006554DD"/>
    <w:rsid w:val="006557EC"/>
    <w:rsid w:val="00660951"/>
    <w:rsid w:val="006636E2"/>
    <w:rsid w:val="00664C4E"/>
    <w:rsid w:val="00666273"/>
    <w:rsid w:val="0066741A"/>
    <w:rsid w:val="00667FA9"/>
    <w:rsid w:val="00670B25"/>
    <w:rsid w:val="0067233D"/>
    <w:rsid w:val="00672B2E"/>
    <w:rsid w:val="006745AE"/>
    <w:rsid w:val="00676870"/>
    <w:rsid w:val="00676AF3"/>
    <w:rsid w:val="00677895"/>
    <w:rsid w:val="00677BEF"/>
    <w:rsid w:val="006814A3"/>
    <w:rsid w:val="00682AFC"/>
    <w:rsid w:val="00683344"/>
    <w:rsid w:val="0068479D"/>
    <w:rsid w:val="00684FC9"/>
    <w:rsid w:val="0069072B"/>
    <w:rsid w:val="0069174B"/>
    <w:rsid w:val="00693340"/>
    <w:rsid w:val="006A02E2"/>
    <w:rsid w:val="006A04C7"/>
    <w:rsid w:val="006A4287"/>
    <w:rsid w:val="006A4783"/>
    <w:rsid w:val="006A60D8"/>
    <w:rsid w:val="006B05E3"/>
    <w:rsid w:val="006B09BC"/>
    <w:rsid w:val="006B2ACA"/>
    <w:rsid w:val="006B6D5D"/>
    <w:rsid w:val="006B7B5A"/>
    <w:rsid w:val="006C0801"/>
    <w:rsid w:val="006C0C2C"/>
    <w:rsid w:val="006C18CF"/>
    <w:rsid w:val="006C1EAA"/>
    <w:rsid w:val="006C216F"/>
    <w:rsid w:val="006C45D4"/>
    <w:rsid w:val="006C570F"/>
    <w:rsid w:val="006C6C13"/>
    <w:rsid w:val="006D11BD"/>
    <w:rsid w:val="006D2042"/>
    <w:rsid w:val="006D66E3"/>
    <w:rsid w:val="006D75BA"/>
    <w:rsid w:val="006D7855"/>
    <w:rsid w:val="006E010C"/>
    <w:rsid w:val="006E1003"/>
    <w:rsid w:val="006E16BF"/>
    <w:rsid w:val="006E18F0"/>
    <w:rsid w:val="006E2C89"/>
    <w:rsid w:val="006E38AF"/>
    <w:rsid w:val="006E4782"/>
    <w:rsid w:val="006E4F93"/>
    <w:rsid w:val="006E5016"/>
    <w:rsid w:val="006E5C92"/>
    <w:rsid w:val="006E7F4D"/>
    <w:rsid w:val="006F0EA4"/>
    <w:rsid w:val="006F10FE"/>
    <w:rsid w:val="006F1174"/>
    <w:rsid w:val="006F2A86"/>
    <w:rsid w:val="006F5465"/>
    <w:rsid w:val="00700135"/>
    <w:rsid w:val="0070212F"/>
    <w:rsid w:val="007023AB"/>
    <w:rsid w:val="007034D5"/>
    <w:rsid w:val="00704C40"/>
    <w:rsid w:val="00705180"/>
    <w:rsid w:val="00705D90"/>
    <w:rsid w:val="00706917"/>
    <w:rsid w:val="00710A39"/>
    <w:rsid w:val="00711397"/>
    <w:rsid w:val="00711605"/>
    <w:rsid w:val="007118A6"/>
    <w:rsid w:val="00711DF6"/>
    <w:rsid w:val="007125D5"/>
    <w:rsid w:val="00713211"/>
    <w:rsid w:val="00714D19"/>
    <w:rsid w:val="00716FBC"/>
    <w:rsid w:val="00717090"/>
    <w:rsid w:val="007174B6"/>
    <w:rsid w:val="00720739"/>
    <w:rsid w:val="00720FC3"/>
    <w:rsid w:val="0072206A"/>
    <w:rsid w:val="0072253E"/>
    <w:rsid w:val="00723E1F"/>
    <w:rsid w:val="0072443D"/>
    <w:rsid w:val="007247E5"/>
    <w:rsid w:val="007248B7"/>
    <w:rsid w:val="007254CA"/>
    <w:rsid w:val="007267D2"/>
    <w:rsid w:val="0072731E"/>
    <w:rsid w:val="00730CF8"/>
    <w:rsid w:val="00731A90"/>
    <w:rsid w:val="007321D0"/>
    <w:rsid w:val="00732608"/>
    <w:rsid w:val="00733251"/>
    <w:rsid w:val="0073375B"/>
    <w:rsid w:val="00734083"/>
    <w:rsid w:val="007347E7"/>
    <w:rsid w:val="007354C1"/>
    <w:rsid w:val="00736DCA"/>
    <w:rsid w:val="00737AD9"/>
    <w:rsid w:val="00737E76"/>
    <w:rsid w:val="00737F5B"/>
    <w:rsid w:val="007406B6"/>
    <w:rsid w:val="00740A69"/>
    <w:rsid w:val="00740E4B"/>
    <w:rsid w:val="007414D5"/>
    <w:rsid w:val="007421FF"/>
    <w:rsid w:val="00743D24"/>
    <w:rsid w:val="00745C47"/>
    <w:rsid w:val="00745E49"/>
    <w:rsid w:val="007467C8"/>
    <w:rsid w:val="0075003D"/>
    <w:rsid w:val="00751C98"/>
    <w:rsid w:val="00751D97"/>
    <w:rsid w:val="00752C55"/>
    <w:rsid w:val="00753608"/>
    <w:rsid w:val="007562D4"/>
    <w:rsid w:val="007573FA"/>
    <w:rsid w:val="00757B33"/>
    <w:rsid w:val="00757CB3"/>
    <w:rsid w:val="00757EF9"/>
    <w:rsid w:val="00761DBF"/>
    <w:rsid w:val="00761FCF"/>
    <w:rsid w:val="00762E1E"/>
    <w:rsid w:val="00763B1F"/>
    <w:rsid w:val="007653F2"/>
    <w:rsid w:val="00765503"/>
    <w:rsid w:val="00766C93"/>
    <w:rsid w:val="007672CC"/>
    <w:rsid w:val="00767B7E"/>
    <w:rsid w:val="007705E9"/>
    <w:rsid w:val="00771D7D"/>
    <w:rsid w:val="007727C4"/>
    <w:rsid w:val="007745B7"/>
    <w:rsid w:val="007750C8"/>
    <w:rsid w:val="00776215"/>
    <w:rsid w:val="00776538"/>
    <w:rsid w:val="0077714E"/>
    <w:rsid w:val="007802BE"/>
    <w:rsid w:val="00780EEF"/>
    <w:rsid w:val="0078134C"/>
    <w:rsid w:val="007817F0"/>
    <w:rsid w:val="00781C47"/>
    <w:rsid w:val="00782189"/>
    <w:rsid w:val="007837C7"/>
    <w:rsid w:val="00784B44"/>
    <w:rsid w:val="00785465"/>
    <w:rsid w:val="00787656"/>
    <w:rsid w:val="00790C7F"/>
    <w:rsid w:val="00791767"/>
    <w:rsid w:val="0079268A"/>
    <w:rsid w:val="00794859"/>
    <w:rsid w:val="00797C88"/>
    <w:rsid w:val="007A0EF1"/>
    <w:rsid w:val="007A1013"/>
    <w:rsid w:val="007A1476"/>
    <w:rsid w:val="007A235B"/>
    <w:rsid w:val="007A2CDB"/>
    <w:rsid w:val="007A4783"/>
    <w:rsid w:val="007A4CA9"/>
    <w:rsid w:val="007A60B4"/>
    <w:rsid w:val="007A7D19"/>
    <w:rsid w:val="007A7EC2"/>
    <w:rsid w:val="007B042D"/>
    <w:rsid w:val="007B05BB"/>
    <w:rsid w:val="007B2B14"/>
    <w:rsid w:val="007B3DEA"/>
    <w:rsid w:val="007B5566"/>
    <w:rsid w:val="007B6E0A"/>
    <w:rsid w:val="007B73B2"/>
    <w:rsid w:val="007B764C"/>
    <w:rsid w:val="007C118A"/>
    <w:rsid w:val="007C2007"/>
    <w:rsid w:val="007C636F"/>
    <w:rsid w:val="007C6C73"/>
    <w:rsid w:val="007C7899"/>
    <w:rsid w:val="007D01E4"/>
    <w:rsid w:val="007D0FC7"/>
    <w:rsid w:val="007D16C2"/>
    <w:rsid w:val="007D226A"/>
    <w:rsid w:val="007D39EB"/>
    <w:rsid w:val="007D4512"/>
    <w:rsid w:val="007D7976"/>
    <w:rsid w:val="007E0651"/>
    <w:rsid w:val="007E3075"/>
    <w:rsid w:val="007E4A40"/>
    <w:rsid w:val="007E56F0"/>
    <w:rsid w:val="007E7319"/>
    <w:rsid w:val="007E74E1"/>
    <w:rsid w:val="007E77A8"/>
    <w:rsid w:val="007F24BF"/>
    <w:rsid w:val="007F491C"/>
    <w:rsid w:val="00800864"/>
    <w:rsid w:val="00800D07"/>
    <w:rsid w:val="008025F3"/>
    <w:rsid w:val="00803BF8"/>
    <w:rsid w:val="00804D3D"/>
    <w:rsid w:val="0080520D"/>
    <w:rsid w:val="008061C9"/>
    <w:rsid w:val="008066D8"/>
    <w:rsid w:val="008074BB"/>
    <w:rsid w:val="00810D69"/>
    <w:rsid w:val="00810F0B"/>
    <w:rsid w:val="00811A18"/>
    <w:rsid w:val="008121AF"/>
    <w:rsid w:val="00812E18"/>
    <w:rsid w:val="00813711"/>
    <w:rsid w:val="00816E95"/>
    <w:rsid w:val="008174C7"/>
    <w:rsid w:val="008179B6"/>
    <w:rsid w:val="00820807"/>
    <w:rsid w:val="00821E64"/>
    <w:rsid w:val="00821EDD"/>
    <w:rsid w:val="008223E9"/>
    <w:rsid w:val="008253C4"/>
    <w:rsid w:val="008263C2"/>
    <w:rsid w:val="008307DB"/>
    <w:rsid w:val="00830B1E"/>
    <w:rsid w:val="00831A7E"/>
    <w:rsid w:val="00832776"/>
    <w:rsid w:val="00833398"/>
    <w:rsid w:val="00835D9D"/>
    <w:rsid w:val="00835FC9"/>
    <w:rsid w:val="008368F8"/>
    <w:rsid w:val="008370E3"/>
    <w:rsid w:val="00837E8B"/>
    <w:rsid w:val="008418FA"/>
    <w:rsid w:val="00842959"/>
    <w:rsid w:val="00843390"/>
    <w:rsid w:val="00844E6C"/>
    <w:rsid w:val="0084645A"/>
    <w:rsid w:val="00847E3D"/>
    <w:rsid w:val="00851185"/>
    <w:rsid w:val="0085235A"/>
    <w:rsid w:val="00852F69"/>
    <w:rsid w:val="008533E3"/>
    <w:rsid w:val="00853F8F"/>
    <w:rsid w:val="00854138"/>
    <w:rsid w:val="00854410"/>
    <w:rsid w:val="008544DF"/>
    <w:rsid w:val="00854D3E"/>
    <w:rsid w:val="008566A5"/>
    <w:rsid w:val="008602B6"/>
    <w:rsid w:val="00860AAD"/>
    <w:rsid w:val="00861AA6"/>
    <w:rsid w:val="008708F3"/>
    <w:rsid w:val="00871354"/>
    <w:rsid w:val="00873611"/>
    <w:rsid w:val="00873C8F"/>
    <w:rsid w:val="00874173"/>
    <w:rsid w:val="008745FE"/>
    <w:rsid w:val="00874BBB"/>
    <w:rsid w:val="00874FB3"/>
    <w:rsid w:val="00875FF3"/>
    <w:rsid w:val="00876012"/>
    <w:rsid w:val="00876A2D"/>
    <w:rsid w:val="00877EFA"/>
    <w:rsid w:val="00877F7C"/>
    <w:rsid w:val="00880BE3"/>
    <w:rsid w:val="00881359"/>
    <w:rsid w:val="00882093"/>
    <w:rsid w:val="00882588"/>
    <w:rsid w:val="00884ADE"/>
    <w:rsid w:val="008856CF"/>
    <w:rsid w:val="00885864"/>
    <w:rsid w:val="00887014"/>
    <w:rsid w:val="00890A1D"/>
    <w:rsid w:val="0089197F"/>
    <w:rsid w:val="0089383B"/>
    <w:rsid w:val="00893E2B"/>
    <w:rsid w:val="00894323"/>
    <w:rsid w:val="0089534B"/>
    <w:rsid w:val="0089616F"/>
    <w:rsid w:val="008A0232"/>
    <w:rsid w:val="008A22E8"/>
    <w:rsid w:val="008A5FEA"/>
    <w:rsid w:val="008A6E73"/>
    <w:rsid w:val="008B0470"/>
    <w:rsid w:val="008B05E7"/>
    <w:rsid w:val="008B0673"/>
    <w:rsid w:val="008B06C5"/>
    <w:rsid w:val="008B164E"/>
    <w:rsid w:val="008B1C86"/>
    <w:rsid w:val="008B3041"/>
    <w:rsid w:val="008B4923"/>
    <w:rsid w:val="008B4F06"/>
    <w:rsid w:val="008B502A"/>
    <w:rsid w:val="008B57D8"/>
    <w:rsid w:val="008B65CF"/>
    <w:rsid w:val="008B6FCC"/>
    <w:rsid w:val="008B7A65"/>
    <w:rsid w:val="008C1219"/>
    <w:rsid w:val="008C123E"/>
    <w:rsid w:val="008C137D"/>
    <w:rsid w:val="008C22DD"/>
    <w:rsid w:val="008C3382"/>
    <w:rsid w:val="008C3DFD"/>
    <w:rsid w:val="008C3E28"/>
    <w:rsid w:val="008C3ED0"/>
    <w:rsid w:val="008C4203"/>
    <w:rsid w:val="008C5DA5"/>
    <w:rsid w:val="008C5E94"/>
    <w:rsid w:val="008C5EFF"/>
    <w:rsid w:val="008D196A"/>
    <w:rsid w:val="008D27BC"/>
    <w:rsid w:val="008D551E"/>
    <w:rsid w:val="008E3DBA"/>
    <w:rsid w:val="008E3EF2"/>
    <w:rsid w:val="008E51C9"/>
    <w:rsid w:val="008E5BEB"/>
    <w:rsid w:val="008E6306"/>
    <w:rsid w:val="008E7639"/>
    <w:rsid w:val="008F1778"/>
    <w:rsid w:val="008F3F6A"/>
    <w:rsid w:val="008F6355"/>
    <w:rsid w:val="008F68F7"/>
    <w:rsid w:val="009005A6"/>
    <w:rsid w:val="009006CF"/>
    <w:rsid w:val="00900C71"/>
    <w:rsid w:val="00902A1C"/>
    <w:rsid w:val="00902B75"/>
    <w:rsid w:val="00903562"/>
    <w:rsid w:val="009037B6"/>
    <w:rsid w:val="009063F3"/>
    <w:rsid w:val="00906CBE"/>
    <w:rsid w:val="00910024"/>
    <w:rsid w:val="00910384"/>
    <w:rsid w:val="00912A6F"/>
    <w:rsid w:val="009138FE"/>
    <w:rsid w:val="00914B0C"/>
    <w:rsid w:val="0091643D"/>
    <w:rsid w:val="00916B42"/>
    <w:rsid w:val="00916E33"/>
    <w:rsid w:val="009175A6"/>
    <w:rsid w:val="00920594"/>
    <w:rsid w:val="0092093B"/>
    <w:rsid w:val="00930669"/>
    <w:rsid w:val="00932C33"/>
    <w:rsid w:val="00933C17"/>
    <w:rsid w:val="00937C63"/>
    <w:rsid w:val="009401B7"/>
    <w:rsid w:val="009427A1"/>
    <w:rsid w:val="00942FFE"/>
    <w:rsid w:val="009551E0"/>
    <w:rsid w:val="00955DC1"/>
    <w:rsid w:val="0095654E"/>
    <w:rsid w:val="00956F3C"/>
    <w:rsid w:val="009574E8"/>
    <w:rsid w:val="009579A9"/>
    <w:rsid w:val="0096054C"/>
    <w:rsid w:val="00960CFB"/>
    <w:rsid w:val="00970678"/>
    <w:rsid w:val="00971C34"/>
    <w:rsid w:val="00972488"/>
    <w:rsid w:val="009726D0"/>
    <w:rsid w:val="00973B23"/>
    <w:rsid w:val="0097421D"/>
    <w:rsid w:val="00976117"/>
    <w:rsid w:val="009766FD"/>
    <w:rsid w:val="00976A23"/>
    <w:rsid w:val="0097749C"/>
    <w:rsid w:val="009800BC"/>
    <w:rsid w:val="00980575"/>
    <w:rsid w:val="009816F6"/>
    <w:rsid w:val="009843BA"/>
    <w:rsid w:val="0098456D"/>
    <w:rsid w:val="00984856"/>
    <w:rsid w:val="009900F0"/>
    <w:rsid w:val="00990B9B"/>
    <w:rsid w:val="00991370"/>
    <w:rsid w:val="00991769"/>
    <w:rsid w:val="00991ACA"/>
    <w:rsid w:val="009928B5"/>
    <w:rsid w:val="009928C9"/>
    <w:rsid w:val="00993236"/>
    <w:rsid w:val="00993D8C"/>
    <w:rsid w:val="00994E3D"/>
    <w:rsid w:val="009A297E"/>
    <w:rsid w:val="009A6127"/>
    <w:rsid w:val="009A6DBB"/>
    <w:rsid w:val="009A706D"/>
    <w:rsid w:val="009B005D"/>
    <w:rsid w:val="009B0CC1"/>
    <w:rsid w:val="009B2C7D"/>
    <w:rsid w:val="009B5893"/>
    <w:rsid w:val="009B649C"/>
    <w:rsid w:val="009B69F0"/>
    <w:rsid w:val="009B713C"/>
    <w:rsid w:val="009C017F"/>
    <w:rsid w:val="009C0F18"/>
    <w:rsid w:val="009C12C6"/>
    <w:rsid w:val="009C19D4"/>
    <w:rsid w:val="009C2555"/>
    <w:rsid w:val="009C2858"/>
    <w:rsid w:val="009C2DA6"/>
    <w:rsid w:val="009C5B4F"/>
    <w:rsid w:val="009C705A"/>
    <w:rsid w:val="009C7778"/>
    <w:rsid w:val="009C7EE6"/>
    <w:rsid w:val="009D06AE"/>
    <w:rsid w:val="009D09E2"/>
    <w:rsid w:val="009D1E42"/>
    <w:rsid w:val="009D2205"/>
    <w:rsid w:val="009D282B"/>
    <w:rsid w:val="009D5C90"/>
    <w:rsid w:val="009D7148"/>
    <w:rsid w:val="009E02FD"/>
    <w:rsid w:val="009E2223"/>
    <w:rsid w:val="009E34FA"/>
    <w:rsid w:val="009E4C74"/>
    <w:rsid w:val="009E56CC"/>
    <w:rsid w:val="009E59F1"/>
    <w:rsid w:val="009E62B6"/>
    <w:rsid w:val="009E646E"/>
    <w:rsid w:val="009F06A2"/>
    <w:rsid w:val="009F06C4"/>
    <w:rsid w:val="009F0A1A"/>
    <w:rsid w:val="009F0EA5"/>
    <w:rsid w:val="009F229D"/>
    <w:rsid w:val="009F26CA"/>
    <w:rsid w:val="009F35DA"/>
    <w:rsid w:val="009F3C0D"/>
    <w:rsid w:val="009F4034"/>
    <w:rsid w:val="009F43D0"/>
    <w:rsid w:val="00A000F0"/>
    <w:rsid w:val="00A00568"/>
    <w:rsid w:val="00A00884"/>
    <w:rsid w:val="00A00EEB"/>
    <w:rsid w:val="00A020CE"/>
    <w:rsid w:val="00A02653"/>
    <w:rsid w:val="00A02F62"/>
    <w:rsid w:val="00A02FA3"/>
    <w:rsid w:val="00A030C3"/>
    <w:rsid w:val="00A0420D"/>
    <w:rsid w:val="00A04803"/>
    <w:rsid w:val="00A06EBF"/>
    <w:rsid w:val="00A10147"/>
    <w:rsid w:val="00A10EDE"/>
    <w:rsid w:val="00A11331"/>
    <w:rsid w:val="00A12348"/>
    <w:rsid w:val="00A131E6"/>
    <w:rsid w:val="00A13843"/>
    <w:rsid w:val="00A14096"/>
    <w:rsid w:val="00A146A5"/>
    <w:rsid w:val="00A1552C"/>
    <w:rsid w:val="00A17466"/>
    <w:rsid w:val="00A204B3"/>
    <w:rsid w:val="00A20576"/>
    <w:rsid w:val="00A21593"/>
    <w:rsid w:val="00A221F7"/>
    <w:rsid w:val="00A2227F"/>
    <w:rsid w:val="00A22C21"/>
    <w:rsid w:val="00A23072"/>
    <w:rsid w:val="00A23412"/>
    <w:rsid w:val="00A23F3B"/>
    <w:rsid w:val="00A24044"/>
    <w:rsid w:val="00A24AFA"/>
    <w:rsid w:val="00A25CA2"/>
    <w:rsid w:val="00A2604E"/>
    <w:rsid w:val="00A31CCE"/>
    <w:rsid w:val="00A33C95"/>
    <w:rsid w:val="00A34FF3"/>
    <w:rsid w:val="00A35351"/>
    <w:rsid w:val="00A361C7"/>
    <w:rsid w:val="00A3622F"/>
    <w:rsid w:val="00A36723"/>
    <w:rsid w:val="00A400AB"/>
    <w:rsid w:val="00A43140"/>
    <w:rsid w:val="00A44C7B"/>
    <w:rsid w:val="00A46A32"/>
    <w:rsid w:val="00A46DF5"/>
    <w:rsid w:val="00A5149A"/>
    <w:rsid w:val="00A52A1E"/>
    <w:rsid w:val="00A53650"/>
    <w:rsid w:val="00A5379A"/>
    <w:rsid w:val="00A53E51"/>
    <w:rsid w:val="00A56F51"/>
    <w:rsid w:val="00A57183"/>
    <w:rsid w:val="00A60693"/>
    <w:rsid w:val="00A6196D"/>
    <w:rsid w:val="00A619C0"/>
    <w:rsid w:val="00A61ADF"/>
    <w:rsid w:val="00A62012"/>
    <w:rsid w:val="00A624CB"/>
    <w:rsid w:val="00A62AC0"/>
    <w:rsid w:val="00A65103"/>
    <w:rsid w:val="00A72A9C"/>
    <w:rsid w:val="00A74FE6"/>
    <w:rsid w:val="00A75118"/>
    <w:rsid w:val="00A7570B"/>
    <w:rsid w:val="00A761A1"/>
    <w:rsid w:val="00A76BD2"/>
    <w:rsid w:val="00A8267D"/>
    <w:rsid w:val="00A82736"/>
    <w:rsid w:val="00A82E14"/>
    <w:rsid w:val="00A8541F"/>
    <w:rsid w:val="00A85862"/>
    <w:rsid w:val="00A85F13"/>
    <w:rsid w:val="00A8688E"/>
    <w:rsid w:val="00A86CFE"/>
    <w:rsid w:val="00A8722B"/>
    <w:rsid w:val="00A901E9"/>
    <w:rsid w:val="00A917B6"/>
    <w:rsid w:val="00A91831"/>
    <w:rsid w:val="00A91B3B"/>
    <w:rsid w:val="00A93B4F"/>
    <w:rsid w:val="00A94F7A"/>
    <w:rsid w:val="00A95D3B"/>
    <w:rsid w:val="00A96B0F"/>
    <w:rsid w:val="00A97341"/>
    <w:rsid w:val="00AA0081"/>
    <w:rsid w:val="00AA05D6"/>
    <w:rsid w:val="00AA1A2B"/>
    <w:rsid w:val="00AA4E4D"/>
    <w:rsid w:val="00AA5E38"/>
    <w:rsid w:val="00AB09ED"/>
    <w:rsid w:val="00AB3380"/>
    <w:rsid w:val="00AB3DC0"/>
    <w:rsid w:val="00AB4CBB"/>
    <w:rsid w:val="00AC125E"/>
    <w:rsid w:val="00AC3E43"/>
    <w:rsid w:val="00AC45DF"/>
    <w:rsid w:val="00AC474D"/>
    <w:rsid w:val="00AC4AE2"/>
    <w:rsid w:val="00AC4DFD"/>
    <w:rsid w:val="00AC4F47"/>
    <w:rsid w:val="00AC5663"/>
    <w:rsid w:val="00AC58FD"/>
    <w:rsid w:val="00AD0F6D"/>
    <w:rsid w:val="00AD1156"/>
    <w:rsid w:val="00AD1166"/>
    <w:rsid w:val="00AD19D2"/>
    <w:rsid w:val="00AD1A96"/>
    <w:rsid w:val="00AD1CAD"/>
    <w:rsid w:val="00AD235A"/>
    <w:rsid w:val="00AD3042"/>
    <w:rsid w:val="00AD4A9A"/>
    <w:rsid w:val="00AD793A"/>
    <w:rsid w:val="00AE0120"/>
    <w:rsid w:val="00AE0622"/>
    <w:rsid w:val="00AE0725"/>
    <w:rsid w:val="00AE2EF0"/>
    <w:rsid w:val="00AE3038"/>
    <w:rsid w:val="00AE3D4A"/>
    <w:rsid w:val="00AE5935"/>
    <w:rsid w:val="00AE5956"/>
    <w:rsid w:val="00AE619F"/>
    <w:rsid w:val="00AE7A88"/>
    <w:rsid w:val="00AF060F"/>
    <w:rsid w:val="00AF13D2"/>
    <w:rsid w:val="00AF2A56"/>
    <w:rsid w:val="00AF37FB"/>
    <w:rsid w:val="00AF45B0"/>
    <w:rsid w:val="00AF51D1"/>
    <w:rsid w:val="00AF5684"/>
    <w:rsid w:val="00AF6321"/>
    <w:rsid w:val="00AF63AB"/>
    <w:rsid w:val="00B00988"/>
    <w:rsid w:val="00B01784"/>
    <w:rsid w:val="00B01F1C"/>
    <w:rsid w:val="00B0302D"/>
    <w:rsid w:val="00B0388B"/>
    <w:rsid w:val="00B03B9D"/>
    <w:rsid w:val="00B03BEE"/>
    <w:rsid w:val="00B0517E"/>
    <w:rsid w:val="00B057CC"/>
    <w:rsid w:val="00B11314"/>
    <w:rsid w:val="00B113E3"/>
    <w:rsid w:val="00B1156A"/>
    <w:rsid w:val="00B138E3"/>
    <w:rsid w:val="00B13FB5"/>
    <w:rsid w:val="00B14898"/>
    <w:rsid w:val="00B160CE"/>
    <w:rsid w:val="00B178FA"/>
    <w:rsid w:val="00B17D8E"/>
    <w:rsid w:val="00B207C3"/>
    <w:rsid w:val="00B21443"/>
    <w:rsid w:val="00B22468"/>
    <w:rsid w:val="00B229FD"/>
    <w:rsid w:val="00B23267"/>
    <w:rsid w:val="00B23906"/>
    <w:rsid w:val="00B23F96"/>
    <w:rsid w:val="00B25117"/>
    <w:rsid w:val="00B257BF"/>
    <w:rsid w:val="00B27149"/>
    <w:rsid w:val="00B30AB2"/>
    <w:rsid w:val="00B3279A"/>
    <w:rsid w:val="00B34BB7"/>
    <w:rsid w:val="00B35B4D"/>
    <w:rsid w:val="00B362F0"/>
    <w:rsid w:val="00B36652"/>
    <w:rsid w:val="00B4226C"/>
    <w:rsid w:val="00B425AB"/>
    <w:rsid w:val="00B42B94"/>
    <w:rsid w:val="00B43417"/>
    <w:rsid w:val="00B44D65"/>
    <w:rsid w:val="00B45279"/>
    <w:rsid w:val="00B47090"/>
    <w:rsid w:val="00B532D1"/>
    <w:rsid w:val="00B54268"/>
    <w:rsid w:val="00B56E6F"/>
    <w:rsid w:val="00B57925"/>
    <w:rsid w:val="00B601BB"/>
    <w:rsid w:val="00B602A5"/>
    <w:rsid w:val="00B61E3E"/>
    <w:rsid w:val="00B6432A"/>
    <w:rsid w:val="00B67A79"/>
    <w:rsid w:val="00B70227"/>
    <w:rsid w:val="00B70852"/>
    <w:rsid w:val="00B722AE"/>
    <w:rsid w:val="00B72335"/>
    <w:rsid w:val="00B72D62"/>
    <w:rsid w:val="00B767AF"/>
    <w:rsid w:val="00B77926"/>
    <w:rsid w:val="00B80511"/>
    <w:rsid w:val="00B80798"/>
    <w:rsid w:val="00B80876"/>
    <w:rsid w:val="00B82C3C"/>
    <w:rsid w:val="00B82DE6"/>
    <w:rsid w:val="00B831CD"/>
    <w:rsid w:val="00B8401D"/>
    <w:rsid w:val="00B846F6"/>
    <w:rsid w:val="00B85329"/>
    <w:rsid w:val="00B85446"/>
    <w:rsid w:val="00B8701A"/>
    <w:rsid w:val="00B878B1"/>
    <w:rsid w:val="00B915F1"/>
    <w:rsid w:val="00B91B73"/>
    <w:rsid w:val="00B91B9D"/>
    <w:rsid w:val="00B930C4"/>
    <w:rsid w:val="00B940C8"/>
    <w:rsid w:val="00B96406"/>
    <w:rsid w:val="00B965B5"/>
    <w:rsid w:val="00B976C0"/>
    <w:rsid w:val="00B97BCF"/>
    <w:rsid w:val="00BA1B71"/>
    <w:rsid w:val="00BA2691"/>
    <w:rsid w:val="00BA2DE4"/>
    <w:rsid w:val="00BA3176"/>
    <w:rsid w:val="00BA5E20"/>
    <w:rsid w:val="00BA607C"/>
    <w:rsid w:val="00BA60E5"/>
    <w:rsid w:val="00BA656F"/>
    <w:rsid w:val="00BA6734"/>
    <w:rsid w:val="00BB2FFA"/>
    <w:rsid w:val="00BB3E2A"/>
    <w:rsid w:val="00BB48A7"/>
    <w:rsid w:val="00BB7121"/>
    <w:rsid w:val="00BC0479"/>
    <w:rsid w:val="00BC1651"/>
    <w:rsid w:val="00BC16F5"/>
    <w:rsid w:val="00BC18FF"/>
    <w:rsid w:val="00BC287D"/>
    <w:rsid w:val="00BC2A38"/>
    <w:rsid w:val="00BC362D"/>
    <w:rsid w:val="00BC4315"/>
    <w:rsid w:val="00BC46EB"/>
    <w:rsid w:val="00BC57FE"/>
    <w:rsid w:val="00BC5F0D"/>
    <w:rsid w:val="00BC643B"/>
    <w:rsid w:val="00BD0016"/>
    <w:rsid w:val="00BD0246"/>
    <w:rsid w:val="00BD2A41"/>
    <w:rsid w:val="00BD32E5"/>
    <w:rsid w:val="00BD36C4"/>
    <w:rsid w:val="00BD4443"/>
    <w:rsid w:val="00BD48FC"/>
    <w:rsid w:val="00BD4BC6"/>
    <w:rsid w:val="00BD6E1A"/>
    <w:rsid w:val="00BD79DE"/>
    <w:rsid w:val="00BE0BBA"/>
    <w:rsid w:val="00BE1095"/>
    <w:rsid w:val="00BE150A"/>
    <w:rsid w:val="00BE6767"/>
    <w:rsid w:val="00BE686C"/>
    <w:rsid w:val="00BE78EC"/>
    <w:rsid w:val="00BF1EB9"/>
    <w:rsid w:val="00BF46EE"/>
    <w:rsid w:val="00BF646E"/>
    <w:rsid w:val="00C046C0"/>
    <w:rsid w:val="00C04C1A"/>
    <w:rsid w:val="00C05333"/>
    <w:rsid w:val="00C05E81"/>
    <w:rsid w:val="00C0613C"/>
    <w:rsid w:val="00C0683F"/>
    <w:rsid w:val="00C07DD1"/>
    <w:rsid w:val="00C10D05"/>
    <w:rsid w:val="00C1341A"/>
    <w:rsid w:val="00C13970"/>
    <w:rsid w:val="00C13DF9"/>
    <w:rsid w:val="00C14FBA"/>
    <w:rsid w:val="00C15484"/>
    <w:rsid w:val="00C15B8A"/>
    <w:rsid w:val="00C15EA1"/>
    <w:rsid w:val="00C174DB"/>
    <w:rsid w:val="00C17A8E"/>
    <w:rsid w:val="00C217E5"/>
    <w:rsid w:val="00C22D26"/>
    <w:rsid w:val="00C22DAA"/>
    <w:rsid w:val="00C2378F"/>
    <w:rsid w:val="00C24F70"/>
    <w:rsid w:val="00C25615"/>
    <w:rsid w:val="00C25DC2"/>
    <w:rsid w:val="00C26A06"/>
    <w:rsid w:val="00C30813"/>
    <w:rsid w:val="00C328CB"/>
    <w:rsid w:val="00C33479"/>
    <w:rsid w:val="00C34A30"/>
    <w:rsid w:val="00C366B9"/>
    <w:rsid w:val="00C40ED2"/>
    <w:rsid w:val="00C41F10"/>
    <w:rsid w:val="00C432DD"/>
    <w:rsid w:val="00C4423A"/>
    <w:rsid w:val="00C4748A"/>
    <w:rsid w:val="00C501FE"/>
    <w:rsid w:val="00C54141"/>
    <w:rsid w:val="00C56957"/>
    <w:rsid w:val="00C5784B"/>
    <w:rsid w:val="00C6031A"/>
    <w:rsid w:val="00C639FF"/>
    <w:rsid w:val="00C63CB4"/>
    <w:rsid w:val="00C6442A"/>
    <w:rsid w:val="00C6492D"/>
    <w:rsid w:val="00C64D15"/>
    <w:rsid w:val="00C65784"/>
    <w:rsid w:val="00C66088"/>
    <w:rsid w:val="00C67C4C"/>
    <w:rsid w:val="00C67F21"/>
    <w:rsid w:val="00C711A6"/>
    <w:rsid w:val="00C7217F"/>
    <w:rsid w:val="00C74B5D"/>
    <w:rsid w:val="00C74F74"/>
    <w:rsid w:val="00C7554B"/>
    <w:rsid w:val="00C76CFF"/>
    <w:rsid w:val="00C8094C"/>
    <w:rsid w:val="00C80951"/>
    <w:rsid w:val="00C8205E"/>
    <w:rsid w:val="00C8223A"/>
    <w:rsid w:val="00C82EB5"/>
    <w:rsid w:val="00C85D24"/>
    <w:rsid w:val="00C86D1E"/>
    <w:rsid w:val="00C870C9"/>
    <w:rsid w:val="00C87966"/>
    <w:rsid w:val="00C902DE"/>
    <w:rsid w:val="00C904DE"/>
    <w:rsid w:val="00C916AE"/>
    <w:rsid w:val="00C91C74"/>
    <w:rsid w:val="00C93AAA"/>
    <w:rsid w:val="00C95FCD"/>
    <w:rsid w:val="00C96F19"/>
    <w:rsid w:val="00C97188"/>
    <w:rsid w:val="00CA0639"/>
    <w:rsid w:val="00CA0CE9"/>
    <w:rsid w:val="00CA11D0"/>
    <w:rsid w:val="00CA2E02"/>
    <w:rsid w:val="00CA583A"/>
    <w:rsid w:val="00CA5EC6"/>
    <w:rsid w:val="00CA715C"/>
    <w:rsid w:val="00CA787C"/>
    <w:rsid w:val="00CB1E33"/>
    <w:rsid w:val="00CB1ED4"/>
    <w:rsid w:val="00CB548D"/>
    <w:rsid w:val="00CB5744"/>
    <w:rsid w:val="00CB7022"/>
    <w:rsid w:val="00CB7BC5"/>
    <w:rsid w:val="00CC141E"/>
    <w:rsid w:val="00CC18DD"/>
    <w:rsid w:val="00CC3C11"/>
    <w:rsid w:val="00CC586D"/>
    <w:rsid w:val="00CC7DBC"/>
    <w:rsid w:val="00CD1BA3"/>
    <w:rsid w:val="00CD1D23"/>
    <w:rsid w:val="00CD3612"/>
    <w:rsid w:val="00CD3E69"/>
    <w:rsid w:val="00CD4224"/>
    <w:rsid w:val="00CD4948"/>
    <w:rsid w:val="00CD6B7D"/>
    <w:rsid w:val="00CD7CE8"/>
    <w:rsid w:val="00CD7D29"/>
    <w:rsid w:val="00CE0847"/>
    <w:rsid w:val="00CE0B6C"/>
    <w:rsid w:val="00CE11D0"/>
    <w:rsid w:val="00CE4708"/>
    <w:rsid w:val="00CE4C50"/>
    <w:rsid w:val="00CE6858"/>
    <w:rsid w:val="00CE7450"/>
    <w:rsid w:val="00CE770C"/>
    <w:rsid w:val="00CF50BE"/>
    <w:rsid w:val="00CF538C"/>
    <w:rsid w:val="00CF7401"/>
    <w:rsid w:val="00CF7625"/>
    <w:rsid w:val="00CF7B12"/>
    <w:rsid w:val="00D01E66"/>
    <w:rsid w:val="00D0506A"/>
    <w:rsid w:val="00D066FB"/>
    <w:rsid w:val="00D10FA1"/>
    <w:rsid w:val="00D1289C"/>
    <w:rsid w:val="00D151DC"/>
    <w:rsid w:val="00D1666F"/>
    <w:rsid w:val="00D2071A"/>
    <w:rsid w:val="00D22F44"/>
    <w:rsid w:val="00D2350E"/>
    <w:rsid w:val="00D25177"/>
    <w:rsid w:val="00D30F73"/>
    <w:rsid w:val="00D30F97"/>
    <w:rsid w:val="00D313A0"/>
    <w:rsid w:val="00D322A1"/>
    <w:rsid w:val="00D346EF"/>
    <w:rsid w:val="00D36FE0"/>
    <w:rsid w:val="00D40746"/>
    <w:rsid w:val="00D40799"/>
    <w:rsid w:val="00D40DFE"/>
    <w:rsid w:val="00D41145"/>
    <w:rsid w:val="00D41A06"/>
    <w:rsid w:val="00D42ABF"/>
    <w:rsid w:val="00D42F40"/>
    <w:rsid w:val="00D45B67"/>
    <w:rsid w:val="00D5034A"/>
    <w:rsid w:val="00D51F49"/>
    <w:rsid w:val="00D52AE4"/>
    <w:rsid w:val="00D55EE8"/>
    <w:rsid w:val="00D560D1"/>
    <w:rsid w:val="00D562CB"/>
    <w:rsid w:val="00D569D1"/>
    <w:rsid w:val="00D56AD8"/>
    <w:rsid w:val="00D56C05"/>
    <w:rsid w:val="00D5785A"/>
    <w:rsid w:val="00D57DF3"/>
    <w:rsid w:val="00D60E20"/>
    <w:rsid w:val="00D61679"/>
    <w:rsid w:val="00D62769"/>
    <w:rsid w:val="00D63293"/>
    <w:rsid w:val="00D6375F"/>
    <w:rsid w:val="00D63E44"/>
    <w:rsid w:val="00D64C48"/>
    <w:rsid w:val="00D659DD"/>
    <w:rsid w:val="00D6680B"/>
    <w:rsid w:val="00D72F4F"/>
    <w:rsid w:val="00D731C4"/>
    <w:rsid w:val="00D742A9"/>
    <w:rsid w:val="00D74866"/>
    <w:rsid w:val="00D7493A"/>
    <w:rsid w:val="00D74EB4"/>
    <w:rsid w:val="00D801FC"/>
    <w:rsid w:val="00D8184A"/>
    <w:rsid w:val="00D85BE0"/>
    <w:rsid w:val="00D87FD7"/>
    <w:rsid w:val="00D91466"/>
    <w:rsid w:val="00D915ED"/>
    <w:rsid w:val="00D91DE4"/>
    <w:rsid w:val="00D92300"/>
    <w:rsid w:val="00D925ED"/>
    <w:rsid w:val="00D94AFC"/>
    <w:rsid w:val="00D950E6"/>
    <w:rsid w:val="00D95774"/>
    <w:rsid w:val="00D966BA"/>
    <w:rsid w:val="00D97047"/>
    <w:rsid w:val="00DA0DA8"/>
    <w:rsid w:val="00DA30F2"/>
    <w:rsid w:val="00DA3619"/>
    <w:rsid w:val="00DA53A0"/>
    <w:rsid w:val="00DA686B"/>
    <w:rsid w:val="00DA6E88"/>
    <w:rsid w:val="00DA7AE4"/>
    <w:rsid w:val="00DB0B88"/>
    <w:rsid w:val="00DB1652"/>
    <w:rsid w:val="00DB203E"/>
    <w:rsid w:val="00DB2E25"/>
    <w:rsid w:val="00DB5773"/>
    <w:rsid w:val="00DB58A6"/>
    <w:rsid w:val="00DB5AD9"/>
    <w:rsid w:val="00DB6B99"/>
    <w:rsid w:val="00DB716F"/>
    <w:rsid w:val="00DB7918"/>
    <w:rsid w:val="00DC001A"/>
    <w:rsid w:val="00DC55E5"/>
    <w:rsid w:val="00DC5FC0"/>
    <w:rsid w:val="00DD22BB"/>
    <w:rsid w:val="00DD2952"/>
    <w:rsid w:val="00DD4F44"/>
    <w:rsid w:val="00DD686C"/>
    <w:rsid w:val="00DD7E0C"/>
    <w:rsid w:val="00DD7FCF"/>
    <w:rsid w:val="00DE0EF9"/>
    <w:rsid w:val="00DE2AC3"/>
    <w:rsid w:val="00DE2E40"/>
    <w:rsid w:val="00DE3598"/>
    <w:rsid w:val="00DE38DB"/>
    <w:rsid w:val="00DE3FBD"/>
    <w:rsid w:val="00DE43F5"/>
    <w:rsid w:val="00DE4952"/>
    <w:rsid w:val="00DE65FB"/>
    <w:rsid w:val="00DF234F"/>
    <w:rsid w:val="00DF420A"/>
    <w:rsid w:val="00DF5274"/>
    <w:rsid w:val="00DF52A2"/>
    <w:rsid w:val="00E02472"/>
    <w:rsid w:val="00E041F0"/>
    <w:rsid w:val="00E05407"/>
    <w:rsid w:val="00E10E95"/>
    <w:rsid w:val="00E126A2"/>
    <w:rsid w:val="00E128D8"/>
    <w:rsid w:val="00E130C3"/>
    <w:rsid w:val="00E170ED"/>
    <w:rsid w:val="00E17EDF"/>
    <w:rsid w:val="00E2082D"/>
    <w:rsid w:val="00E213FE"/>
    <w:rsid w:val="00E221E2"/>
    <w:rsid w:val="00E2244C"/>
    <w:rsid w:val="00E2330D"/>
    <w:rsid w:val="00E24303"/>
    <w:rsid w:val="00E274F8"/>
    <w:rsid w:val="00E27A16"/>
    <w:rsid w:val="00E320C4"/>
    <w:rsid w:val="00E344B0"/>
    <w:rsid w:val="00E356F8"/>
    <w:rsid w:val="00E35B57"/>
    <w:rsid w:val="00E375B4"/>
    <w:rsid w:val="00E406FC"/>
    <w:rsid w:val="00E40F7B"/>
    <w:rsid w:val="00E419C1"/>
    <w:rsid w:val="00E43E48"/>
    <w:rsid w:val="00E46CB5"/>
    <w:rsid w:val="00E46D60"/>
    <w:rsid w:val="00E47C33"/>
    <w:rsid w:val="00E47F58"/>
    <w:rsid w:val="00E47FC8"/>
    <w:rsid w:val="00E54BB5"/>
    <w:rsid w:val="00E54BFC"/>
    <w:rsid w:val="00E55248"/>
    <w:rsid w:val="00E565B7"/>
    <w:rsid w:val="00E56D9D"/>
    <w:rsid w:val="00E60E2E"/>
    <w:rsid w:val="00E61045"/>
    <w:rsid w:val="00E63459"/>
    <w:rsid w:val="00E65C8D"/>
    <w:rsid w:val="00E66A93"/>
    <w:rsid w:val="00E7126B"/>
    <w:rsid w:val="00E71A2D"/>
    <w:rsid w:val="00E724C5"/>
    <w:rsid w:val="00E72621"/>
    <w:rsid w:val="00E72FB3"/>
    <w:rsid w:val="00E74A73"/>
    <w:rsid w:val="00E75CA7"/>
    <w:rsid w:val="00E773B0"/>
    <w:rsid w:val="00E77B59"/>
    <w:rsid w:val="00E80339"/>
    <w:rsid w:val="00E8095E"/>
    <w:rsid w:val="00E80F69"/>
    <w:rsid w:val="00E81D70"/>
    <w:rsid w:val="00E823C1"/>
    <w:rsid w:val="00E82DB7"/>
    <w:rsid w:val="00E8315F"/>
    <w:rsid w:val="00E83C85"/>
    <w:rsid w:val="00E8579C"/>
    <w:rsid w:val="00E865FE"/>
    <w:rsid w:val="00E91408"/>
    <w:rsid w:val="00E91759"/>
    <w:rsid w:val="00E9654B"/>
    <w:rsid w:val="00EA13E4"/>
    <w:rsid w:val="00EA18DB"/>
    <w:rsid w:val="00EA25AA"/>
    <w:rsid w:val="00EA2FBA"/>
    <w:rsid w:val="00EA3F54"/>
    <w:rsid w:val="00EA4DC5"/>
    <w:rsid w:val="00EA5664"/>
    <w:rsid w:val="00EA5D31"/>
    <w:rsid w:val="00EA66DF"/>
    <w:rsid w:val="00EA6ADC"/>
    <w:rsid w:val="00EB0609"/>
    <w:rsid w:val="00EB13A7"/>
    <w:rsid w:val="00EB14DF"/>
    <w:rsid w:val="00EB1A4D"/>
    <w:rsid w:val="00EB2207"/>
    <w:rsid w:val="00EB2BAA"/>
    <w:rsid w:val="00EB34EC"/>
    <w:rsid w:val="00EB3A07"/>
    <w:rsid w:val="00EB54FA"/>
    <w:rsid w:val="00EB5539"/>
    <w:rsid w:val="00EC05BA"/>
    <w:rsid w:val="00EC20B8"/>
    <w:rsid w:val="00EC27C0"/>
    <w:rsid w:val="00EC37C8"/>
    <w:rsid w:val="00EC3F31"/>
    <w:rsid w:val="00EC4CCD"/>
    <w:rsid w:val="00EC52E7"/>
    <w:rsid w:val="00EC7E0E"/>
    <w:rsid w:val="00ED0DBB"/>
    <w:rsid w:val="00ED3698"/>
    <w:rsid w:val="00ED4794"/>
    <w:rsid w:val="00ED4CBB"/>
    <w:rsid w:val="00ED7B59"/>
    <w:rsid w:val="00EE1FEE"/>
    <w:rsid w:val="00EE265C"/>
    <w:rsid w:val="00EE3A4E"/>
    <w:rsid w:val="00EE3E07"/>
    <w:rsid w:val="00EE5A60"/>
    <w:rsid w:val="00EE5C63"/>
    <w:rsid w:val="00EE67D7"/>
    <w:rsid w:val="00EF13DA"/>
    <w:rsid w:val="00EF359C"/>
    <w:rsid w:val="00EF416F"/>
    <w:rsid w:val="00EF62E1"/>
    <w:rsid w:val="00F00449"/>
    <w:rsid w:val="00F0095C"/>
    <w:rsid w:val="00F01129"/>
    <w:rsid w:val="00F01CCA"/>
    <w:rsid w:val="00F01F2C"/>
    <w:rsid w:val="00F02104"/>
    <w:rsid w:val="00F04567"/>
    <w:rsid w:val="00F04EF6"/>
    <w:rsid w:val="00F06893"/>
    <w:rsid w:val="00F06C02"/>
    <w:rsid w:val="00F06C17"/>
    <w:rsid w:val="00F10FA5"/>
    <w:rsid w:val="00F121B2"/>
    <w:rsid w:val="00F12ED1"/>
    <w:rsid w:val="00F135F2"/>
    <w:rsid w:val="00F1377D"/>
    <w:rsid w:val="00F138B4"/>
    <w:rsid w:val="00F13C82"/>
    <w:rsid w:val="00F151C9"/>
    <w:rsid w:val="00F1632B"/>
    <w:rsid w:val="00F20072"/>
    <w:rsid w:val="00F202CA"/>
    <w:rsid w:val="00F223A7"/>
    <w:rsid w:val="00F230E5"/>
    <w:rsid w:val="00F23A01"/>
    <w:rsid w:val="00F26A64"/>
    <w:rsid w:val="00F334CB"/>
    <w:rsid w:val="00F3495A"/>
    <w:rsid w:val="00F34E2C"/>
    <w:rsid w:val="00F370BC"/>
    <w:rsid w:val="00F37143"/>
    <w:rsid w:val="00F40509"/>
    <w:rsid w:val="00F430C2"/>
    <w:rsid w:val="00F43523"/>
    <w:rsid w:val="00F4646E"/>
    <w:rsid w:val="00F50562"/>
    <w:rsid w:val="00F507D0"/>
    <w:rsid w:val="00F50A92"/>
    <w:rsid w:val="00F50B0B"/>
    <w:rsid w:val="00F50D01"/>
    <w:rsid w:val="00F50DE9"/>
    <w:rsid w:val="00F52D4E"/>
    <w:rsid w:val="00F546B9"/>
    <w:rsid w:val="00F56A33"/>
    <w:rsid w:val="00F56BC1"/>
    <w:rsid w:val="00F56DA7"/>
    <w:rsid w:val="00F618C4"/>
    <w:rsid w:val="00F6544B"/>
    <w:rsid w:val="00F65774"/>
    <w:rsid w:val="00F65A34"/>
    <w:rsid w:val="00F65F4C"/>
    <w:rsid w:val="00F670B4"/>
    <w:rsid w:val="00F715E9"/>
    <w:rsid w:val="00F71A60"/>
    <w:rsid w:val="00F725DA"/>
    <w:rsid w:val="00F7536E"/>
    <w:rsid w:val="00F75652"/>
    <w:rsid w:val="00F75EC0"/>
    <w:rsid w:val="00F76137"/>
    <w:rsid w:val="00F7782D"/>
    <w:rsid w:val="00F807C6"/>
    <w:rsid w:val="00F80A19"/>
    <w:rsid w:val="00F8168B"/>
    <w:rsid w:val="00F81CF2"/>
    <w:rsid w:val="00F81F93"/>
    <w:rsid w:val="00F85242"/>
    <w:rsid w:val="00F857D1"/>
    <w:rsid w:val="00F86296"/>
    <w:rsid w:val="00F86FD9"/>
    <w:rsid w:val="00F90D63"/>
    <w:rsid w:val="00F91317"/>
    <w:rsid w:val="00F91DCC"/>
    <w:rsid w:val="00F9323F"/>
    <w:rsid w:val="00F943FE"/>
    <w:rsid w:val="00F95326"/>
    <w:rsid w:val="00F95814"/>
    <w:rsid w:val="00F95CE9"/>
    <w:rsid w:val="00F97100"/>
    <w:rsid w:val="00FA01D9"/>
    <w:rsid w:val="00FA3AAF"/>
    <w:rsid w:val="00FA473D"/>
    <w:rsid w:val="00FA6F6C"/>
    <w:rsid w:val="00FB0401"/>
    <w:rsid w:val="00FB34B3"/>
    <w:rsid w:val="00FB56A3"/>
    <w:rsid w:val="00FB7C27"/>
    <w:rsid w:val="00FC06C2"/>
    <w:rsid w:val="00FC1DFB"/>
    <w:rsid w:val="00FC1EF2"/>
    <w:rsid w:val="00FC3343"/>
    <w:rsid w:val="00FC33BA"/>
    <w:rsid w:val="00FC35AB"/>
    <w:rsid w:val="00FC6134"/>
    <w:rsid w:val="00FC654D"/>
    <w:rsid w:val="00FC77CF"/>
    <w:rsid w:val="00FD0555"/>
    <w:rsid w:val="00FD06F5"/>
    <w:rsid w:val="00FD1F02"/>
    <w:rsid w:val="00FD2C46"/>
    <w:rsid w:val="00FD440B"/>
    <w:rsid w:val="00FD5961"/>
    <w:rsid w:val="00FE0980"/>
    <w:rsid w:val="00FE1913"/>
    <w:rsid w:val="00FE28E1"/>
    <w:rsid w:val="00FE2EB7"/>
    <w:rsid w:val="00FE3EFA"/>
    <w:rsid w:val="00FE4C0C"/>
    <w:rsid w:val="00FE5C56"/>
    <w:rsid w:val="00FE5E20"/>
    <w:rsid w:val="00FE7AAC"/>
    <w:rsid w:val="00FE7B06"/>
    <w:rsid w:val="00FE7E98"/>
    <w:rsid w:val="00FF06BC"/>
    <w:rsid w:val="00FF06E2"/>
    <w:rsid w:val="00FF1430"/>
    <w:rsid w:val="00FF20AC"/>
    <w:rsid w:val="00FF2AA1"/>
    <w:rsid w:val="00FF349E"/>
    <w:rsid w:val="00FF3801"/>
    <w:rsid w:val="00FF3A27"/>
    <w:rsid w:val="00FF3B1D"/>
    <w:rsid w:val="00FF3B27"/>
    <w:rsid w:val="00FF4E8D"/>
    <w:rsid w:val="00FF5CFA"/>
    <w:rsid w:val="00FF7E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7E08C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E54BB5"/>
    <w:pPr>
      <w:pBdr>
        <w:bottom w:val="single" w:sz="24" w:space="21" w:color="20B9A3" w:themeColor="accent1"/>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117479" w:themeColor="accent2"/>
    </w:rPr>
  </w:style>
  <w:style w:type="paragraph" w:styleId="Heading4">
    <w:name w:val="heading 4"/>
    <w:basedOn w:val="Normal"/>
    <w:next w:val="Normal"/>
    <w:uiPriority w:val="4"/>
    <w:qFormat/>
    <w:rsid w:val="000B39C7"/>
    <w:pPr>
      <w:keepNext/>
      <w:keepLines/>
      <w:spacing w:before="180" w:after="120"/>
      <w:outlineLvl w:val="3"/>
    </w:pPr>
    <w:rPr>
      <w:rFonts w:asciiTheme="majorHAnsi" w:hAnsiTheme="majorHAnsi"/>
      <w:b/>
      <w:color w:val="11747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20B9A3" w:themeColor="accent1"/>
      <w:szCs w:val="22"/>
    </w:rPr>
  </w:style>
  <w:style w:type="paragraph" w:styleId="Heading6">
    <w:name w:val="heading 6"/>
    <w:basedOn w:val="Normal"/>
    <w:next w:val="Normal"/>
    <w:link w:val="Heading6Char"/>
    <w:uiPriority w:val="99"/>
    <w:semiHidden/>
    <w:rsid w:val="009F06C4"/>
    <w:pPr>
      <w:keepNext/>
      <w:numPr>
        <w:ilvl w:val="5"/>
        <w:numId w:val="13"/>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13"/>
      </w:numPr>
      <w:spacing w:before="40" w:after="0"/>
      <w:outlineLvl w:val="6"/>
    </w:pPr>
    <w:rPr>
      <w:rFonts w:asciiTheme="majorHAnsi" w:eastAsiaTheme="majorEastAsia" w:hAnsiTheme="majorHAnsi" w:cstheme="majorBidi"/>
      <w:i/>
      <w:iCs/>
      <w:color w:val="105C50"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23"/>
      </w:numPr>
      <w:ind w:left="714" w:hanging="357"/>
      <w:contextualSpacing/>
    </w:pPr>
  </w:style>
  <w:style w:type="paragraph" w:styleId="Footer">
    <w:name w:val="footer"/>
    <w:basedOn w:val="Header"/>
    <w:uiPriority w:val="99"/>
    <w:rsid w:val="00650E2C"/>
    <w:pPr>
      <w:pBdr>
        <w:bottom w:val="single" w:sz="24" w:space="12" w:color="20B9A3" w:themeColor="accent1"/>
      </w:pBdr>
      <w:tabs>
        <w:tab w:val="clear" w:pos="10319"/>
        <w:tab w:val="right" w:pos="9940"/>
      </w:tabs>
      <w:ind w:right="-1661"/>
    </w:pPr>
  </w:style>
  <w:style w:type="character" w:styleId="Hyperlink">
    <w:name w:val="Hyperlink"/>
    <w:basedOn w:val="DefaultParagraphFont"/>
    <w:uiPriority w:val="99"/>
    <w:rsid w:val="00091B67"/>
    <w:rPr>
      <w:color w:val="188A79" w:themeColor="accent1" w:themeShade="BF"/>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20B9A3"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rsid w:val="00010D84"/>
    <w:pPr>
      <w:ind w:left="720"/>
    </w:pPr>
  </w:style>
  <w:style w:type="character" w:customStyle="1" w:styleId="Heading2Char">
    <w:name w:val="Heading 2 Char"/>
    <w:basedOn w:val="DefaultParagraphFont"/>
    <w:link w:val="Heading2"/>
    <w:uiPriority w:val="4"/>
    <w:rsid w:val="00E54BB5"/>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20B9A3" w:themeColor="accent1"/>
        <w:between w:val="single" w:sz="24" w:space="6" w:color="20B9A3"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11747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142E3B"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91B67"/>
    <w:rPr>
      <w:color w:val="7F2667" w:themeColor="accent3" w:themeShade="BF"/>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630A29"/>
    <w:pPr>
      <w:keepNext/>
      <w:keepLines/>
      <w:tabs>
        <w:tab w:val="left" w:pos="1134"/>
        <w:tab w:val="left" w:pos="1361"/>
      </w:tabs>
      <w:spacing w:before="120" w:after="240"/>
      <w:ind w:left="357" w:hanging="357"/>
      <w:contextualSpacing/>
      <w:outlineLvl w:val="3"/>
    </w:pPr>
    <w:rPr>
      <w:rFonts w:asciiTheme="majorHAnsi" w:hAnsiTheme="majorHAnsi"/>
      <w:b/>
      <w:color w:val="000000"/>
      <w:sz w:val="18"/>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0B9A3"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0B9A3"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13"/>
      </w:numPr>
      <w:spacing w:before="240"/>
      <w:contextualSpacing/>
      <w:outlineLvl w:val="2"/>
    </w:pPr>
    <w:rPr>
      <w:b/>
      <w:color w:val="20B9A3"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5C50"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21"/>
      </w:numPr>
      <w:tabs>
        <w:tab w:val="left" w:pos="1021"/>
      </w:tabs>
    </w:pPr>
  </w:style>
  <w:style w:type="character" w:customStyle="1" w:styleId="FigureHeadingChar">
    <w:name w:val="Figure Heading Char"/>
    <w:basedOn w:val="DefaultParagraphFont"/>
    <w:link w:val="FigureHeading"/>
    <w:uiPriority w:val="48"/>
    <w:rsid w:val="00630A29"/>
    <w:rPr>
      <w:rFonts w:asciiTheme="majorHAnsi" w:hAnsiTheme="majorHAnsi"/>
      <w:b/>
      <w:color w:val="000000"/>
      <w:sz w:val="18"/>
      <w:szCs w:val="24"/>
    </w:rPr>
  </w:style>
  <w:style w:type="character" w:customStyle="1" w:styleId="HeadingTableChar">
    <w:name w:val="Heading Table Char"/>
    <w:basedOn w:val="FigureHeadingChar"/>
    <w:link w:val="HeadingTable"/>
    <w:rsid w:val="002F680D"/>
    <w:rPr>
      <w:rFonts w:asciiTheme="majorHAnsi" w:hAnsiTheme="majorHAnsi"/>
      <w:b/>
      <w:color w:val="000000"/>
      <w:sz w:val="18"/>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11747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22"/>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11747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11747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11747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paragraph" w:styleId="NormalWeb">
    <w:name w:val="Normal (Web)"/>
    <w:basedOn w:val="Normal"/>
    <w:uiPriority w:val="99"/>
    <w:semiHidden/>
    <w:unhideWhenUsed/>
    <w:rsid w:val="00776215"/>
    <w:pPr>
      <w:spacing w:before="100" w:beforeAutospacing="1" w:after="100" w:afterAutospacing="1" w:line="240" w:lineRule="auto"/>
    </w:pPr>
    <w:rPr>
      <w:rFonts w:ascii="Times New Roman" w:eastAsiaTheme="minorEastAsia" w:hAnsi="Times New Roman"/>
      <w:sz w:val="24"/>
    </w:rPr>
  </w:style>
  <w:style w:type="paragraph" w:styleId="Revision">
    <w:name w:val="Revision"/>
    <w:hidden/>
    <w:uiPriority w:val="99"/>
    <w:semiHidden/>
    <w:rsid w:val="00854D3E"/>
    <w:rPr>
      <w:rFonts w:asciiTheme="minorHAnsi" w:hAnsiTheme="minorHAnsi"/>
      <w:szCs w:val="24"/>
    </w:rPr>
  </w:style>
  <w:style w:type="paragraph" w:customStyle="1" w:styleId="Default">
    <w:name w:val="Default"/>
    <w:rsid w:val="002A0D8C"/>
    <w:pPr>
      <w:autoSpaceDE w:val="0"/>
      <w:autoSpaceDN w:val="0"/>
      <w:adjustRightInd w:val="0"/>
    </w:pPr>
    <w:rPr>
      <w:rFonts w:ascii="Myriad Pro Light" w:hAnsi="Myriad Pro Light" w:cs="Myriad Pro Light"/>
      <w:color w:val="000000"/>
      <w:sz w:val="24"/>
      <w:szCs w:val="24"/>
    </w:rPr>
  </w:style>
  <w:style w:type="character" w:customStyle="1" w:styleId="A10">
    <w:name w:val="A10"/>
    <w:uiPriority w:val="99"/>
    <w:rsid w:val="002A0D8C"/>
    <w:rPr>
      <w:rFonts w:ascii="Wingdings" w:hAnsi="Wingdings" w:cs="Wingdings"/>
      <w:color w:val="F4781E"/>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502626097">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864514503">
      <w:bodyDiv w:val="1"/>
      <w:marLeft w:val="0"/>
      <w:marRight w:val="0"/>
      <w:marTop w:val="0"/>
      <w:marBottom w:val="0"/>
      <w:divBdr>
        <w:top w:val="none" w:sz="0" w:space="0" w:color="auto"/>
        <w:left w:val="none" w:sz="0" w:space="0" w:color="auto"/>
        <w:bottom w:val="none" w:sz="0" w:space="0" w:color="auto"/>
        <w:right w:val="none" w:sz="0" w:space="0" w:color="auto"/>
      </w:divBdr>
    </w:div>
    <w:div w:id="980227154">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851531697">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ta@pmc.gov.au"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assets.publishing.service.gov.uk/government/uploads/system/uploads/attachment_data/file/365794/the-role-scholarships-play-in-graduate-recruitment-for-itt.pdf" TargetMode="External"/><Relationship Id="rId21" Type="http://schemas.openxmlformats.org/officeDocument/2006/relationships/image" Target="media/image6.png"/><Relationship Id="rId34" Type="http://schemas.openxmlformats.org/officeDocument/2006/relationships/hyperlink" Target="https://research.acer.edu.au/research_conference_2003/4/" TargetMode="External"/><Relationship Id="rId42" Type="http://schemas.openxmlformats.org/officeDocument/2006/relationships/hyperlink" Target="https://webarchive.nla.gov.au/awa/20050518035013/http:/pandora.nla.gov.au/pan/49208/20050518-0000/www.dest.gov.au/directory/student_attitudes.pdf" TargetMode="External"/><Relationship Id="rId47" Type="http://schemas.openxmlformats.org/officeDocument/2006/relationships/header" Target="header4.xml"/><Relationship Id="rId50" Type="http://schemas.openxmlformats.org/officeDocument/2006/relationships/hyperlink" Target="mailto:beta@pmc.gov.au"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https://www.dese.gov.au/australian-curriculum/support-science-technology-engineering-and-mathematics-stem" TargetMode="External"/><Relationship Id="rId37" Type="http://schemas.openxmlformats.org/officeDocument/2006/relationships/hyperlink" Target="https://files.eric.ed.gov/fulltext/ED536867.pdf" TargetMode="External"/><Relationship Id="rId40" Type="http://schemas.openxmlformats.org/officeDocument/2006/relationships/hyperlink" Target="https://www.dese.gov.au/quality-initial-teacher-education-review/resources/quality-initial-teacher-education-review-2021-discussion-paper" TargetMode="External"/><Relationship Id="rId45" Type="http://schemas.openxmlformats.org/officeDocument/2006/relationships/image" Target="media/image15.png"/><Relationship Id="rId53" Type="http://schemas.openxmlformats.org/officeDocument/2006/relationships/header" Target="header5.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audit.nsw.gov.au/sites/default/files/pdf-downloads/Final%20Report%20-%20Supply%20of%20secondary%20teachers%20in%20STEM-related%20disciplines%20v2.pdf" TargetMode="External"/><Relationship Id="rId35" Type="http://schemas.openxmlformats.org/officeDocument/2006/relationships/hyperlink" Target="http://hdl.voced.edu.au/10707/452374" TargetMode="External"/><Relationship Id="rId43" Type="http://schemas.openxmlformats.org/officeDocument/2006/relationships/hyperlink" Target="https://www.tes.com/en-au/jobs/careers-advice/pay-and-conditions/nsw-teacher-salary-what-you-could-be-earning" TargetMode="External"/><Relationship Id="rId48" Type="http://schemas.openxmlformats.org/officeDocument/2006/relationships/footer" Target="footer3.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media@pmc.gov.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yperlink" Target="https://grattan.edu.au/report/attracting-high-achievers-to-teaching/" TargetMode="External"/><Relationship Id="rId38" Type="http://schemas.openxmlformats.org/officeDocument/2006/relationships/hyperlink" Target="https://www.oecd.org/pisa/publications/pisa-2018-results.htm" TargetMode="External"/><Relationship Id="rId46" Type="http://schemas.openxmlformats.org/officeDocument/2006/relationships/hyperlink" Target="https://pmc.gov.au/cca" TargetMode="External"/><Relationship Id="rId20" Type="http://schemas.openxmlformats.org/officeDocument/2006/relationships/image" Target="media/image5.png"/><Relationship Id="rId41" Type="http://schemas.openxmlformats.org/officeDocument/2006/relationships/hyperlink" Target="https://www.sciencedirect.com/science/article/abs/pii/S0742051X05000405"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theconversation.com/three-charts-on-teachers-pay-in-australia-it-starts-out-ok-but-goes-downhill-pretty-quickly-122782" TargetMode="External"/><Relationship Id="rId49" Type="http://schemas.openxmlformats.org/officeDocument/2006/relationships/image" Target="media/image16.png"/><Relationship Id="rId57" Type="http://schemas.openxmlformats.org/officeDocument/2006/relationships/customXml" Target="../customXml/item5.xml"/><Relationship Id="rId10" Type="http://schemas.openxmlformats.org/officeDocument/2006/relationships/endnotes" Target="endnotes.xml"/><Relationship Id="rId31" Type="http://schemas.openxmlformats.org/officeDocument/2006/relationships/hyperlink" Target="https://www.dese.gov.au/quality-schools-package/resources/school-quality-australia-exploring-drivers-student-outcomes-and-links-practice-and-schooling-quality" TargetMode="External"/><Relationship Id="rId44" Type="http://schemas.openxmlformats.org/officeDocument/2006/relationships/hyperlink" Target="https://creativecommons.org/licenses/by/4.0/" TargetMode="External"/><Relationship Id="rId52" Type="http://schemas.openxmlformats.org/officeDocument/2006/relationships/hyperlink" Target="http://www.pmc.gov.au/be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ETA Green">
      <a:dk1>
        <a:srgbClr val="000000"/>
      </a:dk1>
      <a:lt1>
        <a:sysClr val="window" lastClr="FFFFFF"/>
      </a:lt1>
      <a:dk2>
        <a:srgbClr val="000000"/>
      </a:dk2>
      <a:lt2>
        <a:srgbClr val="000000"/>
      </a:lt2>
      <a:accent1>
        <a:srgbClr val="20B9A3"/>
      </a:accent1>
      <a:accent2>
        <a:srgbClr val="117479"/>
      </a:accent2>
      <a:accent3>
        <a:srgbClr val="AA338A"/>
      </a:accent3>
      <a:accent4>
        <a:srgbClr val="4C255E"/>
      </a:accent4>
      <a:accent5>
        <a:srgbClr val="D21E32"/>
      </a:accent5>
      <a:accent6>
        <a:srgbClr val="142E3B"/>
      </a:accent6>
      <a:hlink>
        <a:srgbClr val="20B9A3"/>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0dfa800-9ef0-44cb-8a12-633e29de1e0b">
      <Value>1</Value>
    </TaxCatchAll>
    <ShareHubID xmlns="e771ab56-0c5d-40e7-b080-2686d2b89623">DOC22-22147</ShareHubID>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PMCdoc-213507164-64419</_dlc_DocId>
    <_dlc_DocIdUrl xmlns="d0dfa800-9ef0-44cb-8a12-633e29de1e0b">
      <Url>https://pmc01.sharepoint.com/sites/pmc-ms-cb/_layouts/15/DocIdRedir.aspx?ID=PMCdoc-213507164-64419</Url>
      <Description>PMCdoc-213507164-64419</Description>
    </_dlc_DocIdUrl>
    <lcf76f155ced4ddcb4097134ff3c332f xmlns="631b17cb-7e05-4b62-a9e3-205a319fa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D6F18D3-DE0E-41B4-AF00-B62B8CD40E3F}">
  <ds:schemaRefs>
    <ds:schemaRef ds:uri="http://schemas.microsoft.com/sharepoint/v3/contenttype/forms"/>
  </ds:schemaRefs>
</ds:datastoreItem>
</file>

<file path=customXml/itemProps2.xml><?xml version="1.0" encoding="utf-8"?>
<ds:datastoreItem xmlns:ds="http://schemas.openxmlformats.org/officeDocument/2006/customXml" ds:itemID="{48536DC1-85AB-402A-A8C8-2B216BB2934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85f9fda-bd71-4433-b331-92feb9553089"/>
    <ds:schemaRef ds:uri="166541c0-0594-4e6a-9105-c24d4b6de6f7"/>
    <ds:schemaRef ds:uri="http://www.w3.org/XML/1998/namespace"/>
    <ds:schemaRef ds:uri="http://purl.org/dc/dcmitype/"/>
  </ds:schemaRefs>
</ds:datastoreItem>
</file>

<file path=customXml/itemProps3.xml><?xml version="1.0" encoding="utf-8"?>
<ds:datastoreItem xmlns:ds="http://schemas.openxmlformats.org/officeDocument/2006/customXml" ds:itemID="{6AECE2F6-1E51-4526-A67B-6345D3A4E565}"/>
</file>

<file path=customXml/itemProps4.xml><?xml version="1.0" encoding="utf-8"?>
<ds:datastoreItem xmlns:ds="http://schemas.openxmlformats.org/officeDocument/2006/customXml" ds:itemID="{D6D11442-0A9A-4186-B4C1-87E72742F60D}">
  <ds:schemaRefs>
    <ds:schemaRef ds:uri="http://schemas.openxmlformats.org/officeDocument/2006/bibliography"/>
  </ds:schemaRefs>
</ds:datastoreItem>
</file>

<file path=customXml/itemProps5.xml><?xml version="1.0" encoding="utf-8"?>
<ds:datastoreItem xmlns:ds="http://schemas.openxmlformats.org/officeDocument/2006/customXml" ds:itemID="{DA5C5D2F-8FF4-4A15-A790-AC0009AC7610}"/>
</file>

<file path=docProps/app.xml><?xml version="1.0" encoding="utf-8"?>
<Properties xmlns="http://schemas.openxmlformats.org/officeDocument/2006/extended-properties" xmlns:vt="http://schemas.openxmlformats.org/officeDocument/2006/docPropsVTypes">
  <Template>Normal</Template>
  <TotalTime>0</TotalTime>
  <Pages>20</Pages>
  <Words>3646</Words>
  <Characters>23560</Characters>
  <Application>Microsoft Office Word</Application>
  <DocSecurity>4</DocSecurity>
  <Lines>196</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2022-02-07T05:30:00Z</dcterms:created>
  <dcterms:modified xsi:type="dcterms:W3CDTF">2022-02-07T05:30:00Z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ESearchTags">
    <vt:lpwstr>18;#Cabinet|84cba657-17c1-4642-9e59-a0df180c2be5</vt:lpwstr>
  </property>
  <property fmtid="{D5CDD505-2E9C-101B-9397-08002B2CF9AE}" pid="4" name="HPRMSecurityLevel">
    <vt:lpwstr>57;#OFFICIAL|11463c70-78df-4e3b-b0ff-f66cd3cb26ec</vt:lpwstr>
  </property>
  <property fmtid="{D5CDD505-2E9C-101B-9397-08002B2CF9AE}" pid="5" name="HPRMSecurityCaveat">
    <vt:lpwstr/>
  </property>
  <property fmtid="{D5CDD505-2E9C-101B-9397-08002B2CF9AE}" pid="6" name="PMC.ESearch.TagGeneratedTime">
    <vt:lpwstr>2022-02-07T16:45:12</vt:lpwstr>
  </property>
  <property fmtid="{D5CDD505-2E9C-101B-9397-08002B2CF9AE}" pid="7" name="SecurityClassification">
    <vt:i4>1</vt:i4>
  </property>
  <property fmtid="{D5CDD505-2E9C-101B-9397-08002B2CF9AE}" pid="8" name="_dlc_DocIdItemGuid">
    <vt:lpwstr>bb227323-c0cf-4232-887d-5ea4c4b149a3</vt:lpwstr>
  </property>
</Properties>
</file>