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header5.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32437392" w:displacedByCustomXml="next"/>
    <w:sdt>
      <w:sdtPr>
        <w:rPr>
          <w:b/>
          <w:color w:val="000000" w:themeColor="text2"/>
        </w:rPr>
        <w:id w:val="1294952394"/>
        <w:docPartObj>
          <w:docPartGallery w:val="Cover Pages"/>
          <w:docPartUnique/>
        </w:docPartObj>
      </w:sdtPr>
      <w:sdtEndPr>
        <w:rPr>
          <w:b w:val="0"/>
          <w:color w:val="3F3F3F" w:themeColor="text1"/>
        </w:rPr>
      </w:sdtEndPr>
      <w:sdtContent>
        <w:p w14:paraId="3782DF38" w14:textId="77777777" w:rsidR="00A25CA2" w:rsidRDefault="004F0781" w:rsidP="00991370">
          <w:r w:rsidRPr="001727A4">
            <w:rPr>
              <w:noProof/>
            </w:rPr>
            <w:drawing>
              <wp:anchor distT="0" distB="0" distL="114300" distR="114300" simplePos="0" relativeHeight="251659264" behindDoc="1" locked="0" layoutInCell="0" allowOverlap="1" wp14:anchorId="06AB34E9" wp14:editId="154AA1B3">
                <wp:simplePos x="0" y="0"/>
                <wp:positionH relativeFrom="page">
                  <wp:align>left</wp:align>
                </wp:positionH>
                <wp:positionV relativeFrom="page">
                  <wp:align>top</wp:align>
                </wp:positionV>
                <wp:extent cx="7560000" cy="10685647"/>
                <wp:effectExtent l="0" t="0" r="3175" b="1905"/>
                <wp:wrapNone/>
                <wp:docPr id="1" name="Picture 1" descr="It is a thick line before the picture on the front page, meant to be used as part of our styling template." title="Just background repor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sdtContent>
    </w:sdt>
    <w:p w14:paraId="32BA39FE" w14:textId="77777777" w:rsidR="008253C4" w:rsidRDefault="008253C4" w:rsidP="00523110">
      <w:pPr>
        <w:pStyle w:val="NoSpacing"/>
      </w:pPr>
    </w:p>
    <w:p w14:paraId="2D4F862A" w14:textId="7F75382C" w:rsidR="0096054C" w:rsidRDefault="0096054C">
      <w:pPr>
        <w:spacing w:before="0" w:after="0" w:line="240" w:lineRule="auto"/>
      </w:pPr>
    </w:p>
    <w:tbl>
      <w:tblPr>
        <w:tblpPr w:leftFromText="180" w:rightFromText="180" w:vertAnchor="page" w:horzAnchor="page" w:tblpX="5869" w:tblpY="10360"/>
        <w:tblW w:w="0" w:type="auto"/>
        <w:tblCellMar>
          <w:left w:w="0" w:type="dxa"/>
          <w:right w:w="0" w:type="dxa"/>
        </w:tblCellMar>
        <w:tblLook w:val="04A0" w:firstRow="1" w:lastRow="0" w:firstColumn="1" w:lastColumn="0" w:noHBand="0" w:noVBand="1"/>
        <w:tblDescription w:val="Report cover"/>
      </w:tblPr>
      <w:tblGrid>
        <w:gridCol w:w="4411"/>
      </w:tblGrid>
      <w:tr w:rsidR="0096054C" w:rsidRPr="00787BEC" w14:paraId="23ACABA6" w14:textId="77777777" w:rsidTr="00F96BD2">
        <w:trPr>
          <w:trHeight w:hRule="exact" w:val="4015"/>
          <w:tblHeader/>
        </w:trPr>
        <w:tc>
          <w:tcPr>
            <w:tcW w:w="4411" w:type="dxa"/>
            <w:tcMar>
              <w:top w:w="851" w:type="dxa"/>
            </w:tcMar>
          </w:tcPr>
          <w:p w14:paraId="5EDAB845" w14:textId="77777777" w:rsidR="0096054C" w:rsidRPr="005C316B" w:rsidRDefault="00DE610F" w:rsidP="00F96BD2">
            <w:pPr>
              <w:pStyle w:val="LargeTitle"/>
              <w:rPr>
                <w:sz w:val="48"/>
              </w:rPr>
            </w:pPr>
            <w:r>
              <w:rPr>
                <w:sz w:val="48"/>
              </w:rPr>
              <w:t>Improving tax compliance: deductions for work-related expenses</w:t>
            </w:r>
          </w:p>
          <w:p w14:paraId="07DC260E" w14:textId="77777777" w:rsidR="0096054C" w:rsidRPr="005C316B" w:rsidRDefault="0096054C" w:rsidP="00F96BD2">
            <w:pPr>
              <w:pStyle w:val="Subtitle"/>
              <w:rPr>
                <w:sz w:val="48"/>
              </w:rPr>
            </w:pPr>
          </w:p>
        </w:tc>
      </w:tr>
      <w:tr w:rsidR="0096054C" w14:paraId="2B07B794" w14:textId="77777777" w:rsidTr="00F96BD2">
        <w:trPr>
          <w:trHeight w:hRule="exact" w:val="493"/>
        </w:trPr>
        <w:tc>
          <w:tcPr>
            <w:tcW w:w="4411" w:type="dxa"/>
          </w:tcPr>
          <w:p w14:paraId="10912366" w14:textId="24517FE6" w:rsidR="0096054C" w:rsidRPr="004E4DA7" w:rsidRDefault="00DE610F" w:rsidP="00C66F3C">
            <w:pPr>
              <w:pStyle w:val="Date"/>
            </w:pPr>
            <w:r>
              <w:t>August 2018</w:t>
            </w:r>
          </w:p>
        </w:tc>
      </w:tr>
    </w:tbl>
    <w:p w14:paraId="621A7318" w14:textId="686AB16A" w:rsidR="008253C4" w:rsidRDefault="0046543A" w:rsidP="00087D4E">
      <w:pPr>
        <w:sectPr w:rsidR="008253C4" w:rsidSect="007D0FC7">
          <w:headerReference w:type="default" r:id="rId12"/>
          <w:pgSz w:w="11906" w:h="16838" w:code="9"/>
          <w:pgMar w:top="2126" w:right="720" w:bottom="567" w:left="720" w:header="567" w:footer="567" w:gutter="0"/>
          <w:pgNumType w:start="0"/>
          <w:cols w:space="708"/>
          <w:titlePg/>
          <w:docGrid w:linePitch="360"/>
        </w:sectPr>
      </w:pPr>
      <w:r w:rsidRPr="00B125FF">
        <w:rPr>
          <w:rFonts w:asciiTheme="majorHAnsi" w:hAnsiTheme="majorHAnsi" w:cs="Arial"/>
          <w:bCs/>
          <w:noProof/>
          <w:color w:val="auto"/>
          <w:kern w:val="28"/>
          <w:sz w:val="32"/>
          <w:szCs w:val="32"/>
        </w:rPr>
        <w:drawing>
          <wp:inline distT="0" distB="0" distL="0" distR="0" wp14:anchorId="602528F7" wp14:editId="2216C514">
            <wp:extent cx="6645910" cy="4434205"/>
            <wp:effectExtent l="0" t="0" r="2540" b="4445"/>
            <wp:docPr id="10" name="Picture 10" descr="Tax agent at a desk in an office talking with two clients" title="Front pa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0326\Downloads\iStock-8428649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4434205"/>
                    </a:xfrm>
                    <a:prstGeom prst="rect">
                      <a:avLst/>
                    </a:prstGeom>
                    <a:noFill/>
                    <a:ln>
                      <a:noFill/>
                    </a:ln>
                  </pic:spPr>
                </pic:pic>
              </a:graphicData>
            </a:graphic>
          </wp:inline>
        </w:drawing>
      </w:r>
      <w:bookmarkStart w:id="1" w:name="_GoBack"/>
      <w:bookmarkEnd w:id="1"/>
    </w:p>
    <w:p w14:paraId="2BBE40C1" w14:textId="7045C353" w:rsidR="00EB0609" w:rsidRDefault="00EB0609" w:rsidP="00EB0609">
      <w:pPr>
        <w:pStyle w:val="DisclaimerH1"/>
      </w:pPr>
    </w:p>
    <w:p w14:paraId="3CC6E835" w14:textId="77777777" w:rsidR="00EB0609" w:rsidRDefault="00EB0609" w:rsidP="00200E55">
      <w:pPr>
        <w:pStyle w:val="DisclaimerH2"/>
        <w:outlineLvl w:val="1"/>
      </w:pPr>
      <w:r>
        <w:t>Other uses</w:t>
      </w:r>
    </w:p>
    <w:p w14:paraId="35C706A8" w14:textId="77777777" w:rsidR="00EB0609" w:rsidRDefault="00EB0609" w:rsidP="00EB0609">
      <w:r>
        <w:t>Enquiries regarding this license and any other use of this document are welcome at:</w:t>
      </w:r>
    </w:p>
    <w:p w14:paraId="2F5726DC" w14:textId="77777777" w:rsidR="00EB0609" w:rsidRDefault="00EB0609" w:rsidP="00EB0609">
      <w:pPr>
        <w:spacing w:before="0" w:after="0"/>
      </w:pPr>
      <w:r>
        <w:t>Managing Director</w:t>
      </w:r>
    </w:p>
    <w:p w14:paraId="3D7A98DE" w14:textId="77777777" w:rsidR="00EB0609" w:rsidRDefault="00EB0609" w:rsidP="00EB0609">
      <w:pPr>
        <w:spacing w:before="0" w:after="0"/>
      </w:pPr>
      <w:r>
        <w:t>Behavioural Economics Team of the Australian Government</w:t>
      </w:r>
    </w:p>
    <w:p w14:paraId="23475969" w14:textId="77777777" w:rsidR="00EB0609" w:rsidRDefault="00EB0609" w:rsidP="00EB0609">
      <w:pPr>
        <w:spacing w:before="0" w:after="0"/>
      </w:pPr>
      <w:r>
        <w:t>Department of the Prime Minister and Cabinet</w:t>
      </w:r>
    </w:p>
    <w:p w14:paraId="033DE60B" w14:textId="77777777" w:rsidR="00EB0609" w:rsidRDefault="00EB0609" w:rsidP="00EB0609">
      <w:pPr>
        <w:spacing w:before="0" w:after="0"/>
      </w:pPr>
      <w:r>
        <w:t>Barton ACT 2600</w:t>
      </w:r>
    </w:p>
    <w:p w14:paraId="78AEDFC0" w14:textId="77777777" w:rsidR="00EB0609" w:rsidRDefault="00EB0609" w:rsidP="00EB0609">
      <w:pPr>
        <w:spacing w:before="0" w:after="0"/>
      </w:pPr>
      <w:r>
        <w:t>Email: beta@pmc.gov.au</w:t>
      </w:r>
    </w:p>
    <w:p w14:paraId="67CACBF3" w14:textId="77777777" w:rsidR="00EB0609" w:rsidRDefault="00EB0609" w:rsidP="00EB0609">
      <w:r>
        <w:t>The views expressed in this paper are those of the authors and do not necessarily reflect those of the Department of the Prime Minister and Cabinet or the Australian Government.</w:t>
      </w:r>
    </w:p>
    <w:p w14:paraId="69FF1C24" w14:textId="77777777" w:rsidR="00EB0609" w:rsidRDefault="00EB0609" w:rsidP="00200E55">
      <w:pPr>
        <w:pStyle w:val="DisclaimerH2"/>
        <w:outlineLvl w:val="1"/>
      </w:pPr>
      <w:r>
        <w:t>Research team</w:t>
      </w:r>
    </w:p>
    <w:p w14:paraId="7AE77C5F" w14:textId="59497517" w:rsidR="00DE610F" w:rsidRDefault="00DE610F" w:rsidP="00EB0609">
      <w:pPr>
        <w:pStyle w:val="DisclaimerH2"/>
        <w:rPr>
          <w:b w:val="0"/>
          <w:color w:val="3F3F3F" w:themeColor="text1"/>
          <w:sz w:val="20"/>
        </w:rPr>
      </w:pPr>
      <w:r w:rsidRPr="00DE610F">
        <w:rPr>
          <w:b w:val="0"/>
          <w:color w:val="3F3F3F" w:themeColor="text1"/>
          <w:sz w:val="20"/>
        </w:rPr>
        <w:t xml:space="preserve">Professor Michael J. Hiscox was the principal investigator for this project. Other (current and former) staff who contributed to the report were: Janine Bialecki; </w:t>
      </w:r>
      <w:r w:rsidR="00CB3679">
        <w:rPr>
          <w:b w:val="0"/>
          <w:color w:val="3F3F3F" w:themeColor="text1"/>
          <w:sz w:val="20"/>
        </w:rPr>
        <w:t xml:space="preserve">Heather Cotching; </w:t>
      </w:r>
      <w:r w:rsidRPr="00DE610F">
        <w:rPr>
          <w:b w:val="0"/>
          <w:color w:val="3F3F3F" w:themeColor="text1"/>
          <w:sz w:val="20"/>
        </w:rPr>
        <w:t>Michael</w:t>
      </w:r>
      <w:r w:rsidR="00CB3679">
        <w:rPr>
          <w:b w:val="0"/>
          <w:color w:val="3F3F3F" w:themeColor="text1"/>
          <w:sz w:val="20"/>
        </w:rPr>
        <w:t> </w:t>
      </w:r>
      <w:r w:rsidRPr="00DE610F">
        <w:rPr>
          <w:b w:val="0"/>
          <w:color w:val="3F3F3F" w:themeColor="text1"/>
          <w:sz w:val="20"/>
        </w:rPr>
        <w:t>Daffey; Harry Greenwell; Su Mon Kyaw-Myint; Kailash Rajah; Robert Slonim; and Bec Weeks.</w:t>
      </w:r>
    </w:p>
    <w:p w14:paraId="1D9B4CEA" w14:textId="77777777" w:rsidR="00DE610F" w:rsidRDefault="00DE610F" w:rsidP="00EB0609">
      <w:pPr>
        <w:pStyle w:val="DisclaimerH2"/>
        <w:rPr>
          <w:b w:val="0"/>
          <w:color w:val="3F3F3F" w:themeColor="text1"/>
          <w:sz w:val="20"/>
        </w:rPr>
      </w:pPr>
    </w:p>
    <w:p w14:paraId="69E25EFC" w14:textId="77777777" w:rsidR="00EB0609" w:rsidRDefault="00EB0609" w:rsidP="00200E55">
      <w:pPr>
        <w:pStyle w:val="DisclaimerH2"/>
        <w:outlineLvl w:val="1"/>
      </w:pPr>
      <w:r>
        <w:t>Acknowledgments</w:t>
      </w:r>
    </w:p>
    <w:p w14:paraId="2C62C94F" w14:textId="77777777" w:rsidR="00DE610F" w:rsidRPr="00DE610F" w:rsidRDefault="00DE610F" w:rsidP="00DE610F">
      <w:r w:rsidRPr="00DE610F">
        <w:t xml:space="preserve">Thank you to the Australian Taxation Office for collaborating with us on the project. In particular, special thanks to </w:t>
      </w:r>
      <w:r w:rsidRPr="00DE610F">
        <w:rPr>
          <w:lang w:val="en-GB"/>
        </w:rPr>
        <w:t>Cindy Baker; Karla Bauer; Belinda Gibson; and Jane Mitchell</w:t>
      </w:r>
      <w:r w:rsidRPr="00DE610F">
        <w:t xml:space="preserve">. </w:t>
      </w:r>
    </w:p>
    <w:p w14:paraId="64D1946B" w14:textId="77777777" w:rsidR="00DE610F" w:rsidRPr="00DE610F" w:rsidRDefault="00DE610F" w:rsidP="00DE610F">
      <w:r w:rsidRPr="00DE610F">
        <w:t>The trial was pre-registered on the BETA website and the American Economic Association registry:</w:t>
      </w:r>
    </w:p>
    <w:p w14:paraId="5737B9F7" w14:textId="77777777" w:rsidR="00DE610F" w:rsidRPr="00DE610F" w:rsidRDefault="0046543A" w:rsidP="00DE610F">
      <w:pPr>
        <w:rPr>
          <w:lang w:val="en-GB"/>
        </w:rPr>
      </w:pPr>
      <w:hyperlink r:id="rId14" w:history="1">
        <w:r w:rsidR="00DE610F" w:rsidRPr="00DE610F">
          <w:rPr>
            <w:rStyle w:val="Hyperlink"/>
            <w:lang w:val="en-GB"/>
          </w:rPr>
          <w:t>https://www.pmc.gov.au/domestic-policy/behavioural-economics/improving-tax-compliance-deductions-work-related-expenses-income-tax-returns-filed-through-tax-agents</w:t>
        </w:r>
      </w:hyperlink>
    </w:p>
    <w:p w14:paraId="0FE6248E" w14:textId="77777777" w:rsidR="00DE610F" w:rsidRPr="00DE610F" w:rsidRDefault="0046543A" w:rsidP="00DE610F">
      <w:pPr>
        <w:rPr>
          <w:u w:val="single"/>
        </w:rPr>
      </w:pPr>
      <w:hyperlink r:id="rId15" w:history="1">
        <w:r w:rsidR="00DE610F" w:rsidRPr="00DE610F">
          <w:rPr>
            <w:rStyle w:val="Hyperlink"/>
          </w:rPr>
          <w:t>https://www.socialscienceregistry.org/trials/2132</w:t>
        </w:r>
      </w:hyperlink>
    </w:p>
    <w:p w14:paraId="0B151DAD" w14:textId="77777777" w:rsidR="00B14898" w:rsidRDefault="00B14898" w:rsidP="00B14898">
      <w:pPr>
        <w:sectPr w:rsidR="00B14898" w:rsidSect="008253C4">
          <w:headerReference w:type="default" r:id="rId16"/>
          <w:footerReference w:type="default" r:id="rId17"/>
          <w:pgSz w:w="11906" w:h="16838" w:code="9"/>
          <w:pgMar w:top="2041" w:right="2381" w:bottom="1247" w:left="1247" w:header="720" w:footer="851" w:gutter="0"/>
          <w:cols w:space="708"/>
          <w:docGrid w:linePitch="360"/>
        </w:sectPr>
      </w:pPr>
    </w:p>
    <w:p w14:paraId="44203144" w14:textId="77777777" w:rsidR="004909C3" w:rsidRPr="004909C3" w:rsidRDefault="004909C3" w:rsidP="004909C3">
      <w:pPr>
        <w:pStyle w:val="WhiteLargeH1"/>
      </w:pPr>
      <w:r w:rsidRPr="004909C3">
        <w:t>Who?</w:t>
      </w:r>
    </w:p>
    <w:p w14:paraId="220ED91E" w14:textId="77777777" w:rsidR="004909C3" w:rsidRPr="004909C3" w:rsidRDefault="004909C3" w:rsidP="004909C3">
      <w:pPr>
        <w:pStyle w:val="WhiteHeading2"/>
      </w:pPr>
      <w:r w:rsidRPr="004909C3">
        <w:t>Who are we?</w:t>
      </w:r>
    </w:p>
    <w:p w14:paraId="2EAC1E74" w14:textId="77777777" w:rsidR="004909C3" w:rsidRPr="004909C3" w:rsidRDefault="004909C3" w:rsidP="004909C3">
      <w:pPr>
        <w:pStyle w:val="WhiteNormal"/>
      </w:pPr>
      <w:r w:rsidRPr="004909C3">
        <w:t xml:space="preserve">We are the Behavioural Economics Team of the Australian Government, or BETA. We are the Australian Government’s first central unit applying behavioural economics to improve public policy, programs and processes. </w:t>
      </w:r>
    </w:p>
    <w:p w14:paraId="1C1917B8" w14:textId="77777777" w:rsidR="004909C3" w:rsidRPr="004909C3" w:rsidRDefault="004909C3" w:rsidP="004909C3">
      <w:pPr>
        <w:pStyle w:val="WhiteNormal"/>
      </w:pPr>
      <w:r w:rsidRPr="004909C3">
        <w:t>We use behavioural economics, science and psychology to improve policy outcomes. Our mission is to advance the wellbeing of Australians through the application and rigorous evaluation of behavioural insights to public policy and administration.</w:t>
      </w:r>
    </w:p>
    <w:p w14:paraId="09AF9D94" w14:textId="77777777" w:rsidR="004909C3" w:rsidRPr="004909C3" w:rsidRDefault="004909C3" w:rsidP="004909C3">
      <w:pPr>
        <w:pStyle w:val="WhiteHeading2"/>
      </w:pPr>
      <w:r w:rsidRPr="004909C3">
        <w:t>What is behavioural economics?</w:t>
      </w:r>
    </w:p>
    <w:p w14:paraId="313CDEEE" w14:textId="77777777" w:rsidR="004909C3" w:rsidRPr="004909C3" w:rsidRDefault="004909C3" w:rsidP="004909C3">
      <w:pPr>
        <w:pStyle w:val="WhiteNormal"/>
      </w:pPr>
      <w:r w:rsidRPr="004909C3">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074111BA" w14:textId="77777777" w:rsidR="004909C3" w:rsidRPr="004909C3" w:rsidRDefault="004909C3" w:rsidP="004909C3">
      <w:pPr>
        <w:pStyle w:val="WhiteHeading2"/>
      </w:pPr>
      <w:r w:rsidRPr="004909C3">
        <w:t xml:space="preserve">What are behavioural insights and how are they useful for policy design?  </w:t>
      </w:r>
    </w:p>
    <w:p w14:paraId="6651C810" w14:textId="77777777" w:rsidR="004909C3" w:rsidRPr="004909C3" w:rsidRDefault="004909C3" w:rsidP="004909C3">
      <w:pPr>
        <w:pStyle w:val="WhiteNormal"/>
      </w:pPr>
      <w:r w:rsidRPr="004909C3">
        <w:t>Behavioural insights apply behavioural economics concepts to the real world by drawing on empirically-tested results. These new tools can inform the design of government interventions to improve the welfare of citizens.</w:t>
      </w:r>
    </w:p>
    <w:p w14:paraId="6A74F031" w14:textId="77777777" w:rsidR="004909C3" w:rsidRDefault="004909C3" w:rsidP="004909C3">
      <w:pPr>
        <w:pStyle w:val="WhiteNormal"/>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232F7499"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3F3F3F" w:themeColor="text1"/>
          <w:sz w:val="22"/>
          <w:szCs w:val="24"/>
        </w:rPr>
        <w:id w:val="667208857"/>
        <w:docPartObj>
          <w:docPartGallery w:val="Table of Contents"/>
          <w:docPartUnique/>
        </w:docPartObj>
      </w:sdtPr>
      <w:sdtEndPr>
        <w:rPr>
          <w:noProof/>
          <w:sz w:val="20"/>
        </w:rPr>
      </w:sdtEndPr>
      <w:sdtContent>
        <w:p w14:paraId="6E98E187" w14:textId="77777777" w:rsidR="004909C3" w:rsidRDefault="004909C3" w:rsidP="002A311D">
          <w:pPr>
            <w:pStyle w:val="TOCHeading"/>
            <w:outlineLvl w:val="0"/>
          </w:pPr>
          <w:r>
            <w:t>Contents</w:t>
          </w:r>
        </w:p>
        <w:p w14:paraId="74D068B2" w14:textId="6345F092" w:rsidR="00F236BA" w:rsidRDefault="00CB1ED4">
          <w:pPr>
            <w:pStyle w:val="TOC1"/>
            <w:rPr>
              <w:rFonts w:eastAsiaTheme="minorEastAsia" w:cstheme="minorBidi"/>
              <w:b w:val="0"/>
              <w:color w:val="auto"/>
              <w:sz w:val="22"/>
              <w:szCs w:val="22"/>
            </w:rPr>
          </w:pPr>
          <w:r>
            <w:fldChar w:fldCharType="begin"/>
          </w:r>
          <w:r>
            <w:instrText xml:space="preserve"> TOC \h \z \t "Heading 1,1,Large H1,1,Appendix Heading,2" </w:instrText>
          </w:r>
          <w:r>
            <w:fldChar w:fldCharType="separate"/>
          </w:r>
          <w:hyperlink w:anchor="_Toc521485112" w:history="1">
            <w:r w:rsidR="00F236BA" w:rsidRPr="00934D7B">
              <w:rPr>
                <w:rStyle w:val="Hyperlink"/>
              </w:rPr>
              <w:t>Executive summary</w:t>
            </w:r>
            <w:r w:rsidR="00F236BA">
              <w:rPr>
                <w:webHidden/>
              </w:rPr>
              <w:tab/>
            </w:r>
            <w:r w:rsidR="00F236BA">
              <w:rPr>
                <w:webHidden/>
              </w:rPr>
              <w:fldChar w:fldCharType="begin"/>
            </w:r>
            <w:r w:rsidR="00F236BA">
              <w:rPr>
                <w:webHidden/>
              </w:rPr>
              <w:instrText xml:space="preserve"> PAGEREF _Toc521485112 \h </w:instrText>
            </w:r>
            <w:r w:rsidR="00F236BA">
              <w:rPr>
                <w:webHidden/>
              </w:rPr>
            </w:r>
            <w:r w:rsidR="00F236BA">
              <w:rPr>
                <w:webHidden/>
              </w:rPr>
              <w:fldChar w:fldCharType="separate"/>
            </w:r>
            <w:r w:rsidR="00F236BA">
              <w:rPr>
                <w:webHidden/>
              </w:rPr>
              <w:t>4</w:t>
            </w:r>
            <w:r w:rsidR="00F236BA">
              <w:rPr>
                <w:webHidden/>
              </w:rPr>
              <w:fldChar w:fldCharType="end"/>
            </w:r>
          </w:hyperlink>
        </w:p>
        <w:p w14:paraId="7A4D5BE9" w14:textId="32253A68" w:rsidR="00F236BA" w:rsidRDefault="0046543A">
          <w:pPr>
            <w:pStyle w:val="TOC1"/>
            <w:rPr>
              <w:rFonts w:eastAsiaTheme="minorEastAsia" w:cstheme="minorBidi"/>
              <w:b w:val="0"/>
              <w:color w:val="auto"/>
              <w:sz w:val="22"/>
              <w:szCs w:val="22"/>
            </w:rPr>
          </w:pPr>
          <w:hyperlink w:anchor="_Toc521485113" w:history="1">
            <w:r w:rsidR="00F236BA" w:rsidRPr="00934D7B">
              <w:rPr>
                <w:rStyle w:val="Hyperlink"/>
              </w:rPr>
              <w:t>Why?</w:t>
            </w:r>
            <w:r w:rsidR="00F236BA">
              <w:rPr>
                <w:webHidden/>
              </w:rPr>
              <w:tab/>
            </w:r>
            <w:r w:rsidR="00F236BA">
              <w:rPr>
                <w:webHidden/>
              </w:rPr>
              <w:fldChar w:fldCharType="begin"/>
            </w:r>
            <w:r w:rsidR="00F236BA">
              <w:rPr>
                <w:webHidden/>
              </w:rPr>
              <w:instrText xml:space="preserve"> PAGEREF _Toc521485113 \h </w:instrText>
            </w:r>
            <w:r w:rsidR="00F236BA">
              <w:rPr>
                <w:webHidden/>
              </w:rPr>
            </w:r>
            <w:r w:rsidR="00F236BA">
              <w:rPr>
                <w:webHidden/>
              </w:rPr>
              <w:fldChar w:fldCharType="separate"/>
            </w:r>
            <w:r w:rsidR="00F236BA">
              <w:rPr>
                <w:webHidden/>
              </w:rPr>
              <w:t>5</w:t>
            </w:r>
            <w:r w:rsidR="00F236BA">
              <w:rPr>
                <w:webHidden/>
              </w:rPr>
              <w:fldChar w:fldCharType="end"/>
            </w:r>
          </w:hyperlink>
        </w:p>
        <w:p w14:paraId="04CC058A" w14:textId="07B30E9E" w:rsidR="00F236BA" w:rsidRDefault="0046543A">
          <w:pPr>
            <w:pStyle w:val="TOC1"/>
            <w:rPr>
              <w:rFonts w:eastAsiaTheme="minorEastAsia" w:cstheme="minorBidi"/>
              <w:b w:val="0"/>
              <w:color w:val="auto"/>
              <w:sz w:val="22"/>
              <w:szCs w:val="22"/>
            </w:rPr>
          </w:pPr>
          <w:hyperlink w:anchor="_Toc521485114" w:history="1">
            <w:r w:rsidR="00F236BA" w:rsidRPr="00934D7B">
              <w:rPr>
                <w:rStyle w:val="Hyperlink"/>
              </w:rPr>
              <w:t>What we did</w:t>
            </w:r>
            <w:r w:rsidR="00F236BA">
              <w:rPr>
                <w:webHidden/>
              </w:rPr>
              <w:tab/>
            </w:r>
            <w:r w:rsidR="00F236BA">
              <w:rPr>
                <w:webHidden/>
              </w:rPr>
              <w:fldChar w:fldCharType="begin"/>
            </w:r>
            <w:r w:rsidR="00F236BA">
              <w:rPr>
                <w:webHidden/>
              </w:rPr>
              <w:instrText xml:space="preserve"> PAGEREF _Toc521485114 \h </w:instrText>
            </w:r>
            <w:r w:rsidR="00F236BA">
              <w:rPr>
                <w:webHidden/>
              </w:rPr>
            </w:r>
            <w:r w:rsidR="00F236BA">
              <w:rPr>
                <w:webHidden/>
              </w:rPr>
              <w:fldChar w:fldCharType="separate"/>
            </w:r>
            <w:r w:rsidR="00F236BA">
              <w:rPr>
                <w:webHidden/>
              </w:rPr>
              <w:t>7</w:t>
            </w:r>
            <w:r w:rsidR="00F236BA">
              <w:rPr>
                <w:webHidden/>
              </w:rPr>
              <w:fldChar w:fldCharType="end"/>
            </w:r>
          </w:hyperlink>
        </w:p>
        <w:p w14:paraId="21FD3768" w14:textId="59A6A8AF" w:rsidR="00F236BA" w:rsidRDefault="0046543A">
          <w:pPr>
            <w:pStyle w:val="TOC1"/>
            <w:rPr>
              <w:rFonts w:eastAsiaTheme="minorEastAsia" w:cstheme="minorBidi"/>
              <w:b w:val="0"/>
              <w:color w:val="auto"/>
              <w:sz w:val="22"/>
              <w:szCs w:val="22"/>
            </w:rPr>
          </w:pPr>
          <w:hyperlink w:anchor="_Toc521485115" w:history="1">
            <w:r w:rsidR="00F236BA" w:rsidRPr="00934D7B">
              <w:rPr>
                <w:rStyle w:val="Hyperlink"/>
              </w:rPr>
              <w:t>Results</w:t>
            </w:r>
            <w:r w:rsidR="00F236BA">
              <w:rPr>
                <w:webHidden/>
              </w:rPr>
              <w:tab/>
            </w:r>
            <w:r w:rsidR="00F236BA">
              <w:rPr>
                <w:webHidden/>
              </w:rPr>
              <w:fldChar w:fldCharType="begin"/>
            </w:r>
            <w:r w:rsidR="00F236BA">
              <w:rPr>
                <w:webHidden/>
              </w:rPr>
              <w:instrText xml:space="preserve"> PAGEREF _Toc521485115 \h </w:instrText>
            </w:r>
            <w:r w:rsidR="00F236BA">
              <w:rPr>
                <w:webHidden/>
              </w:rPr>
            </w:r>
            <w:r w:rsidR="00F236BA">
              <w:rPr>
                <w:webHidden/>
              </w:rPr>
              <w:fldChar w:fldCharType="separate"/>
            </w:r>
            <w:r w:rsidR="00F236BA">
              <w:rPr>
                <w:webHidden/>
              </w:rPr>
              <w:t>11</w:t>
            </w:r>
            <w:r w:rsidR="00F236BA">
              <w:rPr>
                <w:webHidden/>
              </w:rPr>
              <w:fldChar w:fldCharType="end"/>
            </w:r>
          </w:hyperlink>
        </w:p>
        <w:p w14:paraId="0A435412" w14:textId="01C40A86" w:rsidR="00F236BA" w:rsidRDefault="0046543A">
          <w:pPr>
            <w:pStyle w:val="TOC1"/>
            <w:rPr>
              <w:rFonts w:eastAsiaTheme="minorEastAsia" w:cstheme="minorBidi"/>
              <w:b w:val="0"/>
              <w:color w:val="auto"/>
              <w:sz w:val="22"/>
              <w:szCs w:val="22"/>
            </w:rPr>
          </w:pPr>
          <w:hyperlink w:anchor="_Toc521485116" w:history="1">
            <w:r w:rsidR="00F236BA" w:rsidRPr="00934D7B">
              <w:rPr>
                <w:rStyle w:val="Hyperlink"/>
              </w:rPr>
              <w:t>Limitations</w:t>
            </w:r>
            <w:r w:rsidR="00F236BA">
              <w:rPr>
                <w:webHidden/>
              </w:rPr>
              <w:tab/>
            </w:r>
            <w:r w:rsidR="00F236BA">
              <w:rPr>
                <w:webHidden/>
              </w:rPr>
              <w:fldChar w:fldCharType="begin"/>
            </w:r>
            <w:r w:rsidR="00F236BA">
              <w:rPr>
                <w:webHidden/>
              </w:rPr>
              <w:instrText xml:space="preserve"> PAGEREF _Toc521485116 \h </w:instrText>
            </w:r>
            <w:r w:rsidR="00F236BA">
              <w:rPr>
                <w:webHidden/>
              </w:rPr>
            </w:r>
            <w:r w:rsidR="00F236BA">
              <w:rPr>
                <w:webHidden/>
              </w:rPr>
              <w:fldChar w:fldCharType="separate"/>
            </w:r>
            <w:r w:rsidR="00F236BA">
              <w:rPr>
                <w:webHidden/>
              </w:rPr>
              <w:t>16</w:t>
            </w:r>
            <w:r w:rsidR="00F236BA">
              <w:rPr>
                <w:webHidden/>
              </w:rPr>
              <w:fldChar w:fldCharType="end"/>
            </w:r>
          </w:hyperlink>
        </w:p>
        <w:p w14:paraId="53FCEE5C" w14:textId="71653E65" w:rsidR="00F236BA" w:rsidRDefault="0046543A">
          <w:pPr>
            <w:pStyle w:val="TOC1"/>
            <w:rPr>
              <w:rFonts w:eastAsiaTheme="minorEastAsia" w:cstheme="minorBidi"/>
              <w:b w:val="0"/>
              <w:color w:val="auto"/>
              <w:sz w:val="22"/>
              <w:szCs w:val="22"/>
            </w:rPr>
          </w:pPr>
          <w:hyperlink w:anchor="_Toc521485117" w:history="1">
            <w:r w:rsidR="00F236BA" w:rsidRPr="00934D7B">
              <w:rPr>
                <w:rStyle w:val="Hyperlink"/>
              </w:rPr>
              <w:t>Discussion and conclusion</w:t>
            </w:r>
            <w:r w:rsidR="00F236BA">
              <w:rPr>
                <w:webHidden/>
              </w:rPr>
              <w:tab/>
            </w:r>
            <w:r w:rsidR="00F236BA">
              <w:rPr>
                <w:webHidden/>
              </w:rPr>
              <w:fldChar w:fldCharType="begin"/>
            </w:r>
            <w:r w:rsidR="00F236BA">
              <w:rPr>
                <w:webHidden/>
              </w:rPr>
              <w:instrText xml:space="preserve"> PAGEREF _Toc521485117 \h </w:instrText>
            </w:r>
            <w:r w:rsidR="00F236BA">
              <w:rPr>
                <w:webHidden/>
              </w:rPr>
            </w:r>
            <w:r w:rsidR="00F236BA">
              <w:rPr>
                <w:webHidden/>
              </w:rPr>
              <w:fldChar w:fldCharType="separate"/>
            </w:r>
            <w:r w:rsidR="00F236BA">
              <w:rPr>
                <w:webHidden/>
              </w:rPr>
              <w:t>17</w:t>
            </w:r>
            <w:r w:rsidR="00F236BA">
              <w:rPr>
                <w:webHidden/>
              </w:rPr>
              <w:fldChar w:fldCharType="end"/>
            </w:r>
          </w:hyperlink>
        </w:p>
        <w:p w14:paraId="295125A0" w14:textId="567EC377" w:rsidR="00F236BA" w:rsidRDefault="0046543A">
          <w:pPr>
            <w:pStyle w:val="TOC1"/>
            <w:rPr>
              <w:rFonts w:eastAsiaTheme="minorEastAsia" w:cstheme="minorBidi"/>
              <w:b w:val="0"/>
              <w:color w:val="auto"/>
              <w:sz w:val="22"/>
              <w:szCs w:val="22"/>
            </w:rPr>
          </w:pPr>
          <w:hyperlink w:anchor="_Toc521485118" w:history="1">
            <w:r w:rsidR="00F236BA" w:rsidRPr="00934D7B">
              <w:rPr>
                <w:rStyle w:val="Hyperlink"/>
              </w:rPr>
              <w:t>Appendices</w:t>
            </w:r>
            <w:r w:rsidR="00F236BA">
              <w:rPr>
                <w:webHidden/>
              </w:rPr>
              <w:tab/>
            </w:r>
            <w:r w:rsidR="00F236BA">
              <w:rPr>
                <w:webHidden/>
              </w:rPr>
              <w:fldChar w:fldCharType="begin"/>
            </w:r>
            <w:r w:rsidR="00F236BA">
              <w:rPr>
                <w:webHidden/>
              </w:rPr>
              <w:instrText xml:space="preserve"> PAGEREF _Toc521485118 \h </w:instrText>
            </w:r>
            <w:r w:rsidR="00F236BA">
              <w:rPr>
                <w:webHidden/>
              </w:rPr>
            </w:r>
            <w:r w:rsidR="00F236BA">
              <w:rPr>
                <w:webHidden/>
              </w:rPr>
              <w:fldChar w:fldCharType="separate"/>
            </w:r>
            <w:r w:rsidR="00F236BA">
              <w:rPr>
                <w:webHidden/>
              </w:rPr>
              <w:t>18</w:t>
            </w:r>
            <w:r w:rsidR="00F236BA">
              <w:rPr>
                <w:webHidden/>
              </w:rPr>
              <w:fldChar w:fldCharType="end"/>
            </w:r>
          </w:hyperlink>
        </w:p>
        <w:p w14:paraId="291D3BAD" w14:textId="0F664EB3" w:rsidR="00F236BA" w:rsidRDefault="0046543A">
          <w:pPr>
            <w:pStyle w:val="TOC2"/>
            <w:rPr>
              <w:rFonts w:eastAsiaTheme="minorEastAsia" w:cstheme="minorBidi"/>
              <w:color w:val="auto"/>
              <w:sz w:val="22"/>
              <w:szCs w:val="22"/>
            </w:rPr>
          </w:pPr>
          <w:hyperlink w:anchor="_Toc521485119" w:history="1">
            <w:r w:rsidR="00F236BA" w:rsidRPr="00934D7B">
              <w:rPr>
                <w:rStyle w:val="Hyperlink"/>
              </w:rPr>
              <w:t>Appendix 1 - Interventions</w:t>
            </w:r>
            <w:r w:rsidR="00F236BA">
              <w:rPr>
                <w:webHidden/>
              </w:rPr>
              <w:tab/>
            </w:r>
            <w:r w:rsidR="00F236BA">
              <w:rPr>
                <w:webHidden/>
              </w:rPr>
              <w:fldChar w:fldCharType="begin"/>
            </w:r>
            <w:r w:rsidR="00F236BA">
              <w:rPr>
                <w:webHidden/>
              </w:rPr>
              <w:instrText xml:space="preserve"> PAGEREF _Toc521485119 \h </w:instrText>
            </w:r>
            <w:r w:rsidR="00F236BA">
              <w:rPr>
                <w:webHidden/>
              </w:rPr>
            </w:r>
            <w:r w:rsidR="00F236BA">
              <w:rPr>
                <w:webHidden/>
              </w:rPr>
              <w:fldChar w:fldCharType="separate"/>
            </w:r>
            <w:r w:rsidR="00F236BA">
              <w:rPr>
                <w:webHidden/>
              </w:rPr>
              <w:t>18</w:t>
            </w:r>
            <w:r w:rsidR="00F236BA">
              <w:rPr>
                <w:webHidden/>
              </w:rPr>
              <w:fldChar w:fldCharType="end"/>
            </w:r>
          </w:hyperlink>
        </w:p>
        <w:p w14:paraId="61871970" w14:textId="73ACB963" w:rsidR="00F236BA" w:rsidRDefault="0046543A">
          <w:pPr>
            <w:pStyle w:val="TOC2"/>
            <w:rPr>
              <w:rFonts w:eastAsiaTheme="minorEastAsia" w:cstheme="minorBidi"/>
              <w:color w:val="auto"/>
              <w:sz w:val="22"/>
              <w:szCs w:val="22"/>
            </w:rPr>
          </w:pPr>
          <w:hyperlink w:anchor="_Toc521485120" w:history="1">
            <w:r w:rsidR="00F236BA" w:rsidRPr="00934D7B">
              <w:rPr>
                <w:rStyle w:val="Hyperlink"/>
              </w:rPr>
              <w:t>Appendix 2 - The technical details</w:t>
            </w:r>
            <w:r w:rsidR="00F236BA">
              <w:rPr>
                <w:webHidden/>
              </w:rPr>
              <w:tab/>
            </w:r>
            <w:r w:rsidR="00F236BA">
              <w:rPr>
                <w:webHidden/>
              </w:rPr>
              <w:fldChar w:fldCharType="begin"/>
            </w:r>
            <w:r w:rsidR="00F236BA">
              <w:rPr>
                <w:webHidden/>
              </w:rPr>
              <w:instrText xml:space="preserve"> PAGEREF _Toc521485120 \h </w:instrText>
            </w:r>
            <w:r w:rsidR="00F236BA">
              <w:rPr>
                <w:webHidden/>
              </w:rPr>
            </w:r>
            <w:r w:rsidR="00F236BA">
              <w:rPr>
                <w:webHidden/>
              </w:rPr>
              <w:fldChar w:fldCharType="separate"/>
            </w:r>
            <w:r w:rsidR="00F236BA">
              <w:rPr>
                <w:webHidden/>
              </w:rPr>
              <w:t>19</w:t>
            </w:r>
            <w:r w:rsidR="00F236BA">
              <w:rPr>
                <w:webHidden/>
              </w:rPr>
              <w:fldChar w:fldCharType="end"/>
            </w:r>
          </w:hyperlink>
        </w:p>
        <w:p w14:paraId="16E7C35E" w14:textId="21D0906C" w:rsidR="00F236BA" w:rsidRDefault="0046543A">
          <w:pPr>
            <w:pStyle w:val="TOC2"/>
            <w:rPr>
              <w:rFonts w:eastAsiaTheme="minorEastAsia" w:cstheme="minorBidi"/>
              <w:color w:val="auto"/>
              <w:sz w:val="22"/>
              <w:szCs w:val="22"/>
            </w:rPr>
          </w:pPr>
          <w:hyperlink w:anchor="_Toc521485121" w:history="1">
            <w:r w:rsidR="00F236BA" w:rsidRPr="00934D7B">
              <w:rPr>
                <w:rStyle w:val="Hyperlink"/>
              </w:rPr>
              <w:t>Appendix 3 - Key statistical tables</w:t>
            </w:r>
            <w:r w:rsidR="00F236BA">
              <w:rPr>
                <w:webHidden/>
              </w:rPr>
              <w:tab/>
            </w:r>
            <w:r w:rsidR="00F236BA">
              <w:rPr>
                <w:webHidden/>
              </w:rPr>
              <w:fldChar w:fldCharType="begin"/>
            </w:r>
            <w:r w:rsidR="00F236BA">
              <w:rPr>
                <w:webHidden/>
              </w:rPr>
              <w:instrText xml:space="preserve"> PAGEREF _Toc521485121 \h </w:instrText>
            </w:r>
            <w:r w:rsidR="00F236BA">
              <w:rPr>
                <w:webHidden/>
              </w:rPr>
            </w:r>
            <w:r w:rsidR="00F236BA">
              <w:rPr>
                <w:webHidden/>
              </w:rPr>
              <w:fldChar w:fldCharType="separate"/>
            </w:r>
            <w:r w:rsidR="00F236BA">
              <w:rPr>
                <w:webHidden/>
              </w:rPr>
              <w:t>22</w:t>
            </w:r>
            <w:r w:rsidR="00F236BA">
              <w:rPr>
                <w:webHidden/>
              </w:rPr>
              <w:fldChar w:fldCharType="end"/>
            </w:r>
          </w:hyperlink>
        </w:p>
        <w:p w14:paraId="543EB348" w14:textId="74C84188" w:rsidR="00F236BA" w:rsidRDefault="0046543A">
          <w:pPr>
            <w:pStyle w:val="TOC1"/>
            <w:rPr>
              <w:rFonts w:eastAsiaTheme="minorEastAsia" w:cstheme="minorBidi"/>
              <w:b w:val="0"/>
              <w:color w:val="auto"/>
              <w:sz w:val="22"/>
              <w:szCs w:val="22"/>
            </w:rPr>
          </w:pPr>
          <w:hyperlink w:anchor="_Toc521485122" w:history="1">
            <w:r w:rsidR="00F236BA" w:rsidRPr="00934D7B">
              <w:rPr>
                <w:rStyle w:val="Hyperlink"/>
              </w:rPr>
              <w:t>References</w:t>
            </w:r>
            <w:r w:rsidR="00F236BA">
              <w:rPr>
                <w:webHidden/>
              </w:rPr>
              <w:tab/>
            </w:r>
            <w:r w:rsidR="00F236BA">
              <w:rPr>
                <w:webHidden/>
              </w:rPr>
              <w:fldChar w:fldCharType="begin"/>
            </w:r>
            <w:r w:rsidR="00F236BA">
              <w:rPr>
                <w:webHidden/>
              </w:rPr>
              <w:instrText xml:space="preserve"> PAGEREF _Toc521485122 \h </w:instrText>
            </w:r>
            <w:r w:rsidR="00F236BA">
              <w:rPr>
                <w:webHidden/>
              </w:rPr>
            </w:r>
            <w:r w:rsidR="00F236BA">
              <w:rPr>
                <w:webHidden/>
              </w:rPr>
              <w:fldChar w:fldCharType="separate"/>
            </w:r>
            <w:r w:rsidR="00F236BA">
              <w:rPr>
                <w:webHidden/>
              </w:rPr>
              <w:t>30</w:t>
            </w:r>
            <w:r w:rsidR="00F236BA">
              <w:rPr>
                <w:webHidden/>
              </w:rPr>
              <w:fldChar w:fldCharType="end"/>
            </w:r>
          </w:hyperlink>
        </w:p>
        <w:p w14:paraId="6750C5F7" w14:textId="5924D371" w:rsidR="004909C3" w:rsidRDefault="00CB1ED4">
          <w:r>
            <w:rPr>
              <w:noProof/>
              <w:color w:val="FFFFFF" w:themeColor="background1"/>
              <w:sz w:val="28"/>
            </w:rPr>
            <w:fldChar w:fldCharType="end"/>
          </w:r>
        </w:p>
      </w:sdtContent>
    </w:sdt>
    <w:p w14:paraId="20C7802E" w14:textId="77777777" w:rsidR="008253C4" w:rsidRDefault="008253C4" w:rsidP="004909C3">
      <w:pPr>
        <w:rPr>
          <w:noProof/>
        </w:rPr>
      </w:pPr>
    </w:p>
    <w:p w14:paraId="208D2A52" w14:textId="77777777" w:rsidR="004909C3" w:rsidRDefault="004909C3" w:rsidP="004909C3">
      <w:pPr>
        <w:rPr>
          <w:noProof/>
        </w:rPr>
      </w:pPr>
    </w:p>
    <w:p w14:paraId="629D5BD0" w14:textId="77777777" w:rsidR="008253C4" w:rsidRDefault="008253C4" w:rsidP="00087D4E">
      <w:pPr>
        <w:rPr>
          <w:b/>
          <w:noProof/>
          <w:color w:val="FFFFFF" w:themeColor="background1"/>
          <w:sz w:val="28"/>
        </w:rPr>
        <w:sectPr w:rsidR="008253C4" w:rsidSect="008253C4">
          <w:headerReference w:type="default" r:id="rId18"/>
          <w:footerReference w:type="default" r:id="rId19"/>
          <w:pgSz w:w="11906" w:h="16838" w:code="9"/>
          <w:pgMar w:top="2041" w:right="2381" w:bottom="1247" w:left="1247" w:header="720" w:footer="851" w:gutter="0"/>
          <w:cols w:space="708"/>
          <w:docGrid w:linePitch="360"/>
        </w:sectPr>
      </w:pPr>
    </w:p>
    <w:p w14:paraId="49D8141A" w14:textId="77777777" w:rsidR="004B4BC0" w:rsidRDefault="00CA787C" w:rsidP="00087D4E">
      <w:pPr>
        <w:pStyle w:val="Heading1"/>
      </w:pPr>
      <w:bookmarkStart w:id="2" w:name="_Toc521485112"/>
      <w:r>
        <w:t>Executive summary</w:t>
      </w:r>
      <w:bookmarkEnd w:id="2"/>
    </w:p>
    <w:p w14:paraId="0188059C" w14:textId="77777777" w:rsidR="00DE610F" w:rsidRDefault="00DE610F" w:rsidP="00DE610F">
      <w:r>
        <w:t xml:space="preserve">In the Australian Income Tax system, individual taxpayers are entitled to claim deductions for expenses incurred while earning salary and wage income. These deductions are called work related expenses. According to Taxation Statistics, work related expense deductions grew by 15 per cent from 2010-11 to 2015 16. In 2015-16, 8.6 million taxpayers claimed nearly $22 billion in work related expense deductions. </w:t>
      </w:r>
    </w:p>
    <w:p w14:paraId="5A4BF52E" w14:textId="77777777" w:rsidR="00DE610F" w:rsidRDefault="00DE610F" w:rsidP="00DE610F">
      <w:r>
        <w:t xml:space="preserve">There is evidence that claims for work-related expense deductions can be erroneous and there is a propensity to over claim, including in returns prepared by tax agents. In his National Press Club address on 5 July 2017, the Commissioner of Taxation expressed concern about the accuracy of work-related expense claims related to work, clothing and vehicles in the 2014-15 financial year. While individual amounts over-claimed can be small, the sum and overall revenue impact is significant. The Commissioner estimated the overall revenue impact was in the vicinity of $2.5 billion. </w:t>
      </w:r>
    </w:p>
    <w:p w14:paraId="2F09D8CE" w14:textId="77777777" w:rsidR="00DE610F" w:rsidRDefault="00DE610F" w:rsidP="00DE610F">
      <w:r>
        <w:t xml:space="preserve">Research by H&amp;R Block in 2016 indicated one in five taxpayers believed misrepresentation of tax return information isn’t so bad, and 71 per cent believed they could claim something they were not entitled to (Lonergan Research 2016).  PhD research (Wurth 2013) found tax agents rated their clients’ work-related expense claims as the ‘least compliant’ label on the tax return. Behavioural insights offers a low-cost tool to address these behaviours and underlying attitudes and help taxpayers willingly comply with the tax system. </w:t>
      </w:r>
    </w:p>
    <w:p w14:paraId="27CF15C7" w14:textId="77777777" w:rsidR="00DE610F" w:rsidRDefault="00DE610F" w:rsidP="00DE610F">
      <w:r>
        <w:t>The Behavioural Economics Team of the Australian Government (BETA) partnered with the Australian Taxation Office (ATO) to examine the extent to which behaviourally-informed communications to tax agents could reduce erroneous work related expense claims. In particular, we tested the effectiveness of a letter sent to tax agents drawing on behavioural insights to address social norms.</w:t>
      </w:r>
    </w:p>
    <w:p w14:paraId="4E833CF2" w14:textId="0119B9DF" w:rsidR="00DE610F" w:rsidRDefault="00DE610F" w:rsidP="00DE610F">
      <w:r>
        <w:t xml:space="preserve">We used a randomised controlled trial to test the impact of sending this letter to tax agents whose clients had higher </w:t>
      </w:r>
      <w:r w:rsidR="009A4872">
        <w:t xml:space="preserve">than expected </w:t>
      </w:r>
      <w:r>
        <w:t xml:space="preserve">work-related expense claims </w:t>
      </w:r>
      <w:r w:rsidR="009A4872">
        <w:t>compared to</w:t>
      </w:r>
      <w:r>
        <w:t xml:space="preserve"> their peers. The letter specifically identified each agent’s clients who had lodged higher than expected claims (referred to as ‘identified clients’). There were over 2,000 tax agents in the trial, who were randomly assigned to a letter group or a ‘no letter’ control group.</w:t>
      </w:r>
    </w:p>
    <w:p w14:paraId="1BC5FEF6" w14:textId="77777777" w:rsidR="00DE610F" w:rsidRDefault="00DE610F" w:rsidP="00DE610F">
      <w:r>
        <w:t>17 per cent of agents in the letter group lodged amendments, compared with 1 per cent of agents in the ‘no letter’ group. On average, identified clients represented by agents in the letter group reduced their work related expense claims by $191, compared with a $2 increase in the ‘no letter’ group. Overall, identified clients reduced their work-related expense claims by a total of $2.2 million. If we had sent the letter to all agents in the trial, including those who did not receive a letter, we expect this simple messaging intervention would have decreased work related expense deductions by about $4.4 million.</w:t>
      </w:r>
    </w:p>
    <w:p w14:paraId="15D2DE30" w14:textId="3B95CBC9" w:rsidR="00DE610F" w:rsidRDefault="00DE610F" w:rsidP="00DE610F">
      <w:r>
        <w:t>The letter led to an increase in the average total tax paid per client of $76, for a total of $0.9</w:t>
      </w:r>
      <w:r w:rsidR="00DB1A34">
        <w:t> </w:t>
      </w:r>
      <w:r>
        <w:t xml:space="preserve">million. If we had sent the letter to all agents in the trial, total tax revenue would have increased by an estimated $1.7 million. We cannot be sure about the contribution of the reduction in work-related expense claims to the increase in tax paid, because amendments to tax return labels other than work-related expenses could have influenced the net tax position. </w:t>
      </w:r>
    </w:p>
    <w:p w14:paraId="7262E1B0" w14:textId="58816672" w:rsidR="00973B23" w:rsidRDefault="00DE610F" w:rsidP="00CA787C">
      <w:r>
        <w:t>Overall, these findings indicate low-cost, well-targeted and well-designed communications incorporating behavioural insights are effective in reducing erroneous work-related expense claims although the length of time for which this behavioural change is sustained remains unknown.</w:t>
      </w:r>
      <w:r w:rsidR="00973B23">
        <w:br w:type="page"/>
      </w:r>
    </w:p>
    <w:p w14:paraId="56790F34" w14:textId="77777777" w:rsidR="00973B23" w:rsidRDefault="00973B23" w:rsidP="00973B23">
      <w:pPr>
        <w:pStyle w:val="LargeH1"/>
      </w:pPr>
      <w:bookmarkStart w:id="3" w:name="_Toc521485113"/>
      <w:r>
        <w:t>Why?</w:t>
      </w:r>
      <w:bookmarkEnd w:id="3"/>
    </w:p>
    <w:p w14:paraId="7D4917E0" w14:textId="77777777" w:rsidR="00DE610F" w:rsidRDefault="00DE610F" w:rsidP="00DE610F">
      <w:r>
        <w:t>Australia has a relatively generous deductions regime compared to other jurisdictions, particularly for the largest category of deductions, work-related expenses.  For example, New Zealand abolished work-related deductions for employees in the late 1980’s and the UK has very stringent rules.</w:t>
      </w:r>
    </w:p>
    <w:p w14:paraId="7825F258" w14:textId="77777777" w:rsidR="00DE610F" w:rsidRDefault="00DE610F" w:rsidP="00DE610F">
      <w:r>
        <w:t xml:space="preserve">To add to this environment, complexity and cost of compliance are well-recognised characteristics of the personal income tax system. The cost of compliance for individuals is estimated to be $7.3 billion per year, driven primarily by record keeping costs and fees for independent professionals (Australian Treasury 2015). </w:t>
      </w:r>
    </w:p>
    <w:p w14:paraId="62CF117A" w14:textId="77777777" w:rsidR="00DE610F" w:rsidRDefault="00DE610F" w:rsidP="00DE610F">
      <w:r>
        <w:t>Complexity and compliance factors are reflected in the high proportion of individual taxpayers who choose to lodge via a tax agent (over 70 per cent), and have led to Australia having the second highest use of tax agents in the OECD, behind Italy.  Government reviews have acknowledged these issues and recommendations for change have been put forward.</w:t>
      </w:r>
      <w:r w:rsidR="00A51A60">
        <w:rPr>
          <w:rStyle w:val="FootnoteReference"/>
        </w:rPr>
        <w:footnoteReference w:id="1"/>
      </w:r>
      <w:r>
        <w:t xml:space="preserve">  </w:t>
      </w:r>
    </w:p>
    <w:p w14:paraId="3CDE6ABC" w14:textId="703D00E2" w:rsidR="00DE610F" w:rsidRDefault="00DE610F" w:rsidP="00DE610F">
      <w:r>
        <w:t xml:space="preserve">Recent unpublished ATO research has found many taxpayers think it is wrong to over-claim work-related expenses and </w:t>
      </w:r>
      <w:r w:rsidR="009A4872">
        <w:t xml:space="preserve">intend to </w:t>
      </w:r>
      <w:r>
        <w:t xml:space="preserve">do their best to report income and claim deductions correctly. However, in practice it appears some taxpayers think it is okay to over-claim ‘a little.’ Ensuring deductions are claimed accurately is a priority for the Australian Government and the ATO. </w:t>
      </w:r>
    </w:p>
    <w:p w14:paraId="3BB179FA" w14:textId="0C9CFF55" w:rsidR="00DE610F" w:rsidRDefault="00DE610F" w:rsidP="00DE610F">
      <w:r>
        <w:t xml:space="preserve">Approximately 65 per cent of Australian taxpayers claim work-related expense deductions. In 2015-16, 8.6 million taxpayers claimed nearly $22 billion in work related expense deductions – representing a </w:t>
      </w:r>
      <w:r w:rsidR="00DD16E0">
        <w:t>15 per cent increase since 2010-</w:t>
      </w:r>
      <w:r>
        <w:t>11.</w:t>
      </w:r>
    </w:p>
    <w:p w14:paraId="22A130D5" w14:textId="77777777" w:rsidR="00DE610F" w:rsidRDefault="00DE610F" w:rsidP="00DE610F">
      <w:r>
        <w:t>Over 70 per cent of Australians lodge their income tax return through a tax agent, so prompting a behaviour change among agents could lead to a larger increase in overall tax compliance.</w:t>
      </w:r>
    </w:p>
    <w:p w14:paraId="1CDB1A05" w14:textId="77777777" w:rsidR="00DE610F" w:rsidRDefault="00DE610F" w:rsidP="00DE610F">
      <w:r>
        <w:t xml:space="preserve">The ATO uses data analytics to identify agents whose clients’ claims are higher than expected when compared to agents with similar clientele. Agents are then engaged directly to address compliance risks in relation to work-related expense claims in their client base.  </w:t>
      </w:r>
    </w:p>
    <w:p w14:paraId="1C8205F7" w14:textId="77777777" w:rsidR="00DE610F" w:rsidRDefault="00DE610F" w:rsidP="00DE610F">
      <w:r>
        <w:t>In engaging with agents, the ATO uses a range of approaches to encourage compliance, from help and education through to enforcement activities. Unpublished work by the ATO has found the most positive return on investment and sustainable compliance impact results from activities where interaction with agents is tailored (using data analytics) and involves direct dialogue between an ATO officer and agent.</w:t>
      </w:r>
    </w:p>
    <w:p w14:paraId="432B8788" w14:textId="77777777" w:rsidR="00DE610F" w:rsidRDefault="00DE610F" w:rsidP="00DE610F">
      <w:r>
        <w:t>In this trial we tested whether ATO data analytics could be coupled with behaviourally informed written communications to improve the accuracy of work related expense claims in a low cost manner.</w:t>
      </w:r>
    </w:p>
    <w:p w14:paraId="77FB4C16" w14:textId="77777777" w:rsidR="00CB1E33" w:rsidRDefault="00DE610F" w:rsidP="00DE610F">
      <w:r>
        <w:t> </w:t>
      </w:r>
    </w:p>
    <w:p w14:paraId="7EA2E678" w14:textId="77777777" w:rsidR="003122C7" w:rsidRDefault="003122C7" w:rsidP="00973B23"/>
    <w:p w14:paraId="4A707ACF" w14:textId="77777777" w:rsidR="00973B23" w:rsidRDefault="00973B23" w:rsidP="00973B23"/>
    <w:p w14:paraId="582442B8" w14:textId="77777777" w:rsidR="00973B23" w:rsidRDefault="00973B23" w:rsidP="00973B23">
      <w:r>
        <w:br w:type="page"/>
      </w:r>
    </w:p>
    <w:p w14:paraId="02207FCA" w14:textId="77777777" w:rsidR="00973B23" w:rsidRDefault="00973B23" w:rsidP="00973B23">
      <w:pPr>
        <w:pStyle w:val="Heading1"/>
      </w:pPr>
      <w:bookmarkStart w:id="4" w:name="_Toc521485114"/>
      <w:r>
        <w:t>What we did</w:t>
      </w:r>
      <w:bookmarkEnd w:id="4"/>
    </w:p>
    <w:p w14:paraId="33D30DEC" w14:textId="77777777" w:rsidR="00973B23" w:rsidRDefault="00973B23" w:rsidP="002A311D">
      <w:pPr>
        <w:pStyle w:val="Intro"/>
        <w:outlineLvl w:val="1"/>
      </w:pPr>
      <w:r>
        <w:t>What we did for this study</w:t>
      </w:r>
    </w:p>
    <w:p w14:paraId="42C9F0A7" w14:textId="77777777" w:rsidR="00973B23" w:rsidRPr="002A311D" w:rsidRDefault="00A51A60" w:rsidP="002A311D">
      <w:pPr>
        <w:pStyle w:val="h3"/>
      </w:pPr>
      <w:r w:rsidRPr="002A311D">
        <w:t>Behavioural analysis</w:t>
      </w:r>
    </w:p>
    <w:p w14:paraId="5821FFF2" w14:textId="77777777" w:rsidR="00705D90" w:rsidRPr="00973B23" w:rsidRDefault="00A51A60" w:rsidP="00705D90">
      <w:r w:rsidRPr="00A51A60">
        <w:t>A number of biases can influence decisions about claiming tax deductions.</w:t>
      </w:r>
      <w:r>
        <w:t xml:space="preserve"> </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973B23" w14:paraId="56F8131B" w14:textId="77777777" w:rsidTr="00C66F3C">
        <w:trPr>
          <w:cnfStyle w:val="100000000000" w:firstRow="1" w:lastRow="0" w:firstColumn="0" w:lastColumn="0" w:oddVBand="0" w:evenVBand="0" w:oddHBand="0" w:evenHBand="0" w:firstRowFirstColumn="0" w:firstRowLastColumn="0" w:lastRowFirstColumn="0" w:lastRowLastColumn="0"/>
          <w:tblHeader/>
        </w:trPr>
        <w:tc>
          <w:tcPr>
            <w:tcW w:w="8278" w:type="dxa"/>
            <w:tcBorders>
              <w:top w:val="none" w:sz="0" w:space="0" w:color="auto"/>
              <w:bottom w:val="none" w:sz="0" w:space="0" w:color="auto"/>
            </w:tcBorders>
          </w:tcPr>
          <w:p w14:paraId="2B64D97B" w14:textId="77777777" w:rsidR="00973B23" w:rsidRPr="00C66F3C" w:rsidRDefault="00973B23" w:rsidP="00C66F3C">
            <w:pPr>
              <w:pStyle w:val="TableHeading"/>
            </w:pPr>
            <w:r w:rsidRPr="00C66F3C">
              <w:t xml:space="preserve">Box 1: </w:t>
            </w:r>
            <w:r w:rsidR="00A51A60" w:rsidRPr="00C66F3C">
              <w:t>Common biases in tax behaviour</w:t>
            </w:r>
          </w:p>
        </w:tc>
      </w:tr>
      <w:tr w:rsidR="00973B23" w14:paraId="5F3062CE" w14:textId="77777777" w:rsidTr="00C66F3C">
        <w:trPr>
          <w:cantSplit w:val="0"/>
        </w:trPr>
        <w:tc>
          <w:tcPr>
            <w:tcW w:w="8278" w:type="dxa"/>
          </w:tcPr>
          <w:p w14:paraId="0601E155" w14:textId="77777777" w:rsidR="00A51A60" w:rsidRPr="00A51A60" w:rsidRDefault="00A51A60" w:rsidP="00A51A60">
            <w:pPr>
              <w:rPr>
                <w:rStyle w:val="Strong"/>
                <w:b w:val="0"/>
                <w:color w:val="auto"/>
              </w:rPr>
            </w:pPr>
            <w:r w:rsidRPr="00A51A60">
              <w:rPr>
                <w:rStyle w:val="Strong"/>
                <w:color w:val="auto"/>
              </w:rPr>
              <w:t xml:space="preserve">Social norms - </w:t>
            </w:r>
            <w:r w:rsidRPr="00A51A60">
              <w:rPr>
                <w:rStyle w:val="Strong"/>
                <w:b w:val="0"/>
                <w:color w:val="auto"/>
              </w:rPr>
              <w:t>we are heavily influenced by the behaviour considered acceptable in a group or by society. Norms can change according to the environment and over time.</w:t>
            </w:r>
          </w:p>
          <w:p w14:paraId="112E2A49" w14:textId="77777777" w:rsidR="00A51A60" w:rsidRPr="00A51A60" w:rsidRDefault="00A51A60" w:rsidP="00A51A60">
            <w:pPr>
              <w:rPr>
                <w:rStyle w:val="Strong"/>
                <w:b w:val="0"/>
                <w:color w:val="auto"/>
              </w:rPr>
            </w:pPr>
            <w:r w:rsidRPr="00A51A60">
              <w:rPr>
                <w:rStyle w:val="Strong"/>
                <w:color w:val="auto"/>
              </w:rPr>
              <w:t xml:space="preserve">Availability bias - </w:t>
            </w:r>
            <w:r w:rsidRPr="00A51A60">
              <w:rPr>
                <w:rStyle w:val="Strong"/>
                <w:b w:val="0"/>
                <w:color w:val="auto"/>
              </w:rPr>
              <w:t xml:space="preserve">we tend to overestimate the likelihood of events with greater "availability" in memory, which affects perceptions of occurrence. </w:t>
            </w:r>
          </w:p>
          <w:p w14:paraId="3318F309" w14:textId="77777777" w:rsidR="00973B23" w:rsidRDefault="00A51A60" w:rsidP="00A51A60">
            <w:r w:rsidRPr="00A51A60">
              <w:rPr>
                <w:rStyle w:val="Strong"/>
                <w:color w:val="auto"/>
              </w:rPr>
              <w:t xml:space="preserve">Priming - </w:t>
            </w:r>
            <w:r w:rsidRPr="00A51A60">
              <w:rPr>
                <w:rStyle w:val="Strong"/>
                <w:b w:val="0"/>
                <w:color w:val="auto"/>
              </w:rPr>
              <w:t>when we are exposed to a particular idea or stimulus, it can have an impact on behaviour later on.</w:t>
            </w:r>
            <w:r w:rsidRPr="00A51A60">
              <w:rPr>
                <w:rStyle w:val="Strong"/>
                <w:color w:val="auto"/>
              </w:rPr>
              <w:t xml:space="preserve"> </w:t>
            </w:r>
          </w:p>
        </w:tc>
      </w:tr>
    </w:tbl>
    <w:p w14:paraId="5E4B5E10" w14:textId="77777777" w:rsidR="00081366" w:rsidRDefault="00081366" w:rsidP="00973B23"/>
    <w:p w14:paraId="0C6474DE" w14:textId="77777777" w:rsidR="00A51A60" w:rsidRPr="0001053C" w:rsidRDefault="00A51A60" w:rsidP="002A311D">
      <w:pPr>
        <w:outlineLvl w:val="3"/>
        <w:rPr>
          <w:b/>
        </w:rPr>
      </w:pPr>
      <w:r w:rsidRPr="0001053C">
        <w:rPr>
          <w:b/>
        </w:rPr>
        <w:t>Social norms</w:t>
      </w:r>
    </w:p>
    <w:p w14:paraId="04E40F17" w14:textId="77777777" w:rsidR="00A51A60" w:rsidRPr="0001053C" w:rsidRDefault="00A51A60" w:rsidP="00A51A60">
      <w:r w:rsidRPr="0001053C">
        <w:t>Among Australian taxpayers, views about socially acceptable behaviour suggest many individuals believe deliberate tax evasion is common - especially if taxpayers cheat ‘just a little’</w:t>
      </w:r>
      <w:r>
        <w:t xml:space="preserve"> (Orima 2015, Mazar 2008)</w:t>
      </w:r>
      <w:r w:rsidRPr="0001053C">
        <w:t>.</w:t>
      </w:r>
      <w:r w:rsidRPr="0001053C" w:rsidDel="00246C8B">
        <w:t xml:space="preserve"> </w:t>
      </w:r>
    </w:p>
    <w:p w14:paraId="3C239FCD" w14:textId="77777777" w:rsidR="00A51A60" w:rsidRPr="0001053C" w:rsidRDefault="00A51A60" w:rsidP="00A51A60">
      <w:r w:rsidRPr="0001053C">
        <w:t xml:space="preserve">It is possible this type of tax evasion reflects a form of ‘moral licensing’ (Merritt et al., 2010), where people allow themselves to do something slightly bad (such as overstating tax deductions) after doing something good or being reminded they have done something good (such as paying taxes). </w:t>
      </w:r>
    </w:p>
    <w:p w14:paraId="3DB64906" w14:textId="77777777" w:rsidR="00A51A60" w:rsidRDefault="00A51A60" w:rsidP="00A51A60">
      <w:r w:rsidRPr="0001053C">
        <w:t>Social norms can be used to nudge behaviour towards increased tax compliance by making it clear compliance is actually the norm. The statement “9 out of 10 people pay their tax on time” in letters sent to taxpayers increased payment rates by 15</w:t>
      </w:r>
      <w:r>
        <w:t> </w:t>
      </w:r>
      <w:r w:rsidRPr="0001053C">
        <w:t>per</w:t>
      </w:r>
      <w:r>
        <w:t> </w:t>
      </w:r>
      <w:r w:rsidRPr="0001053C">
        <w:t xml:space="preserve">cent in the UK </w:t>
      </w:r>
      <w:r w:rsidRPr="0001053C">
        <w:fldChar w:fldCharType="begin"/>
      </w:r>
      <w:r w:rsidRPr="0001053C">
        <w:instrText xml:space="preserve"> ADDIN EN.CITE &lt;EndNote&gt;&lt;Cite&gt;&lt;Author&gt;BIT&lt;/Author&gt;&lt;Year&gt;2012&lt;/Year&gt;&lt;RecNum&gt;173&lt;/RecNum&gt;&lt;DisplayText&gt;(BIT, 2012)&lt;/DisplayText&gt;&lt;record&gt;&lt;rec-number&gt;173&lt;/rec-number&gt;&lt;foreign-keys&gt;&lt;key app="EN" db-id="2zr9wedz8xerzje2fa8xtsf02vvzzxpvpspe" timestamp="1478652285"&gt;173&lt;/key&gt;&lt;/foreign-keys&gt;&lt;ref-type name="Journal Article"&gt;17&lt;/ref-type&gt;&lt;contributors&gt;&lt;authors&gt;&lt;author&gt;BIT,&lt;/author&gt;&lt;/authors&gt;&lt;/contributors&gt;&lt;titles&gt;&lt;title&gt;Applying Behavioral Insights to reduce Fraud, Error and Debt&lt;/title&gt;&lt;/titles&gt;&lt;pages&gt;38&lt;/pages&gt;&lt;keywords&gt;&lt;keyword&gt;ATO&lt;/keyword&gt;&lt;keyword&gt;DGST&lt;/keyword&gt;&lt;keyword&gt;WRE&lt;/keyword&gt;&lt;keyword&gt;Tax&lt;/keyword&gt;&lt;/keywords&gt;&lt;dates&gt;&lt;year&gt;2012&lt;/year&gt;&lt;/dates&gt;&lt;urls&gt;&lt;/urls&gt;&lt;/record&gt;&lt;/Cite&gt;&lt;/EndNote&gt;</w:instrText>
      </w:r>
      <w:r w:rsidRPr="0001053C">
        <w:fldChar w:fldCharType="separate"/>
      </w:r>
      <w:r w:rsidRPr="0001053C">
        <w:t>(BIT, 2012)</w:t>
      </w:r>
      <w:r w:rsidRPr="0001053C">
        <w:fldChar w:fldCharType="end"/>
      </w:r>
      <w:r w:rsidRPr="0001053C">
        <w:t xml:space="preserve">. The positive effects were stronger when the social norm was localised – “9 out of 10 people in [your county of residence] pay their tax on time.” </w:t>
      </w:r>
    </w:p>
    <w:p w14:paraId="151C44F2" w14:textId="77777777" w:rsidR="00306D58" w:rsidRDefault="00306D58" w:rsidP="00A51A60">
      <w:pPr>
        <w:rPr>
          <w:b/>
        </w:rPr>
      </w:pPr>
    </w:p>
    <w:p w14:paraId="788DC29D" w14:textId="77777777" w:rsidR="00A51A60" w:rsidRPr="00085623" w:rsidRDefault="00A51A60" w:rsidP="00085623">
      <w:pPr>
        <w:pStyle w:val="h4"/>
      </w:pPr>
      <w:r w:rsidRPr="00085623">
        <w:t xml:space="preserve">Availability bias </w:t>
      </w:r>
    </w:p>
    <w:p w14:paraId="717004E8" w14:textId="77777777" w:rsidR="00A51A60" w:rsidRPr="0001053C" w:rsidRDefault="00A51A60" w:rsidP="00A51A60">
      <w:r w:rsidRPr="0001053C">
        <w:t xml:space="preserve">Our decisions and expectations tend to be heavily shaped by recent or accessible information </w:t>
      </w:r>
      <w:r w:rsidRPr="0001053C">
        <w:fldChar w:fldCharType="begin"/>
      </w:r>
      <w:r w:rsidRPr="0001053C">
        <w:instrText xml:space="preserve"> ADDIN EN.CITE &lt;EndNote&gt;&lt;Cite&gt;&lt;Author&gt;Tversky&lt;/Author&gt;&lt;Year&gt;1973&lt;/Year&gt;&lt;RecNum&gt;165&lt;/RecNum&gt;&lt;DisplayText&gt;(Tversky and Kahneman, 1973)&lt;/DisplayText&gt;&lt;record&gt;&lt;rec-number&gt;165&lt;/rec-number&gt;&lt;foreign-keys&gt;&lt;key app="EN" db-id="2zr9wedz8xerzje2fa8xtsf02vvzzxpvpspe" timestamp="1478652281"&gt;165&lt;/key&gt;&lt;/foreign-keys&gt;&lt;ref-type name="Statute"&gt;31&lt;/ref-type&gt;&lt;contributors&gt;&lt;authors&gt;&lt;author&gt;Tversky, Amos&lt;/author&gt;&lt;author&gt;Kahneman, Daniel&lt;/author&gt;&lt;/authors&gt;&lt;/contributors&gt;&lt;titles&gt;&lt;title&gt;Availability: A Heuristic for Juudging Frequency and robability&lt;/title&gt;&lt;secondary-title&gt;Cognitive Psychology&lt;/secondary-title&gt;&lt;/titles&gt;&lt;pages&gt;207-232&lt;/pages&gt;&lt;volume&gt;5&lt;/volume&gt;&lt;keywords&gt;&lt;keyword&gt;ATO&lt;/keyword&gt;&lt;keyword&gt;DGST&lt;/keyword&gt;&lt;keyword&gt;WRE&lt;/keyword&gt;&lt;keyword&gt;Tax&lt;/keyword&gt;&lt;/keywords&gt;&lt;dates&gt;&lt;year&gt;1973&lt;/year&gt;&lt;/dates&gt;&lt;isbn&gt;0010-0285&lt;/isbn&gt;&lt;urls&gt;&lt;/urls&gt;&lt;electronic-resource-num&gt;10.1016/0010-0285(73)90033-9,&lt;/electronic-resource-num&gt;&lt;/record&gt;&lt;/Cite&gt;&lt;/EndNote&gt;</w:instrText>
      </w:r>
      <w:r w:rsidRPr="0001053C">
        <w:fldChar w:fldCharType="separate"/>
      </w:r>
      <w:r w:rsidRPr="0001053C">
        <w:t>(Tversky and Kahneman, 1973)</w:t>
      </w:r>
      <w:r w:rsidRPr="0001053C">
        <w:fldChar w:fldCharType="end"/>
      </w:r>
      <w:r w:rsidRPr="0001053C">
        <w:t xml:space="preserve">. </w:t>
      </w:r>
      <w:r>
        <w:t>Many</w:t>
      </w:r>
      <w:r w:rsidRPr="0001053C">
        <w:t xml:space="preserve"> individual taxpayers have not been through a tax audit, and </w:t>
      </w:r>
      <w:r>
        <w:t xml:space="preserve">while the ATO has increased the use of letters and technology to increase deterrence, </w:t>
      </w:r>
      <w:r w:rsidRPr="0001053C">
        <w:t xml:space="preserve">research suggests a proportion of the population expect there is a low probability they will ever face an audit. </w:t>
      </w:r>
    </w:p>
    <w:p w14:paraId="71792C7E" w14:textId="77777777" w:rsidR="00A51A60" w:rsidRPr="0001053C" w:rsidRDefault="00A51A60" w:rsidP="00A51A60">
      <w:r w:rsidRPr="0001053C">
        <w:t xml:space="preserve">Simply reminding people of the risk of audit prior to tax lodgement can increase compliance </w:t>
      </w:r>
      <w:r w:rsidRPr="0001053C">
        <w:fldChar w:fldCharType="begin">
          <w:fldData xml:space="preserve">PEVuZE5vdGU+PENpdGU+PEF1dGhvcj5TbGVtcm9kPC9BdXRob3I+PFllYXI+MjAwMTwvWWVhcj48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</w:fldData>
        </w:fldChar>
      </w:r>
      <w:r w:rsidRPr="0001053C">
        <w:instrText xml:space="preserve"> ADDIN EN.CITE </w:instrText>
      </w:r>
      <w:r w:rsidRPr="0001053C">
        <w:fldChar w:fldCharType="begin">
          <w:fldData xml:space="preserve">PEVuZE5vdGU+PENpdGU+PEF1dGhvcj5TbGVtcm9kPC9BdXRob3I+PFllYXI+MjAwMTwvWWVhcj48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</w:fldData>
        </w:fldChar>
      </w:r>
      <w:r w:rsidRPr="0001053C">
        <w:instrText xml:space="preserve"> ADDIN EN.CITE.DATA </w:instrText>
      </w:r>
      <w:r w:rsidRPr="0001053C">
        <w:fldChar w:fldCharType="end"/>
      </w:r>
      <w:r w:rsidRPr="0001053C">
        <w:fldChar w:fldCharType="separate"/>
      </w:r>
      <w:r w:rsidRPr="0001053C">
        <w:t>(Slemrod et al., 2001; Appelgren, 2008; Wenzel and Taylor, 2004; Hasseldine et al., 2007; Kleven et al., 2011)</w:t>
      </w:r>
      <w:r w:rsidRPr="0001053C">
        <w:fldChar w:fldCharType="end"/>
      </w:r>
      <w:r w:rsidRPr="0001053C">
        <w:t xml:space="preserve">. This is the case even when information about penalties is not included </w:t>
      </w:r>
      <w:r w:rsidRPr="0001053C">
        <w:fldChar w:fldCharType="begin"/>
      </w:r>
      <w:r w:rsidRPr="0001053C">
        <w:instrText xml:space="preserve"> ADDIN EN.CITE &lt;EndNote&gt;&lt;Cite&gt;&lt;Author&gt;Hasseldine&lt;/Author&gt;&lt;Year&gt;2007&lt;/Year&gt;&lt;RecNum&gt;172&lt;/RecNum&gt;&lt;DisplayText&gt;(Hasseldine et al., 2007)&lt;/DisplayText&gt;&lt;record&gt;&lt;rec-number&gt;172&lt;/rec-number&gt;&lt;foreign-keys&gt;&lt;key app="EN" db-id="2zr9wedz8xerzje2fa8xtsf02vvzzxpvpspe" timestamp="1478652285"&gt;172&lt;/key&gt;&lt;/foreign-keys&gt;&lt;ref-type name="Journal Article"&gt;17&lt;/ref-type&gt;&lt;contributors&gt;&lt;authors&gt;&lt;author&gt;Hasseldine, J&lt;/author&gt;&lt;author&gt;Hite, P&lt;/author&gt;&lt;author&gt;James, S&lt;/author&gt;&lt;author&gt;Toumi, M&lt;/author&gt;&lt;/authors&gt;&lt;/contributors&gt;&lt;titles&gt;&lt;title&gt;Persuasive communications: Tax compliance enforcement strategies for sole proprietors&lt;/title&gt;&lt;secondary-title&gt;Contemporary Accounting Research&lt;/secondary-title&gt;&lt;/titles&gt;&lt;pages&gt;171-+&lt;/pages&gt;&lt;volume&gt;24&lt;/volume&gt;&lt;keywords&gt;&lt;keyword&gt;appeals&lt;/keyword&gt;&lt;keyword&gt;evasion&lt;/keyword&gt;&lt;keyword&gt;field experiment&lt;/keyword&gt;&lt;keyword&gt;minnesota&lt;/keyword&gt;&lt;keyword&gt;persuasion&lt;/keyword&gt;&lt;keyword&gt;preparers&lt;/keyword&gt;&lt;keyword&gt;quantification&lt;/keyword&gt;&lt;keyword&gt;tax accountant&lt;/keyword&gt;&lt;keyword&gt;tax compliance ATO&lt;/keyword&gt;&lt;keyword&gt;DGST&lt;/keyword&gt;&lt;keyword&gt;WRE&lt;/keyword&gt;&lt;keyword&gt;Tax&lt;/keyword&gt;&lt;/keywords&gt;&lt;dates&gt;&lt;year&gt;2007&lt;/year&gt;&lt;/dates&gt;&lt;isbn&gt;0823-9150&lt;/isbn&gt;&lt;urls&gt;&lt;related-urls&gt;&lt;url&gt;http://onlinelibrary.wiley.com/store/10.1506/P207-004L-4205-7NX0/asset/P207-004L-4205-7NX0.pdf?v=1&amp;amp;t=iva7ivgk&amp;amp;s=dcbda09a3d1fbeac3001ea60d656d6c0520d6798&lt;/url&gt;&lt;/related-urls&gt;&lt;/urls&gt;&lt;electronic-resource-num&gt;Doi 10.1506/P207-004l-4205-7nx0&lt;/electronic-resource-num&gt;&lt;/record&gt;&lt;/Cite&gt;&lt;/EndNote&gt;</w:instrText>
      </w:r>
      <w:r w:rsidRPr="0001053C">
        <w:fldChar w:fldCharType="separate"/>
      </w:r>
      <w:r w:rsidRPr="0001053C">
        <w:t>(Hasseldine et al., 2007)</w:t>
      </w:r>
      <w:r w:rsidRPr="0001053C">
        <w:fldChar w:fldCharType="end"/>
      </w:r>
      <w:r w:rsidRPr="0001053C">
        <w:t>. Previous research also shows letters indicating audits will concentrate on high risk entities are more effective in improving tax compliance than letters indicating audits will be random (</w:t>
      </w:r>
      <w:r w:rsidRPr="0001053C">
        <w:fldChar w:fldCharType="begin"/>
      </w:r>
      <w:r w:rsidRPr="0001053C">
        <w:instrText xml:space="preserve"> ADDIN EN.CITE &lt;EndNote&gt;&lt;Cite AuthorYear="1"&gt;&lt;Author&gt;Appelgren&lt;/Author&gt;&lt;Year&gt;2008&lt;/Year&gt;&lt;RecNum&gt;169&lt;/RecNum&gt;&lt;DisplayText&gt;Appelgren (2008)&lt;/DisplayText&gt;&lt;record&gt;&lt;rec-number&gt;169&lt;/rec-number&gt;&lt;foreign-keys&gt;&lt;key app="EN" db-id="2zr9wedz8xerzje2fa8xtsf02vvzzxpvpspe" timestamp="1478652283"&gt;169&lt;/key&gt;&lt;/foreign-keys&gt;&lt;ref-type name="Journal Article"&gt;17&lt;/ref-type&gt;&lt;contributors&gt;&lt;authors&gt;&lt;author&gt;Appelgren, Leif&lt;/author&gt;&lt;/authors&gt;&lt;/contributors&gt;&lt;titles&gt;&lt;title&gt;The Effect of Audit Strategy Information on Tax Compliance - an Empirical Study&lt;/title&gt;&lt;secondary-title&gt;eJournal of Tax Research&lt;/secondary-title&gt;&lt;/titles&gt;&lt;pages&gt;67-81&lt;/pages&gt;&lt;volume&gt;6&lt;/volume&gt;&lt;keywords&gt;&lt;keyword&gt;Empirical study&lt;/keyword&gt;&lt;keyword&gt;Tax audit&lt;/keyword&gt;&lt;keyword&gt;Tax compliance ATO&lt;/keyword&gt;&lt;keyword&gt;DGST&lt;/keyword&gt;&lt;keyword&gt;WRE&lt;/keyword&gt;&lt;keyword&gt;Tax&lt;/keyword&gt;&lt;/keywords&gt;&lt;dates&gt;&lt;year&gt;2008&lt;/year&gt;&lt;/dates&gt;&lt;urls&gt;&lt;/urls&gt;&lt;/record&gt;&lt;/Cite&gt;&lt;/EndNote&gt;</w:instrText>
      </w:r>
      <w:r w:rsidRPr="0001053C">
        <w:fldChar w:fldCharType="separate"/>
      </w:r>
      <w:r w:rsidRPr="0001053C">
        <w:t>Appelgren, 2008)</w:t>
      </w:r>
      <w:r w:rsidRPr="0001053C">
        <w:fldChar w:fldCharType="end"/>
      </w:r>
      <w:r w:rsidRPr="0001053C">
        <w:t xml:space="preserve">. </w:t>
      </w:r>
    </w:p>
    <w:p w14:paraId="50ACD37C" w14:textId="77777777" w:rsidR="000E1510" w:rsidRDefault="000E1510" w:rsidP="00A51A60">
      <w:pPr>
        <w:rPr>
          <w:b/>
          <w:bCs/>
        </w:rPr>
      </w:pPr>
    </w:p>
    <w:p w14:paraId="113A23AD" w14:textId="77777777" w:rsidR="00A51A60" w:rsidRPr="0001053C" w:rsidRDefault="00A51A60" w:rsidP="00085623">
      <w:pPr>
        <w:pStyle w:val="h4"/>
      </w:pPr>
      <w:r w:rsidRPr="0001053C">
        <w:t xml:space="preserve">Priming </w:t>
      </w:r>
    </w:p>
    <w:p w14:paraId="7E775F56" w14:textId="77777777" w:rsidR="00A51A60" w:rsidRPr="0001053C" w:rsidRDefault="00A51A60" w:rsidP="00A51A60">
      <w:r w:rsidRPr="0001053C">
        <w:t>Agents need to apply the law correctly, and may need to balance their clients’ expectation to maximise their tax refunds.</w:t>
      </w:r>
      <w:r w:rsidRPr="0001053C">
        <w:rPr>
          <w:lang w:val="en-US"/>
        </w:rPr>
        <w:t xml:space="preserve"> </w:t>
      </w:r>
      <w:r w:rsidRPr="0001053C">
        <w:t>Reminding tax agents of their role as trusted adviser</w:t>
      </w:r>
      <w:r>
        <w:t>s</w:t>
      </w:r>
      <w:r w:rsidRPr="0001053C">
        <w:t xml:space="preserve"> could affect behaviour later on when agents are faced with difficult judgment calls.</w:t>
      </w:r>
    </w:p>
    <w:p w14:paraId="44916EFD" w14:textId="77777777" w:rsidR="00A51A60" w:rsidRDefault="00A51A60" w:rsidP="00A51A60">
      <w:r w:rsidRPr="0001053C">
        <w:t>In a marketing study, asking people “Do you consider yourself a helpful person?” increased the number of people who agreed to participate in a survey from 29</w:t>
      </w:r>
      <w:r>
        <w:t> </w:t>
      </w:r>
      <w:r w:rsidRPr="0001053C">
        <w:t>per</w:t>
      </w:r>
      <w:r>
        <w:t> </w:t>
      </w:r>
      <w:r w:rsidRPr="0001053C">
        <w:t>cent to 77 per cent (Bolkan and Anderson, 2009). This shows priming an identity can have an impact on future behaviour, as individuals try to conform with their own positive self-image.</w:t>
      </w:r>
    </w:p>
    <w:p w14:paraId="1A5BA66C" w14:textId="77777777" w:rsidR="00A51A60" w:rsidRPr="0001053C" w:rsidRDefault="00A51A60" w:rsidP="00A51A60"/>
    <w:p w14:paraId="490C2DCA" w14:textId="0BBE816C" w:rsidR="00A51A60" w:rsidRDefault="00DB1A34" w:rsidP="00085623">
      <w:pPr>
        <w:pStyle w:val="h3"/>
      </w:pPr>
      <w:r>
        <w:t>Designing the letter sent to tax agents</w:t>
      </w:r>
    </w:p>
    <w:p w14:paraId="73456CD4" w14:textId="77777777" w:rsidR="00A51A60" w:rsidRPr="009F2226" w:rsidRDefault="00A51A60" w:rsidP="00A51A60">
      <w:pPr>
        <w:spacing w:after="200" w:line="276" w:lineRule="auto"/>
      </w:pPr>
      <w:r w:rsidRPr="009F2226">
        <w:t>We designed a letter (at Appendix 1) to send to agents notifying them their clients’ work</w:t>
      </w:r>
      <w:r w:rsidRPr="009F2226">
        <w:noBreakHyphen/>
        <w:t xml:space="preserve">related expense claims were higher than expected and prompting them to review those claims. </w:t>
      </w:r>
    </w:p>
    <w:p w14:paraId="496D0809" w14:textId="77777777" w:rsidR="00A51A60" w:rsidRPr="009F2226" w:rsidRDefault="00A51A60" w:rsidP="00A51A60">
      <w:pPr>
        <w:spacing w:after="200" w:line="276" w:lineRule="auto"/>
      </w:pPr>
      <w:r w:rsidRPr="009F2226">
        <w:t>To utilise social comparisons, agents were ranked against other agents and informed their clients’ collective claims were in a top percentage of “higher risk” claims.</w:t>
      </w:r>
    </w:p>
    <w:p w14:paraId="76DA2765" w14:textId="77777777" w:rsidR="00A51A60" w:rsidRPr="009F2226" w:rsidRDefault="00A51A60" w:rsidP="00A51A60">
      <w:pPr>
        <w:spacing w:after="200" w:line="276" w:lineRule="auto"/>
      </w:pPr>
      <w:r w:rsidRPr="009F2226">
        <w:t>To highlight the potential costs of non-compliance, the letter stated the ATO was employing a targeted, data</w:t>
      </w:r>
      <w:r w:rsidRPr="009F2226">
        <w:noBreakHyphen/>
        <w:t>driven method for monitoring claims, rather than a random audit process. It also included a list of the agent’s clients with higher than expected claims compared to their peers.</w:t>
      </w:r>
    </w:p>
    <w:p w14:paraId="02531AFE" w14:textId="75B52AE0" w:rsidR="00A51A60" w:rsidRPr="00F236BA" w:rsidRDefault="00A51A60" w:rsidP="00C66F3C">
      <w:pPr>
        <w:spacing w:line="276" w:lineRule="auto"/>
        <w:rPr>
          <w:rFonts w:asciiTheme="majorHAnsi" w:hAnsiTheme="majorHAnsi"/>
          <w:b/>
          <w:color w:val="117479" w:themeColor="accent3"/>
          <w:sz w:val="22"/>
          <w:szCs w:val="44"/>
        </w:rPr>
      </w:pPr>
      <w:r w:rsidRPr="009F2226">
        <w:t>To prime a specific identity, the letter emphasised the agent’s position as a trusted advisor with a special role and responsibility to help clients get things right.</w:t>
      </w:r>
      <w:r w:rsidR="000E1510">
        <w:br w:type="page"/>
      </w:r>
      <w:r w:rsidRPr="00F236BA">
        <w:rPr>
          <w:rFonts w:asciiTheme="majorHAnsi" w:hAnsiTheme="majorHAnsi"/>
          <w:b/>
          <w:color w:val="117479" w:themeColor="accent3"/>
          <w:sz w:val="22"/>
          <w:szCs w:val="44"/>
        </w:rPr>
        <w:t>The trial</w:t>
      </w:r>
    </w:p>
    <w:p w14:paraId="190957E9" w14:textId="50D4EFC6" w:rsidR="00A51A60" w:rsidRPr="00D51EAC" w:rsidRDefault="00A51A60" w:rsidP="00A51A60">
      <w:r w:rsidRPr="00D51EAC">
        <w:t>We used a randomised controlled trial (RCT) to examine the effect of sending the letter to agents.</w:t>
      </w:r>
    </w:p>
    <w:tbl>
      <w:tblPr>
        <w:tblStyle w:val="DefaultTable"/>
        <w:tblW w:w="0" w:type="auto"/>
        <w:tblBorders>
          <w:bottom w:val="none" w:sz="0" w:space="0" w:color="auto"/>
          <w:insideH w:val="none" w:sz="0" w:space="0" w:color="auto"/>
        </w:tblBorders>
        <w:tblLook w:val="0420" w:firstRow="1" w:lastRow="0" w:firstColumn="0" w:lastColumn="0" w:noHBand="0" w:noVBand="1"/>
        <w:tblCaption w:val="Box. 3. What is a randomised controlled trial?"/>
        <w:tblDescription w:val="Well-designed randomised controlled trials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do not. On average, the difference in outcomes between people in a treatment group and in the control group reflects the causal impact of the new policy."/>
      </w:tblPr>
      <w:tblGrid>
        <w:gridCol w:w="8278"/>
      </w:tblGrid>
      <w:tr w:rsidR="00A51A60" w:rsidRPr="00E43E48" w14:paraId="044B0176" w14:textId="77777777" w:rsidTr="00C66F3C">
        <w:trPr>
          <w:cnfStyle w:val="100000000000" w:firstRow="1" w:lastRow="0" w:firstColumn="0" w:lastColumn="0" w:oddVBand="0" w:evenVBand="0" w:oddHBand="0" w:evenHBand="0" w:firstRowFirstColumn="0" w:firstRowLastColumn="0" w:lastRowFirstColumn="0" w:lastRowLastColumn="0"/>
          <w:tblHeader/>
        </w:trPr>
        <w:tc>
          <w:tcPr>
            <w:tcW w:w="8278" w:type="dxa"/>
            <w:shd w:val="clear" w:color="auto" w:fill="3F3F3F" w:themeFill="text1"/>
          </w:tcPr>
          <w:p w14:paraId="167E3F31" w14:textId="77777777" w:rsidR="00A51A60" w:rsidRPr="00C66F3C" w:rsidRDefault="00A51A60" w:rsidP="00C66F3C">
            <w:pPr>
              <w:pStyle w:val="TableHeading"/>
            </w:pPr>
            <w:r w:rsidRPr="00C66F3C">
              <w:t>Box 3: What is a randomised controlled trial?</w:t>
            </w:r>
          </w:p>
        </w:tc>
      </w:tr>
      <w:tr w:rsidR="00A51A60" w14:paraId="76F6F1A0" w14:textId="77777777" w:rsidTr="00F96BD2">
        <w:trPr>
          <w:cantSplit w:val="0"/>
        </w:trPr>
        <w:tc>
          <w:tcPr>
            <w:tcW w:w="8278" w:type="dxa"/>
          </w:tcPr>
          <w:p w14:paraId="4C83CA5B" w14:textId="77777777" w:rsidR="00A51A60" w:rsidRDefault="00A51A60" w:rsidP="00F96BD2">
            <w:r w:rsidRPr="00D51EAC">
              <w:rPr>
                <w:lang w:val="en-US"/>
              </w:rPr>
              <w:t xml:space="preserve">Well-designed randomised controlled trials (RCTs) provide the best empirical method for determining a policy’s quantifiable impacts. In this respect, RCTs are considered the ‘gold standard’ for impact evaluation. RCTs work by randomly separating people into two or more groups, in a manner similar to flipping a coin. People in a ‘treatment’ group receive an intervention (new policy) while people in the ‘control’ group </w:t>
            </w:r>
            <w:r>
              <w:rPr>
                <w:lang w:val="en-US"/>
              </w:rPr>
              <w:t>do not</w:t>
            </w:r>
            <w:r w:rsidRPr="00D51EAC">
              <w:rPr>
                <w:lang w:val="en-US"/>
              </w:rPr>
              <w:t>. On average, the difference in outcomes between people in a treatment group and in the control group reflects the causal impact of the new policy.</w:t>
            </w:r>
          </w:p>
        </w:tc>
      </w:tr>
    </w:tbl>
    <w:p w14:paraId="7AA08EE4" w14:textId="77777777" w:rsidR="00A51A60" w:rsidRDefault="00A51A60" w:rsidP="00A51A60">
      <w:pPr>
        <w:spacing w:before="0"/>
      </w:pPr>
    </w:p>
    <w:p w14:paraId="7C96C61F" w14:textId="4579EF96" w:rsidR="00A51A60" w:rsidRPr="00D51EAC" w:rsidRDefault="00A51A60" w:rsidP="00A51A60">
      <w:r w:rsidRPr="00D51EAC">
        <w:t xml:space="preserve">The ATO created a population of ‘notional peers’ for agents with the same number of clients and similar characteristics. </w:t>
      </w:r>
      <w:r>
        <w:t>The</w:t>
      </w:r>
      <w:r w:rsidRPr="00D51EAC">
        <w:t xml:space="preserve"> ATO determine</w:t>
      </w:r>
      <w:r>
        <w:t>d</w:t>
      </w:r>
      <w:r w:rsidRPr="00D51EAC">
        <w:t xml:space="preserve"> each agent’s level of risk based on their clients’ work-related expense claims. This trial focused on agents considered to have a moderate to high risk</w:t>
      </w:r>
      <w:r>
        <w:t xml:space="preserve"> of over-claiming</w:t>
      </w:r>
      <w:r w:rsidRPr="00D51EAC">
        <w:t xml:space="preserve">. </w:t>
      </w:r>
      <w:r>
        <w:t>The</w:t>
      </w:r>
      <w:r w:rsidRPr="00D51EAC">
        <w:t xml:space="preserve"> trial consisted of 2,277 agents. The ATO sent the letters to 1,139 agents on 10</w:t>
      </w:r>
      <w:r>
        <w:t> </w:t>
      </w:r>
      <w:r w:rsidRPr="00D51EAC">
        <w:t>March</w:t>
      </w:r>
      <w:r>
        <w:t> </w:t>
      </w:r>
      <w:r w:rsidRPr="00D51EAC">
        <w:t>2017, leaving 1,138</w:t>
      </w:r>
      <w:r>
        <w:t xml:space="preserve"> agents</w:t>
      </w:r>
      <w:r w:rsidRPr="00D51EAC">
        <w:t xml:space="preserve"> in the ‘no letter’ control group.</w:t>
      </w:r>
      <w:r w:rsidRPr="006F191A">
        <w:t xml:space="preserve"> </w:t>
      </w:r>
      <w:r>
        <w:t>All agents in</w:t>
      </w:r>
      <w:r w:rsidRPr="00D51EAC">
        <w:t xml:space="preserve"> </w:t>
      </w:r>
      <w:r>
        <w:t>the trial were excluded from other ATO a</w:t>
      </w:r>
      <w:r w:rsidR="007D6DC5">
        <w:t>ctivities in relation to work</w:t>
      </w:r>
      <w:r w:rsidR="007D6DC5">
        <w:noBreakHyphen/>
      </w:r>
      <w:r>
        <w:t>related expenses.</w:t>
      </w:r>
      <w:r w:rsidRPr="00D51EAC">
        <w:t xml:space="preserve"> </w:t>
      </w:r>
    </w:p>
    <w:p w14:paraId="3F3B98DC" w14:textId="77777777" w:rsidR="00A51A60" w:rsidRPr="00D51EAC" w:rsidRDefault="00A51A60" w:rsidP="00A51A60">
      <w:pPr>
        <w:rPr>
          <w:b/>
        </w:rPr>
      </w:pPr>
    </w:p>
    <w:p w14:paraId="6C6404AA" w14:textId="77777777" w:rsidR="00A51A60" w:rsidRPr="00D51EAC" w:rsidRDefault="00A51A60" w:rsidP="00085623">
      <w:pPr>
        <w:pStyle w:val="h4"/>
      </w:pPr>
      <w:r w:rsidRPr="00D51EAC">
        <w:t>Amended tax returns</w:t>
      </w:r>
    </w:p>
    <w:p w14:paraId="5413D84E" w14:textId="77777777" w:rsidR="00A51A60" w:rsidRDefault="00A51A60" w:rsidP="00A51A60">
      <w:r w:rsidRPr="00D51EAC">
        <w:t xml:space="preserve">The letter was sent after agents had already lodged a number of tax returns for clients. </w:t>
      </w:r>
      <w:r>
        <w:t>The letter</w:t>
      </w:r>
      <w:r w:rsidRPr="00D51EAC">
        <w:t xml:space="preserve"> identified a sample of no more than 20 of the agents</w:t>
      </w:r>
      <w:r>
        <w:t>’</w:t>
      </w:r>
      <w:r w:rsidRPr="00D51EAC">
        <w:t xml:space="preserve"> clients who had lodged higher than expected claims (referred to as ‘identified clients’). </w:t>
      </w:r>
    </w:p>
    <w:p w14:paraId="185E0D91" w14:textId="0C1C5D93" w:rsidR="00A51A60" w:rsidRDefault="00A51A60" w:rsidP="00A51A60">
      <w:r>
        <w:t xml:space="preserve">Overall, the 2,277 agents in the trial had a total of 22,776 identified clients, an average of 10 per agent. Of the total 22,776 identified clients, 11,296 clients were attached to agents who received the letter and </w:t>
      </w:r>
      <w:r w:rsidRPr="00D51EAC">
        <w:t xml:space="preserve">11,480 </w:t>
      </w:r>
      <w:r>
        <w:t>clients were attached to agents who did not receive the letter</w:t>
      </w:r>
      <w:r w:rsidRPr="00D51EAC">
        <w:t>. We examined whether agents amended claims for their identified clients, up to 12</w:t>
      </w:r>
      <w:r>
        <w:t> </w:t>
      </w:r>
      <w:r w:rsidRPr="00D51EAC">
        <w:t>May</w:t>
      </w:r>
      <w:r>
        <w:t> </w:t>
      </w:r>
      <w:r w:rsidRPr="00D51EAC">
        <w:t xml:space="preserve">2017. We expected agents in the letter group to reduce work-related expense claims by more and to pay more tax than agents in the ‘no letter’ group. </w:t>
      </w:r>
    </w:p>
    <w:p w14:paraId="6B3B365C" w14:textId="77777777" w:rsidR="000E1510" w:rsidRDefault="000E1510">
      <w:pPr>
        <w:spacing w:before="0" w:after="0" w:line="240" w:lineRule="auto"/>
      </w:pPr>
      <w:r>
        <w:br w:type="page"/>
      </w:r>
    </w:p>
    <w:p w14:paraId="59A15A96" w14:textId="77777777" w:rsidR="00A51A60" w:rsidRDefault="00A51A60" w:rsidP="00A51A60"/>
    <w:p w14:paraId="1E1D0D60" w14:textId="77777777" w:rsidR="005860D7" w:rsidRPr="00D51EAC" w:rsidRDefault="005860D7" w:rsidP="00085623">
      <w:pPr>
        <w:pStyle w:val="h4"/>
        <w:outlineLvl w:val="4"/>
      </w:pPr>
      <w:r>
        <w:t>Figure 1: Trial design for amended tax returns</w:t>
      </w:r>
    </w:p>
    <w:p w14:paraId="5B96F065" w14:textId="77777777" w:rsidR="00A51A60" w:rsidRPr="005860D7" w:rsidRDefault="00A51A60" w:rsidP="00A51A60">
      <w:pPr>
        <w:spacing w:before="0" w:after="0" w:line="240" w:lineRule="auto"/>
        <w:rPr>
          <w:rFonts w:cstheme="minorHAnsi"/>
          <w:b/>
          <w:bCs/>
          <w:caps/>
          <w:color w:val="1C2B39"/>
          <w:spacing w:val="20"/>
          <w:szCs w:val="19"/>
          <w:lang w:val="en-US" w:eastAsia="ja-JP"/>
        </w:rPr>
      </w:pPr>
    </w:p>
    <w:p w14:paraId="48912856" w14:textId="504D6359" w:rsidR="00A51A60" w:rsidRPr="008E5510" w:rsidRDefault="003D4072" w:rsidP="00A51A60">
      <w:pPr>
        <w:spacing w:before="0" w:after="0" w:line="240" w:lineRule="auto"/>
        <w:rPr>
          <w:rFonts w:ascii="Montserrat Light" w:hAnsi="Montserrat Light"/>
          <w:b/>
          <w:bCs/>
          <w:caps/>
          <w:color w:val="1C2B39"/>
          <w:spacing w:val="20"/>
          <w:szCs w:val="19"/>
          <w:lang w:val="en-US" w:eastAsia="ja-JP"/>
        </w:rPr>
      </w:pPr>
      <w:r>
        <w:rPr>
          <w:rFonts w:ascii="Montserrat Light" w:hAnsi="Montserrat Light"/>
          <w:b/>
          <w:bCs/>
          <w:caps/>
          <w:noProof/>
          <w:color w:val="1C2B39"/>
          <w:spacing w:val="20"/>
          <w:szCs w:val="19"/>
        </w:rPr>
        <w:drawing>
          <wp:inline distT="0" distB="0" distL="0" distR="0" wp14:anchorId="43E93BDA" wp14:editId="79A47DD0">
            <wp:extent cx="5256530" cy="2011680"/>
            <wp:effectExtent l="0" t="0" r="1270" b="7620"/>
            <wp:docPr id="13" name="Picture 13" descr="There were 2277 agents in the trial. After random assignment, there were 1139 agents in the letter group and 1138 agents in the no letter group. There were 11,296 identified clients in the letter group and 11,480 clients in the no letter group." title="Trial design for amended tax retu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RE trial design.PNG"/>
                    <pic:cNvPicPr/>
                  </pic:nvPicPr>
                  <pic:blipFill>
                    <a:blip r:embed="rId20">
                      <a:extLst>
                        <a:ext uri="{28A0092B-C50C-407E-A947-70E740481C1C}">
                          <a14:useLocalDpi xmlns:a14="http://schemas.microsoft.com/office/drawing/2010/main" val="0"/>
                        </a:ext>
                      </a:extLst>
                    </a:blip>
                    <a:stretch>
                      <a:fillRect/>
                    </a:stretch>
                  </pic:blipFill>
                  <pic:spPr>
                    <a:xfrm>
                      <a:off x="0" y="0"/>
                      <a:ext cx="5256530" cy="2011680"/>
                    </a:xfrm>
                    <a:prstGeom prst="rect">
                      <a:avLst/>
                    </a:prstGeom>
                  </pic:spPr>
                </pic:pic>
              </a:graphicData>
            </a:graphic>
          </wp:inline>
        </w:drawing>
      </w:r>
    </w:p>
    <w:p w14:paraId="03C53653" w14:textId="77777777" w:rsidR="00A51A60" w:rsidRPr="008E5510" w:rsidRDefault="00A51A60" w:rsidP="00A51A60">
      <w:pPr>
        <w:spacing w:before="0" w:after="200" w:line="276" w:lineRule="auto"/>
        <w:ind w:left="357"/>
        <w:rPr>
          <w:rFonts w:ascii="Calibri" w:eastAsia="Calibri" w:hAnsi="Calibri"/>
          <w:b/>
          <w:color w:val="auto"/>
          <w:szCs w:val="22"/>
          <w:lang w:eastAsia="en-US"/>
        </w:rPr>
      </w:pPr>
    </w:p>
    <w:p w14:paraId="3FC1C1C7" w14:textId="77777777" w:rsidR="00A51A60" w:rsidRPr="00D51EAC" w:rsidRDefault="00A51A60" w:rsidP="00085623">
      <w:pPr>
        <w:pStyle w:val="h4"/>
      </w:pPr>
      <w:r w:rsidRPr="00D51EAC">
        <w:t>New tax returns</w:t>
      </w:r>
    </w:p>
    <w:p w14:paraId="69954510" w14:textId="27CB0EA7" w:rsidR="000E1510" w:rsidRDefault="00A51A60" w:rsidP="003D4072">
      <w:r w:rsidRPr="00D51EAC">
        <w:t>Agents had not lodged tax returns for a number of clients on 10 March 2017, when the letter was sent. Therefore</w:t>
      </w:r>
      <w:r>
        <w:t>,</w:t>
      </w:r>
      <w:r w:rsidRPr="00D51EAC">
        <w:t xml:space="preserve"> these clients could not be identified in the letter. We examined the effect of the letter on subsequently lodged tax returns for these (non</w:t>
      </w:r>
      <w:r w:rsidRPr="00D51EAC">
        <w:noBreakHyphen/>
        <w:t xml:space="preserve">identified) clients, up until 11 June 2017. We expected agents in the letter group to lodge lower work-related expense claims and to pay more tax than agents </w:t>
      </w:r>
      <w:r>
        <w:t>in the ‘no letter’ group.</w:t>
      </w:r>
      <w:r w:rsidR="000E1510">
        <w:br w:type="page"/>
      </w:r>
    </w:p>
    <w:p w14:paraId="1E876C27" w14:textId="77777777" w:rsidR="00081366" w:rsidRDefault="00081366" w:rsidP="00081366">
      <w:pPr>
        <w:pStyle w:val="Heading1"/>
      </w:pPr>
      <w:bookmarkStart w:id="5" w:name="_Toc521485115"/>
      <w:r>
        <w:t>Results</w:t>
      </w:r>
      <w:r w:rsidR="000E1510" w:rsidRPr="000E1510">
        <w:rPr>
          <w:rStyle w:val="FootnoteReference"/>
          <w:sz w:val="28"/>
          <w:szCs w:val="28"/>
        </w:rPr>
        <w:footnoteReference w:id="2"/>
      </w:r>
      <w:bookmarkEnd w:id="5"/>
    </w:p>
    <w:p w14:paraId="4C4CD8E0" w14:textId="77777777" w:rsidR="000E1510" w:rsidRPr="000E1510" w:rsidRDefault="000E1510" w:rsidP="000E1510">
      <w:pPr>
        <w:rPr>
          <w:b/>
          <w:color w:val="auto"/>
          <w:sz w:val="28"/>
          <w:szCs w:val="30"/>
        </w:rPr>
      </w:pPr>
      <w:r w:rsidRPr="000E1510">
        <w:rPr>
          <w:b/>
          <w:color w:val="auto"/>
          <w:sz w:val="28"/>
          <w:szCs w:val="30"/>
        </w:rPr>
        <w:t xml:space="preserve">The letter had a substantial effect on tax agent behaviour compared to the behaviour of agents in the ‘no letter’ group. </w:t>
      </w:r>
    </w:p>
    <w:p w14:paraId="3B28F8DE" w14:textId="77777777" w:rsidR="00CB1E33" w:rsidRDefault="000E1510" w:rsidP="00CB1E33">
      <w:r w:rsidRPr="000E1510">
        <w:t>This section firstly looks at amendments to tax returns. It then looks at lodgement of new tax returns.</w:t>
      </w:r>
    </w:p>
    <w:p w14:paraId="2DE04147" w14:textId="77777777" w:rsidR="000E1510" w:rsidRPr="00EA02EC" w:rsidRDefault="000E1510" w:rsidP="000E1510"/>
    <w:p w14:paraId="0F351876" w14:textId="77777777" w:rsidR="000E1510" w:rsidRPr="004121BC" w:rsidRDefault="000E1510" w:rsidP="000E1510">
      <w:pPr>
        <w:pStyle w:val="Heading2"/>
        <w:spacing w:before="120"/>
      </w:pPr>
      <w:r w:rsidRPr="004121BC">
        <w:t xml:space="preserve">Did </w:t>
      </w:r>
      <w:r>
        <w:t>the letter result in amended work-related expense claims?</w:t>
      </w:r>
      <w:r w:rsidRPr="004121BC">
        <w:t xml:space="preserve"> </w:t>
      </w:r>
    </w:p>
    <w:p w14:paraId="02F82E47" w14:textId="77777777" w:rsidR="00D4320D" w:rsidRDefault="00D4320D" w:rsidP="000E1510">
      <w:pPr>
        <w:spacing w:line="276" w:lineRule="auto"/>
        <w:rPr>
          <w:b/>
          <w:color w:val="332C28"/>
          <w:szCs w:val="22"/>
        </w:rPr>
      </w:pPr>
    </w:p>
    <w:p w14:paraId="0614113E" w14:textId="77777777" w:rsidR="000E1510" w:rsidRPr="00D51EAC" w:rsidRDefault="000E1510" w:rsidP="00085623">
      <w:pPr>
        <w:spacing w:line="276" w:lineRule="auto"/>
        <w:outlineLvl w:val="2"/>
        <w:rPr>
          <w:b/>
          <w:color w:val="332C28"/>
          <w:szCs w:val="22"/>
        </w:rPr>
      </w:pPr>
      <w:r w:rsidRPr="00D51EAC">
        <w:rPr>
          <w:b/>
          <w:color w:val="332C28"/>
          <w:szCs w:val="22"/>
        </w:rPr>
        <w:t>Rate of agents lodging amendments</w:t>
      </w:r>
    </w:p>
    <w:p w14:paraId="4AE63AE3" w14:textId="4CC54044" w:rsidR="000E1510" w:rsidRDefault="000E1510" w:rsidP="000E1510">
      <w:r w:rsidRPr="000E1510">
        <w:t>Agents in the letter group submitted more amendments for work</w:t>
      </w:r>
      <w:r w:rsidRPr="000E1510">
        <w:noBreakHyphen/>
        <w:t xml:space="preserve">related expense claims for their identified clients in the 60 days after the letter was sent, than agents in the no-letter group. A total of 193 agents (17 per cent) in the letter group lodged amendments on behalf of 546 clients, compared with only 16 agents (1 per cent) in the ‘no letter’ group on </w:t>
      </w:r>
      <w:r w:rsidR="009A4872">
        <w:t>behalf of 16 clients (Figure 2</w:t>
      </w:r>
      <w:r w:rsidRPr="000E1510">
        <w:t>).</w:t>
      </w:r>
      <w:r w:rsidRPr="000E1510">
        <w:rPr>
          <w:vertAlign w:val="superscript"/>
        </w:rPr>
        <w:footnoteReference w:id="3"/>
      </w:r>
      <w:r w:rsidRPr="000E1510">
        <w:t xml:space="preserve"> Most of the amendments were reductions in work-related expense claims but some were increases (Table 3.2, Appendix 3).</w:t>
      </w:r>
    </w:p>
    <w:p w14:paraId="7D6DEC3F" w14:textId="77777777" w:rsidR="000E1510" w:rsidRDefault="000E1510" w:rsidP="000E1510">
      <w:pPr>
        <w:rPr>
          <w:rStyle w:val="Heading3Char"/>
          <w:rFonts w:ascii="Montserrat Light" w:hAnsi="Montserrat Light"/>
          <w:szCs w:val="20"/>
        </w:rPr>
      </w:pPr>
    </w:p>
    <w:p w14:paraId="7D0D1CFA" w14:textId="77777777" w:rsidR="000E1510" w:rsidRDefault="000E1510">
      <w:pPr>
        <w:spacing w:before="0" w:after="0" w:line="240" w:lineRule="auto"/>
        <w:rPr>
          <w:rStyle w:val="Heading3Char"/>
          <w:rFonts w:ascii="Montserrat Light" w:hAnsi="Montserrat Light"/>
          <w:szCs w:val="20"/>
        </w:rPr>
      </w:pPr>
      <w:r>
        <w:rPr>
          <w:rStyle w:val="Heading3Char"/>
          <w:rFonts w:ascii="Montserrat Light" w:hAnsi="Montserrat Light"/>
          <w:szCs w:val="20"/>
        </w:rPr>
        <w:br w:type="page"/>
      </w:r>
    </w:p>
    <w:p w14:paraId="7B1D98D4" w14:textId="77777777" w:rsidR="005860D7" w:rsidRPr="00D51EAC" w:rsidRDefault="005860D7" w:rsidP="00085623">
      <w:pPr>
        <w:pStyle w:val="h4"/>
      </w:pPr>
      <w:r>
        <w:t>Figure 2: Percentage of agents who lodged an amendment</w:t>
      </w:r>
    </w:p>
    <w:p w14:paraId="397D0084" w14:textId="14BFA37D" w:rsidR="000E1510" w:rsidRDefault="00B30A74" w:rsidP="000E1510">
      <w:pPr>
        <w:keepNext/>
        <w:spacing w:after="0"/>
        <w:rPr>
          <w:rStyle w:val="Heading3Char"/>
          <w:b w:val="0"/>
          <w:caps/>
        </w:rPr>
      </w:pPr>
      <w:r>
        <w:rPr>
          <w:rFonts w:asciiTheme="majorHAnsi" w:hAnsiTheme="majorHAnsi"/>
          <w:caps/>
          <w:noProof/>
          <w:sz w:val="22"/>
          <w:szCs w:val="28"/>
        </w:rPr>
        <w:drawing>
          <wp:inline distT="0" distB="0" distL="0" distR="0" wp14:anchorId="16EFAD9B" wp14:editId="2D59ACF0">
            <wp:extent cx="4010585" cy="1905266"/>
            <wp:effectExtent l="0" t="0" r="9525" b="0"/>
            <wp:docPr id="14" name="Picture 14" descr="Bar chart showing that 1 per cent of agents in the no letter group lodged an amendment, compared to 17 per cent who lodged an amendment in the letter group." title="Percentage of agents who lodged an amend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RE Fig1.PNG"/>
                    <pic:cNvPicPr/>
                  </pic:nvPicPr>
                  <pic:blipFill>
                    <a:blip r:embed="rId21">
                      <a:extLst>
                        <a:ext uri="{28A0092B-C50C-407E-A947-70E740481C1C}">
                          <a14:useLocalDpi xmlns:a14="http://schemas.microsoft.com/office/drawing/2010/main" val="0"/>
                        </a:ext>
                      </a:extLst>
                    </a:blip>
                    <a:stretch>
                      <a:fillRect/>
                    </a:stretch>
                  </pic:blipFill>
                  <pic:spPr>
                    <a:xfrm>
                      <a:off x="0" y="0"/>
                      <a:ext cx="4010585" cy="1905266"/>
                    </a:xfrm>
                    <a:prstGeom prst="rect">
                      <a:avLst/>
                    </a:prstGeom>
                  </pic:spPr>
                </pic:pic>
              </a:graphicData>
            </a:graphic>
          </wp:inline>
        </w:drawing>
      </w:r>
    </w:p>
    <w:p w14:paraId="0B899967" w14:textId="77777777" w:rsidR="000E1510" w:rsidRPr="003E7D93" w:rsidRDefault="000E1510" w:rsidP="000E1510">
      <w:pPr>
        <w:spacing w:line="276" w:lineRule="auto"/>
        <w:rPr>
          <w:color w:val="332C28"/>
          <w:szCs w:val="20"/>
        </w:rPr>
      </w:pPr>
      <w:r w:rsidRPr="003E7D93">
        <w:rPr>
          <w:color w:val="332C28"/>
          <w:szCs w:val="20"/>
        </w:rPr>
        <w:t xml:space="preserve">Note: the difference </w:t>
      </w:r>
      <w:r>
        <w:rPr>
          <w:color w:val="332C28"/>
          <w:szCs w:val="20"/>
        </w:rPr>
        <w:t>in percentage of amendments lodged</w:t>
      </w:r>
      <w:r w:rsidRPr="003E7D93">
        <w:rPr>
          <w:color w:val="332C28"/>
          <w:szCs w:val="20"/>
        </w:rPr>
        <w:t xml:space="preserve"> </w:t>
      </w:r>
      <w:r>
        <w:rPr>
          <w:color w:val="332C28"/>
          <w:szCs w:val="20"/>
        </w:rPr>
        <w:t xml:space="preserve">(16%) </w:t>
      </w:r>
      <w:r w:rsidRPr="003E7D93">
        <w:rPr>
          <w:color w:val="332C28"/>
          <w:szCs w:val="20"/>
        </w:rPr>
        <w:t>is statistically significant at p&lt;0.001. The total sample size was 2,267 tax agents.</w:t>
      </w:r>
    </w:p>
    <w:p w14:paraId="38CEC8E7" w14:textId="77777777" w:rsidR="000E1510" w:rsidRDefault="000E1510" w:rsidP="000E1510">
      <w:pPr>
        <w:spacing w:line="276" w:lineRule="auto"/>
        <w:rPr>
          <w:color w:val="332C28"/>
          <w:sz w:val="24"/>
        </w:rPr>
      </w:pPr>
    </w:p>
    <w:p w14:paraId="6FFE2081" w14:textId="77777777" w:rsidR="000E1510" w:rsidRPr="00A1647C" w:rsidRDefault="000E1510" w:rsidP="00085623">
      <w:pPr>
        <w:spacing w:line="276" w:lineRule="auto"/>
        <w:outlineLvl w:val="2"/>
        <w:rPr>
          <w:b/>
          <w:color w:val="332C28"/>
          <w:szCs w:val="22"/>
        </w:rPr>
      </w:pPr>
      <w:r w:rsidRPr="00A1647C">
        <w:rPr>
          <w:b/>
          <w:color w:val="332C28"/>
          <w:szCs w:val="22"/>
        </w:rPr>
        <w:t>Adjustment value at agent level (for identified clients)</w:t>
      </w:r>
    </w:p>
    <w:p w14:paraId="0331E5DC" w14:textId="6C125DFE" w:rsidR="000E1510" w:rsidRPr="006B239B" w:rsidRDefault="000E1510" w:rsidP="000E1510">
      <w:r w:rsidRPr="006B239B">
        <w:t xml:space="preserve">On average, agents in the letter group reduced work-related expense claims for their identified </w:t>
      </w:r>
      <w:r w:rsidR="009A4872">
        <w:t>client group by $1,863 (Figure 3</w:t>
      </w:r>
      <w:r w:rsidRPr="006B239B">
        <w:t>). This effect was observed across all work-related expense deduction categories, with the largest average reduction seen for car expenses ($727). On average, agents in the letter group with higher risk scores reduced work-related expense claims by $1,772 more than agents with</w:t>
      </w:r>
      <w:r w:rsidR="009A4872">
        <w:t xml:space="preserve"> moderate risk scores (Table 3.5</w:t>
      </w:r>
      <w:r w:rsidRPr="006B239B">
        <w:t xml:space="preserve">, Appendix 3). </w:t>
      </w:r>
    </w:p>
    <w:p w14:paraId="2C4BD91A" w14:textId="0E1C3076" w:rsidR="000E1510" w:rsidRPr="006B239B" w:rsidRDefault="000E1510" w:rsidP="000E1510">
      <w:r w:rsidRPr="006B239B">
        <w:t xml:space="preserve">On average, agents in the letter group lodged amendments resulting in $721 more tax paid for their identified clients, compared with only $36 in the ‘no letter’ group (Figure </w:t>
      </w:r>
      <w:r w:rsidR="009A4872">
        <w:t>3</w:t>
      </w:r>
      <w:r w:rsidRPr="006B239B">
        <w:t xml:space="preserve">). </w:t>
      </w:r>
      <w:r w:rsidRPr="00412817">
        <w:t>This effect is attributable to the letter, but changes to a number of tax return labels (such as income) may have contributed to the increased tax paid.</w:t>
      </w:r>
      <w:r>
        <w:t xml:space="preserve"> Therefore, </w:t>
      </w:r>
      <w:r w:rsidRPr="006B239B">
        <w:t xml:space="preserve">we cannot be sure about the </w:t>
      </w:r>
      <w:r>
        <w:t>contribution of</w:t>
      </w:r>
      <w:r w:rsidRPr="006B239B">
        <w:t xml:space="preserve"> the reduction in work-related expense claims </w:t>
      </w:r>
      <w:r>
        <w:t>to the</w:t>
      </w:r>
      <w:r w:rsidRPr="006B239B">
        <w:t xml:space="preserve"> increase</w:t>
      </w:r>
      <w:r>
        <w:t xml:space="preserve"> in</w:t>
      </w:r>
      <w:r w:rsidRPr="006B239B">
        <w:t xml:space="preserve"> tax paid</w:t>
      </w:r>
      <w:r>
        <w:t>.</w:t>
      </w:r>
    </w:p>
    <w:p w14:paraId="74D48C6B" w14:textId="77777777" w:rsidR="005860D7" w:rsidRDefault="005860D7">
      <w:pPr>
        <w:spacing w:before="0" w:after="0" w:line="240" w:lineRule="auto"/>
        <w:rPr>
          <w:b/>
        </w:rPr>
      </w:pPr>
      <w:r>
        <w:rPr>
          <w:b/>
        </w:rPr>
        <w:br w:type="page"/>
      </w:r>
    </w:p>
    <w:p w14:paraId="191BCAC7" w14:textId="77777777" w:rsidR="005860D7" w:rsidRPr="00D51EAC" w:rsidRDefault="005860D7" w:rsidP="00085623">
      <w:pPr>
        <w:pStyle w:val="h4"/>
      </w:pPr>
      <w:r>
        <w:t>Figure 3: Average change in value of work-related expense claims and tax paid for amended returns – by agent</w:t>
      </w:r>
    </w:p>
    <w:p w14:paraId="5A3EE8F7" w14:textId="77777777" w:rsidR="000E1510" w:rsidRPr="00A1647C" w:rsidRDefault="000E1510" w:rsidP="000E1510">
      <w:pPr>
        <w:keepNext/>
        <w:spacing w:after="0"/>
        <w:rPr>
          <w:rStyle w:val="Heading3Char"/>
          <w:rFonts w:ascii="Montserrat Light" w:hAnsi="Montserrat Light"/>
          <w:szCs w:val="20"/>
        </w:rPr>
      </w:pPr>
    </w:p>
    <w:p w14:paraId="3A7C402B" w14:textId="72BE9537" w:rsidR="000E1510" w:rsidRDefault="00B30A74" w:rsidP="000E1510">
      <w:pPr>
        <w:keepNext/>
        <w:spacing w:after="0"/>
        <w:rPr>
          <w:rStyle w:val="Heading3Char"/>
          <w:b w:val="0"/>
          <w:caps/>
        </w:rPr>
      </w:pPr>
      <w:r>
        <w:rPr>
          <w:rFonts w:asciiTheme="majorHAnsi" w:hAnsiTheme="majorHAnsi"/>
          <w:caps/>
          <w:noProof/>
          <w:sz w:val="22"/>
          <w:szCs w:val="28"/>
        </w:rPr>
        <w:drawing>
          <wp:inline distT="0" distB="0" distL="0" distR="0" wp14:anchorId="146F531F" wp14:editId="01F540DB">
            <wp:extent cx="4858428" cy="2619741"/>
            <wp:effectExtent l="0" t="0" r="0" b="9525"/>
            <wp:docPr id="15" name="Picture 15" descr="On average, agents in the letter group lodged amendments resulting in $721 more tax paid for their identified clients, compared with only $36 in the ‘no letter’ group. This effect is attributable to the letter, but changes to a number of tax return labels (such as income) may have contributed to the increased tax paid. Therefore, we cannot be sure about the contribution of the reduction in work-related expense claims to the increase in tax paid." title="Average change in value of work-related expense claims and tax paid for amended returns - by ag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RE Fig 2.PNG"/>
                    <pic:cNvPicPr/>
                  </pic:nvPicPr>
                  <pic:blipFill>
                    <a:blip r:embed="rId22">
                      <a:extLst>
                        <a:ext uri="{28A0092B-C50C-407E-A947-70E740481C1C}">
                          <a14:useLocalDpi xmlns:a14="http://schemas.microsoft.com/office/drawing/2010/main" val="0"/>
                        </a:ext>
                      </a:extLst>
                    </a:blip>
                    <a:stretch>
                      <a:fillRect/>
                    </a:stretch>
                  </pic:blipFill>
                  <pic:spPr>
                    <a:xfrm>
                      <a:off x="0" y="0"/>
                      <a:ext cx="4858428" cy="2619741"/>
                    </a:xfrm>
                    <a:prstGeom prst="rect">
                      <a:avLst/>
                    </a:prstGeom>
                  </pic:spPr>
                </pic:pic>
              </a:graphicData>
            </a:graphic>
          </wp:inline>
        </w:drawing>
      </w:r>
    </w:p>
    <w:p w14:paraId="4BB695CD" w14:textId="77777777" w:rsidR="000E1510" w:rsidRPr="003E7D93" w:rsidRDefault="000E1510" w:rsidP="000E1510">
      <w:pPr>
        <w:spacing w:line="276" w:lineRule="auto"/>
        <w:rPr>
          <w:color w:val="332C28"/>
          <w:szCs w:val="20"/>
        </w:rPr>
      </w:pPr>
      <w:r w:rsidRPr="003E7D93">
        <w:rPr>
          <w:color w:val="332C28"/>
          <w:szCs w:val="20"/>
        </w:rPr>
        <w:t xml:space="preserve">Note: </w:t>
      </w:r>
      <w:r>
        <w:rPr>
          <w:color w:val="332C28"/>
          <w:szCs w:val="20"/>
        </w:rPr>
        <w:t xml:space="preserve">the </w:t>
      </w:r>
      <w:r w:rsidRPr="003E7D93">
        <w:rPr>
          <w:color w:val="332C28"/>
          <w:szCs w:val="20"/>
        </w:rPr>
        <w:t>difference</w:t>
      </w:r>
      <w:r>
        <w:rPr>
          <w:color w:val="332C28"/>
          <w:szCs w:val="20"/>
        </w:rPr>
        <w:t>s</w:t>
      </w:r>
      <w:r w:rsidRPr="003E7D93">
        <w:rPr>
          <w:color w:val="332C28"/>
          <w:szCs w:val="20"/>
        </w:rPr>
        <w:t xml:space="preserve"> </w:t>
      </w:r>
      <w:r>
        <w:rPr>
          <w:color w:val="332C28"/>
          <w:szCs w:val="20"/>
        </w:rPr>
        <w:t xml:space="preserve">in WRE claims ($1,854) and net tax paid ($685) are both </w:t>
      </w:r>
      <w:r w:rsidRPr="003E7D93">
        <w:rPr>
          <w:color w:val="332C28"/>
          <w:szCs w:val="20"/>
        </w:rPr>
        <w:t>statistically significant at p&lt;0.001. The total sample size was 2,267 tax agents.</w:t>
      </w:r>
    </w:p>
    <w:p w14:paraId="369DADB1" w14:textId="77777777" w:rsidR="000E1510" w:rsidRDefault="000E1510" w:rsidP="000E1510">
      <w:pPr>
        <w:spacing w:line="276" w:lineRule="auto"/>
        <w:rPr>
          <w:color w:val="332C28"/>
          <w:sz w:val="24"/>
        </w:rPr>
      </w:pPr>
    </w:p>
    <w:p w14:paraId="5A1D3F6F" w14:textId="77777777" w:rsidR="000E1510" w:rsidRPr="00A1647C" w:rsidRDefault="000E1510" w:rsidP="00085623">
      <w:pPr>
        <w:spacing w:line="276" w:lineRule="auto"/>
        <w:outlineLvl w:val="2"/>
        <w:rPr>
          <w:b/>
          <w:color w:val="332C28"/>
          <w:szCs w:val="22"/>
        </w:rPr>
      </w:pPr>
      <w:r w:rsidRPr="00A1647C">
        <w:rPr>
          <w:b/>
          <w:color w:val="332C28"/>
          <w:szCs w:val="22"/>
        </w:rPr>
        <w:t>Adjustment value by individual identified clients</w:t>
      </w:r>
    </w:p>
    <w:p w14:paraId="2F1760E3" w14:textId="163403D0" w:rsidR="000E1510" w:rsidRPr="006B239B" w:rsidRDefault="000E1510" w:rsidP="000E1510">
      <w:r w:rsidRPr="006B239B">
        <w:t>On average, identified clients represented by agents in the letter group reduced work</w:t>
      </w:r>
      <w:r w:rsidRPr="006B239B">
        <w:noBreakHyphen/>
        <w:t>related expense claims by $191, compared with a $2 average increase in</w:t>
      </w:r>
      <w:r w:rsidR="009A4872">
        <w:t xml:space="preserve"> the ‘no letter’ group (Figure 4</w:t>
      </w:r>
      <w:r w:rsidRPr="006B239B">
        <w:t>). This difference was obs</w:t>
      </w:r>
      <w:r>
        <w:t>erved in all categories of work</w:t>
      </w:r>
      <w:r>
        <w:noBreakHyphen/>
      </w:r>
      <w:r w:rsidRPr="006B239B">
        <w:t xml:space="preserve">related expense deductions, with the largest average differences seen for car ($79) and travel ($46) expenses (Table 3.4, Appendix 3). </w:t>
      </w:r>
    </w:p>
    <w:p w14:paraId="2EECBCF5" w14:textId="77777777" w:rsidR="000E1510" w:rsidRPr="006B239B" w:rsidRDefault="000E1510" w:rsidP="000E1510">
      <w:r w:rsidRPr="006B239B">
        <w:t>On average, i</w:t>
      </w:r>
      <w:r w:rsidRPr="006B239B" w:rsidDel="000F5F3D">
        <w:t xml:space="preserve">dentified clients in the </w:t>
      </w:r>
      <w:r w:rsidRPr="006B239B">
        <w:t>letter group</w:t>
      </w:r>
      <w:r w:rsidRPr="006B239B" w:rsidDel="000F5F3D">
        <w:t xml:space="preserve"> </w:t>
      </w:r>
      <w:r w:rsidRPr="006B239B">
        <w:t>represented by</w:t>
      </w:r>
      <w:r w:rsidRPr="006B239B" w:rsidDel="000F5F3D">
        <w:t xml:space="preserve"> </w:t>
      </w:r>
      <w:r w:rsidRPr="006B239B">
        <w:t>agents with higher risk scores</w:t>
      </w:r>
      <w:r w:rsidRPr="006B239B" w:rsidDel="000F5F3D">
        <w:t xml:space="preserve"> had their </w:t>
      </w:r>
      <w:r w:rsidRPr="006B239B">
        <w:t>work</w:t>
      </w:r>
      <w:r w:rsidRPr="006B239B">
        <w:noBreakHyphen/>
        <w:t>related expense</w:t>
      </w:r>
      <w:r w:rsidRPr="006B239B" w:rsidDel="000F5F3D">
        <w:t xml:space="preserve"> claims reduced by $100 more than </w:t>
      </w:r>
      <w:r w:rsidRPr="006B239B">
        <w:t>identified clients</w:t>
      </w:r>
      <w:r w:rsidRPr="006B239B" w:rsidDel="000F5F3D">
        <w:t xml:space="preserve"> </w:t>
      </w:r>
      <w:r w:rsidRPr="006B239B">
        <w:t>represented by</w:t>
      </w:r>
      <w:r w:rsidRPr="006B239B" w:rsidDel="000F5F3D">
        <w:t xml:space="preserve"> </w:t>
      </w:r>
      <w:r w:rsidRPr="006B239B">
        <w:t>agents with moderate risk scores</w:t>
      </w:r>
      <w:r w:rsidRPr="006B239B" w:rsidDel="000F5F3D">
        <w:t xml:space="preserve"> (Table </w:t>
      </w:r>
      <w:r w:rsidRPr="006B239B">
        <w:t>3.5, Appendix 3</w:t>
      </w:r>
      <w:r w:rsidRPr="006B239B" w:rsidDel="000F5F3D">
        <w:t xml:space="preserve">). </w:t>
      </w:r>
    </w:p>
    <w:p w14:paraId="4B19CA56" w14:textId="571640D4" w:rsidR="005860D7" w:rsidRDefault="000E1510" w:rsidP="000E1510">
      <w:pPr>
        <w:spacing w:line="276" w:lineRule="auto"/>
      </w:pPr>
      <w:r w:rsidRPr="006B239B">
        <w:t>Identified clients represented by agents in the letter group lodged amendments resulting in $76 more tax paid on average than identified clients represented by agents in</w:t>
      </w:r>
      <w:r w:rsidR="009A4872">
        <w:t xml:space="preserve"> the ‘no letter’ group (Figure 4</w:t>
      </w:r>
      <w:r w:rsidRPr="006B239B">
        <w:t xml:space="preserve">). As noted above, </w:t>
      </w:r>
      <w:r>
        <w:t>t</w:t>
      </w:r>
      <w:r w:rsidRPr="00D1342B">
        <w:t xml:space="preserve">his effect is attributable to the letter, but we cannot be sure about the </w:t>
      </w:r>
      <w:r>
        <w:t>contribution of</w:t>
      </w:r>
      <w:r w:rsidRPr="00D1342B">
        <w:t xml:space="preserve"> the reduction in work</w:t>
      </w:r>
      <w:r>
        <w:noBreakHyphen/>
      </w:r>
      <w:r w:rsidRPr="00D1342B">
        <w:t xml:space="preserve">related expense claims </w:t>
      </w:r>
      <w:r>
        <w:t>to the</w:t>
      </w:r>
      <w:r w:rsidRPr="00D1342B">
        <w:t xml:space="preserve"> increase</w:t>
      </w:r>
      <w:r>
        <w:t xml:space="preserve"> in</w:t>
      </w:r>
      <w:r w:rsidRPr="00D1342B">
        <w:t xml:space="preserve"> tax paid</w:t>
      </w:r>
      <w:r>
        <w:t>.</w:t>
      </w:r>
    </w:p>
    <w:p w14:paraId="37741C16" w14:textId="77777777" w:rsidR="005860D7" w:rsidRDefault="005860D7">
      <w:pPr>
        <w:spacing w:before="0" w:after="0" w:line="240" w:lineRule="auto"/>
      </w:pPr>
      <w:r>
        <w:br w:type="page"/>
      </w:r>
    </w:p>
    <w:p w14:paraId="799DE9BB" w14:textId="77777777" w:rsidR="005860D7" w:rsidRPr="00D51EAC" w:rsidRDefault="005860D7" w:rsidP="00085623">
      <w:pPr>
        <w:pStyle w:val="h4"/>
      </w:pPr>
      <w:r>
        <w:t>Figure 4: Average change in value of work-related expense claims and tax paid for amended returns – by individual identified client</w:t>
      </w:r>
    </w:p>
    <w:p w14:paraId="3A1CB6FA" w14:textId="77777777" w:rsidR="000E1510" w:rsidRPr="00A1647C" w:rsidRDefault="000E1510" w:rsidP="000E1510">
      <w:pPr>
        <w:keepNext/>
        <w:spacing w:after="0"/>
        <w:rPr>
          <w:rStyle w:val="Heading3Char"/>
          <w:rFonts w:ascii="Montserrat Light" w:hAnsi="Montserrat Light"/>
          <w:szCs w:val="20"/>
        </w:rPr>
      </w:pPr>
    </w:p>
    <w:p w14:paraId="7AA45B06" w14:textId="3236B565" w:rsidR="000E1510" w:rsidRPr="00310315" w:rsidRDefault="00A37023" w:rsidP="000E1510">
      <w:pPr>
        <w:keepNext/>
        <w:rPr>
          <w:rStyle w:val="Heading3Char"/>
          <w:b w:val="0"/>
          <w:caps/>
          <w:color w:val="auto"/>
        </w:rPr>
      </w:pPr>
      <w:r>
        <w:rPr>
          <w:rFonts w:asciiTheme="majorHAnsi" w:hAnsiTheme="majorHAnsi"/>
          <w:caps/>
          <w:noProof/>
          <w:color w:val="auto"/>
          <w:sz w:val="22"/>
          <w:szCs w:val="28"/>
        </w:rPr>
        <w:drawing>
          <wp:inline distT="0" distB="0" distL="0" distR="0" wp14:anchorId="77D9AF71" wp14:editId="45EC865E">
            <wp:extent cx="5182323" cy="2543530"/>
            <wp:effectExtent l="0" t="0" r="0" b="9525"/>
            <wp:docPr id="16" name="Picture 16" descr="Identified clients represented by agents in the letter group lodged amendments resulting in $76 more tax paid on average than identified clients represented by agents in the ‘no letter’ group (Figure 4). As noted above, this effect is attributable to the letter, but we cannot be sure about the contribution of the reduction in work related expense claims to the increase in tax paid." title="Average change in value of work-related expense claims and tax paid for amended returns - by individual identified 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RE Fig 4.PNG"/>
                    <pic:cNvPicPr/>
                  </pic:nvPicPr>
                  <pic:blipFill>
                    <a:blip r:embed="rId23">
                      <a:extLst>
                        <a:ext uri="{28A0092B-C50C-407E-A947-70E740481C1C}">
                          <a14:useLocalDpi xmlns:a14="http://schemas.microsoft.com/office/drawing/2010/main" val="0"/>
                        </a:ext>
                      </a:extLst>
                    </a:blip>
                    <a:stretch>
                      <a:fillRect/>
                    </a:stretch>
                  </pic:blipFill>
                  <pic:spPr>
                    <a:xfrm>
                      <a:off x="0" y="0"/>
                      <a:ext cx="5182323" cy="2543530"/>
                    </a:xfrm>
                    <a:prstGeom prst="rect">
                      <a:avLst/>
                    </a:prstGeom>
                  </pic:spPr>
                </pic:pic>
              </a:graphicData>
            </a:graphic>
          </wp:inline>
        </w:drawing>
      </w:r>
    </w:p>
    <w:p w14:paraId="0E44FCF4" w14:textId="77777777" w:rsidR="000E1510" w:rsidRPr="00A1647C" w:rsidRDefault="000E1510" w:rsidP="00C66F3C">
      <w:pPr>
        <w:rPr>
          <w:b/>
        </w:rPr>
      </w:pPr>
      <w:r w:rsidRPr="00A1647C">
        <w:t xml:space="preserve">Note: the differences in WRE claims ($193) and net tax paid ($76) are both statistically significant at p&lt;0.001. The total sample size was 22,686 clients. </w:t>
      </w:r>
    </w:p>
    <w:p w14:paraId="07A8D537" w14:textId="77777777" w:rsidR="000E1510" w:rsidRDefault="000E1510" w:rsidP="00DA7796"/>
    <w:p w14:paraId="730857C6" w14:textId="77777777" w:rsidR="000E1510" w:rsidRPr="004121BC" w:rsidRDefault="000E1510" w:rsidP="000E1510">
      <w:pPr>
        <w:pStyle w:val="Heading2"/>
        <w:spacing w:before="120"/>
      </w:pPr>
      <w:r w:rsidRPr="004121BC">
        <w:t xml:space="preserve">Did </w:t>
      </w:r>
      <w:r>
        <w:t>the letter affect work-related expense claims in new tax returns?</w:t>
      </w:r>
      <w:r w:rsidRPr="004121BC">
        <w:t xml:space="preserve"> </w:t>
      </w:r>
    </w:p>
    <w:p w14:paraId="221C3AFF" w14:textId="77777777" w:rsidR="000E1510" w:rsidRPr="007E4BB3" w:rsidRDefault="000E1510" w:rsidP="000E1510">
      <w:r w:rsidRPr="007E4BB3">
        <w:t xml:space="preserve">Most agents lodged new tax returns in the 90 days after the letter was sent (i.e. </w:t>
      </w:r>
      <w:r>
        <w:t xml:space="preserve">for </w:t>
      </w:r>
      <w:r w:rsidRPr="007E4BB3">
        <w:t>non</w:t>
      </w:r>
      <w:r>
        <w:noBreakHyphen/>
      </w:r>
      <w:r w:rsidRPr="007E4BB3">
        <w:t>identified clients). Agents in the letter group lodged returns for 6,440 fewer clients than agents in the ‘no letter’ group (107,427 compared to 113,867, see Table 3.6 in Appendix 3)</w:t>
      </w:r>
      <w:r>
        <w:t>.</w:t>
      </w:r>
      <w:r>
        <w:rPr>
          <w:rStyle w:val="FootnoteReference"/>
        </w:rPr>
        <w:footnoteReference w:id="4"/>
      </w:r>
      <w:r w:rsidRPr="007E4BB3">
        <w:t xml:space="preserve"> The average number of new tax returns was 260 in the letter group (range 1 to 1647) and 279 in the ‘no letter’ group (range 1 to 1437). </w:t>
      </w:r>
    </w:p>
    <w:p w14:paraId="30100A0D" w14:textId="5A701C1D" w:rsidR="000E1510" w:rsidRPr="007E4BB3" w:rsidRDefault="000E1510" w:rsidP="000E1510">
      <w:r w:rsidRPr="007E4BB3">
        <w:t>On average, individuals represented by agents in the letter group claimed $32 less in work</w:t>
      </w:r>
      <w:r w:rsidRPr="007E4BB3">
        <w:noBreakHyphen/>
        <w:t xml:space="preserve">related expense deductions than individuals represented by agents in the ‘no letter’ group (Figure </w:t>
      </w:r>
      <w:r w:rsidR="009A4872">
        <w:t>5</w:t>
      </w:r>
      <w:r w:rsidRPr="007E4BB3">
        <w:t xml:space="preserve"> and Table 3.8, Appendix 3). </w:t>
      </w:r>
    </w:p>
    <w:p w14:paraId="725E5E26" w14:textId="77777777" w:rsidR="000E1510" w:rsidRPr="007E4BB3" w:rsidRDefault="000E1510" w:rsidP="000E1510">
      <w:r w:rsidRPr="007E4BB3">
        <w:t xml:space="preserve">Interestingly, individuals represented by agents in the letter group also claimed $399 more in other deductions (non-work related) on average than individuals represented by agents in the no letter group.  This increase was driven predominantly by deductions for gifts and donations. </w:t>
      </w:r>
    </w:p>
    <w:p w14:paraId="294ED84F" w14:textId="77777777" w:rsidR="000E1510" w:rsidRPr="007E4BB3" w:rsidRDefault="000E1510" w:rsidP="000E1510">
      <w:r w:rsidRPr="007E4BB3">
        <w:t>Despite this, on average, individuals represented by agents in the letter group paid $1,999 more tax than individuals represented by agents in the ‘no letter’ group. Again, we note that work-related deductions are not the only factor that can affect the amount of net tax paid.</w:t>
      </w:r>
    </w:p>
    <w:p w14:paraId="50CD15F5" w14:textId="77777777" w:rsidR="005860D7" w:rsidRDefault="005860D7">
      <w:pPr>
        <w:spacing w:before="0" w:after="0" w:line="240" w:lineRule="auto"/>
        <w:rPr>
          <w:b/>
        </w:rPr>
      </w:pPr>
      <w:r>
        <w:rPr>
          <w:b/>
        </w:rPr>
        <w:br w:type="page"/>
      </w:r>
    </w:p>
    <w:p w14:paraId="66D027E0" w14:textId="77777777" w:rsidR="005860D7" w:rsidRPr="00D51EAC" w:rsidRDefault="005860D7" w:rsidP="00085623">
      <w:pPr>
        <w:outlineLvl w:val="2"/>
        <w:rPr>
          <w:b/>
        </w:rPr>
      </w:pPr>
      <w:r>
        <w:rPr>
          <w:b/>
        </w:rPr>
        <w:t>Figure 5: Average work-related expense claims and tax paid for new returns – by individual</w:t>
      </w:r>
    </w:p>
    <w:p w14:paraId="5A96AE57" w14:textId="77777777" w:rsidR="000E1510" w:rsidRPr="00A1647C" w:rsidRDefault="000E1510" w:rsidP="000E1510">
      <w:pPr>
        <w:keepNext/>
        <w:spacing w:after="0"/>
        <w:rPr>
          <w:rStyle w:val="Heading3Char"/>
          <w:rFonts w:ascii="Montserrat Light" w:hAnsi="Montserrat Light"/>
          <w:szCs w:val="20"/>
        </w:rPr>
      </w:pPr>
    </w:p>
    <w:p w14:paraId="61AB2402" w14:textId="5B93BEF3" w:rsidR="000E1510" w:rsidRDefault="00A37023" w:rsidP="000E1510">
      <w:pPr>
        <w:keepNext/>
        <w:spacing w:after="0"/>
        <w:rPr>
          <w:rStyle w:val="Heading3Char"/>
          <w:b w:val="0"/>
          <w:caps/>
          <w:szCs w:val="20"/>
        </w:rPr>
      </w:pPr>
      <w:r>
        <w:rPr>
          <w:rFonts w:asciiTheme="majorHAnsi" w:hAnsiTheme="majorHAnsi"/>
          <w:caps/>
          <w:noProof/>
          <w:sz w:val="22"/>
          <w:szCs w:val="20"/>
        </w:rPr>
        <w:drawing>
          <wp:inline distT="0" distB="0" distL="0" distR="0" wp14:anchorId="4E116577" wp14:editId="71E7FF13">
            <wp:extent cx="5210902" cy="3019846"/>
            <wp:effectExtent l="0" t="0" r="8890" b="9525"/>
            <wp:docPr id="17" name="Picture 17" descr="Bar chart showing the results for control group and treatment group. On average, individuals represented by agents in the letter group claimed $32 less in work related expense deductions than individuals represented by agents in the ‘no letter’ group." title="Average work-related expense claims and tax paid for new returns - by individ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RE Fig 5.PNG"/>
                    <pic:cNvPicPr/>
                  </pic:nvPicPr>
                  <pic:blipFill>
                    <a:blip r:embed="rId24">
                      <a:extLst>
                        <a:ext uri="{28A0092B-C50C-407E-A947-70E740481C1C}">
                          <a14:useLocalDpi xmlns:a14="http://schemas.microsoft.com/office/drawing/2010/main" val="0"/>
                        </a:ext>
                      </a:extLst>
                    </a:blip>
                    <a:stretch>
                      <a:fillRect/>
                    </a:stretch>
                  </pic:blipFill>
                  <pic:spPr>
                    <a:xfrm>
                      <a:off x="0" y="0"/>
                      <a:ext cx="5210902" cy="3019846"/>
                    </a:xfrm>
                    <a:prstGeom prst="rect">
                      <a:avLst/>
                    </a:prstGeom>
                  </pic:spPr>
                </pic:pic>
              </a:graphicData>
            </a:graphic>
          </wp:inline>
        </w:drawing>
      </w:r>
    </w:p>
    <w:p w14:paraId="7D9149D9" w14:textId="77777777" w:rsidR="000E1510" w:rsidRPr="00265F90" w:rsidRDefault="000E1510" w:rsidP="000E1510">
      <w:pPr>
        <w:keepNext/>
        <w:spacing w:after="0"/>
        <w:rPr>
          <w:color w:val="332C28"/>
          <w:sz w:val="24"/>
        </w:rPr>
      </w:pPr>
      <w:r w:rsidRPr="003E7D93">
        <w:rPr>
          <w:color w:val="332C28"/>
          <w:szCs w:val="20"/>
        </w:rPr>
        <w:t xml:space="preserve">Note: </w:t>
      </w:r>
      <w:r>
        <w:rPr>
          <w:color w:val="332C28"/>
          <w:szCs w:val="20"/>
        </w:rPr>
        <w:t xml:space="preserve">the differences in WRE claims (-$32) and net tax paid ($1,998) are both </w:t>
      </w:r>
      <w:r w:rsidRPr="003E7D93">
        <w:rPr>
          <w:color w:val="332C28"/>
          <w:szCs w:val="20"/>
        </w:rPr>
        <w:t xml:space="preserve">statistically significant </w:t>
      </w:r>
      <w:r>
        <w:rPr>
          <w:color w:val="332C28"/>
          <w:szCs w:val="20"/>
        </w:rPr>
        <w:t>at p=</w:t>
      </w:r>
      <w:r w:rsidRPr="003E7D93">
        <w:rPr>
          <w:color w:val="332C28"/>
          <w:szCs w:val="20"/>
        </w:rPr>
        <w:t>0.0</w:t>
      </w:r>
      <w:r>
        <w:rPr>
          <w:color w:val="332C28"/>
          <w:szCs w:val="20"/>
        </w:rPr>
        <w:t>43 and p=0.008, respectively</w:t>
      </w:r>
      <w:r w:rsidRPr="003E7D93">
        <w:rPr>
          <w:color w:val="332C28"/>
          <w:szCs w:val="20"/>
        </w:rPr>
        <w:t xml:space="preserve">. The total sample size was </w:t>
      </w:r>
      <w:r>
        <w:rPr>
          <w:color w:val="332C28"/>
          <w:szCs w:val="20"/>
        </w:rPr>
        <w:t>2</w:t>
      </w:r>
      <w:r w:rsidRPr="003E7D93">
        <w:rPr>
          <w:color w:val="332C28"/>
          <w:szCs w:val="20"/>
        </w:rPr>
        <w:t>2</w:t>
      </w:r>
      <w:r>
        <w:rPr>
          <w:color w:val="332C28"/>
          <w:szCs w:val="20"/>
        </w:rPr>
        <w:t>2</w:t>
      </w:r>
      <w:r w:rsidRPr="003E7D93">
        <w:rPr>
          <w:color w:val="332C28"/>
          <w:szCs w:val="20"/>
        </w:rPr>
        <w:t>,</w:t>
      </w:r>
      <w:r>
        <w:rPr>
          <w:color w:val="332C28"/>
          <w:szCs w:val="20"/>
        </w:rPr>
        <w:t>194 clients</w:t>
      </w:r>
      <w:r w:rsidRPr="003E7D93">
        <w:rPr>
          <w:color w:val="332C28"/>
          <w:szCs w:val="20"/>
        </w:rPr>
        <w:t>.</w:t>
      </w:r>
    </w:p>
    <w:p w14:paraId="49CB03F7" w14:textId="77777777" w:rsidR="000E1510" w:rsidRPr="00567226" w:rsidRDefault="000E1510" w:rsidP="000E1510">
      <w:pPr>
        <w:spacing w:before="0" w:after="0"/>
      </w:pPr>
      <w:r>
        <w:rPr>
          <w:caps/>
        </w:rPr>
        <w:br w:type="page"/>
      </w:r>
    </w:p>
    <w:p w14:paraId="0C63F792" w14:textId="77777777" w:rsidR="00B85446" w:rsidRDefault="00B85446" w:rsidP="00081366"/>
    <w:p w14:paraId="721D5189" w14:textId="77777777" w:rsidR="00B85446" w:rsidRDefault="00B85446" w:rsidP="00B85446">
      <w:pPr>
        <w:pStyle w:val="Heading1"/>
      </w:pPr>
      <w:bookmarkStart w:id="6" w:name="_Toc521485116"/>
      <w:r w:rsidRPr="00B85446">
        <w:t>Limitations</w:t>
      </w:r>
      <w:bookmarkEnd w:id="6"/>
    </w:p>
    <w:p w14:paraId="69CDE922" w14:textId="77777777" w:rsidR="000E1510" w:rsidRDefault="000E1510" w:rsidP="000E1510">
      <w:r>
        <w:t xml:space="preserve">For new tax returns, individuals in the letter group paid more tax on average than individuals in the ‘no letter’ group although the former group had higher average deductions overall, including higher deductions for gifts and donations. We cannot fully explain this finding as we only examined income from wages, salary and allowances and did not consider income from other sources. Future research with data on all income sources may explain this finding. </w:t>
      </w:r>
    </w:p>
    <w:p w14:paraId="1B759AA4" w14:textId="77777777" w:rsidR="000E1510" w:rsidRDefault="000E1510" w:rsidP="000E1510">
      <w:r>
        <w:t xml:space="preserve">The analysis of new tax returns at the agent level found results varied depending on the type of income variable included in the regression model (e.g. whether we used clients’ median income or clients’ average income). This possibly reflects the wide variation in income of their clients and the fact averages are sensitive to outliers. Hence, the results of the new tax returns analysis at the agent level are only included in Tables 3.8 and 3.9 at Appendix 3 and are not presented in the main body of the report. </w:t>
      </w:r>
    </w:p>
    <w:p w14:paraId="09BA3E87" w14:textId="77777777" w:rsidR="000E1510" w:rsidRDefault="000E1510" w:rsidP="000E1510">
      <w:r>
        <w:t xml:space="preserve">Contrary to the analysis plan, we did not analyse data on amended tax returns of non identified clients of agents in the trial. This additional data, as well as historical income tax return data, could be explored in future research to shed light on patterns of deductions, including whether the letter and ‘no letter’ groups differed in their pattern of deductions prior to the trial. </w:t>
      </w:r>
    </w:p>
    <w:p w14:paraId="48FD7651" w14:textId="77777777" w:rsidR="00B85446" w:rsidRDefault="000E1510" w:rsidP="000E1510">
      <w:r>
        <w:t>Finally, analysis on the accuracy of either amended or new returns was beyond the scope of this trial. Reductions may have been made to reduce over-claiming, or may have been made to take a more conservative approach to genuine claims. It is therefore difficult to assert the reduction in claims unequivocally reduced non compliant activity. That said, we are working on the reasonable assumption that agents would be unlikely to amend returns if there were no identifiable issues with the initially lodged return.</w:t>
      </w:r>
    </w:p>
    <w:p w14:paraId="3EB0E0E3" w14:textId="77777777" w:rsidR="00B85446" w:rsidRDefault="00B85446" w:rsidP="00B85446"/>
    <w:p w14:paraId="22B027AD" w14:textId="77777777" w:rsidR="00B85446" w:rsidRDefault="00B85446" w:rsidP="00B85446">
      <w:r>
        <w:br w:type="page"/>
      </w:r>
    </w:p>
    <w:p w14:paraId="5AEEEF10" w14:textId="77777777" w:rsidR="00B85446" w:rsidRDefault="00B85446" w:rsidP="00B85446">
      <w:pPr>
        <w:pStyle w:val="Heading1"/>
      </w:pPr>
      <w:bookmarkStart w:id="7" w:name="_Toc521485117"/>
      <w:r w:rsidRPr="00B85446">
        <w:t>Discussion and conclusion</w:t>
      </w:r>
      <w:bookmarkEnd w:id="7"/>
    </w:p>
    <w:p w14:paraId="1B562323" w14:textId="7063D6E4" w:rsidR="000E1510" w:rsidRDefault="000E1510" w:rsidP="000E1510">
      <w:r>
        <w:t>The results of the trial demonstrate coupling data analytics with communications incorporating behavioural insight techniques ca</w:t>
      </w:r>
      <w:r w:rsidR="007D6DC5">
        <w:t>n influence compliance for work</w:t>
      </w:r>
      <w:r w:rsidR="007D6DC5">
        <w:noBreakHyphen/>
      </w:r>
      <w:r>
        <w:t xml:space="preserve">related expense claims. </w:t>
      </w:r>
    </w:p>
    <w:p w14:paraId="528EC5E3" w14:textId="77777777" w:rsidR="000E1510" w:rsidRDefault="000E1510" w:rsidP="000E1510">
      <w:r>
        <w:t xml:space="preserve">Identified clients represented by agents in the letter group reduced their work-related expense claims by a total of $2.2 million. On average, identified clients represented by agents in the letter group reduced their work related expense claims by $191, compared with a $2 increase in the ‘no letter’ group. </w:t>
      </w:r>
    </w:p>
    <w:p w14:paraId="4A4A7CF1" w14:textId="77777777" w:rsidR="000E1510" w:rsidRDefault="000E1510" w:rsidP="000E1510">
      <w:r>
        <w:t xml:space="preserve">While acknowledging factors other than work related expense deductions may also be driving the amount of net tax paid, agents in the letter group also increased tax paid by $0.9 million (Table 3.10, Appendix 3) . On average, tax paid increased per client by $76. Given there were as many agents in the ‘no letter’ group as in the letter group, we can estimate if the letter was sent to all agents in the trial, work-related expense claims would have reduced by $4.4 million and tax revenue increased by $1.7 million (Table 3.10, Appendix 3). </w:t>
      </w:r>
    </w:p>
    <w:p w14:paraId="26A7FD79" w14:textId="065F0E65" w:rsidR="000E1510" w:rsidRDefault="000E1510" w:rsidP="000E1510">
      <w:r>
        <w:t xml:space="preserve">On the face of it, this result indicates </w:t>
      </w:r>
      <w:r w:rsidR="009A4872">
        <w:t>an effective</w:t>
      </w:r>
      <w:r>
        <w:t xml:space="preserve"> return on investment when the cost of sending the letters is compared with the additional tax revenue collected as a result of reducing deductions. However, noted alongside this result, unpublished ATO reports suggest other approaches employed within the ATO (as noted on page 4-5 of this report) to influence compliance for work related expense claims are resulting in a greater return on investment.  The ATO has previously established that unless follow-up compliance work is conducted after letter campaigns, the effectiveness of future campaigns is decreased. The need for this follow up action reduces the cost effectiveness of a letter based approach.</w:t>
      </w:r>
    </w:p>
    <w:p w14:paraId="6C8950CF" w14:textId="605FD763" w:rsidR="00081366" w:rsidRDefault="000E1510" w:rsidP="00081366">
      <w:r>
        <w:t>Our trial shows it is important to test interventions because human behaviour is complex. Our trial showed the letter was effective at reducing work-r</w:t>
      </w:r>
      <w:r w:rsidR="009A4872">
        <w:t>elated expense claims, but work</w:t>
      </w:r>
      <w:r w:rsidR="009A4872">
        <w:noBreakHyphen/>
      </w:r>
      <w:r>
        <w:t>related expenses are just one part of the overall tax system and tax return process. As changes in deductions claimed in one category may be offset by increases in deductions claimed in other categories, future trials should connect and analyse data across all deduction categories to better identify shifts in behaviour around claiming deductions.</w:t>
      </w:r>
      <w:r w:rsidR="00081366">
        <w:br w:type="page"/>
      </w:r>
    </w:p>
    <w:p w14:paraId="6AEDF3AE" w14:textId="77777777" w:rsidR="00081366" w:rsidRDefault="00081366" w:rsidP="00081366">
      <w:pPr>
        <w:pStyle w:val="Heading1"/>
      </w:pPr>
      <w:bookmarkStart w:id="8" w:name="_Toc521485118"/>
      <w:r>
        <w:t>Appendices</w:t>
      </w:r>
      <w:bookmarkEnd w:id="8"/>
    </w:p>
    <w:p w14:paraId="45AA5C5D" w14:textId="77777777" w:rsidR="00081366" w:rsidRDefault="00A63163" w:rsidP="00085623">
      <w:pPr>
        <w:pStyle w:val="AppendixHeading"/>
        <w:outlineLvl w:val="1"/>
      </w:pPr>
      <w:bookmarkStart w:id="9" w:name="_Toc521485119"/>
      <w:r>
        <w:t>Interventions</w:t>
      </w:r>
      <w:bookmarkEnd w:id="9"/>
    </w:p>
    <w:p w14:paraId="33A622E5" w14:textId="77777777" w:rsidR="00A63163" w:rsidRPr="00A63163" w:rsidRDefault="00A63163" w:rsidP="00A63163">
      <w:r>
        <w:rPr>
          <w:b/>
          <w:noProof/>
          <w:sz w:val="24"/>
        </w:rPr>
        <w:drawing>
          <wp:inline distT="0" distB="0" distL="0" distR="0" wp14:anchorId="3D93E928" wp14:editId="6E64670A">
            <wp:extent cx="5472283" cy="6366295"/>
            <wp:effectExtent l="0" t="0" r="0" b="0"/>
            <wp:docPr id="8" name="Picture 8" descr="The intervention letter from the ATO to tax agents, asking them to check client's claims and amend tax returns to correct any errors." title="Letter from ATO to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2924" cy="6378674"/>
                    </a:xfrm>
                    <a:prstGeom prst="rect">
                      <a:avLst/>
                    </a:prstGeom>
                    <a:noFill/>
                  </pic:spPr>
                </pic:pic>
              </a:graphicData>
            </a:graphic>
          </wp:inline>
        </w:drawing>
      </w:r>
    </w:p>
    <w:p w14:paraId="07956D22" w14:textId="77777777" w:rsidR="00A63163" w:rsidRDefault="00A63163" w:rsidP="00A63163">
      <w:pPr>
        <w:pStyle w:val="FigureHeading"/>
        <w:numPr>
          <w:ilvl w:val="0"/>
          <w:numId w:val="0"/>
        </w:numPr>
      </w:pPr>
    </w:p>
    <w:p w14:paraId="0A885ED6" w14:textId="77777777" w:rsidR="00A63163" w:rsidRDefault="00A63163">
      <w:pPr>
        <w:spacing w:before="0" w:after="0" w:line="240" w:lineRule="auto"/>
        <w:rPr>
          <w:b/>
          <w:color w:val="117479" w:themeColor="accent3"/>
          <w:sz w:val="24"/>
        </w:rPr>
      </w:pPr>
      <w:r>
        <w:br w:type="page"/>
      </w:r>
    </w:p>
    <w:p w14:paraId="2CAAF509" w14:textId="77777777" w:rsidR="00A63163" w:rsidRDefault="00A63163" w:rsidP="00085623">
      <w:pPr>
        <w:pStyle w:val="AppendixHeading"/>
        <w:outlineLvl w:val="1"/>
      </w:pPr>
      <w:bookmarkStart w:id="10" w:name="_Toc521485120"/>
      <w:r>
        <w:t>The technical details</w:t>
      </w:r>
      <w:bookmarkEnd w:id="10"/>
    </w:p>
    <w:p w14:paraId="35872413" w14:textId="77777777" w:rsidR="00A63163" w:rsidRDefault="00A63163" w:rsidP="00085623">
      <w:pPr>
        <w:spacing w:before="0" w:line="276" w:lineRule="auto"/>
        <w:outlineLvl w:val="2"/>
        <w:rPr>
          <w:rFonts w:ascii="Montserrat Light" w:eastAsia="Montserrat" w:hAnsi="Montserrat Light"/>
          <w:b/>
          <w:color w:val="auto"/>
          <w:sz w:val="24"/>
          <w:szCs w:val="28"/>
        </w:rPr>
      </w:pPr>
      <w:r w:rsidRPr="009F2226">
        <w:rPr>
          <w:rFonts w:ascii="Montserrat Light" w:eastAsia="Montserrat" w:hAnsi="Montserrat Light"/>
          <w:b/>
          <w:color w:val="auto"/>
          <w:sz w:val="24"/>
          <w:szCs w:val="28"/>
        </w:rPr>
        <w:t>SAMPLE</w:t>
      </w:r>
    </w:p>
    <w:p w14:paraId="1C7FC386" w14:textId="77777777" w:rsidR="00A63163" w:rsidRPr="009F2226" w:rsidRDefault="00A63163" w:rsidP="00085623">
      <w:pPr>
        <w:pStyle w:val="h4"/>
      </w:pPr>
      <w:r w:rsidRPr="009F2226">
        <w:t>Power calculations</w:t>
      </w:r>
    </w:p>
    <w:p w14:paraId="6C7C9E41" w14:textId="77777777" w:rsidR="00A63163" w:rsidRPr="007E4BB3" w:rsidRDefault="00A63163" w:rsidP="00A63163">
      <w:r w:rsidRPr="007E4BB3">
        <w:t xml:space="preserve">To determine the appropriate sample size, we conducted power calculations based on average work-related expense claims in 2015 from tax returns prepared by agents included in this trial. </w:t>
      </w:r>
    </w:p>
    <w:p w14:paraId="03D014C2" w14:textId="77777777" w:rsidR="00A63163" w:rsidRPr="007E4BB3" w:rsidRDefault="00A63163" w:rsidP="00A63163">
      <w:r w:rsidRPr="007E4BB3">
        <w:t>Agents included in this trial had been previously assessed by the ATO to have a moderate to high level of risk in relation to their client’s work-related expense claims.  To make this assessment, the ATO uses stratified sampling on tax agent lodged returns to establish industry norms for lodgment behaviour.  For each tax agent, the ATO creates a population of ‘notional peers’ with the same number of clients and the same characteristics as the tax agent in focus; and this relative comparison determines the level of work-related expense risk for the tax agent based on their clients</w:t>
      </w:r>
      <w:r>
        <w:t>’</w:t>
      </w:r>
      <w:r w:rsidRPr="007E4BB3">
        <w:t xml:space="preserve"> claims.</w:t>
      </w:r>
    </w:p>
    <w:p w14:paraId="60B914BE" w14:textId="77777777" w:rsidR="00A63163" w:rsidRPr="007E4BB3" w:rsidRDefault="00A63163" w:rsidP="00A63163">
      <w:r w:rsidRPr="007E4BB3">
        <w:t>We did not include agents that are considered to have the highest risk, because the ATO conducts separate compliance and auditing activities as appropriate for this cohort. We also only included agents with a client base of predominantly individuals because the study was designed to address work-related expense deductions claimed by individuals.</w:t>
      </w:r>
    </w:p>
    <w:p w14:paraId="375D94B1" w14:textId="77777777" w:rsidR="00A63163" w:rsidRDefault="00A63163" w:rsidP="00A63163">
      <w:r w:rsidRPr="007E4BB3">
        <w:t xml:space="preserve">We estimated a sample size of 2,276 was needed for 80 per cent power to detect a difference of $271 (a 9 per cent decrease) in average work-related expense claims at the agent level for amended claims. </w:t>
      </w:r>
    </w:p>
    <w:p w14:paraId="1C1E11B6" w14:textId="77777777" w:rsidR="00D45C4D" w:rsidRPr="007E4BB3" w:rsidRDefault="00D45C4D" w:rsidP="00A63163"/>
    <w:p w14:paraId="489A2A90" w14:textId="77777777" w:rsidR="00A63163" w:rsidRPr="00067785" w:rsidRDefault="00A63163" w:rsidP="00085623">
      <w:pPr>
        <w:pStyle w:val="h4"/>
      </w:pPr>
      <w:r w:rsidRPr="00067785">
        <w:t>Randomisation method</w:t>
      </w:r>
    </w:p>
    <w:p w14:paraId="5D5FC009" w14:textId="2A146890" w:rsidR="00A63163" w:rsidRPr="007E4BB3" w:rsidRDefault="00A63163" w:rsidP="00A63163">
      <w:r w:rsidRPr="007E4BB3">
        <w:t>The initial sample was 2,287, which accounts for dropping three agents to ensure balance across the groups. We then randomised by first grouping agents by business size and function. We then pair matched agents based on work-rela</w:t>
      </w:r>
      <w:r w:rsidR="0081076C">
        <w:t>ted expense risk score and work</w:t>
      </w:r>
      <w:r w:rsidR="0081076C">
        <w:noBreakHyphen/>
      </w:r>
      <w:r w:rsidRPr="007E4BB3">
        <w:t>related expense claims over the 2012</w:t>
      </w:r>
      <w:r w:rsidRPr="007E4BB3">
        <w:noBreakHyphen/>
        <w:t xml:space="preserve">13 to 2014-15 years. We designed the grouping and pair matching to ensure the characteristics of agents in the letter group and ‘no letter’ group were as similar as possible. </w:t>
      </w:r>
    </w:p>
    <w:p w14:paraId="3D56FE6C" w14:textId="77777777" w:rsidR="00A63163" w:rsidRDefault="00A63163" w:rsidP="00A63163">
      <w:pPr>
        <w:rPr>
          <w:b/>
        </w:rPr>
      </w:pPr>
    </w:p>
    <w:p w14:paraId="4D6B5751" w14:textId="77777777" w:rsidR="00A63163" w:rsidRPr="007E4BB3" w:rsidRDefault="00A63163" w:rsidP="00085623">
      <w:pPr>
        <w:pStyle w:val="h4"/>
      </w:pPr>
      <w:r w:rsidRPr="007E4BB3">
        <w:t>Final sample sizes</w:t>
      </w:r>
    </w:p>
    <w:p w14:paraId="2A018F5A" w14:textId="77777777" w:rsidR="00A63163" w:rsidRPr="007E4BB3" w:rsidRDefault="00A63163" w:rsidP="00085623">
      <w:pPr>
        <w:outlineLvl w:val="4"/>
        <w:rPr>
          <w:i/>
        </w:rPr>
      </w:pPr>
      <w:r w:rsidRPr="007E4BB3">
        <w:rPr>
          <w:i/>
        </w:rPr>
        <w:t>Amended tax returns</w:t>
      </w:r>
    </w:p>
    <w:p w14:paraId="18E529C4" w14:textId="77777777" w:rsidR="00A63163" w:rsidRPr="007E4BB3" w:rsidRDefault="00A63163" w:rsidP="00A63163">
      <w:r w:rsidRPr="007E4BB3">
        <w:t xml:space="preserve">The baseline sample was reduced from 2287 to 2267 after exclusions due to ATO compliance activities and resulting adjustments for pair-matching. The size of the treatment and control groups were 1134 and 1133. </w:t>
      </w:r>
    </w:p>
    <w:p w14:paraId="2A801547" w14:textId="77777777" w:rsidR="00A63163" w:rsidRPr="00D45C4D" w:rsidRDefault="00A63163" w:rsidP="00085623">
      <w:pPr>
        <w:outlineLvl w:val="4"/>
        <w:rPr>
          <w:i/>
        </w:rPr>
      </w:pPr>
      <w:r w:rsidRPr="00D45C4D">
        <w:rPr>
          <w:i/>
        </w:rPr>
        <w:t>New tax returns</w:t>
      </w:r>
    </w:p>
    <w:p w14:paraId="0756C218" w14:textId="4FB1CECA" w:rsidR="00A63163" w:rsidRDefault="00A63163" w:rsidP="00C66F3C">
      <w:pPr>
        <w:rPr>
          <w:rFonts w:ascii="Montserrat Light" w:eastAsia="Montserrat" w:hAnsi="Montserrat Light"/>
          <w:b/>
          <w:color w:val="auto"/>
          <w:sz w:val="24"/>
          <w:szCs w:val="28"/>
        </w:rPr>
      </w:pPr>
      <w:r w:rsidRPr="007E4BB3">
        <w:t>From the baseline sample of 2,287 agents, 58 did not lodge a new return. 28 were in the letter group.</w:t>
      </w:r>
      <w:r w:rsidRPr="007E4BB3" w:rsidDel="00A64FBA">
        <w:t xml:space="preserve"> </w:t>
      </w:r>
      <w:r w:rsidRPr="007E4BB3">
        <w:t xml:space="preserve">We excluded matched pairs of these 58 agents if pairs were broken. This left the analysis sample for new returns at 2,174 agents. </w:t>
      </w:r>
    </w:p>
    <w:p w14:paraId="0FE22772" w14:textId="77777777" w:rsidR="00F236BA" w:rsidRDefault="00F236BA" w:rsidP="00085623">
      <w:pPr>
        <w:spacing w:before="0"/>
        <w:outlineLvl w:val="2"/>
        <w:rPr>
          <w:rFonts w:ascii="Montserrat Light" w:eastAsia="Montserrat" w:hAnsi="Montserrat Light"/>
          <w:b/>
          <w:color w:val="auto"/>
          <w:sz w:val="24"/>
          <w:szCs w:val="28"/>
        </w:rPr>
      </w:pPr>
    </w:p>
    <w:p w14:paraId="2660D482" w14:textId="3AE8CBE0" w:rsidR="00A63163" w:rsidRPr="009F2226" w:rsidRDefault="00A63163" w:rsidP="00085623">
      <w:pPr>
        <w:spacing w:before="0"/>
        <w:outlineLvl w:val="2"/>
        <w:rPr>
          <w:rFonts w:ascii="Montserrat Light" w:eastAsia="Montserrat" w:hAnsi="Montserrat Light"/>
          <w:b/>
          <w:color w:val="auto"/>
          <w:sz w:val="24"/>
          <w:szCs w:val="28"/>
        </w:rPr>
      </w:pPr>
      <w:r w:rsidRPr="009F2226">
        <w:rPr>
          <w:rFonts w:ascii="Montserrat Light" w:eastAsia="Montserrat" w:hAnsi="Montserrat Light"/>
          <w:b/>
          <w:color w:val="auto"/>
          <w:sz w:val="24"/>
          <w:szCs w:val="28"/>
        </w:rPr>
        <w:t>ANALYSIS</w:t>
      </w:r>
    </w:p>
    <w:p w14:paraId="6BC54522" w14:textId="459B115A" w:rsidR="00A63163" w:rsidRPr="007E4BB3" w:rsidRDefault="00A63163" w:rsidP="00A63163">
      <w:pPr>
        <w:spacing w:after="200" w:line="276" w:lineRule="auto"/>
      </w:pPr>
      <w:r w:rsidRPr="007E4BB3">
        <w:t>Agent level analyses were adjusted for pair matching and the following covariates: agent segment (e.g. micro market segment, small and medium mar</w:t>
      </w:r>
      <w:r w:rsidR="0081076C">
        <w:t>ket segment, individual and non</w:t>
      </w:r>
      <w:r w:rsidR="0081076C">
        <w:noBreakHyphen/>
      </w:r>
      <w:r w:rsidRPr="007E4BB3">
        <w:t xml:space="preserve">business market), agent state, agent risk score, agent number of clients, agent average work-related expense claims (2013, 2014, 2015, </w:t>
      </w:r>
      <w:r>
        <w:t>2016 to February</w:t>
      </w:r>
      <w:r w:rsidR="00395807">
        <w:t xml:space="preserve"> 2017</w:t>
      </w:r>
      <w:r w:rsidRPr="007E4BB3">
        <w:t>), agent average client income and agent lodgements.</w:t>
      </w:r>
    </w:p>
    <w:p w14:paraId="09FA1540" w14:textId="77777777" w:rsidR="00A63163" w:rsidRPr="007E4BB3" w:rsidRDefault="00A63163" w:rsidP="00A63163">
      <w:pPr>
        <w:spacing w:after="200" w:line="276" w:lineRule="auto"/>
      </w:pPr>
      <w:r w:rsidRPr="007E4BB3">
        <w:t xml:space="preserve">Individual level analyses were clustered at the agent and adjusted for pair matching and the same covariates but also individual age, individual gender and individual income. By using individual level covariates we hoped to obtain greater statistical power.  </w:t>
      </w:r>
    </w:p>
    <w:p w14:paraId="5A0E014E" w14:textId="77777777" w:rsidR="00A63163" w:rsidRPr="007E4BB3" w:rsidRDefault="00A63163" w:rsidP="00A63163">
      <w:pPr>
        <w:spacing w:line="276" w:lineRule="auto"/>
      </w:pPr>
      <w:r w:rsidRPr="007E4BB3">
        <w:t>As a robustness check for both existing returns and new returns, we ran analyses without the dummy variable for pair matching and did not exclude broken pairs. The results were very similar but the standard errors were larger in these analyses.</w:t>
      </w:r>
    </w:p>
    <w:p w14:paraId="6654EAFF" w14:textId="77777777" w:rsidR="00A63163" w:rsidRPr="007E4BB3" w:rsidRDefault="00A63163" w:rsidP="00A63163">
      <w:pPr>
        <w:spacing w:after="200" w:line="276" w:lineRule="auto"/>
      </w:pPr>
      <w:r w:rsidRPr="007E4BB3">
        <w:t>For subgroup analyses at the individual level, we did not adjust for pair matching (as pairs can break up between subgroups) and covariates (due to smaller sample sizes and as covariates added very little to improve standard error even for overall analyses). The models for subgroup analyses at the agent level only included the treatment and outcome variables.</w:t>
      </w:r>
    </w:p>
    <w:p w14:paraId="62C8146C" w14:textId="77777777" w:rsidR="00A63163" w:rsidRPr="007E4BB3" w:rsidRDefault="00A63163" w:rsidP="00A63163">
      <w:pPr>
        <w:spacing w:after="200" w:line="276" w:lineRule="auto"/>
      </w:pPr>
      <w:r w:rsidRPr="007E4BB3">
        <w:t>The findings from regression models examining work-related expense claims and tax paid provide an estimate of the average treatment effect by comparing the mean of the outcome variables in the letter and ‘no letter’ groups.</w:t>
      </w:r>
    </w:p>
    <w:p w14:paraId="30C460A2" w14:textId="77777777" w:rsidR="00A63163" w:rsidRPr="009F2226" w:rsidRDefault="00A63163" w:rsidP="00085623">
      <w:pPr>
        <w:keepNext/>
        <w:spacing w:after="200" w:line="276" w:lineRule="auto"/>
        <w:outlineLvl w:val="3"/>
        <w:rPr>
          <w:b/>
          <w:color w:val="332C28"/>
        </w:rPr>
      </w:pPr>
      <w:r w:rsidRPr="009F2226">
        <w:rPr>
          <w:b/>
          <w:color w:val="332C28"/>
        </w:rPr>
        <w:t>Amended tax returns</w:t>
      </w:r>
    </w:p>
    <w:p w14:paraId="78BBE1D1" w14:textId="77777777" w:rsidR="00A63163" w:rsidRPr="007E4BB3" w:rsidRDefault="00A63163" w:rsidP="00A63163">
      <w:pPr>
        <w:spacing w:after="200" w:line="276" w:lineRule="auto"/>
      </w:pPr>
      <w:r w:rsidRPr="007E4BB3">
        <w:t xml:space="preserve">We analysed the data of amended tax returns as at 12 May 2017 for identified clients (agents’ top 1 to 20 clients who had high work-related expense claims) only. </w:t>
      </w:r>
    </w:p>
    <w:p w14:paraId="5AD30D41" w14:textId="77777777" w:rsidR="00A63163" w:rsidRPr="007E4BB3" w:rsidRDefault="00A63163" w:rsidP="00A63163">
      <w:pPr>
        <w:spacing w:after="200" w:line="276" w:lineRule="auto"/>
      </w:pPr>
      <w:r w:rsidRPr="007E4BB3">
        <w:t>The primary outcome measure for individuals is the change in work-related expense claim (original claim minus amended claim). For agents, this measure is the sum of the work</w:t>
      </w:r>
      <w:r w:rsidRPr="007E4BB3">
        <w:noBreakHyphen/>
        <w:t xml:space="preserve">related expenses changes for their identified clients. </w:t>
      </w:r>
    </w:p>
    <w:p w14:paraId="6DB05A0A" w14:textId="77777777" w:rsidR="00A63163" w:rsidRPr="007E4BB3" w:rsidDel="00847D2D" w:rsidRDefault="00A63163" w:rsidP="00A63163">
      <w:pPr>
        <w:spacing w:after="200" w:line="276" w:lineRule="auto"/>
      </w:pPr>
      <w:r w:rsidRPr="007E4BB3" w:rsidDel="00847D2D">
        <w:t>The secondary outcome measure for individuals is the difference in tax paid over the financial year.</w:t>
      </w:r>
      <w:r w:rsidRPr="009F2226" w:rsidDel="00847D2D">
        <w:t xml:space="preserve"> </w:t>
      </w:r>
      <w:r w:rsidRPr="007E4BB3" w:rsidDel="00847D2D">
        <w:t>For agents, this measure is the sum of the changes in tax paid for their identified clients.</w:t>
      </w:r>
    </w:p>
    <w:p w14:paraId="217B3343" w14:textId="77777777" w:rsidR="00A63163" w:rsidRPr="009F2226" w:rsidRDefault="00A63163" w:rsidP="00085623">
      <w:pPr>
        <w:pStyle w:val="h4"/>
      </w:pPr>
      <w:r w:rsidRPr="009F2226">
        <w:t xml:space="preserve">New tax returns </w:t>
      </w:r>
    </w:p>
    <w:p w14:paraId="0E6A4E1C" w14:textId="77777777" w:rsidR="00A63163" w:rsidRPr="007E4BB3" w:rsidRDefault="00A63163" w:rsidP="00A63163">
      <w:pPr>
        <w:spacing w:after="200" w:line="276" w:lineRule="auto"/>
      </w:pPr>
      <w:r w:rsidRPr="007E4BB3">
        <w:t>We analysed the data of new tax returns lodged between 13 March 2017 and 11 June 2017 for all clients of the agents in the trial. This does not include data of identified clients (because these returns had already been initially lodged prior to the letters being circulated on 10 March 2017).</w:t>
      </w:r>
    </w:p>
    <w:p w14:paraId="1F434790" w14:textId="17FFA872" w:rsidR="00A63163" w:rsidRPr="007E4BB3" w:rsidRDefault="00A63163" w:rsidP="00A63163">
      <w:pPr>
        <w:spacing w:after="200" w:line="276" w:lineRule="auto"/>
      </w:pPr>
      <w:r w:rsidRPr="007E4BB3">
        <w:t>The primary outcome measure for individuals is the work-related expense claimed. For agents, we specified in our pre-analysis plan that we</w:t>
      </w:r>
      <w:r w:rsidR="007D6DC5">
        <w:t xml:space="preserve"> would examine the average work</w:t>
      </w:r>
      <w:r w:rsidR="007D6DC5">
        <w:noBreakHyphen/>
      </w:r>
      <w:r w:rsidRPr="007E4BB3">
        <w:t>related expense claim per agent using the average claim amount of their clients as per the analysis plan. However, we did not present these results in the main body of the report because the average of an average outcome measure is hard to interpret and in any case, we are interested in the effect on individual returns. We have included the results of these agent level analyses in Appendix 3.</w:t>
      </w:r>
    </w:p>
    <w:p w14:paraId="731D2C69" w14:textId="77777777" w:rsidR="00A63163" w:rsidRPr="007E4BB3" w:rsidDel="00847D2D" w:rsidRDefault="00A63163" w:rsidP="00A63163">
      <w:pPr>
        <w:spacing w:after="200" w:line="276" w:lineRule="auto"/>
      </w:pPr>
      <w:r w:rsidRPr="007E4BB3" w:rsidDel="00847D2D">
        <w:t>The secondary outcome measure for individuals is the amount of tax paid over the financial year. For agents, this measure is the average tax paid per client.</w:t>
      </w:r>
    </w:p>
    <w:p w14:paraId="413DB4D3" w14:textId="77777777" w:rsidR="00A63163" w:rsidRPr="007E4BB3" w:rsidRDefault="00A63163" w:rsidP="00A63163">
      <w:pPr>
        <w:spacing w:after="200" w:line="276" w:lineRule="auto"/>
      </w:pPr>
      <w:r w:rsidRPr="007E4BB3">
        <w:t>The dollar figures in amended returns and new returns are not directly comparable because the outcome variables are different.  For amended returns we examined the change in work</w:t>
      </w:r>
      <w:r w:rsidRPr="007E4BB3">
        <w:noBreakHyphen/>
        <w:t>related expense claims whereas for new returns we examined the amount of work</w:t>
      </w:r>
      <w:r w:rsidRPr="007E4BB3">
        <w:noBreakHyphen/>
        <w:t xml:space="preserve">related expense claims.  </w:t>
      </w:r>
    </w:p>
    <w:p w14:paraId="774EE614" w14:textId="7F8933AD" w:rsidR="00A63163" w:rsidRPr="009F2226" w:rsidRDefault="00A63163" w:rsidP="00085623">
      <w:pPr>
        <w:pStyle w:val="h4"/>
      </w:pPr>
      <w:r w:rsidRPr="009F2226">
        <w:t>Spillovers</w:t>
      </w:r>
    </w:p>
    <w:p w14:paraId="28DD8EE5" w14:textId="77777777" w:rsidR="00A63163" w:rsidRPr="007E4BB3" w:rsidRDefault="00A63163" w:rsidP="00A63163">
      <w:pPr>
        <w:spacing w:after="200" w:line="276" w:lineRule="auto"/>
      </w:pPr>
      <w:r w:rsidRPr="007E4BB3">
        <w:t>A spillover is an event which occurs in one context because of an event which occurs in an unrelated context. In this trial, spillovers are possible if an agent in the ‘no letter’ group finds out about the letter and changes their behaviour as a result.</w:t>
      </w:r>
    </w:p>
    <w:p w14:paraId="56BFA3F5" w14:textId="77777777" w:rsidR="00A63163" w:rsidRDefault="00A63163" w:rsidP="00A63163">
      <w:pPr>
        <w:spacing w:after="200" w:line="276" w:lineRule="auto"/>
      </w:pPr>
      <w:r w:rsidRPr="007E4BB3">
        <w:t xml:space="preserve">For this trial we anticipate the threat of spillovers to be low. We split agents randomly into the letter and ‘no letter’ group based on their Tax Agent Number (TAN). If the TAN is registered by an individual, the letter was addressed to the individual. If the TAN is registered by a company, the letter was addressed to the director or contact person in the ATO’s database. It is common practice that all agents within a company or practice use the same TAN, so generally all agents within a given firm will either fall into the letter group or ‘no letter’ group. We therefore expect that the risk of agents in the letter group speaking with agents in the ‘no letter’ group about the letter is low.  </w:t>
      </w:r>
    </w:p>
    <w:p w14:paraId="1101D3C2" w14:textId="77777777" w:rsidR="00A63163" w:rsidRDefault="00A63163">
      <w:pPr>
        <w:spacing w:before="0" w:after="0" w:line="240" w:lineRule="auto"/>
      </w:pPr>
      <w:r>
        <w:br w:type="page"/>
      </w:r>
    </w:p>
    <w:p w14:paraId="0E258695" w14:textId="77777777" w:rsidR="00A63163" w:rsidRDefault="00926B35" w:rsidP="00085623">
      <w:pPr>
        <w:pStyle w:val="AppendixHeading"/>
        <w:outlineLvl w:val="1"/>
      </w:pPr>
      <w:bookmarkStart w:id="11" w:name="_Toc521485121"/>
      <w:r>
        <w:t>Key statistical tables</w:t>
      </w:r>
      <w:bookmarkEnd w:id="11"/>
    </w:p>
    <w:p w14:paraId="50A8B215" w14:textId="77777777" w:rsidR="003A04CB" w:rsidRPr="007D1ABC" w:rsidRDefault="003A04CB" w:rsidP="003A04CB">
      <w:pPr>
        <w:spacing w:line="276" w:lineRule="auto"/>
        <w:rPr>
          <w:color w:val="332C28"/>
          <w:szCs w:val="22"/>
        </w:rPr>
      </w:pPr>
      <w:r w:rsidRPr="007D1ABC">
        <w:rPr>
          <w:color w:val="332C28"/>
          <w:szCs w:val="22"/>
        </w:rPr>
        <w:t>We ran a regression with treatment allocation as the outcome variable and categorical and continuous covariates as dependent variables. There were no significant differences between the letter and ‘no letter’ groups for all variables tested.</w:t>
      </w:r>
    </w:p>
    <w:p w14:paraId="72C4B30E" w14:textId="77777777" w:rsidR="003A04CB" w:rsidRDefault="003A04CB" w:rsidP="003A04CB">
      <w:pPr>
        <w:spacing w:after="200" w:line="276" w:lineRule="auto"/>
        <w:rPr>
          <w:b/>
          <w:color w:val="332C28"/>
        </w:rPr>
      </w:pPr>
    </w:p>
    <w:p w14:paraId="7F1621B5" w14:textId="77777777" w:rsidR="003A04CB" w:rsidRPr="009F2226" w:rsidRDefault="003A04CB" w:rsidP="00085623">
      <w:pPr>
        <w:spacing w:after="200" w:line="276" w:lineRule="auto"/>
        <w:outlineLvl w:val="2"/>
        <w:rPr>
          <w:color w:val="332C28"/>
        </w:rPr>
      </w:pPr>
      <w:r>
        <w:rPr>
          <w:b/>
          <w:color w:val="332C28"/>
        </w:rPr>
        <w:t>Table 3.1 – Baseline characteristics of agents and their identified clients</w:t>
      </w:r>
    </w:p>
    <w:tbl>
      <w:tblPr>
        <w:tblStyle w:val="DefaultTable"/>
        <w:tblW w:w="8278" w:type="dxa"/>
        <w:tblLayout w:type="fixed"/>
        <w:tblLook w:val="0420" w:firstRow="1" w:lastRow="0" w:firstColumn="0" w:lastColumn="0" w:noHBand="0" w:noVBand="1"/>
        <w:tblCaption w:val="Baseline characteristics of agents and their identified clients"/>
        <w:tblDescription w:val="A table showing the baseline characteristics (such as gender, age and income) for identified clients and agents in the treatment group and control group."/>
      </w:tblPr>
      <w:tblGrid>
        <w:gridCol w:w="2127"/>
        <w:gridCol w:w="1984"/>
        <w:gridCol w:w="2410"/>
        <w:gridCol w:w="1757"/>
      </w:tblGrid>
      <w:tr w:rsidR="003A04CB" w14:paraId="70FF27AC" w14:textId="77777777" w:rsidTr="008C3FEB">
        <w:trPr>
          <w:cnfStyle w:val="100000000000" w:firstRow="1" w:lastRow="0" w:firstColumn="0" w:lastColumn="0" w:oddVBand="0" w:evenVBand="0" w:oddHBand="0" w:evenHBand="0" w:firstRowFirstColumn="0" w:firstRowLastColumn="0" w:lastRowFirstColumn="0" w:lastRowLastColumn="0"/>
          <w:tblHeader/>
        </w:trPr>
        <w:tc>
          <w:tcPr>
            <w:tcW w:w="2127" w:type="dxa"/>
          </w:tcPr>
          <w:p w14:paraId="0F182640" w14:textId="77777777" w:rsidR="003A04CB" w:rsidRPr="00177AD3" w:rsidRDefault="003A04CB" w:rsidP="00177AD3">
            <w:pPr>
              <w:pStyle w:val="TableHeading"/>
            </w:pPr>
            <w:r w:rsidRPr="00177AD3">
              <w:t>Characteristics</w:t>
            </w:r>
          </w:p>
        </w:tc>
        <w:tc>
          <w:tcPr>
            <w:tcW w:w="1984" w:type="dxa"/>
          </w:tcPr>
          <w:p w14:paraId="2C8024B7" w14:textId="77777777" w:rsidR="003A04CB" w:rsidRPr="00177AD3" w:rsidRDefault="003A04CB" w:rsidP="00177AD3">
            <w:pPr>
              <w:pStyle w:val="TableHeading"/>
            </w:pPr>
          </w:p>
        </w:tc>
        <w:tc>
          <w:tcPr>
            <w:tcW w:w="2410" w:type="dxa"/>
          </w:tcPr>
          <w:p w14:paraId="4B0D548D" w14:textId="77777777" w:rsidR="003A04CB" w:rsidRPr="00177AD3" w:rsidRDefault="003A04CB" w:rsidP="00177AD3">
            <w:pPr>
              <w:pStyle w:val="TableHeading"/>
            </w:pPr>
            <w:r w:rsidRPr="00177AD3">
              <w:t>Treatment</w:t>
            </w:r>
          </w:p>
        </w:tc>
        <w:tc>
          <w:tcPr>
            <w:tcW w:w="1757" w:type="dxa"/>
          </w:tcPr>
          <w:p w14:paraId="5971776B" w14:textId="77777777" w:rsidR="003A04CB" w:rsidRPr="00177AD3" w:rsidRDefault="003A04CB" w:rsidP="00177AD3">
            <w:pPr>
              <w:pStyle w:val="TableHeading"/>
            </w:pPr>
            <w:r w:rsidRPr="00177AD3">
              <w:t>Control</w:t>
            </w:r>
          </w:p>
        </w:tc>
      </w:tr>
      <w:tr w:rsidR="003A04CB" w14:paraId="5B7D3141" w14:textId="77777777" w:rsidTr="008C3FEB">
        <w:trPr>
          <w:cantSplit w:val="0"/>
        </w:trPr>
        <w:tc>
          <w:tcPr>
            <w:tcW w:w="2127" w:type="dxa"/>
            <w:shd w:val="clear" w:color="auto" w:fill="20B9A3" w:themeFill="background2"/>
          </w:tcPr>
          <w:p w14:paraId="07A1EF98" w14:textId="77777777" w:rsidR="003A04CB" w:rsidRPr="0081076C" w:rsidRDefault="003A04CB" w:rsidP="00F96BD2">
            <w:pPr>
              <w:pStyle w:val="TableText"/>
              <w:rPr>
                <w:b/>
                <w:color w:val="auto"/>
              </w:rPr>
            </w:pPr>
            <w:r w:rsidRPr="0081076C">
              <w:rPr>
                <w:b/>
                <w:color w:val="auto"/>
              </w:rPr>
              <w:t>Identified clients</w:t>
            </w:r>
          </w:p>
        </w:tc>
        <w:tc>
          <w:tcPr>
            <w:tcW w:w="1984" w:type="dxa"/>
            <w:shd w:val="clear" w:color="auto" w:fill="20B9A3" w:themeFill="background2"/>
          </w:tcPr>
          <w:p w14:paraId="6A71424E" w14:textId="77777777" w:rsidR="003A04CB" w:rsidRPr="001A009A" w:rsidRDefault="003A04CB" w:rsidP="00F96BD2">
            <w:pPr>
              <w:pStyle w:val="TableText"/>
              <w:jc w:val="right"/>
              <w:rPr>
                <w:color w:val="auto"/>
              </w:rPr>
            </w:pPr>
          </w:p>
        </w:tc>
        <w:tc>
          <w:tcPr>
            <w:tcW w:w="2410" w:type="dxa"/>
            <w:shd w:val="clear" w:color="auto" w:fill="20B9A3" w:themeFill="background2"/>
          </w:tcPr>
          <w:p w14:paraId="16098AFF" w14:textId="77777777" w:rsidR="003A04CB" w:rsidRPr="001A009A" w:rsidRDefault="003A04CB" w:rsidP="00F96BD2">
            <w:pPr>
              <w:pStyle w:val="TableText"/>
              <w:jc w:val="right"/>
              <w:rPr>
                <w:color w:val="auto"/>
              </w:rPr>
            </w:pPr>
          </w:p>
        </w:tc>
        <w:tc>
          <w:tcPr>
            <w:tcW w:w="1757" w:type="dxa"/>
            <w:shd w:val="clear" w:color="auto" w:fill="20B9A3" w:themeFill="background2"/>
          </w:tcPr>
          <w:p w14:paraId="07261841" w14:textId="77777777" w:rsidR="003A04CB" w:rsidRPr="001A009A" w:rsidRDefault="003A04CB" w:rsidP="00F96BD2">
            <w:pPr>
              <w:pStyle w:val="TableText"/>
              <w:jc w:val="right"/>
              <w:rPr>
                <w:color w:val="auto"/>
              </w:rPr>
            </w:pPr>
          </w:p>
        </w:tc>
      </w:tr>
      <w:tr w:rsidR="003A04CB" w14:paraId="6F2133E1" w14:textId="77777777" w:rsidTr="008C3FEB">
        <w:trPr>
          <w:cantSplit w:val="0"/>
        </w:trPr>
        <w:tc>
          <w:tcPr>
            <w:tcW w:w="2127" w:type="dxa"/>
          </w:tcPr>
          <w:p w14:paraId="6CD77AEE" w14:textId="77777777" w:rsidR="003A04CB" w:rsidRPr="00D45C4D" w:rsidRDefault="003A04CB" w:rsidP="003A04CB">
            <w:pPr>
              <w:pStyle w:val="TableText"/>
            </w:pPr>
            <w:r w:rsidRPr="00D45C4D">
              <w:rPr>
                <w:rFonts w:eastAsia="Cambria" w:cs="Calibri Light"/>
                <w:color w:val="332C28"/>
                <w:szCs w:val="22"/>
              </w:rPr>
              <w:t>N</w:t>
            </w:r>
          </w:p>
        </w:tc>
        <w:tc>
          <w:tcPr>
            <w:tcW w:w="1984" w:type="dxa"/>
          </w:tcPr>
          <w:p w14:paraId="2193E104" w14:textId="77777777" w:rsidR="003A04CB" w:rsidRDefault="003A04CB" w:rsidP="003A04CB">
            <w:pPr>
              <w:pStyle w:val="TableText"/>
            </w:pPr>
          </w:p>
        </w:tc>
        <w:tc>
          <w:tcPr>
            <w:tcW w:w="2410" w:type="dxa"/>
          </w:tcPr>
          <w:p w14:paraId="412C274D" w14:textId="77777777" w:rsidR="003A04CB" w:rsidRDefault="003A04CB" w:rsidP="003A04CB">
            <w:pPr>
              <w:pStyle w:val="TableText"/>
            </w:pPr>
            <w:r w:rsidRPr="0076736B">
              <w:rPr>
                <w:rFonts w:eastAsia="Cambria" w:cs="Calibri Light"/>
                <w:color w:val="332C28"/>
                <w:szCs w:val="22"/>
              </w:rPr>
              <w:t>11,256</w:t>
            </w:r>
          </w:p>
        </w:tc>
        <w:tc>
          <w:tcPr>
            <w:tcW w:w="1757" w:type="dxa"/>
          </w:tcPr>
          <w:p w14:paraId="55EC8E70" w14:textId="77777777" w:rsidR="003A04CB" w:rsidRDefault="003A04CB" w:rsidP="003A04CB">
            <w:pPr>
              <w:pStyle w:val="TableText"/>
            </w:pPr>
            <w:r w:rsidRPr="0076736B">
              <w:rPr>
                <w:rFonts w:eastAsia="Cambria" w:cs="Calibri Light"/>
                <w:color w:val="332C28"/>
                <w:szCs w:val="22"/>
              </w:rPr>
              <w:t>11,430</w:t>
            </w:r>
          </w:p>
        </w:tc>
      </w:tr>
      <w:tr w:rsidR="003A04CB" w14:paraId="4E9E39C9" w14:textId="77777777" w:rsidTr="008C3FEB">
        <w:trPr>
          <w:cantSplit w:val="0"/>
        </w:trPr>
        <w:tc>
          <w:tcPr>
            <w:tcW w:w="2127" w:type="dxa"/>
          </w:tcPr>
          <w:p w14:paraId="67D02CBB" w14:textId="77777777" w:rsidR="003A04CB" w:rsidRPr="00D45C4D" w:rsidRDefault="003A04CB" w:rsidP="003A04CB">
            <w:pPr>
              <w:pStyle w:val="TableText"/>
            </w:pPr>
            <w:r w:rsidRPr="00D45C4D">
              <w:rPr>
                <w:rFonts w:eastAsia="Cambria" w:cs="Calibri Light"/>
                <w:color w:val="332C28"/>
                <w:szCs w:val="22"/>
              </w:rPr>
              <w:t>Male</w:t>
            </w:r>
          </w:p>
        </w:tc>
        <w:tc>
          <w:tcPr>
            <w:tcW w:w="1984" w:type="dxa"/>
          </w:tcPr>
          <w:p w14:paraId="3850F4A6" w14:textId="77777777" w:rsidR="003A04CB" w:rsidRDefault="003A04CB" w:rsidP="003A04CB">
            <w:pPr>
              <w:pStyle w:val="TableText"/>
            </w:pPr>
            <w:r w:rsidRPr="0076736B">
              <w:rPr>
                <w:rFonts w:eastAsia="Cambria" w:cs="Calibri Light"/>
                <w:color w:val="332C28"/>
                <w:szCs w:val="22"/>
              </w:rPr>
              <w:t>n (%)</w:t>
            </w:r>
          </w:p>
        </w:tc>
        <w:tc>
          <w:tcPr>
            <w:tcW w:w="2410" w:type="dxa"/>
          </w:tcPr>
          <w:p w14:paraId="14C661AB" w14:textId="77777777" w:rsidR="003A04CB" w:rsidRDefault="003A04CB" w:rsidP="003A04CB">
            <w:pPr>
              <w:pStyle w:val="TableText"/>
            </w:pPr>
            <w:r w:rsidRPr="0076736B">
              <w:rPr>
                <w:rFonts w:eastAsia="Cambria" w:cs="Calibri Light"/>
                <w:color w:val="332C28"/>
                <w:szCs w:val="22"/>
              </w:rPr>
              <w:t>8,478 (75.3%)</w:t>
            </w:r>
          </w:p>
        </w:tc>
        <w:tc>
          <w:tcPr>
            <w:tcW w:w="1757" w:type="dxa"/>
          </w:tcPr>
          <w:p w14:paraId="199D9D0A" w14:textId="77777777" w:rsidR="003A04CB" w:rsidRDefault="003A04CB" w:rsidP="003A04CB">
            <w:pPr>
              <w:pStyle w:val="TableText"/>
            </w:pPr>
            <w:r w:rsidRPr="0076736B">
              <w:rPr>
                <w:rFonts w:eastAsia="Cambria" w:cs="Calibri Light"/>
                <w:color w:val="332C28"/>
                <w:szCs w:val="22"/>
              </w:rPr>
              <w:t>8,627 (75.5%)</w:t>
            </w:r>
          </w:p>
        </w:tc>
      </w:tr>
      <w:tr w:rsidR="003A04CB" w14:paraId="0CA6F0C7" w14:textId="77777777" w:rsidTr="008C3FEB">
        <w:trPr>
          <w:cantSplit w:val="0"/>
        </w:trPr>
        <w:tc>
          <w:tcPr>
            <w:tcW w:w="2127" w:type="dxa"/>
          </w:tcPr>
          <w:p w14:paraId="271BB3DB" w14:textId="77777777" w:rsidR="003A04CB" w:rsidRPr="00D45C4D" w:rsidRDefault="003A04CB" w:rsidP="003A04CB">
            <w:pPr>
              <w:pStyle w:val="TableText"/>
            </w:pPr>
            <w:r w:rsidRPr="00D45C4D">
              <w:rPr>
                <w:rFonts w:eastAsia="Cambria" w:cs="Calibri Light"/>
                <w:color w:val="332C28"/>
                <w:szCs w:val="22"/>
              </w:rPr>
              <w:t>Age</w:t>
            </w:r>
          </w:p>
        </w:tc>
        <w:tc>
          <w:tcPr>
            <w:tcW w:w="1984" w:type="dxa"/>
          </w:tcPr>
          <w:p w14:paraId="6CCF983F" w14:textId="77777777" w:rsidR="003A04CB" w:rsidRDefault="003A04CB" w:rsidP="003A04CB">
            <w:pPr>
              <w:pStyle w:val="TableText"/>
            </w:pPr>
            <w:r w:rsidRPr="0076736B">
              <w:rPr>
                <w:rFonts w:eastAsia="Cambria" w:cs="Calibri Light"/>
                <w:color w:val="332C28"/>
                <w:szCs w:val="22"/>
              </w:rPr>
              <w:t>Mean (SD)</w:t>
            </w:r>
          </w:p>
        </w:tc>
        <w:tc>
          <w:tcPr>
            <w:tcW w:w="2410" w:type="dxa"/>
          </w:tcPr>
          <w:p w14:paraId="731091DC" w14:textId="77777777" w:rsidR="003A04CB" w:rsidRDefault="003A04CB" w:rsidP="003A04CB">
            <w:pPr>
              <w:pStyle w:val="TableText"/>
            </w:pPr>
            <w:r w:rsidRPr="0076736B">
              <w:rPr>
                <w:rFonts w:eastAsia="Cambria" w:cs="Calibri Light"/>
                <w:color w:val="332C28"/>
                <w:szCs w:val="22"/>
              </w:rPr>
              <w:t>38.9 yrs (10.7)</w:t>
            </w:r>
          </w:p>
        </w:tc>
        <w:tc>
          <w:tcPr>
            <w:tcW w:w="1757" w:type="dxa"/>
          </w:tcPr>
          <w:p w14:paraId="5DB89131" w14:textId="77777777" w:rsidR="003A04CB" w:rsidRDefault="003A04CB" w:rsidP="003A04CB">
            <w:pPr>
              <w:pStyle w:val="TableText"/>
            </w:pPr>
            <w:r w:rsidRPr="0076736B">
              <w:rPr>
                <w:rFonts w:eastAsia="Cambria" w:cs="Calibri Light"/>
                <w:color w:val="332C28"/>
                <w:szCs w:val="22"/>
              </w:rPr>
              <w:t>39.0 yrs (10.6)</w:t>
            </w:r>
          </w:p>
        </w:tc>
      </w:tr>
      <w:tr w:rsidR="003A04CB" w14:paraId="75C22C14" w14:textId="77777777" w:rsidTr="008C3FEB">
        <w:trPr>
          <w:cantSplit w:val="0"/>
        </w:trPr>
        <w:tc>
          <w:tcPr>
            <w:tcW w:w="2127" w:type="dxa"/>
          </w:tcPr>
          <w:p w14:paraId="7B6FABF3" w14:textId="77777777" w:rsidR="003A04CB" w:rsidRPr="00D45C4D" w:rsidRDefault="003A04CB" w:rsidP="003A04CB">
            <w:pPr>
              <w:pStyle w:val="TableText"/>
              <w:rPr>
                <w:rFonts w:eastAsia="Cambria" w:cs="Calibri Light"/>
                <w:color w:val="332C28"/>
                <w:szCs w:val="22"/>
              </w:rPr>
            </w:pPr>
            <w:r w:rsidRPr="00D45C4D">
              <w:rPr>
                <w:rFonts w:eastAsia="Cambria" w:cs="Calibri Light"/>
                <w:color w:val="332C28"/>
                <w:szCs w:val="22"/>
              </w:rPr>
              <w:t>Income</w:t>
            </w:r>
          </w:p>
        </w:tc>
        <w:tc>
          <w:tcPr>
            <w:tcW w:w="1984" w:type="dxa"/>
          </w:tcPr>
          <w:p w14:paraId="0624892F" w14:textId="77777777" w:rsidR="003A04CB" w:rsidRPr="0076736B" w:rsidRDefault="003A04CB" w:rsidP="003A04CB">
            <w:pPr>
              <w:pStyle w:val="TableText"/>
              <w:rPr>
                <w:rFonts w:eastAsia="Cambria" w:cs="Calibri Light"/>
                <w:color w:val="332C28"/>
                <w:szCs w:val="22"/>
              </w:rPr>
            </w:pPr>
            <w:r w:rsidRPr="0076736B">
              <w:rPr>
                <w:rFonts w:eastAsia="Cambria" w:cs="Calibri Light"/>
                <w:color w:val="332C28"/>
                <w:szCs w:val="22"/>
              </w:rPr>
              <w:t>Mean (SD)</w:t>
            </w:r>
          </w:p>
        </w:tc>
        <w:tc>
          <w:tcPr>
            <w:tcW w:w="2410" w:type="dxa"/>
          </w:tcPr>
          <w:p w14:paraId="42AF85F3" w14:textId="77777777" w:rsidR="003A04CB" w:rsidRPr="0076736B" w:rsidRDefault="003A04CB" w:rsidP="003A04CB">
            <w:pPr>
              <w:pStyle w:val="TableText"/>
              <w:rPr>
                <w:rFonts w:eastAsia="Cambria" w:cs="Calibri Light"/>
                <w:color w:val="332C28"/>
                <w:szCs w:val="22"/>
              </w:rPr>
            </w:pPr>
            <w:r w:rsidRPr="0076736B">
              <w:rPr>
                <w:rFonts w:eastAsia="Cambria" w:cs="Calibri Light"/>
                <w:color w:val="332C28"/>
                <w:szCs w:val="22"/>
              </w:rPr>
              <w:t>$108,266 (58,982)</w:t>
            </w:r>
          </w:p>
        </w:tc>
        <w:tc>
          <w:tcPr>
            <w:tcW w:w="1757" w:type="dxa"/>
          </w:tcPr>
          <w:p w14:paraId="62B285C1" w14:textId="77777777" w:rsidR="003A04CB" w:rsidRPr="0076736B" w:rsidRDefault="003A04CB" w:rsidP="003A04CB">
            <w:pPr>
              <w:pStyle w:val="TableText"/>
              <w:rPr>
                <w:rFonts w:eastAsia="Cambria" w:cs="Calibri Light"/>
                <w:color w:val="332C28"/>
                <w:szCs w:val="22"/>
              </w:rPr>
            </w:pPr>
            <w:r w:rsidRPr="0076736B">
              <w:rPr>
                <w:rFonts w:eastAsia="Cambria" w:cs="Calibri Light"/>
                <w:color w:val="332C28"/>
                <w:szCs w:val="22"/>
              </w:rPr>
              <w:t>$108,151 (57,630)</w:t>
            </w:r>
          </w:p>
        </w:tc>
      </w:tr>
      <w:tr w:rsidR="003A04CB" w14:paraId="3969D841" w14:textId="77777777" w:rsidTr="008C3FEB">
        <w:trPr>
          <w:cantSplit w:val="0"/>
        </w:trPr>
        <w:tc>
          <w:tcPr>
            <w:tcW w:w="2127" w:type="dxa"/>
            <w:shd w:val="clear" w:color="auto" w:fill="20B9A3" w:themeFill="background2"/>
          </w:tcPr>
          <w:p w14:paraId="3521FBD8" w14:textId="77777777" w:rsidR="003A04CB" w:rsidRPr="0081076C" w:rsidRDefault="003A04CB" w:rsidP="003A04CB">
            <w:pPr>
              <w:pStyle w:val="TableText"/>
              <w:rPr>
                <w:rFonts w:eastAsia="Cambria" w:cs="Calibri Light"/>
                <w:b/>
                <w:color w:val="332C28"/>
                <w:szCs w:val="22"/>
              </w:rPr>
            </w:pPr>
            <w:r w:rsidRPr="0081076C">
              <w:rPr>
                <w:b/>
                <w:color w:val="auto"/>
              </w:rPr>
              <w:t>Agents</w:t>
            </w:r>
          </w:p>
        </w:tc>
        <w:tc>
          <w:tcPr>
            <w:tcW w:w="1984" w:type="dxa"/>
            <w:shd w:val="clear" w:color="auto" w:fill="20B9A3" w:themeFill="background2"/>
          </w:tcPr>
          <w:p w14:paraId="73C75B9E" w14:textId="77777777" w:rsidR="003A04CB" w:rsidRPr="0076736B" w:rsidRDefault="003A04CB" w:rsidP="003A04CB">
            <w:pPr>
              <w:pStyle w:val="TableText"/>
              <w:jc w:val="right"/>
              <w:rPr>
                <w:rFonts w:eastAsia="Cambria" w:cs="Calibri Light"/>
                <w:color w:val="332C28"/>
                <w:szCs w:val="22"/>
              </w:rPr>
            </w:pPr>
          </w:p>
        </w:tc>
        <w:tc>
          <w:tcPr>
            <w:tcW w:w="2410" w:type="dxa"/>
            <w:shd w:val="clear" w:color="auto" w:fill="20B9A3" w:themeFill="background2"/>
          </w:tcPr>
          <w:p w14:paraId="4212A78C" w14:textId="77777777" w:rsidR="003A04CB" w:rsidRPr="0076736B" w:rsidRDefault="003A04CB" w:rsidP="003A04CB">
            <w:pPr>
              <w:pStyle w:val="TableText"/>
              <w:jc w:val="right"/>
              <w:rPr>
                <w:rFonts w:eastAsia="Cambria" w:cs="Calibri Light"/>
                <w:color w:val="332C28"/>
                <w:szCs w:val="22"/>
              </w:rPr>
            </w:pPr>
          </w:p>
        </w:tc>
        <w:tc>
          <w:tcPr>
            <w:tcW w:w="1757" w:type="dxa"/>
            <w:shd w:val="clear" w:color="auto" w:fill="20B9A3" w:themeFill="background2"/>
          </w:tcPr>
          <w:p w14:paraId="60B2761B" w14:textId="77777777" w:rsidR="003A04CB" w:rsidRPr="0076736B" w:rsidRDefault="003A04CB" w:rsidP="003A04CB">
            <w:pPr>
              <w:pStyle w:val="TableText"/>
              <w:jc w:val="right"/>
              <w:rPr>
                <w:rFonts w:eastAsia="Cambria" w:cs="Calibri Light"/>
                <w:color w:val="332C28"/>
                <w:szCs w:val="22"/>
              </w:rPr>
            </w:pPr>
          </w:p>
        </w:tc>
      </w:tr>
      <w:tr w:rsidR="003A04CB" w:rsidRPr="0076736B" w14:paraId="16A1DCF5" w14:textId="77777777" w:rsidTr="008C3FEB">
        <w:tc>
          <w:tcPr>
            <w:tcW w:w="2127" w:type="dxa"/>
          </w:tcPr>
          <w:p w14:paraId="2C9A056A"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N</w:t>
            </w:r>
          </w:p>
        </w:tc>
        <w:tc>
          <w:tcPr>
            <w:tcW w:w="1984" w:type="dxa"/>
          </w:tcPr>
          <w:p w14:paraId="2BCE7825" w14:textId="77777777" w:rsidR="003A04CB" w:rsidRPr="0076736B" w:rsidRDefault="003A04CB" w:rsidP="003A04CB">
            <w:pPr>
              <w:spacing w:after="0"/>
              <w:rPr>
                <w:rFonts w:eastAsia="Cambria" w:cs="Calibri Light"/>
                <w:color w:val="332C28"/>
                <w:szCs w:val="22"/>
              </w:rPr>
            </w:pPr>
          </w:p>
        </w:tc>
        <w:tc>
          <w:tcPr>
            <w:tcW w:w="2410" w:type="dxa"/>
          </w:tcPr>
          <w:p w14:paraId="2AE3E59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1,134</w:t>
            </w:r>
          </w:p>
        </w:tc>
        <w:tc>
          <w:tcPr>
            <w:tcW w:w="1757" w:type="dxa"/>
          </w:tcPr>
          <w:p w14:paraId="03EC2DB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1,133</w:t>
            </w:r>
          </w:p>
        </w:tc>
      </w:tr>
      <w:tr w:rsidR="003A04CB" w:rsidRPr="0076736B" w14:paraId="3E73B89D" w14:textId="77777777" w:rsidTr="008C3FEB">
        <w:tc>
          <w:tcPr>
            <w:tcW w:w="2127" w:type="dxa"/>
          </w:tcPr>
          <w:p w14:paraId="5AA66DEE"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Major urban region</w:t>
            </w:r>
          </w:p>
        </w:tc>
        <w:tc>
          <w:tcPr>
            <w:tcW w:w="1984" w:type="dxa"/>
          </w:tcPr>
          <w:p w14:paraId="3DD435E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1123BA3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981 (86.2)</w:t>
            </w:r>
          </w:p>
        </w:tc>
        <w:tc>
          <w:tcPr>
            <w:tcW w:w="1757" w:type="dxa"/>
          </w:tcPr>
          <w:p w14:paraId="22AC137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1,002 (88.0)</w:t>
            </w:r>
          </w:p>
        </w:tc>
      </w:tr>
      <w:tr w:rsidR="003A04CB" w:rsidRPr="0076736B" w14:paraId="5F826B51" w14:textId="77777777" w:rsidTr="008C3FEB">
        <w:tc>
          <w:tcPr>
            <w:tcW w:w="2127" w:type="dxa"/>
          </w:tcPr>
          <w:p w14:paraId="787E2697"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ACT</w:t>
            </w:r>
          </w:p>
        </w:tc>
        <w:tc>
          <w:tcPr>
            <w:tcW w:w="1984" w:type="dxa"/>
          </w:tcPr>
          <w:p w14:paraId="1A9B5A9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54EFA79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13 (1.2%)</w:t>
            </w:r>
          </w:p>
        </w:tc>
        <w:tc>
          <w:tcPr>
            <w:tcW w:w="1757" w:type="dxa"/>
          </w:tcPr>
          <w:p w14:paraId="08FCA63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7 (0.6%)</w:t>
            </w:r>
          </w:p>
        </w:tc>
      </w:tr>
      <w:tr w:rsidR="003A04CB" w:rsidRPr="0076736B" w14:paraId="57C58FE5" w14:textId="77777777" w:rsidTr="008C3FEB">
        <w:tc>
          <w:tcPr>
            <w:tcW w:w="2127" w:type="dxa"/>
          </w:tcPr>
          <w:p w14:paraId="295BF79E"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NSW</w:t>
            </w:r>
          </w:p>
        </w:tc>
        <w:tc>
          <w:tcPr>
            <w:tcW w:w="1984" w:type="dxa"/>
          </w:tcPr>
          <w:p w14:paraId="48371F2C"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05B3AC5C"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443 (39.1%)</w:t>
            </w:r>
          </w:p>
        </w:tc>
        <w:tc>
          <w:tcPr>
            <w:tcW w:w="1757" w:type="dxa"/>
          </w:tcPr>
          <w:p w14:paraId="58E802F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444 (39.2%)</w:t>
            </w:r>
          </w:p>
        </w:tc>
      </w:tr>
      <w:tr w:rsidR="003A04CB" w:rsidRPr="0076736B" w14:paraId="5912AB46" w14:textId="77777777" w:rsidTr="008C3FEB">
        <w:tc>
          <w:tcPr>
            <w:tcW w:w="2127" w:type="dxa"/>
          </w:tcPr>
          <w:p w14:paraId="512E34CF"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NT</w:t>
            </w:r>
          </w:p>
        </w:tc>
        <w:tc>
          <w:tcPr>
            <w:tcW w:w="1984" w:type="dxa"/>
          </w:tcPr>
          <w:p w14:paraId="74ACC34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22CBC7E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 (0.4%)</w:t>
            </w:r>
          </w:p>
        </w:tc>
        <w:tc>
          <w:tcPr>
            <w:tcW w:w="1757" w:type="dxa"/>
          </w:tcPr>
          <w:p w14:paraId="7EC14F7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 (0.4%)</w:t>
            </w:r>
          </w:p>
        </w:tc>
      </w:tr>
      <w:tr w:rsidR="003A04CB" w:rsidRPr="0076736B" w14:paraId="5BE74F43" w14:textId="77777777" w:rsidTr="008C3FEB">
        <w:tc>
          <w:tcPr>
            <w:tcW w:w="2127" w:type="dxa"/>
          </w:tcPr>
          <w:p w14:paraId="3C417FDC"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QLD</w:t>
            </w:r>
          </w:p>
        </w:tc>
        <w:tc>
          <w:tcPr>
            <w:tcW w:w="1984" w:type="dxa"/>
          </w:tcPr>
          <w:p w14:paraId="37D2F62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333B4C0E"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188 (16.6%)</w:t>
            </w:r>
          </w:p>
        </w:tc>
        <w:tc>
          <w:tcPr>
            <w:tcW w:w="1757" w:type="dxa"/>
          </w:tcPr>
          <w:p w14:paraId="04E18CE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185 (16.3%)</w:t>
            </w:r>
          </w:p>
        </w:tc>
      </w:tr>
      <w:tr w:rsidR="003A04CB" w:rsidRPr="0076736B" w14:paraId="0BEB4939" w14:textId="77777777" w:rsidTr="008C3FEB">
        <w:tc>
          <w:tcPr>
            <w:tcW w:w="2127" w:type="dxa"/>
          </w:tcPr>
          <w:p w14:paraId="53D892E8"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SA</w:t>
            </w:r>
          </w:p>
        </w:tc>
        <w:tc>
          <w:tcPr>
            <w:tcW w:w="1984" w:type="dxa"/>
          </w:tcPr>
          <w:p w14:paraId="3688B8C1"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3624A239"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36 (3.2%)</w:t>
            </w:r>
          </w:p>
        </w:tc>
        <w:tc>
          <w:tcPr>
            <w:tcW w:w="1757" w:type="dxa"/>
          </w:tcPr>
          <w:p w14:paraId="367043F1"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39 (3.4%)</w:t>
            </w:r>
          </w:p>
        </w:tc>
      </w:tr>
      <w:tr w:rsidR="003A04CB" w:rsidRPr="0076736B" w14:paraId="5C2CEF09" w14:textId="77777777" w:rsidTr="008C3FEB">
        <w:tc>
          <w:tcPr>
            <w:tcW w:w="2127" w:type="dxa"/>
          </w:tcPr>
          <w:p w14:paraId="5C64CCEC"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TAS</w:t>
            </w:r>
          </w:p>
        </w:tc>
        <w:tc>
          <w:tcPr>
            <w:tcW w:w="1984" w:type="dxa"/>
          </w:tcPr>
          <w:p w14:paraId="221662F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4FDE4590"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 (0.4%)</w:t>
            </w:r>
          </w:p>
        </w:tc>
        <w:tc>
          <w:tcPr>
            <w:tcW w:w="1757" w:type="dxa"/>
          </w:tcPr>
          <w:p w14:paraId="1D1F7DE1"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7 (0.6%)</w:t>
            </w:r>
          </w:p>
        </w:tc>
      </w:tr>
      <w:tr w:rsidR="003A04CB" w:rsidRPr="0076736B" w14:paraId="121E202C" w14:textId="77777777" w:rsidTr="008C3FEB">
        <w:tc>
          <w:tcPr>
            <w:tcW w:w="2127" w:type="dxa"/>
          </w:tcPr>
          <w:p w14:paraId="42DB255B"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VIC</w:t>
            </w:r>
          </w:p>
        </w:tc>
        <w:tc>
          <w:tcPr>
            <w:tcW w:w="1984" w:type="dxa"/>
          </w:tcPr>
          <w:p w14:paraId="6C34DBEA"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42E58144"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383 (33.8%)</w:t>
            </w:r>
          </w:p>
        </w:tc>
        <w:tc>
          <w:tcPr>
            <w:tcW w:w="1757" w:type="dxa"/>
          </w:tcPr>
          <w:p w14:paraId="799CDED9"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403 (35.6%)</w:t>
            </w:r>
          </w:p>
        </w:tc>
      </w:tr>
      <w:tr w:rsidR="003A04CB" w:rsidRPr="0076736B" w14:paraId="5F5831A4" w14:textId="77777777" w:rsidTr="008C3FEB">
        <w:tc>
          <w:tcPr>
            <w:tcW w:w="2127" w:type="dxa"/>
          </w:tcPr>
          <w:p w14:paraId="28C4FCD8"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WA</w:t>
            </w:r>
          </w:p>
        </w:tc>
        <w:tc>
          <w:tcPr>
            <w:tcW w:w="1984" w:type="dxa"/>
          </w:tcPr>
          <w:p w14:paraId="2824C18A"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n (%)</w:t>
            </w:r>
          </w:p>
        </w:tc>
        <w:tc>
          <w:tcPr>
            <w:tcW w:w="2410" w:type="dxa"/>
          </w:tcPr>
          <w:p w14:paraId="25218128"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63 (5.6%)</w:t>
            </w:r>
          </w:p>
        </w:tc>
        <w:tc>
          <w:tcPr>
            <w:tcW w:w="1757" w:type="dxa"/>
          </w:tcPr>
          <w:p w14:paraId="1164B3F3"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44 (3.9%)</w:t>
            </w:r>
          </w:p>
        </w:tc>
      </w:tr>
      <w:tr w:rsidR="003A04CB" w:rsidRPr="0076736B" w14:paraId="7DD6AB96" w14:textId="77777777" w:rsidTr="008C3FEB">
        <w:tc>
          <w:tcPr>
            <w:tcW w:w="2127" w:type="dxa"/>
          </w:tcPr>
          <w:p w14:paraId="55753B8A"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Agent’s average WRE claim 2013</w:t>
            </w:r>
          </w:p>
        </w:tc>
        <w:tc>
          <w:tcPr>
            <w:tcW w:w="1984" w:type="dxa"/>
          </w:tcPr>
          <w:p w14:paraId="0D7A0A9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Mean (SD)</w:t>
            </w:r>
          </w:p>
        </w:tc>
        <w:tc>
          <w:tcPr>
            <w:tcW w:w="2410" w:type="dxa"/>
          </w:tcPr>
          <w:p w14:paraId="1DF59E3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$2,024 (1,036)</w:t>
            </w:r>
          </w:p>
        </w:tc>
        <w:tc>
          <w:tcPr>
            <w:tcW w:w="1757" w:type="dxa"/>
          </w:tcPr>
          <w:p w14:paraId="72C4AAB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$2,074 (992)</w:t>
            </w:r>
          </w:p>
        </w:tc>
      </w:tr>
      <w:tr w:rsidR="003A04CB" w:rsidRPr="0076736B" w14:paraId="53535CFE" w14:textId="77777777" w:rsidTr="008C3FEB">
        <w:tc>
          <w:tcPr>
            <w:tcW w:w="2127" w:type="dxa"/>
          </w:tcPr>
          <w:p w14:paraId="2F8189D0" w14:textId="77777777" w:rsidR="003A04CB" w:rsidRPr="003A04CB" w:rsidRDefault="003A04CB" w:rsidP="003A04CB">
            <w:pPr>
              <w:spacing w:after="0"/>
              <w:rPr>
                <w:rFonts w:eastAsia="Cambria" w:cs="Calibri Light"/>
                <w:color w:val="332C28"/>
                <w:szCs w:val="22"/>
              </w:rPr>
            </w:pPr>
            <w:r w:rsidRPr="003A04CB">
              <w:rPr>
                <w:rFonts w:eastAsia="Cambria" w:cs="Calibri Light"/>
                <w:color w:val="332C28"/>
                <w:szCs w:val="22"/>
              </w:rPr>
              <w:t>Agent’s average WRE claim 2014</w:t>
            </w:r>
          </w:p>
        </w:tc>
        <w:tc>
          <w:tcPr>
            <w:tcW w:w="1984" w:type="dxa"/>
          </w:tcPr>
          <w:p w14:paraId="1790AED5"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Mean (SD)</w:t>
            </w:r>
          </w:p>
        </w:tc>
        <w:tc>
          <w:tcPr>
            <w:tcW w:w="2410" w:type="dxa"/>
          </w:tcPr>
          <w:p w14:paraId="248FD2AF"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$2204 (940)</w:t>
            </w:r>
          </w:p>
        </w:tc>
        <w:tc>
          <w:tcPr>
            <w:tcW w:w="1757" w:type="dxa"/>
          </w:tcPr>
          <w:p w14:paraId="3C924AFB" w14:textId="77777777" w:rsidR="003A04CB" w:rsidRPr="0076736B" w:rsidRDefault="003A04CB" w:rsidP="003A04CB">
            <w:pPr>
              <w:spacing w:after="0"/>
              <w:rPr>
                <w:rFonts w:eastAsia="Cambria" w:cs="Calibri Light"/>
                <w:color w:val="332C28"/>
                <w:szCs w:val="22"/>
              </w:rPr>
            </w:pPr>
            <w:r w:rsidRPr="0076736B">
              <w:rPr>
                <w:rFonts w:eastAsia="Cambria" w:cs="Calibri Light"/>
                <w:color w:val="332C28"/>
                <w:szCs w:val="22"/>
              </w:rPr>
              <w:t>$2,208 (921)</w:t>
            </w:r>
          </w:p>
        </w:tc>
      </w:tr>
      <w:tr w:rsidR="003A04CB" w:rsidRPr="0076736B" w14:paraId="3C25A19A" w14:textId="77777777" w:rsidTr="008C3FEB">
        <w:tc>
          <w:tcPr>
            <w:tcW w:w="2127" w:type="dxa"/>
          </w:tcPr>
          <w:p w14:paraId="402365FF"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Agent’s average WRE claim 2015</w:t>
            </w:r>
          </w:p>
        </w:tc>
        <w:tc>
          <w:tcPr>
            <w:tcW w:w="1984" w:type="dxa"/>
          </w:tcPr>
          <w:p w14:paraId="290CCCCB"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Mean (SD)</w:t>
            </w:r>
          </w:p>
        </w:tc>
        <w:tc>
          <w:tcPr>
            <w:tcW w:w="2410" w:type="dxa"/>
          </w:tcPr>
          <w:p w14:paraId="6B194376"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$2,408 (788)</w:t>
            </w:r>
          </w:p>
        </w:tc>
        <w:tc>
          <w:tcPr>
            <w:tcW w:w="1757" w:type="dxa"/>
          </w:tcPr>
          <w:p w14:paraId="433DFD27"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$2,400 (764)</w:t>
            </w:r>
          </w:p>
        </w:tc>
      </w:tr>
      <w:tr w:rsidR="003A04CB" w:rsidRPr="0076736B" w14:paraId="6A84ED9F" w14:textId="77777777" w:rsidTr="008C3FEB">
        <w:tc>
          <w:tcPr>
            <w:tcW w:w="2127" w:type="dxa"/>
          </w:tcPr>
          <w:p w14:paraId="0AB56205" w14:textId="3D8D28EE" w:rsidR="003A04CB" w:rsidRPr="00FF4E39" w:rsidRDefault="003A04CB" w:rsidP="00AC0A3C">
            <w:pPr>
              <w:spacing w:after="0"/>
              <w:rPr>
                <w:rFonts w:eastAsia="Cambria" w:cs="Calibri Light"/>
                <w:bCs/>
                <w:color w:val="332C28"/>
                <w:szCs w:val="22"/>
              </w:rPr>
            </w:pPr>
            <w:r w:rsidRPr="00FF4E39">
              <w:rPr>
                <w:rFonts w:eastAsia="Cambria" w:cs="Calibri Light"/>
                <w:bCs/>
                <w:color w:val="332C28"/>
                <w:szCs w:val="22"/>
              </w:rPr>
              <w:t>Agent’s average WRE claim 2016 (</w:t>
            </w:r>
            <w:r w:rsidR="00AC0A3C">
              <w:rPr>
                <w:rFonts w:eastAsia="Cambria" w:cs="Calibri Light"/>
                <w:bCs/>
                <w:color w:val="332C28"/>
                <w:szCs w:val="22"/>
              </w:rPr>
              <w:t>to February 2017</w:t>
            </w:r>
            <w:r w:rsidRPr="00FF4E39">
              <w:rPr>
                <w:rFonts w:eastAsia="Cambria" w:cs="Calibri Light"/>
                <w:bCs/>
                <w:color w:val="332C28"/>
                <w:szCs w:val="22"/>
              </w:rPr>
              <w:t>)</w:t>
            </w:r>
          </w:p>
        </w:tc>
        <w:tc>
          <w:tcPr>
            <w:tcW w:w="1984" w:type="dxa"/>
          </w:tcPr>
          <w:p w14:paraId="6B7E21D2"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Mean (SD)</w:t>
            </w:r>
          </w:p>
        </w:tc>
        <w:tc>
          <w:tcPr>
            <w:tcW w:w="2410" w:type="dxa"/>
          </w:tcPr>
          <w:p w14:paraId="60E4647B"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$2,929 (808)</w:t>
            </w:r>
          </w:p>
        </w:tc>
        <w:tc>
          <w:tcPr>
            <w:tcW w:w="1757" w:type="dxa"/>
          </w:tcPr>
          <w:p w14:paraId="34EFB1CE"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$2,928 (793)</w:t>
            </w:r>
          </w:p>
        </w:tc>
      </w:tr>
      <w:tr w:rsidR="003A04CB" w:rsidRPr="0076736B" w14:paraId="2B095D59" w14:textId="77777777" w:rsidTr="008C3FEB">
        <w:tc>
          <w:tcPr>
            <w:tcW w:w="2127" w:type="dxa"/>
          </w:tcPr>
          <w:p w14:paraId="089CD909"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Agent risk score</w:t>
            </w:r>
          </w:p>
        </w:tc>
        <w:tc>
          <w:tcPr>
            <w:tcW w:w="1984" w:type="dxa"/>
          </w:tcPr>
          <w:p w14:paraId="043EF3CF"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Mean (SD)</w:t>
            </w:r>
          </w:p>
        </w:tc>
        <w:tc>
          <w:tcPr>
            <w:tcW w:w="2410" w:type="dxa"/>
          </w:tcPr>
          <w:p w14:paraId="7E1BEEE3"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2.7 (1.4)</w:t>
            </w:r>
          </w:p>
        </w:tc>
        <w:tc>
          <w:tcPr>
            <w:tcW w:w="1757" w:type="dxa"/>
          </w:tcPr>
          <w:p w14:paraId="10A87E7E"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2.7 (1.4)</w:t>
            </w:r>
          </w:p>
        </w:tc>
      </w:tr>
      <w:tr w:rsidR="003A04CB" w:rsidRPr="0076736B" w14:paraId="44B7C0A3" w14:textId="77777777" w:rsidTr="008C3FEB">
        <w:tc>
          <w:tcPr>
            <w:tcW w:w="2127" w:type="dxa"/>
          </w:tcPr>
          <w:p w14:paraId="214EF44E"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Higher risk score</w:t>
            </w:r>
          </w:p>
        </w:tc>
        <w:tc>
          <w:tcPr>
            <w:tcW w:w="1984" w:type="dxa"/>
          </w:tcPr>
          <w:p w14:paraId="6CFF070F"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n (%)</w:t>
            </w:r>
          </w:p>
        </w:tc>
        <w:tc>
          <w:tcPr>
            <w:tcW w:w="2410" w:type="dxa"/>
          </w:tcPr>
          <w:p w14:paraId="0EBEC988"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369 (32.5%)</w:t>
            </w:r>
          </w:p>
        </w:tc>
        <w:tc>
          <w:tcPr>
            <w:tcW w:w="1757" w:type="dxa"/>
          </w:tcPr>
          <w:p w14:paraId="48461C48"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376 (33.2%)</w:t>
            </w:r>
          </w:p>
        </w:tc>
      </w:tr>
      <w:tr w:rsidR="003A04CB" w:rsidRPr="0076736B" w14:paraId="1CB53443" w14:textId="77777777" w:rsidTr="008C3FEB">
        <w:tc>
          <w:tcPr>
            <w:tcW w:w="2127" w:type="dxa"/>
          </w:tcPr>
          <w:p w14:paraId="5865F5D2"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Moderate risk score</w:t>
            </w:r>
          </w:p>
        </w:tc>
        <w:tc>
          <w:tcPr>
            <w:tcW w:w="1984" w:type="dxa"/>
          </w:tcPr>
          <w:p w14:paraId="5A945380"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n (%)</w:t>
            </w:r>
          </w:p>
        </w:tc>
        <w:tc>
          <w:tcPr>
            <w:tcW w:w="2410" w:type="dxa"/>
          </w:tcPr>
          <w:p w14:paraId="07544A04"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765 (67.5%)</w:t>
            </w:r>
          </w:p>
        </w:tc>
        <w:tc>
          <w:tcPr>
            <w:tcW w:w="1757" w:type="dxa"/>
          </w:tcPr>
          <w:p w14:paraId="47A8403D" w14:textId="77777777" w:rsidR="003A04CB" w:rsidRPr="00FF4E39" w:rsidRDefault="003A04CB" w:rsidP="003A04CB">
            <w:pPr>
              <w:spacing w:after="0"/>
              <w:rPr>
                <w:rFonts w:eastAsia="Cambria" w:cs="Calibri Light"/>
                <w:bCs/>
                <w:color w:val="332C28"/>
                <w:szCs w:val="22"/>
              </w:rPr>
            </w:pPr>
            <w:r w:rsidRPr="00FF4E39">
              <w:rPr>
                <w:rFonts w:eastAsia="Cambria" w:cs="Calibri Light"/>
                <w:bCs/>
                <w:color w:val="332C28"/>
                <w:szCs w:val="22"/>
              </w:rPr>
              <w:t>757 (66.8%)</w:t>
            </w:r>
          </w:p>
        </w:tc>
      </w:tr>
    </w:tbl>
    <w:p w14:paraId="6EA2A87B" w14:textId="77777777" w:rsidR="00F13C82" w:rsidRPr="00F13C82" w:rsidRDefault="00F13C82" w:rsidP="00F13C82"/>
    <w:p w14:paraId="71267516" w14:textId="77777777" w:rsidR="003A04CB" w:rsidRDefault="003A04CB">
      <w:pPr>
        <w:spacing w:before="0" w:after="0" w:line="240" w:lineRule="auto"/>
      </w:pPr>
    </w:p>
    <w:p w14:paraId="6B66B750" w14:textId="77777777" w:rsidR="00F96BD2" w:rsidRDefault="003A04CB" w:rsidP="00085623">
      <w:pPr>
        <w:spacing w:before="0" w:after="0" w:line="240" w:lineRule="auto"/>
        <w:outlineLvl w:val="2"/>
        <w:rPr>
          <w:b/>
        </w:rPr>
      </w:pPr>
      <w:r>
        <w:rPr>
          <w:b/>
        </w:rPr>
        <w:t>Table 3.2 – Number and per cent of amendments (reduced WRE deductions or increased tax paid</w:t>
      </w:r>
      <w:r w:rsidR="00F96BD2">
        <w:rPr>
          <w:b/>
        </w:rPr>
        <w:t>) by letter group at the individual and agent level</w:t>
      </w:r>
    </w:p>
    <w:p w14:paraId="5E936EAC" w14:textId="77777777" w:rsidR="00F96BD2" w:rsidRDefault="00F96BD2">
      <w:pPr>
        <w:spacing w:before="0" w:after="0" w:line="240" w:lineRule="auto"/>
        <w:rPr>
          <w:b/>
        </w:rPr>
      </w:pPr>
    </w:p>
    <w:tbl>
      <w:tblPr>
        <w:tblStyle w:val="LightList-Accent21"/>
        <w:tblW w:w="9180" w:type="dxa"/>
        <w:tblLayout w:type="fixed"/>
        <w:tblLook w:val="04A0" w:firstRow="1" w:lastRow="0" w:firstColumn="1" w:lastColumn="0" w:noHBand="0" w:noVBand="1"/>
        <w:tblCaption w:val="Number and per cent of amendments (reduced work-related expense deductions or increased tax paid) by letter group at the individual and agent level "/>
        <w:tblDescription w:val="Table showing amendments for different types of deductions in the treatment group and control group"/>
      </w:tblPr>
      <w:tblGrid>
        <w:gridCol w:w="5070"/>
        <w:gridCol w:w="1134"/>
        <w:gridCol w:w="1615"/>
        <w:gridCol w:w="1361"/>
      </w:tblGrid>
      <w:tr w:rsidR="00F96BD2" w:rsidRPr="000C773E" w14:paraId="0DEB9F4E" w14:textId="77777777" w:rsidTr="00DA7796">
        <w:trPr>
          <w:cnfStyle w:val="100000000000" w:firstRow="1" w:lastRow="0" w:firstColumn="0" w:lastColumn="0" w:oddVBand="0" w:evenVBand="0" w:oddHBand="0" w:evenHBand="0" w:firstRowFirstColumn="0" w:firstRowLastColumn="0" w:lastRowFirstColumn="0" w:lastRowLastColumn="0"/>
          <w:trHeight w:val="38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142E3B" w:themeFill="accent6"/>
            <w:noWrap/>
            <w:hideMark/>
          </w:tcPr>
          <w:p w14:paraId="5909AB01" w14:textId="77777777" w:rsidR="00F96BD2" w:rsidRPr="00F96BD2" w:rsidRDefault="00F96BD2" w:rsidP="00177AD3">
            <w:pPr>
              <w:pStyle w:val="TableHeading"/>
            </w:pPr>
          </w:p>
        </w:tc>
        <w:tc>
          <w:tcPr>
            <w:tcW w:w="1134" w:type="dxa"/>
            <w:shd w:val="clear" w:color="auto" w:fill="142E3B" w:themeFill="accent6"/>
          </w:tcPr>
          <w:p w14:paraId="62F21C21" w14:textId="77777777" w:rsidR="00F96BD2" w:rsidRPr="00F96BD2" w:rsidRDefault="00F96BD2" w:rsidP="00177AD3">
            <w:pPr>
              <w:pStyle w:val="TableHeading"/>
              <w:cnfStyle w:val="100000000000" w:firstRow="1" w:lastRow="0" w:firstColumn="0" w:lastColumn="0" w:oddVBand="0" w:evenVBand="0" w:oddHBand="0" w:evenHBand="0" w:firstRowFirstColumn="0" w:firstRowLastColumn="0" w:lastRowFirstColumn="0" w:lastRowLastColumn="0"/>
            </w:pPr>
            <w:r w:rsidRPr="00F96BD2">
              <w:t>Statistic</w:t>
            </w:r>
          </w:p>
        </w:tc>
        <w:tc>
          <w:tcPr>
            <w:tcW w:w="1615" w:type="dxa"/>
            <w:shd w:val="clear" w:color="auto" w:fill="142E3B" w:themeFill="accent6"/>
          </w:tcPr>
          <w:p w14:paraId="7D2E04DD" w14:textId="77777777" w:rsidR="00F96BD2" w:rsidRPr="00F96BD2" w:rsidRDefault="00F96BD2" w:rsidP="00177AD3">
            <w:pPr>
              <w:pStyle w:val="TableHeading"/>
              <w:cnfStyle w:val="100000000000" w:firstRow="1" w:lastRow="0" w:firstColumn="0" w:lastColumn="0" w:oddVBand="0" w:evenVBand="0" w:oddHBand="0" w:evenHBand="0" w:firstRowFirstColumn="0" w:firstRowLastColumn="0" w:lastRowFirstColumn="0" w:lastRowLastColumn="0"/>
            </w:pPr>
            <w:r w:rsidRPr="00F96BD2">
              <w:t>Treatment</w:t>
            </w:r>
          </w:p>
        </w:tc>
        <w:tc>
          <w:tcPr>
            <w:tcW w:w="1361" w:type="dxa"/>
            <w:shd w:val="clear" w:color="auto" w:fill="142E3B" w:themeFill="accent6"/>
          </w:tcPr>
          <w:p w14:paraId="697D7B2F" w14:textId="77777777" w:rsidR="00F96BD2" w:rsidRPr="00F96BD2" w:rsidRDefault="00F96BD2" w:rsidP="00177AD3">
            <w:pPr>
              <w:pStyle w:val="TableHeading"/>
              <w:cnfStyle w:val="100000000000" w:firstRow="1" w:lastRow="0" w:firstColumn="0" w:lastColumn="0" w:oddVBand="0" w:evenVBand="0" w:oddHBand="0" w:evenHBand="0" w:firstRowFirstColumn="0" w:firstRowLastColumn="0" w:lastRowFirstColumn="0" w:lastRowLastColumn="0"/>
            </w:pPr>
            <w:r w:rsidRPr="00F96BD2">
              <w:t>Control</w:t>
            </w:r>
          </w:p>
        </w:tc>
      </w:tr>
      <w:tr w:rsidR="00F96BD2" w:rsidRPr="000C773E" w14:paraId="30D7767E" w14:textId="77777777" w:rsidTr="00DA7796">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20B9A3" w:themeFill="background2"/>
            <w:noWrap/>
          </w:tcPr>
          <w:p w14:paraId="234B3606" w14:textId="77777777" w:rsidR="00F96BD2" w:rsidRPr="00F96BD2" w:rsidRDefault="00F96BD2" w:rsidP="00F96BD2">
            <w:pPr>
              <w:spacing w:after="0"/>
              <w:rPr>
                <w:rFonts w:eastAsia="Cambria" w:cs="Calibri Light"/>
                <w:color w:val="332C28"/>
                <w:szCs w:val="22"/>
              </w:rPr>
            </w:pPr>
            <w:r w:rsidRPr="00F96BD2">
              <w:rPr>
                <w:rFonts w:eastAsia="Cambria" w:cs="Calibri Light"/>
                <w:color w:val="332C28"/>
                <w:szCs w:val="22"/>
              </w:rPr>
              <w:t>Individual level</w:t>
            </w:r>
          </w:p>
        </w:tc>
        <w:tc>
          <w:tcPr>
            <w:tcW w:w="1134" w:type="dxa"/>
            <w:shd w:val="clear" w:color="auto" w:fill="20B9A3" w:themeFill="background2"/>
          </w:tcPr>
          <w:p w14:paraId="176450FC"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615" w:type="dxa"/>
            <w:shd w:val="clear" w:color="auto" w:fill="20B9A3" w:themeFill="background2"/>
          </w:tcPr>
          <w:p w14:paraId="7E838DFD"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361" w:type="dxa"/>
            <w:shd w:val="clear" w:color="auto" w:fill="20B9A3" w:themeFill="background2"/>
          </w:tcPr>
          <w:p w14:paraId="17EB16D4"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r>
      <w:tr w:rsidR="00F96BD2" w:rsidRPr="000C773E" w14:paraId="577D2FA7" w14:textId="77777777" w:rsidTr="00DA7796">
        <w:trPr>
          <w:cnfStyle w:val="100000000000" w:firstRow="1" w:lastRow="0" w:firstColumn="0" w:lastColumn="0" w:oddVBand="0" w:evenVBand="0" w:oddHBand="0" w:evenHBand="0" w:firstRowFirstColumn="0" w:firstRowLastColumn="0" w:lastRowFirstColumn="0" w:lastRowLastColumn="0"/>
          <w:trHeight w:val="311"/>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54E99172"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Individuals for whom tax returns were amended</w:t>
            </w:r>
          </w:p>
        </w:tc>
        <w:tc>
          <w:tcPr>
            <w:tcW w:w="1134" w:type="dxa"/>
            <w:shd w:val="clear" w:color="auto" w:fill="F2F2F2" w:themeFill="background1" w:themeFillShade="F2"/>
          </w:tcPr>
          <w:p w14:paraId="1F7D9BC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w:t>
            </w:r>
          </w:p>
        </w:tc>
        <w:tc>
          <w:tcPr>
            <w:tcW w:w="1615" w:type="dxa"/>
            <w:shd w:val="clear" w:color="auto" w:fill="F2F2F2" w:themeFill="background1" w:themeFillShade="F2"/>
          </w:tcPr>
          <w:p w14:paraId="30CEFC1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546</w:t>
            </w:r>
          </w:p>
        </w:tc>
        <w:tc>
          <w:tcPr>
            <w:tcW w:w="1361" w:type="dxa"/>
            <w:shd w:val="clear" w:color="auto" w:fill="F2F2F2" w:themeFill="background1" w:themeFillShade="F2"/>
          </w:tcPr>
          <w:p w14:paraId="0FA8BD9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16</w:t>
            </w:r>
          </w:p>
        </w:tc>
      </w:tr>
      <w:tr w:rsidR="00F96BD2" w:rsidRPr="000C773E" w14:paraId="574C7E84" w14:textId="77777777" w:rsidTr="00DA7796">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899FA8C"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WRE claims </w:t>
            </w:r>
          </w:p>
        </w:tc>
        <w:tc>
          <w:tcPr>
            <w:tcW w:w="1134" w:type="dxa"/>
            <w:shd w:val="clear" w:color="auto" w:fill="F2F2F2" w:themeFill="background1" w:themeFillShade="F2"/>
          </w:tcPr>
          <w:p w14:paraId="462DC7B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655499A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483 (88.5%)</w:t>
            </w:r>
          </w:p>
        </w:tc>
        <w:tc>
          <w:tcPr>
            <w:tcW w:w="1361" w:type="dxa"/>
            <w:shd w:val="clear" w:color="auto" w:fill="F2F2F2" w:themeFill="background1" w:themeFillShade="F2"/>
          </w:tcPr>
          <w:p w14:paraId="7998003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354B5736" w14:textId="77777777" w:rsidTr="00DA7796">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2C9E6DA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Increased net tax paid</w:t>
            </w:r>
          </w:p>
        </w:tc>
        <w:tc>
          <w:tcPr>
            <w:tcW w:w="1134" w:type="dxa"/>
            <w:shd w:val="clear" w:color="auto" w:fill="F2F2F2" w:themeFill="background1" w:themeFillShade="F2"/>
          </w:tcPr>
          <w:p w14:paraId="54E0DE54"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51BE2DBB"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487 (89.2%)</w:t>
            </w:r>
          </w:p>
        </w:tc>
        <w:tc>
          <w:tcPr>
            <w:tcW w:w="1361" w:type="dxa"/>
            <w:shd w:val="clear" w:color="auto" w:fill="F2F2F2" w:themeFill="background1" w:themeFillShade="F2"/>
          </w:tcPr>
          <w:p w14:paraId="07ED4A6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7 (43.8%)</w:t>
            </w:r>
          </w:p>
        </w:tc>
      </w:tr>
      <w:tr w:rsidR="00F96BD2" w:rsidRPr="000C773E" w14:paraId="730E979E" w14:textId="77777777" w:rsidTr="00DA7796">
        <w:trPr>
          <w:cnfStyle w:val="100000000000" w:firstRow="1" w:lastRow="0" w:firstColumn="0" w:lastColumn="0" w:oddVBand="0" w:evenVBand="0" w:oddHBand="0" w:evenHBand="0" w:firstRowFirstColumn="0" w:firstRowLastColumn="0" w:lastRowFirstColumn="0" w:lastRowLastColumn="0"/>
          <w:trHeight w:val="253"/>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265D82A4"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car deductions </w:t>
            </w:r>
          </w:p>
        </w:tc>
        <w:tc>
          <w:tcPr>
            <w:tcW w:w="1134" w:type="dxa"/>
            <w:shd w:val="clear" w:color="auto" w:fill="F2F2F2" w:themeFill="background1" w:themeFillShade="F2"/>
          </w:tcPr>
          <w:p w14:paraId="6C69A71D"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2C3D061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243 (44.5%)</w:t>
            </w:r>
          </w:p>
        </w:tc>
        <w:tc>
          <w:tcPr>
            <w:tcW w:w="1361" w:type="dxa"/>
            <w:shd w:val="clear" w:color="auto" w:fill="F2F2F2" w:themeFill="background1" w:themeFillShade="F2"/>
          </w:tcPr>
          <w:p w14:paraId="3C1E577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02F4901E" w14:textId="77777777" w:rsidTr="00DA7796">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11DB805D"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travel deductions </w:t>
            </w:r>
          </w:p>
        </w:tc>
        <w:tc>
          <w:tcPr>
            <w:tcW w:w="1134" w:type="dxa"/>
            <w:shd w:val="clear" w:color="auto" w:fill="F2F2F2" w:themeFill="background1" w:themeFillShade="F2"/>
          </w:tcPr>
          <w:p w14:paraId="2CD81BEB"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79B3DFAF"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175 (32.1%)</w:t>
            </w:r>
          </w:p>
        </w:tc>
        <w:tc>
          <w:tcPr>
            <w:tcW w:w="1361" w:type="dxa"/>
            <w:shd w:val="clear" w:color="auto" w:fill="F2F2F2" w:themeFill="background1" w:themeFillShade="F2"/>
          </w:tcPr>
          <w:p w14:paraId="04992A33"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124BC0B8" w14:textId="77777777" w:rsidTr="00DA7796">
        <w:trPr>
          <w:cnfStyle w:val="100000000000" w:firstRow="1" w:lastRow="0" w:firstColumn="0" w:lastColumn="0" w:oddVBand="0" w:evenVBand="0" w:oddHBand="0" w:evenHBand="0" w:firstRowFirstColumn="0" w:firstRowLastColumn="0" w:lastRowFirstColumn="0" w:lastRowLastColumn="0"/>
          <w:trHeight w:val="27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B497B1A"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clothing deductions </w:t>
            </w:r>
          </w:p>
        </w:tc>
        <w:tc>
          <w:tcPr>
            <w:tcW w:w="1134" w:type="dxa"/>
            <w:shd w:val="clear" w:color="auto" w:fill="F2F2F2" w:themeFill="background1" w:themeFillShade="F2"/>
          </w:tcPr>
          <w:p w14:paraId="4D049B18"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44BEC1D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99 (18.1%)</w:t>
            </w:r>
          </w:p>
        </w:tc>
        <w:tc>
          <w:tcPr>
            <w:tcW w:w="1361" w:type="dxa"/>
            <w:shd w:val="clear" w:color="auto" w:fill="F2F2F2" w:themeFill="background1" w:themeFillShade="F2"/>
          </w:tcPr>
          <w:p w14:paraId="651FDC1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24592C98" w14:textId="77777777" w:rsidTr="00DA7796">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F2CFC3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self-education deductions </w:t>
            </w:r>
          </w:p>
        </w:tc>
        <w:tc>
          <w:tcPr>
            <w:tcW w:w="1134" w:type="dxa"/>
            <w:shd w:val="clear" w:color="auto" w:fill="F2F2F2" w:themeFill="background1" w:themeFillShade="F2"/>
          </w:tcPr>
          <w:p w14:paraId="7BD43AEB"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17E53618"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43 (7.9%)</w:t>
            </w:r>
          </w:p>
        </w:tc>
        <w:tc>
          <w:tcPr>
            <w:tcW w:w="1361" w:type="dxa"/>
            <w:shd w:val="clear" w:color="auto" w:fill="F2F2F2" w:themeFill="background1" w:themeFillShade="F2"/>
          </w:tcPr>
          <w:p w14:paraId="4F58FFC6"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0 (0.0%)</w:t>
            </w:r>
          </w:p>
        </w:tc>
      </w:tr>
      <w:tr w:rsidR="00F96BD2" w:rsidRPr="000C773E" w14:paraId="251F937C" w14:textId="77777777" w:rsidTr="00DA7796">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0C1078A5"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other work-related deductions </w:t>
            </w:r>
          </w:p>
        </w:tc>
        <w:tc>
          <w:tcPr>
            <w:tcW w:w="1134" w:type="dxa"/>
            <w:shd w:val="clear" w:color="auto" w:fill="F2F2F2" w:themeFill="background1" w:themeFillShade="F2"/>
          </w:tcPr>
          <w:p w14:paraId="6EF118F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257E9C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285 (52.2%)</w:t>
            </w:r>
          </w:p>
        </w:tc>
        <w:tc>
          <w:tcPr>
            <w:tcW w:w="1361" w:type="dxa"/>
            <w:shd w:val="clear" w:color="auto" w:fill="F2F2F2" w:themeFill="background1" w:themeFillShade="F2"/>
          </w:tcPr>
          <w:p w14:paraId="71B0C26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46712CD8" w14:textId="77777777" w:rsidTr="00DA7796">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20B9A3" w:themeFill="background2"/>
            <w:noWrap/>
          </w:tcPr>
          <w:p w14:paraId="4769C567" w14:textId="77777777" w:rsidR="00F96BD2" w:rsidRPr="00F96BD2" w:rsidRDefault="00F96BD2" w:rsidP="00F96BD2">
            <w:pPr>
              <w:spacing w:after="0"/>
              <w:rPr>
                <w:rFonts w:eastAsia="Cambria" w:cs="Calibri Light"/>
                <w:color w:val="332C28"/>
                <w:szCs w:val="22"/>
              </w:rPr>
            </w:pPr>
            <w:r w:rsidRPr="00F96BD2">
              <w:rPr>
                <w:rFonts w:eastAsia="Cambria" w:cs="Calibri Light"/>
                <w:color w:val="332C28"/>
                <w:szCs w:val="22"/>
              </w:rPr>
              <w:t>Agent level</w:t>
            </w:r>
          </w:p>
        </w:tc>
        <w:tc>
          <w:tcPr>
            <w:tcW w:w="1134" w:type="dxa"/>
            <w:shd w:val="clear" w:color="auto" w:fill="20B9A3" w:themeFill="background2"/>
          </w:tcPr>
          <w:p w14:paraId="3FC6D397"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615" w:type="dxa"/>
            <w:shd w:val="clear" w:color="auto" w:fill="20B9A3" w:themeFill="background2"/>
          </w:tcPr>
          <w:p w14:paraId="49B01328"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c>
          <w:tcPr>
            <w:tcW w:w="1361" w:type="dxa"/>
            <w:shd w:val="clear" w:color="auto" w:fill="20B9A3" w:themeFill="background2"/>
          </w:tcPr>
          <w:p w14:paraId="02DBD46E" w14:textId="77777777" w:rsidR="00F96BD2" w:rsidRPr="000C773E"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color w:val="332C28"/>
                <w:szCs w:val="22"/>
              </w:rPr>
            </w:pPr>
          </w:p>
        </w:tc>
      </w:tr>
      <w:tr w:rsidR="00F96BD2" w:rsidRPr="000C773E" w14:paraId="2D6C022D" w14:textId="77777777" w:rsidTr="00DA7796">
        <w:trPr>
          <w:cnfStyle w:val="100000000000" w:firstRow="1" w:lastRow="0" w:firstColumn="0" w:lastColumn="0" w:oddVBand="0" w:evenVBand="0" w:oddHBand="0" w:evenHBand="0" w:firstRowFirstColumn="0" w:firstRowLastColumn="0" w:lastRowFirstColumn="0" w:lastRowLastColumn="0"/>
          <w:trHeight w:val="458"/>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ED22CBD"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Agents who amended tax returns</w:t>
            </w:r>
          </w:p>
        </w:tc>
        <w:tc>
          <w:tcPr>
            <w:tcW w:w="1134" w:type="dxa"/>
            <w:shd w:val="clear" w:color="auto" w:fill="F2F2F2" w:themeFill="background1" w:themeFillShade="F2"/>
          </w:tcPr>
          <w:p w14:paraId="600B506F"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w:t>
            </w:r>
          </w:p>
        </w:tc>
        <w:tc>
          <w:tcPr>
            <w:tcW w:w="1615" w:type="dxa"/>
            <w:shd w:val="clear" w:color="auto" w:fill="F2F2F2" w:themeFill="background1" w:themeFillShade="F2"/>
          </w:tcPr>
          <w:p w14:paraId="2D19A33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193</w:t>
            </w:r>
          </w:p>
        </w:tc>
        <w:tc>
          <w:tcPr>
            <w:tcW w:w="1361" w:type="dxa"/>
            <w:shd w:val="clear" w:color="auto" w:fill="F2F2F2" w:themeFill="background1" w:themeFillShade="F2"/>
          </w:tcPr>
          <w:p w14:paraId="4B98511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16</w:t>
            </w:r>
          </w:p>
        </w:tc>
      </w:tr>
      <w:tr w:rsidR="00F96BD2" w:rsidRPr="000C773E" w14:paraId="0D25AF2C" w14:textId="77777777" w:rsidTr="00DA7796">
        <w:trPr>
          <w:cnfStyle w:val="100000000000" w:firstRow="1" w:lastRow="0" w:firstColumn="0" w:lastColumn="0" w:oddVBand="0" w:evenVBand="0" w:oddHBand="0" w:evenHBand="0" w:firstRowFirstColumn="0" w:firstRowLastColumn="0" w:lastRowFirstColumn="0" w:lastRowLastColumn="0"/>
          <w:trHeight w:val="281"/>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239C46E0"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WRE claims </w:t>
            </w:r>
          </w:p>
        </w:tc>
        <w:tc>
          <w:tcPr>
            <w:tcW w:w="1134" w:type="dxa"/>
            <w:shd w:val="clear" w:color="auto" w:fill="F2F2F2" w:themeFill="background1" w:themeFillShade="F2"/>
          </w:tcPr>
          <w:p w14:paraId="3D57C0A3"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6A860F1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170 (88.1%)</w:t>
            </w:r>
          </w:p>
        </w:tc>
        <w:tc>
          <w:tcPr>
            <w:tcW w:w="1361" w:type="dxa"/>
            <w:shd w:val="clear" w:color="auto" w:fill="F2F2F2" w:themeFill="background1" w:themeFillShade="F2"/>
          </w:tcPr>
          <w:p w14:paraId="33FD07E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74364519" w14:textId="77777777" w:rsidTr="00DA7796">
        <w:trPr>
          <w:cnfStyle w:val="100000000000" w:firstRow="1" w:lastRow="0" w:firstColumn="0" w:lastColumn="0" w:oddVBand="0" w:evenVBand="0" w:oddHBand="0" w:evenHBand="0" w:firstRowFirstColumn="0" w:firstRowLastColumn="0" w:lastRowFirstColumn="0" w:lastRowLastColumn="0"/>
          <w:trHeight w:val="257"/>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79BDD491"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Increased net tax paid</w:t>
            </w:r>
          </w:p>
        </w:tc>
        <w:tc>
          <w:tcPr>
            <w:tcW w:w="1134" w:type="dxa"/>
            <w:shd w:val="clear" w:color="auto" w:fill="F2F2F2" w:themeFill="background1" w:themeFillShade="F2"/>
          </w:tcPr>
          <w:p w14:paraId="0290B79D"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04E0BC1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171 (88.6%)</w:t>
            </w:r>
          </w:p>
        </w:tc>
        <w:tc>
          <w:tcPr>
            <w:tcW w:w="1361" w:type="dxa"/>
            <w:shd w:val="clear" w:color="auto" w:fill="F2F2F2" w:themeFill="background1" w:themeFillShade="F2"/>
          </w:tcPr>
          <w:p w14:paraId="3C9D28E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7 (43.8%)</w:t>
            </w:r>
          </w:p>
        </w:tc>
      </w:tr>
      <w:tr w:rsidR="00F96BD2" w:rsidRPr="000C773E" w14:paraId="2CAB62BD" w14:textId="77777777" w:rsidTr="00DA7796">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6105CD49"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car deductions </w:t>
            </w:r>
          </w:p>
        </w:tc>
        <w:tc>
          <w:tcPr>
            <w:tcW w:w="1134" w:type="dxa"/>
            <w:shd w:val="clear" w:color="auto" w:fill="F2F2F2" w:themeFill="background1" w:themeFillShade="F2"/>
          </w:tcPr>
          <w:p w14:paraId="36A1577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66A44F6F"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112 (58.0%)</w:t>
            </w:r>
          </w:p>
        </w:tc>
        <w:tc>
          <w:tcPr>
            <w:tcW w:w="1361" w:type="dxa"/>
            <w:shd w:val="clear" w:color="auto" w:fill="F2F2F2" w:themeFill="background1" w:themeFillShade="F2"/>
          </w:tcPr>
          <w:p w14:paraId="488836CE"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6A885319" w14:textId="77777777" w:rsidTr="00DA7796">
        <w:trPr>
          <w:cnfStyle w:val="100000000000" w:firstRow="1" w:lastRow="0" w:firstColumn="0" w:lastColumn="0" w:oddVBand="0" w:evenVBand="0" w:oddHBand="0" w:evenHBand="0" w:firstRowFirstColumn="0" w:firstRowLastColumn="0" w:lastRowFirstColumn="0" w:lastRowLastColumn="0"/>
          <w:trHeight w:val="265"/>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45F7C7B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travel deductions </w:t>
            </w:r>
          </w:p>
        </w:tc>
        <w:tc>
          <w:tcPr>
            <w:tcW w:w="1134" w:type="dxa"/>
            <w:shd w:val="clear" w:color="auto" w:fill="F2F2F2" w:themeFill="background1" w:themeFillShade="F2"/>
          </w:tcPr>
          <w:p w14:paraId="4DB4EC1A"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0D285A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90 (46.6%)</w:t>
            </w:r>
          </w:p>
        </w:tc>
        <w:tc>
          <w:tcPr>
            <w:tcW w:w="1361" w:type="dxa"/>
            <w:shd w:val="clear" w:color="auto" w:fill="F2F2F2" w:themeFill="background1" w:themeFillShade="F2"/>
          </w:tcPr>
          <w:p w14:paraId="175D1F59"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1B3308DC" w14:textId="77777777" w:rsidTr="00DA7796">
        <w:trPr>
          <w:cnfStyle w:val="100000000000" w:firstRow="1" w:lastRow="0" w:firstColumn="0" w:lastColumn="0" w:oddVBand="0" w:evenVBand="0" w:oddHBand="0" w:evenHBand="0" w:firstRowFirstColumn="0" w:firstRowLastColumn="0" w:lastRowFirstColumn="0" w:lastRowLastColumn="0"/>
          <w:trHeight w:val="26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0AE8E80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clothing deductions </w:t>
            </w:r>
          </w:p>
        </w:tc>
        <w:tc>
          <w:tcPr>
            <w:tcW w:w="1134" w:type="dxa"/>
            <w:shd w:val="clear" w:color="auto" w:fill="F2F2F2" w:themeFill="background1" w:themeFillShade="F2"/>
          </w:tcPr>
          <w:p w14:paraId="24196D38"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7E7FC4AC"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58 (30.1%)</w:t>
            </w:r>
          </w:p>
        </w:tc>
        <w:tc>
          <w:tcPr>
            <w:tcW w:w="1361" w:type="dxa"/>
            <w:shd w:val="clear" w:color="auto" w:fill="F2F2F2" w:themeFill="background1" w:themeFillShade="F2"/>
          </w:tcPr>
          <w:p w14:paraId="06A8F7B2"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r w:rsidR="00F96BD2" w:rsidRPr="000C773E" w14:paraId="289AC02A" w14:textId="77777777" w:rsidTr="00DA7796">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0FE7A54F"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work-related self-education deductions </w:t>
            </w:r>
          </w:p>
        </w:tc>
        <w:tc>
          <w:tcPr>
            <w:tcW w:w="1134" w:type="dxa"/>
            <w:shd w:val="clear" w:color="auto" w:fill="F2F2F2" w:themeFill="background1" w:themeFillShade="F2"/>
          </w:tcPr>
          <w:p w14:paraId="44BD82D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55071D4"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38 (19.7%)</w:t>
            </w:r>
          </w:p>
        </w:tc>
        <w:tc>
          <w:tcPr>
            <w:tcW w:w="1361" w:type="dxa"/>
            <w:shd w:val="clear" w:color="auto" w:fill="F2F2F2" w:themeFill="background1" w:themeFillShade="F2"/>
          </w:tcPr>
          <w:p w14:paraId="6A2BAD0D"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0 (0.0%)</w:t>
            </w:r>
          </w:p>
        </w:tc>
      </w:tr>
      <w:tr w:rsidR="00F96BD2" w:rsidRPr="000C773E" w14:paraId="03CBC31C" w14:textId="77777777" w:rsidTr="00DA7796">
        <w:trPr>
          <w:cnfStyle w:val="100000000000" w:firstRow="1" w:lastRow="0" w:firstColumn="0" w:lastColumn="0" w:oddVBand="0" w:evenVBand="0" w:oddHBand="0" w:evenHBand="0" w:firstRowFirstColumn="0" w:firstRowLastColumn="0" w:lastRowFirstColumn="0" w:lastRowLastColumn="0"/>
          <w:trHeight w:val="263"/>
          <w:tblHeader/>
        </w:trPr>
        <w:tc>
          <w:tcPr>
            <w:cnfStyle w:val="001000000000" w:firstRow="0" w:lastRow="0" w:firstColumn="1" w:lastColumn="0" w:oddVBand="0" w:evenVBand="0" w:oddHBand="0" w:evenHBand="0" w:firstRowFirstColumn="0" w:firstRowLastColumn="0" w:lastRowFirstColumn="0" w:lastRowLastColumn="0"/>
            <w:tcW w:w="5070" w:type="dxa"/>
            <w:shd w:val="clear" w:color="auto" w:fill="F2F2F2" w:themeFill="background1" w:themeFillShade="F2"/>
            <w:noWrap/>
          </w:tcPr>
          <w:p w14:paraId="53CAC913" w14:textId="77777777" w:rsidR="00F96BD2" w:rsidRPr="000C773E" w:rsidRDefault="00F96BD2" w:rsidP="00F96BD2">
            <w:pPr>
              <w:spacing w:after="0"/>
              <w:rPr>
                <w:rFonts w:eastAsia="Cambria" w:cs="Calibri Light"/>
                <w:b w:val="0"/>
                <w:color w:val="332C28"/>
                <w:szCs w:val="22"/>
              </w:rPr>
            </w:pPr>
            <w:r w:rsidRPr="000C773E">
              <w:rPr>
                <w:rFonts w:eastAsia="Cambria" w:cs="Calibri Light"/>
                <w:b w:val="0"/>
                <w:color w:val="332C28"/>
                <w:szCs w:val="22"/>
              </w:rPr>
              <w:t xml:space="preserve">Reduced other work-related deductions </w:t>
            </w:r>
          </w:p>
        </w:tc>
        <w:tc>
          <w:tcPr>
            <w:tcW w:w="1134" w:type="dxa"/>
            <w:shd w:val="clear" w:color="auto" w:fill="F2F2F2" w:themeFill="background1" w:themeFillShade="F2"/>
          </w:tcPr>
          <w:p w14:paraId="2590B220"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N (%)</w:t>
            </w:r>
          </w:p>
        </w:tc>
        <w:tc>
          <w:tcPr>
            <w:tcW w:w="1615" w:type="dxa"/>
            <w:shd w:val="clear" w:color="auto" w:fill="F2F2F2" w:themeFill="background1" w:themeFillShade="F2"/>
          </w:tcPr>
          <w:p w14:paraId="3B0E2F65"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126 (65.3%)</w:t>
            </w:r>
          </w:p>
        </w:tc>
        <w:tc>
          <w:tcPr>
            <w:tcW w:w="1361" w:type="dxa"/>
            <w:shd w:val="clear" w:color="auto" w:fill="F2F2F2" w:themeFill="background1" w:themeFillShade="F2"/>
          </w:tcPr>
          <w:p w14:paraId="2A3D1141" w14:textId="77777777" w:rsidR="00F96BD2" w:rsidRPr="00B000ED" w:rsidRDefault="00F96BD2" w:rsidP="00F96BD2">
            <w:pPr>
              <w:spacing w:after="0"/>
              <w:cnfStyle w:val="100000000000" w:firstRow="1" w:lastRow="0" w:firstColumn="0" w:lastColumn="0" w:oddVBand="0" w:evenVBand="0" w:oddHBand="0" w:evenHBand="0" w:firstRowFirstColumn="0" w:firstRowLastColumn="0" w:lastRowFirstColumn="0" w:lastRowLastColumn="0"/>
              <w:rPr>
                <w:rFonts w:eastAsia="Cambria" w:cs="Calibri Light"/>
                <w:b w:val="0"/>
                <w:color w:val="332C28"/>
                <w:szCs w:val="22"/>
              </w:rPr>
            </w:pPr>
            <w:r w:rsidRPr="00B000ED">
              <w:rPr>
                <w:rFonts w:eastAsia="Cambria" w:cs="Calibri Light"/>
                <w:b w:val="0"/>
                <w:color w:val="332C28"/>
                <w:szCs w:val="22"/>
              </w:rPr>
              <w:t>1 (6.3%)</w:t>
            </w:r>
          </w:p>
        </w:tc>
      </w:tr>
    </w:tbl>
    <w:p w14:paraId="3B08AA24" w14:textId="77777777" w:rsidR="003A04CB" w:rsidRDefault="003A04CB">
      <w:pPr>
        <w:spacing w:before="0" w:after="0" w:line="240" w:lineRule="auto"/>
      </w:pPr>
      <w:r>
        <w:br w:type="page"/>
      </w:r>
    </w:p>
    <w:p w14:paraId="5673FDEB" w14:textId="77777777" w:rsidR="00F96BD2" w:rsidRDefault="00F96BD2" w:rsidP="00085623">
      <w:pPr>
        <w:spacing w:before="0" w:after="0" w:line="240" w:lineRule="auto"/>
        <w:outlineLvl w:val="2"/>
        <w:rPr>
          <w:b/>
        </w:rPr>
      </w:pPr>
      <w:r>
        <w:rPr>
          <w:b/>
        </w:rPr>
        <w:t>Table 3.3 – Logistic regression results for amended returns for identified clients (number of agents =2,246)</w:t>
      </w:r>
    </w:p>
    <w:p w14:paraId="3AE10E37" w14:textId="77777777" w:rsidR="00F96BD2" w:rsidRDefault="00F96BD2">
      <w:pPr>
        <w:spacing w:before="0" w:after="0" w:line="240" w:lineRule="auto"/>
        <w:rPr>
          <w:b/>
        </w:rPr>
      </w:pPr>
    </w:p>
    <w:tbl>
      <w:tblPr>
        <w:tblStyle w:val="DefaultTable"/>
        <w:tblW w:w="9923" w:type="dxa"/>
        <w:tblLayout w:type="fixed"/>
        <w:tblLook w:val="04A0" w:firstRow="1" w:lastRow="0" w:firstColumn="1" w:lastColumn="0" w:noHBand="0" w:noVBand="1"/>
        <w:tblCaption w:val="Logistic regression results for amended returns for identified clients"/>
        <w:tblDescription w:val="Table showing odds ratio, standard error and p-value."/>
      </w:tblPr>
      <w:tblGrid>
        <w:gridCol w:w="3544"/>
        <w:gridCol w:w="2693"/>
        <w:gridCol w:w="1701"/>
        <w:gridCol w:w="1985"/>
      </w:tblGrid>
      <w:tr w:rsidR="00F96BD2" w:rsidRPr="000C773E" w14:paraId="60BF092A" w14:textId="77777777" w:rsidTr="00C66F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44" w:type="dxa"/>
          </w:tcPr>
          <w:p w14:paraId="66EB38C2" w14:textId="77777777" w:rsidR="00F96BD2" w:rsidRPr="00C7615C" w:rsidRDefault="00F96BD2" w:rsidP="00C7615C">
            <w:pPr>
              <w:pStyle w:val="TableHeading"/>
              <w:rPr>
                <w:rFonts w:eastAsia="Cambria"/>
              </w:rPr>
            </w:pPr>
          </w:p>
        </w:tc>
        <w:tc>
          <w:tcPr>
            <w:tcW w:w="2693" w:type="dxa"/>
          </w:tcPr>
          <w:p w14:paraId="68ED5014"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rPr>
                <w:rFonts w:eastAsia="Cambria"/>
              </w:rPr>
            </w:pPr>
            <w:r w:rsidRPr="00C7615C">
              <w:rPr>
                <w:rFonts w:eastAsia="Cambria"/>
              </w:rPr>
              <w:t>Odds ratio</w:t>
            </w:r>
          </w:p>
        </w:tc>
        <w:tc>
          <w:tcPr>
            <w:tcW w:w="1701" w:type="dxa"/>
          </w:tcPr>
          <w:p w14:paraId="7325F4CA"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rPr>
                <w:rFonts w:eastAsia="Cambria"/>
              </w:rPr>
            </w:pPr>
            <w:r w:rsidRPr="00C7615C">
              <w:rPr>
                <w:rFonts w:eastAsia="Cambria"/>
              </w:rPr>
              <w:t>Standard Error</w:t>
            </w:r>
          </w:p>
        </w:tc>
        <w:tc>
          <w:tcPr>
            <w:tcW w:w="1985" w:type="dxa"/>
          </w:tcPr>
          <w:p w14:paraId="122CEE4F"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rPr>
                <w:rFonts w:eastAsia="Cambria"/>
              </w:rPr>
            </w:pPr>
            <w:r w:rsidRPr="00C7615C">
              <w:rPr>
                <w:rFonts w:eastAsia="Cambria"/>
              </w:rPr>
              <w:t>p-value</w:t>
            </w:r>
          </w:p>
        </w:tc>
      </w:tr>
      <w:tr w:rsidR="00F96BD2" w:rsidRPr="000C773E" w14:paraId="2DD59E71" w14:textId="77777777" w:rsidTr="008C3FEB">
        <w:trPr>
          <w:trHeight w:val="20"/>
        </w:trPr>
        <w:tc>
          <w:tcPr>
            <w:cnfStyle w:val="001000000000" w:firstRow="0" w:lastRow="0" w:firstColumn="1" w:lastColumn="0" w:oddVBand="0" w:evenVBand="0" w:oddHBand="0" w:evenHBand="0" w:firstRowFirstColumn="0" w:firstRowLastColumn="0" w:lastRowFirstColumn="0" w:lastRowLastColumn="0"/>
            <w:tcW w:w="3544" w:type="dxa"/>
          </w:tcPr>
          <w:p w14:paraId="1BCF8081" w14:textId="77777777" w:rsidR="00F96BD2" w:rsidRPr="000C773E" w:rsidRDefault="00F96BD2" w:rsidP="00F96BD2">
            <w:pPr>
              <w:spacing w:before="20" w:after="20"/>
              <w:rPr>
                <w:rFonts w:cs="Calibri Light"/>
              </w:rPr>
            </w:pPr>
            <w:r w:rsidRPr="000C773E">
              <w:rPr>
                <w:rFonts w:cs="Calibri Light"/>
              </w:rPr>
              <w:t>Treatment</w:t>
            </w:r>
          </w:p>
        </w:tc>
        <w:tc>
          <w:tcPr>
            <w:tcW w:w="2693" w:type="dxa"/>
          </w:tcPr>
          <w:p w14:paraId="02818C17" w14:textId="77777777" w:rsidR="00F96BD2" w:rsidRPr="000C773E" w:rsidRDefault="00F96BD2" w:rsidP="00F96BD2">
            <w:pPr>
              <w:tabs>
                <w:tab w:val="left" w:pos="908"/>
              </w:tabs>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r w:rsidRPr="000C773E">
              <w:rPr>
                <w:rFonts w:cs="Calibri Light"/>
                <w:color w:val="000000"/>
              </w:rPr>
              <w:t>15.1</w:t>
            </w:r>
          </w:p>
        </w:tc>
        <w:tc>
          <w:tcPr>
            <w:tcW w:w="1701" w:type="dxa"/>
          </w:tcPr>
          <w:p w14:paraId="3EE7FCD0"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0C773E">
              <w:rPr>
                <w:rFonts w:cs="Calibri Light"/>
              </w:rPr>
              <w:t>4.0</w:t>
            </w:r>
          </w:p>
        </w:tc>
        <w:tc>
          <w:tcPr>
            <w:tcW w:w="1985" w:type="dxa"/>
          </w:tcPr>
          <w:p w14:paraId="64DA82B7"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0C773E">
              <w:rPr>
                <w:rFonts w:cs="Calibri Light"/>
              </w:rPr>
              <w:t>&lt; 0.001</w:t>
            </w:r>
          </w:p>
        </w:tc>
      </w:tr>
      <w:tr w:rsidR="00F96BD2" w:rsidRPr="000C773E" w14:paraId="3EDA5312" w14:textId="77777777" w:rsidTr="008C3FEB">
        <w:trPr>
          <w:trHeight w:val="20"/>
        </w:trPr>
        <w:tc>
          <w:tcPr>
            <w:cnfStyle w:val="001000000000" w:firstRow="0" w:lastRow="0" w:firstColumn="1" w:lastColumn="0" w:oddVBand="0" w:evenVBand="0" w:oddHBand="0" w:evenHBand="0" w:firstRowFirstColumn="0" w:firstRowLastColumn="0" w:lastRowFirstColumn="0" w:lastRowLastColumn="0"/>
            <w:tcW w:w="3544" w:type="dxa"/>
          </w:tcPr>
          <w:p w14:paraId="772C2778" w14:textId="77777777" w:rsidR="00F96BD2" w:rsidRPr="000C773E" w:rsidRDefault="00F96BD2" w:rsidP="00F96BD2">
            <w:pPr>
              <w:spacing w:before="20" w:after="20"/>
              <w:rPr>
                <w:rFonts w:cs="Calibri Light"/>
              </w:rPr>
            </w:pPr>
            <w:r w:rsidRPr="000C773E">
              <w:rPr>
                <w:rFonts w:cs="Calibri Light"/>
              </w:rPr>
              <w:t>Control</w:t>
            </w:r>
          </w:p>
        </w:tc>
        <w:tc>
          <w:tcPr>
            <w:tcW w:w="2693" w:type="dxa"/>
          </w:tcPr>
          <w:p w14:paraId="73F31F4D"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r w:rsidRPr="000C773E">
              <w:rPr>
                <w:rFonts w:cs="Calibri Light"/>
                <w:color w:val="000000"/>
              </w:rPr>
              <w:t>Reference group</w:t>
            </w:r>
          </w:p>
        </w:tc>
        <w:tc>
          <w:tcPr>
            <w:tcW w:w="1701" w:type="dxa"/>
          </w:tcPr>
          <w:p w14:paraId="5104BECA"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p>
        </w:tc>
        <w:tc>
          <w:tcPr>
            <w:tcW w:w="1985" w:type="dxa"/>
          </w:tcPr>
          <w:p w14:paraId="3E1821ED" w14:textId="77777777" w:rsidR="00F96BD2" w:rsidRPr="000C773E"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color w:val="000000"/>
              </w:rPr>
            </w:pPr>
          </w:p>
        </w:tc>
      </w:tr>
    </w:tbl>
    <w:p w14:paraId="58B1A870" w14:textId="5A80EE40" w:rsidR="00F96BD2" w:rsidRPr="000C773E" w:rsidRDefault="00F96BD2" w:rsidP="00F96BD2">
      <w:pPr>
        <w:spacing w:before="20" w:after="20"/>
        <w:rPr>
          <w:rFonts w:cs="Calibri Light"/>
        </w:rPr>
      </w:pPr>
      <w:r w:rsidRPr="000C773E">
        <w:rPr>
          <w:rFonts w:cs="Calibri Light"/>
        </w:rPr>
        <w:t xml:space="preserve">Note: Adjusted for agent risk score, agent segment, agent state, agent number of clients, agent’s average WRE claims (2013, 2014, 2015, </w:t>
      </w:r>
      <w:r>
        <w:rPr>
          <w:rFonts w:cs="Calibri Light"/>
        </w:rPr>
        <w:t>2016 to February</w:t>
      </w:r>
      <w:r w:rsidR="00395807">
        <w:rPr>
          <w:rFonts w:cs="Calibri Light"/>
        </w:rPr>
        <w:t xml:space="preserve"> 2017</w:t>
      </w:r>
      <w:r w:rsidRPr="000C773E">
        <w:rPr>
          <w:rFonts w:cs="Calibri Light"/>
        </w:rPr>
        <w:t>), agent’s average clients’ income 2015 and agent’s number of lodgements and state but there were no significant differences in the odds of amended tax returns by these variables. Dummy variables for pairs were not included as with logistic regression, many were predicting failure or success perfectly.</w:t>
      </w:r>
    </w:p>
    <w:p w14:paraId="3297B4CB" w14:textId="77777777" w:rsidR="00522958" w:rsidRDefault="00522958">
      <w:pPr>
        <w:spacing w:before="0" w:after="0" w:line="240" w:lineRule="auto"/>
        <w:rPr>
          <w:b/>
        </w:rPr>
      </w:pPr>
      <w:r>
        <w:rPr>
          <w:b/>
        </w:rPr>
        <w:br w:type="page"/>
      </w:r>
    </w:p>
    <w:p w14:paraId="00FF9D00" w14:textId="77777777" w:rsidR="00F96BD2" w:rsidRDefault="00F96BD2" w:rsidP="00085623">
      <w:pPr>
        <w:spacing w:before="0" w:after="0" w:line="240" w:lineRule="auto"/>
        <w:outlineLvl w:val="2"/>
        <w:rPr>
          <w:b/>
        </w:rPr>
      </w:pPr>
      <w:r>
        <w:rPr>
          <w:b/>
        </w:rPr>
        <w:t>Table 3.4 – Linear regression results for amended returns – impact for identified clients</w:t>
      </w:r>
    </w:p>
    <w:p w14:paraId="6936C6E3" w14:textId="77777777" w:rsidR="00F96BD2" w:rsidRDefault="00F96BD2">
      <w:pPr>
        <w:spacing w:before="0" w:after="0" w:line="240" w:lineRule="auto"/>
        <w:rPr>
          <w:b/>
        </w:rPr>
      </w:pPr>
    </w:p>
    <w:tbl>
      <w:tblPr>
        <w:tblStyle w:val="TableGrid"/>
        <w:tblW w:w="10275" w:type="dxa"/>
        <w:tblBorders>
          <w:left w:val="none" w:sz="0" w:space="0" w:color="auto"/>
          <w:right w:val="none" w:sz="0" w:space="0" w:color="auto"/>
          <w:insideV w:val="none" w:sz="0" w:space="0" w:color="auto"/>
        </w:tblBorders>
        <w:tblLayout w:type="fixed"/>
        <w:tblLook w:val="04A0" w:firstRow="1" w:lastRow="0" w:firstColumn="1" w:lastColumn="0" w:noHBand="0" w:noVBand="1"/>
        <w:tblCaption w:val="Linear regression results for amended returns - impact for identified clients"/>
        <w:tblDescription w:val="Table showing the amended returns as well as standard error and p-value."/>
      </w:tblPr>
      <w:tblGrid>
        <w:gridCol w:w="2093"/>
        <w:gridCol w:w="1417"/>
        <w:gridCol w:w="1452"/>
        <w:gridCol w:w="1279"/>
        <w:gridCol w:w="1414"/>
        <w:gridCol w:w="1310"/>
        <w:gridCol w:w="1310"/>
      </w:tblGrid>
      <w:tr w:rsidR="00F96BD2" w:rsidRPr="001057C3" w14:paraId="27261D97" w14:textId="77777777" w:rsidTr="00C66F3C">
        <w:trPr>
          <w:tblHeader/>
        </w:trPr>
        <w:tc>
          <w:tcPr>
            <w:tcW w:w="2093" w:type="dxa"/>
            <w:tcBorders>
              <w:bottom w:val="single" w:sz="4" w:space="0" w:color="auto"/>
            </w:tcBorders>
            <w:shd w:val="clear" w:color="auto" w:fill="142E3B" w:themeFill="accent6"/>
            <w:vAlign w:val="center"/>
          </w:tcPr>
          <w:p w14:paraId="7578F404" w14:textId="77777777" w:rsidR="00F96BD2" w:rsidRPr="00177AD3" w:rsidRDefault="00F96BD2" w:rsidP="00177AD3">
            <w:pPr>
              <w:pStyle w:val="TableHeading"/>
              <w:rPr>
                <w:b/>
              </w:rPr>
            </w:pPr>
          </w:p>
        </w:tc>
        <w:tc>
          <w:tcPr>
            <w:tcW w:w="1417" w:type="dxa"/>
            <w:tcBorders>
              <w:bottom w:val="single" w:sz="4" w:space="0" w:color="auto"/>
            </w:tcBorders>
            <w:shd w:val="clear" w:color="auto" w:fill="142E3B" w:themeFill="accent6"/>
            <w:vAlign w:val="center"/>
          </w:tcPr>
          <w:p w14:paraId="3C3624EE" w14:textId="77777777" w:rsidR="00F96BD2" w:rsidRPr="00177AD3" w:rsidRDefault="00F96BD2" w:rsidP="00177AD3">
            <w:pPr>
              <w:pStyle w:val="TableHeading"/>
              <w:rPr>
                <w:b/>
              </w:rPr>
            </w:pPr>
            <w:r w:rsidRPr="00177AD3">
              <w:rPr>
                <w:b/>
              </w:rPr>
              <w:t xml:space="preserve">Average change in $ per </w:t>
            </w:r>
            <w:r w:rsidRPr="00177AD3">
              <w:rPr>
                <w:b/>
                <w:i/>
              </w:rPr>
              <w:t>individual</w:t>
            </w:r>
            <w:r w:rsidRPr="00177AD3">
              <w:rPr>
                <w:b/>
              </w:rPr>
              <w:t xml:space="preserve"> in the letter group (compared to control)</w:t>
            </w:r>
            <w:r w:rsidRPr="00177AD3">
              <w:rPr>
                <w:b/>
              </w:rPr>
              <w:br/>
            </w:r>
          </w:p>
        </w:tc>
        <w:tc>
          <w:tcPr>
            <w:tcW w:w="1452" w:type="dxa"/>
            <w:tcBorders>
              <w:bottom w:val="single" w:sz="4" w:space="0" w:color="auto"/>
            </w:tcBorders>
            <w:shd w:val="clear" w:color="auto" w:fill="142E3B" w:themeFill="accent6"/>
            <w:vAlign w:val="center"/>
          </w:tcPr>
          <w:p w14:paraId="04339276" w14:textId="77777777" w:rsidR="00F96BD2" w:rsidRPr="00177AD3" w:rsidRDefault="00F96BD2" w:rsidP="00177AD3">
            <w:pPr>
              <w:pStyle w:val="TableHeading"/>
              <w:rPr>
                <w:b/>
              </w:rPr>
            </w:pPr>
            <w:r w:rsidRPr="00177AD3">
              <w:rPr>
                <w:b/>
              </w:rPr>
              <w:t>Standard Error</w:t>
            </w:r>
          </w:p>
        </w:tc>
        <w:tc>
          <w:tcPr>
            <w:tcW w:w="1279" w:type="dxa"/>
            <w:tcBorders>
              <w:bottom w:val="single" w:sz="4" w:space="0" w:color="auto"/>
            </w:tcBorders>
            <w:shd w:val="clear" w:color="auto" w:fill="142E3B" w:themeFill="accent6"/>
            <w:vAlign w:val="center"/>
          </w:tcPr>
          <w:p w14:paraId="49865DBB" w14:textId="77777777" w:rsidR="00F96BD2" w:rsidRPr="00177AD3" w:rsidRDefault="00F96BD2" w:rsidP="00177AD3">
            <w:pPr>
              <w:pStyle w:val="TableHeading"/>
              <w:rPr>
                <w:b/>
              </w:rPr>
            </w:pPr>
            <w:r w:rsidRPr="00177AD3">
              <w:rPr>
                <w:b/>
              </w:rPr>
              <w:t>p-value- difference between control and treatment</w:t>
            </w:r>
          </w:p>
        </w:tc>
        <w:tc>
          <w:tcPr>
            <w:tcW w:w="1414" w:type="dxa"/>
            <w:tcBorders>
              <w:bottom w:val="single" w:sz="4" w:space="0" w:color="auto"/>
            </w:tcBorders>
            <w:shd w:val="clear" w:color="auto" w:fill="142E3B" w:themeFill="accent6"/>
            <w:vAlign w:val="center"/>
          </w:tcPr>
          <w:p w14:paraId="42C6B6DC" w14:textId="77777777" w:rsidR="00F96BD2" w:rsidRPr="00177AD3" w:rsidRDefault="00F96BD2" w:rsidP="00177AD3">
            <w:pPr>
              <w:pStyle w:val="TableHeading"/>
              <w:rPr>
                <w:b/>
              </w:rPr>
            </w:pPr>
            <w:r w:rsidRPr="00177AD3">
              <w:rPr>
                <w:b/>
              </w:rPr>
              <w:t xml:space="preserve">Average change in $ per </w:t>
            </w:r>
            <w:r w:rsidRPr="00177AD3">
              <w:rPr>
                <w:b/>
                <w:i/>
              </w:rPr>
              <w:t>agent</w:t>
            </w:r>
            <w:r w:rsidRPr="00177AD3">
              <w:rPr>
                <w:b/>
              </w:rPr>
              <w:t xml:space="preserve"> (compared to control)</w:t>
            </w:r>
            <w:r w:rsidRPr="00177AD3">
              <w:rPr>
                <w:b/>
              </w:rPr>
              <w:br/>
            </w:r>
          </w:p>
        </w:tc>
        <w:tc>
          <w:tcPr>
            <w:tcW w:w="1310" w:type="dxa"/>
            <w:tcBorders>
              <w:bottom w:val="single" w:sz="4" w:space="0" w:color="auto"/>
            </w:tcBorders>
            <w:shd w:val="clear" w:color="auto" w:fill="142E3B" w:themeFill="accent6"/>
            <w:vAlign w:val="center"/>
          </w:tcPr>
          <w:p w14:paraId="5C61ED49" w14:textId="77777777" w:rsidR="00F96BD2" w:rsidRPr="00177AD3" w:rsidRDefault="00F96BD2" w:rsidP="00177AD3">
            <w:pPr>
              <w:pStyle w:val="TableHeading"/>
              <w:rPr>
                <w:b/>
              </w:rPr>
            </w:pPr>
            <w:r w:rsidRPr="00177AD3">
              <w:rPr>
                <w:b/>
              </w:rPr>
              <w:t>Standard Error</w:t>
            </w:r>
          </w:p>
        </w:tc>
        <w:tc>
          <w:tcPr>
            <w:tcW w:w="1310" w:type="dxa"/>
            <w:tcBorders>
              <w:bottom w:val="single" w:sz="4" w:space="0" w:color="auto"/>
            </w:tcBorders>
            <w:shd w:val="clear" w:color="auto" w:fill="142E3B" w:themeFill="accent6"/>
            <w:vAlign w:val="center"/>
          </w:tcPr>
          <w:p w14:paraId="33D901C8" w14:textId="77777777" w:rsidR="00F96BD2" w:rsidRPr="00177AD3" w:rsidRDefault="00F96BD2" w:rsidP="00177AD3">
            <w:pPr>
              <w:pStyle w:val="TableHeading"/>
              <w:rPr>
                <w:b/>
              </w:rPr>
            </w:pPr>
            <w:r w:rsidRPr="00177AD3">
              <w:rPr>
                <w:b/>
              </w:rPr>
              <w:t>p-value- difference between control and treatment</w:t>
            </w:r>
          </w:p>
        </w:tc>
      </w:tr>
      <w:tr w:rsidR="00C66F3C" w:rsidRPr="001057C3" w14:paraId="55F3046D" w14:textId="77777777" w:rsidTr="00C66F3C">
        <w:trPr>
          <w:tblHeader/>
        </w:trPr>
        <w:tc>
          <w:tcPr>
            <w:tcW w:w="2093" w:type="dxa"/>
            <w:shd w:val="clear" w:color="auto" w:fill="188A79" w:themeFill="background2" w:themeFillShade="BF"/>
            <w:vAlign w:val="center"/>
          </w:tcPr>
          <w:p w14:paraId="48C3FF45" w14:textId="77777777" w:rsidR="00C66F3C" w:rsidRPr="00177AD3" w:rsidRDefault="00C66F3C" w:rsidP="00177AD3">
            <w:pPr>
              <w:pStyle w:val="TableHeading"/>
              <w:rPr>
                <w:b/>
              </w:rPr>
            </w:pPr>
          </w:p>
        </w:tc>
        <w:tc>
          <w:tcPr>
            <w:tcW w:w="1417" w:type="dxa"/>
            <w:shd w:val="clear" w:color="auto" w:fill="188A79" w:themeFill="background2" w:themeFillShade="BF"/>
            <w:vAlign w:val="center"/>
          </w:tcPr>
          <w:p w14:paraId="2224E391" w14:textId="1049E346" w:rsidR="00C66F3C" w:rsidRPr="00177AD3" w:rsidRDefault="00C66F3C" w:rsidP="00C66F3C">
            <w:pPr>
              <w:pStyle w:val="TableHeading"/>
              <w:rPr>
                <w:b/>
              </w:rPr>
            </w:pPr>
            <w:r w:rsidRPr="00522958">
              <w:rPr>
                <w:rFonts w:cs="Calibri Light"/>
                <w:b/>
              </w:rPr>
              <w:t>Individual level</w:t>
            </w:r>
          </w:p>
        </w:tc>
        <w:tc>
          <w:tcPr>
            <w:tcW w:w="1452" w:type="dxa"/>
            <w:shd w:val="clear" w:color="auto" w:fill="188A79" w:themeFill="background2" w:themeFillShade="BF"/>
            <w:vAlign w:val="center"/>
          </w:tcPr>
          <w:p w14:paraId="7C3B01EC" w14:textId="65F9EF02" w:rsidR="00C66F3C" w:rsidRPr="00177AD3" w:rsidRDefault="00C66F3C" w:rsidP="00177AD3">
            <w:pPr>
              <w:pStyle w:val="TableHeading"/>
              <w:rPr>
                <w:b/>
              </w:rPr>
            </w:pPr>
            <w:r w:rsidRPr="00522958">
              <w:rPr>
                <w:rFonts w:cs="Calibri Light"/>
                <w:b/>
              </w:rPr>
              <w:t>(n= 22,686</w:t>
            </w:r>
            <w:r>
              <w:rPr>
                <w:rFonts w:cs="Calibri Light"/>
                <w:b/>
              </w:rPr>
              <w:t>)</w:t>
            </w:r>
          </w:p>
        </w:tc>
        <w:tc>
          <w:tcPr>
            <w:tcW w:w="1279" w:type="dxa"/>
            <w:shd w:val="clear" w:color="auto" w:fill="188A79" w:themeFill="background2" w:themeFillShade="BF"/>
            <w:vAlign w:val="center"/>
          </w:tcPr>
          <w:p w14:paraId="7EC5A92D" w14:textId="77777777" w:rsidR="00C66F3C" w:rsidRPr="00177AD3" w:rsidRDefault="00C66F3C" w:rsidP="00177AD3">
            <w:pPr>
              <w:pStyle w:val="TableHeading"/>
              <w:rPr>
                <w:b/>
              </w:rPr>
            </w:pPr>
          </w:p>
        </w:tc>
        <w:tc>
          <w:tcPr>
            <w:tcW w:w="1414" w:type="dxa"/>
            <w:shd w:val="clear" w:color="auto" w:fill="188A79" w:themeFill="background2" w:themeFillShade="BF"/>
            <w:vAlign w:val="center"/>
          </w:tcPr>
          <w:p w14:paraId="7FF819A8" w14:textId="6AEF26A4" w:rsidR="00C66F3C" w:rsidRPr="00177AD3" w:rsidRDefault="00C66F3C" w:rsidP="00C66F3C">
            <w:pPr>
              <w:pStyle w:val="TableHeading"/>
              <w:rPr>
                <w:b/>
              </w:rPr>
            </w:pPr>
            <w:r w:rsidRPr="00522958">
              <w:rPr>
                <w:rFonts w:cs="Calibri Light"/>
                <w:b/>
              </w:rPr>
              <w:t xml:space="preserve">Agent level </w:t>
            </w:r>
          </w:p>
        </w:tc>
        <w:tc>
          <w:tcPr>
            <w:tcW w:w="1310" w:type="dxa"/>
            <w:shd w:val="clear" w:color="auto" w:fill="188A79" w:themeFill="background2" w:themeFillShade="BF"/>
            <w:vAlign w:val="center"/>
          </w:tcPr>
          <w:p w14:paraId="6BFD3B0A" w14:textId="453D8355" w:rsidR="00C66F3C" w:rsidRPr="00177AD3" w:rsidRDefault="00C66F3C" w:rsidP="00177AD3">
            <w:pPr>
              <w:pStyle w:val="TableHeading"/>
              <w:rPr>
                <w:b/>
              </w:rPr>
            </w:pPr>
            <w:r w:rsidRPr="00522958">
              <w:rPr>
                <w:rFonts w:cs="Calibri Light"/>
                <w:b/>
              </w:rPr>
              <w:t>(n=2,267)</w:t>
            </w:r>
          </w:p>
        </w:tc>
        <w:tc>
          <w:tcPr>
            <w:tcW w:w="1310" w:type="dxa"/>
            <w:shd w:val="clear" w:color="auto" w:fill="188A79" w:themeFill="background2" w:themeFillShade="BF"/>
            <w:vAlign w:val="center"/>
          </w:tcPr>
          <w:p w14:paraId="6CCED5F5" w14:textId="77777777" w:rsidR="00C66F3C" w:rsidRPr="00177AD3" w:rsidRDefault="00C66F3C" w:rsidP="00177AD3">
            <w:pPr>
              <w:pStyle w:val="TableHeading"/>
              <w:rPr>
                <w:b/>
              </w:rPr>
            </w:pPr>
          </w:p>
        </w:tc>
      </w:tr>
      <w:tr w:rsidR="00F96BD2" w:rsidRPr="001057C3" w14:paraId="2F1CBD76" w14:textId="77777777" w:rsidTr="00C66F3C">
        <w:trPr>
          <w:trHeight w:val="20"/>
          <w:tblHeader/>
        </w:trPr>
        <w:tc>
          <w:tcPr>
            <w:tcW w:w="2093" w:type="dxa"/>
            <w:shd w:val="clear" w:color="auto" w:fill="F2F2F2" w:themeFill="background1" w:themeFillShade="F2"/>
            <w:vAlign w:val="center"/>
          </w:tcPr>
          <w:p w14:paraId="72FD8EDE" w14:textId="77777777" w:rsidR="00F96BD2" w:rsidRPr="000C773E" w:rsidRDefault="00F96BD2" w:rsidP="00F96BD2">
            <w:pPr>
              <w:spacing w:before="20" w:after="20"/>
              <w:rPr>
                <w:rFonts w:cs="Calibri Light"/>
              </w:rPr>
            </w:pPr>
            <w:r w:rsidRPr="000C773E">
              <w:rPr>
                <w:rFonts w:cs="Calibri Light"/>
              </w:rPr>
              <w:t xml:space="preserve">Change in WRE deduction </w:t>
            </w:r>
          </w:p>
        </w:tc>
        <w:tc>
          <w:tcPr>
            <w:tcW w:w="1417" w:type="dxa"/>
            <w:shd w:val="clear" w:color="auto" w:fill="F2F2F2" w:themeFill="background1" w:themeFillShade="F2"/>
            <w:vAlign w:val="center"/>
          </w:tcPr>
          <w:p w14:paraId="045ED6E2" w14:textId="77777777" w:rsidR="00F96BD2" w:rsidRPr="000C773E" w:rsidRDefault="00F96BD2" w:rsidP="00F96BD2">
            <w:pPr>
              <w:tabs>
                <w:tab w:val="left" w:pos="908"/>
              </w:tabs>
              <w:spacing w:before="20" w:after="20"/>
              <w:rPr>
                <w:rFonts w:cs="Calibri Light"/>
                <w:color w:val="000000"/>
              </w:rPr>
            </w:pPr>
            <w:r w:rsidRPr="000C773E">
              <w:rPr>
                <w:rFonts w:cs="Calibri Light"/>
                <w:color w:val="000000"/>
              </w:rPr>
              <w:t>-193.2</w:t>
            </w:r>
          </w:p>
        </w:tc>
        <w:tc>
          <w:tcPr>
            <w:tcW w:w="1452" w:type="dxa"/>
            <w:shd w:val="clear" w:color="auto" w:fill="F2F2F2" w:themeFill="background1" w:themeFillShade="F2"/>
            <w:vAlign w:val="center"/>
          </w:tcPr>
          <w:p w14:paraId="456655DF" w14:textId="77777777" w:rsidR="00F96BD2" w:rsidRPr="000C773E" w:rsidRDefault="00F96BD2" w:rsidP="00F96BD2">
            <w:pPr>
              <w:spacing w:before="20" w:after="20"/>
              <w:rPr>
                <w:rFonts w:cs="Calibri Light"/>
              </w:rPr>
            </w:pPr>
            <w:r w:rsidRPr="000C773E">
              <w:rPr>
                <w:rFonts w:cs="Calibri Light"/>
                <w:color w:val="000000"/>
              </w:rPr>
              <w:t>16.2</w:t>
            </w:r>
          </w:p>
        </w:tc>
        <w:tc>
          <w:tcPr>
            <w:tcW w:w="1279" w:type="dxa"/>
            <w:shd w:val="clear" w:color="auto" w:fill="F2F2F2" w:themeFill="background1" w:themeFillShade="F2"/>
            <w:vAlign w:val="center"/>
          </w:tcPr>
          <w:p w14:paraId="01F92794"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4E700AE4" w14:textId="77777777" w:rsidR="00F96BD2" w:rsidRPr="000C773E" w:rsidRDefault="00F96BD2" w:rsidP="00F96BD2">
            <w:pPr>
              <w:spacing w:before="20" w:after="20"/>
              <w:rPr>
                <w:rFonts w:cs="Calibri Light"/>
                <w:color w:val="000000"/>
              </w:rPr>
            </w:pPr>
            <w:r w:rsidRPr="000C773E">
              <w:rPr>
                <w:rFonts w:cs="Calibri Light"/>
                <w:color w:val="000000"/>
              </w:rPr>
              <w:t>-1853.8</w:t>
            </w:r>
          </w:p>
        </w:tc>
        <w:tc>
          <w:tcPr>
            <w:tcW w:w="1310" w:type="dxa"/>
            <w:shd w:val="clear" w:color="auto" w:fill="F2F2F2" w:themeFill="background1" w:themeFillShade="F2"/>
            <w:vAlign w:val="center"/>
          </w:tcPr>
          <w:p w14:paraId="3B5EBA87" w14:textId="77777777" w:rsidR="00F96BD2" w:rsidRPr="000C773E" w:rsidRDefault="00F96BD2" w:rsidP="00F96BD2">
            <w:pPr>
              <w:spacing w:before="20" w:after="20"/>
              <w:rPr>
                <w:rFonts w:cs="Calibri Light"/>
                <w:color w:val="000000"/>
              </w:rPr>
            </w:pPr>
            <w:r w:rsidRPr="000C773E">
              <w:rPr>
                <w:rFonts w:cs="Calibri Light"/>
                <w:color w:val="000000"/>
              </w:rPr>
              <w:t>214.5</w:t>
            </w:r>
          </w:p>
        </w:tc>
        <w:tc>
          <w:tcPr>
            <w:tcW w:w="1310" w:type="dxa"/>
            <w:shd w:val="clear" w:color="auto" w:fill="F2F2F2" w:themeFill="background1" w:themeFillShade="F2"/>
            <w:vAlign w:val="center"/>
          </w:tcPr>
          <w:p w14:paraId="3C269486"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13349DC2" w14:textId="77777777" w:rsidTr="00C66F3C">
        <w:trPr>
          <w:trHeight w:val="20"/>
          <w:tblHeader/>
        </w:trPr>
        <w:tc>
          <w:tcPr>
            <w:tcW w:w="2093" w:type="dxa"/>
            <w:shd w:val="clear" w:color="auto" w:fill="F2F2F2" w:themeFill="background1" w:themeFillShade="F2"/>
            <w:vAlign w:val="center"/>
          </w:tcPr>
          <w:p w14:paraId="7C9D171A" w14:textId="77777777" w:rsidR="00F96BD2" w:rsidRPr="000C773E" w:rsidRDefault="00F96BD2" w:rsidP="00F96BD2">
            <w:pPr>
              <w:spacing w:before="20" w:after="20"/>
              <w:rPr>
                <w:rFonts w:cs="Calibri Light"/>
              </w:rPr>
            </w:pPr>
            <w:r w:rsidRPr="000C773E">
              <w:rPr>
                <w:rFonts w:cs="Calibri Light"/>
              </w:rPr>
              <w:t>Change in net tax paid</w:t>
            </w:r>
          </w:p>
        </w:tc>
        <w:tc>
          <w:tcPr>
            <w:tcW w:w="1417" w:type="dxa"/>
            <w:shd w:val="clear" w:color="auto" w:fill="F2F2F2" w:themeFill="background1" w:themeFillShade="F2"/>
            <w:vAlign w:val="center"/>
          </w:tcPr>
          <w:p w14:paraId="318C4C56" w14:textId="77777777" w:rsidR="00F96BD2" w:rsidRPr="000C773E" w:rsidRDefault="00F96BD2" w:rsidP="00F96BD2">
            <w:pPr>
              <w:spacing w:before="20" w:after="20"/>
              <w:rPr>
                <w:rFonts w:cs="Calibri Light"/>
                <w:color w:val="000000"/>
              </w:rPr>
            </w:pPr>
            <w:r w:rsidRPr="000C773E">
              <w:rPr>
                <w:rFonts w:cs="Calibri Light"/>
                <w:color w:val="000000"/>
              </w:rPr>
              <w:t>76.2</w:t>
            </w:r>
          </w:p>
        </w:tc>
        <w:tc>
          <w:tcPr>
            <w:tcW w:w="1452" w:type="dxa"/>
            <w:shd w:val="clear" w:color="auto" w:fill="F2F2F2" w:themeFill="background1" w:themeFillShade="F2"/>
            <w:vAlign w:val="center"/>
          </w:tcPr>
          <w:p w14:paraId="6E595DE0" w14:textId="77777777" w:rsidR="00F96BD2" w:rsidRPr="000C773E" w:rsidRDefault="00F96BD2" w:rsidP="00F96BD2">
            <w:pPr>
              <w:spacing w:before="20" w:after="20"/>
              <w:rPr>
                <w:rFonts w:cs="Calibri Light"/>
                <w:color w:val="000000"/>
              </w:rPr>
            </w:pPr>
            <w:r w:rsidRPr="000C773E">
              <w:rPr>
                <w:rFonts w:cs="Calibri Light"/>
                <w:color w:val="000000"/>
              </w:rPr>
              <w:t>7.5</w:t>
            </w:r>
          </w:p>
        </w:tc>
        <w:tc>
          <w:tcPr>
            <w:tcW w:w="1279" w:type="dxa"/>
            <w:shd w:val="clear" w:color="auto" w:fill="F2F2F2" w:themeFill="background1" w:themeFillShade="F2"/>
            <w:vAlign w:val="center"/>
          </w:tcPr>
          <w:p w14:paraId="75734405" w14:textId="77777777" w:rsidR="00F96BD2" w:rsidRPr="000C773E" w:rsidRDefault="00F96BD2" w:rsidP="00F96BD2">
            <w:pPr>
              <w:spacing w:before="20" w:after="20"/>
              <w:rPr>
                <w:rFonts w:cs="Calibri Light"/>
                <w:color w:val="000000"/>
              </w:rPr>
            </w:pPr>
            <w:r w:rsidRPr="000C773E">
              <w:rPr>
                <w:rFonts w:cs="Calibri Light"/>
                <w:color w:val="000000"/>
              </w:rPr>
              <w:t>&lt; 0.001</w:t>
            </w:r>
          </w:p>
        </w:tc>
        <w:tc>
          <w:tcPr>
            <w:tcW w:w="1414" w:type="dxa"/>
            <w:shd w:val="clear" w:color="auto" w:fill="F2F2F2" w:themeFill="background1" w:themeFillShade="F2"/>
            <w:vAlign w:val="center"/>
          </w:tcPr>
          <w:p w14:paraId="62057883" w14:textId="77777777" w:rsidR="00F96BD2" w:rsidRPr="000C773E" w:rsidRDefault="00F96BD2" w:rsidP="00F96BD2">
            <w:pPr>
              <w:spacing w:before="20" w:after="20"/>
              <w:rPr>
                <w:rFonts w:cs="Calibri Light"/>
                <w:color w:val="000000"/>
              </w:rPr>
            </w:pPr>
            <w:r w:rsidRPr="000C773E">
              <w:rPr>
                <w:rFonts w:cs="Calibri Light"/>
                <w:color w:val="000000"/>
              </w:rPr>
              <w:t>684.2</w:t>
            </w:r>
          </w:p>
        </w:tc>
        <w:tc>
          <w:tcPr>
            <w:tcW w:w="1310" w:type="dxa"/>
            <w:shd w:val="clear" w:color="auto" w:fill="F2F2F2" w:themeFill="background1" w:themeFillShade="F2"/>
            <w:vAlign w:val="center"/>
          </w:tcPr>
          <w:p w14:paraId="06ED2DCF" w14:textId="77777777" w:rsidR="00F96BD2" w:rsidRPr="000C773E" w:rsidRDefault="00F96BD2" w:rsidP="00F96BD2">
            <w:pPr>
              <w:spacing w:before="20" w:after="20"/>
              <w:rPr>
                <w:rFonts w:cs="Calibri Light"/>
                <w:color w:val="000000"/>
              </w:rPr>
            </w:pPr>
            <w:r w:rsidRPr="000C773E">
              <w:rPr>
                <w:rFonts w:cs="Calibri Light"/>
                <w:color w:val="000000"/>
              </w:rPr>
              <w:t>96.4</w:t>
            </w:r>
          </w:p>
        </w:tc>
        <w:tc>
          <w:tcPr>
            <w:tcW w:w="1310" w:type="dxa"/>
            <w:shd w:val="clear" w:color="auto" w:fill="F2F2F2" w:themeFill="background1" w:themeFillShade="F2"/>
            <w:vAlign w:val="center"/>
          </w:tcPr>
          <w:p w14:paraId="5403071C"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4F3C0F1D" w14:textId="77777777" w:rsidTr="00C66F3C">
        <w:trPr>
          <w:trHeight w:val="604"/>
          <w:tblHeader/>
        </w:trPr>
        <w:tc>
          <w:tcPr>
            <w:tcW w:w="2093" w:type="dxa"/>
            <w:shd w:val="clear" w:color="auto" w:fill="F2F2F2" w:themeFill="background1" w:themeFillShade="F2"/>
            <w:vAlign w:val="center"/>
          </w:tcPr>
          <w:p w14:paraId="6494D41F" w14:textId="77777777" w:rsidR="00F96BD2" w:rsidRPr="000C773E" w:rsidRDefault="00F96BD2" w:rsidP="00F96BD2">
            <w:pPr>
              <w:spacing w:before="20" w:after="20"/>
              <w:rPr>
                <w:rFonts w:cs="Calibri Light"/>
              </w:rPr>
            </w:pPr>
            <w:r w:rsidRPr="000C773E">
              <w:rPr>
                <w:rFonts w:cs="Calibri Light"/>
              </w:rPr>
              <w:t xml:space="preserve">Other deductions </w:t>
            </w:r>
          </w:p>
        </w:tc>
        <w:tc>
          <w:tcPr>
            <w:tcW w:w="1417" w:type="dxa"/>
            <w:shd w:val="clear" w:color="auto" w:fill="F2F2F2" w:themeFill="background1" w:themeFillShade="F2"/>
            <w:vAlign w:val="center"/>
          </w:tcPr>
          <w:p w14:paraId="3C9A8F64" w14:textId="77777777" w:rsidR="00F96BD2" w:rsidRPr="000C773E" w:rsidRDefault="00F96BD2" w:rsidP="00F96BD2">
            <w:pPr>
              <w:spacing w:before="20" w:after="20"/>
              <w:rPr>
                <w:rFonts w:cs="Calibri Light"/>
                <w:color w:val="000000"/>
              </w:rPr>
            </w:pPr>
            <w:r w:rsidRPr="000C773E">
              <w:rPr>
                <w:rFonts w:cs="Calibri Light"/>
                <w:color w:val="000000"/>
              </w:rPr>
              <w:t>-1.6</w:t>
            </w:r>
          </w:p>
        </w:tc>
        <w:tc>
          <w:tcPr>
            <w:tcW w:w="1452" w:type="dxa"/>
            <w:shd w:val="clear" w:color="auto" w:fill="F2F2F2" w:themeFill="background1" w:themeFillShade="F2"/>
            <w:vAlign w:val="center"/>
          </w:tcPr>
          <w:p w14:paraId="107BB8E9" w14:textId="77777777" w:rsidR="00F96BD2" w:rsidRPr="000C773E" w:rsidRDefault="00F96BD2" w:rsidP="00F96BD2">
            <w:pPr>
              <w:spacing w:before="20" w:after="20"/>
              <w:rPr>
                <w:rFonts w:cs="Calibri Light"/>
                <w:color w:val="000000"/>
              </w:rPr>
            </w:pPr>
            <w:r w:rsidRPr="000C773E">
              <w:rPr>
                <w:rFonts w:cs="Calibri Light"/>
                <w:color w:val="000000"/>
              </w:rPr>
              <w:t>1.2</w:t>
            </w:r>
          </w:p>
        </w:tc>
        <w:tc>
          <w:tcPr>
            <w:tcW w:w="1279" w:type="dxa"/>
            <w:shd w:val="clear" w:color="auto" w:fill="F2F2F2" w:themeFill="background1" w:themeFillShade="F2"/>
            <w:vAlign w:val="center"/>
          </w:tcPr>
          <w:p w14:paraId="7571845B" w14:textId="77777777" w:rsidR="00F96BD2" w:rsidRPr="000C773E" w:rsidRDefault="00F96BD2" w:rsidP="00F96BD2">
            <w:pPr>
              <w:spacing w:before="20" w:after="20"/>
              <w:rPr>
                <w:rFonts w:cs="Calibri Light"/>
                <w:color w:val="000000"/>
              </w:rPr>
            </w:pPr>
            <w:r w:rsidRPr="000C773E">
              <w:rPr>
                <w:rFonts w:cs="Calibri Light"/>
                <w:color w:val="000000"/>
              </w:rPr>
              <w:t>0.171</w:t>
            </w:r>
          </w:p>
        </w:tc>
        <w:tc>
          <w:tcPr>
            <w:tcW w:w="1414" w:type="dxa"/>
            <w:shd w:val="clear" w:color="auto" w:fill="F2F2F2" w:themeFill="background1" w:themeFillShade="F2"/>
            <w:vAlign w:val="center"/>
          </w:tcPr>
          <w:p w14:paraId="1EEF7C5D" w14:textId="77777777" w:rsidR="00F96BD2" w:rsidRPr="000C773E" w:rsidRDefault="00F96BD2" w:rsidP="00F96BD2">
            <w:pPr>
              <w:spacing w:before="20" w:after="20"/>
              <w:rPr>
                <w:rFonts w:cs="Calibri Light"/>
                <w:color w:val="000000"/>
              </w:rPr>
            </w:pPr>
            <w:r w:rsidRPr="000C773E">
              <w:rPr>
                <w:rFonts w:cs="Calibri Light"/>
                <w:color w:val="000000"/>
              </w:rPr>
              <w:t>-11.0</w:t>
            </w:r>
          </w:p>
        </w:tc>
        <w:tc>
          <w:tcPr>
            <w:tcW w:w="1310" w:type="dxa"/>
            <w:shd w:val="clear" w:color="auto" w:fill="F2F2F2" w:themeFill="background1" w:themeFillShade="F2"/>
            <w:vAlign w:val="center"/>
          </w:tcPr>
          <w:p w14:paraId="6482C570" w14:textId="77777777" w:rsidR="00F96BD2" w:rsidRPr="000C773E" w:rsidRDefault="00F96BD2" w:rsidP="00F96BD2">
            <w:pPr>
              <w:spacing w:before="20" w:after="20"/>
              <w:rPr>
                <w:rFonts w:cs="Calibri Light"/>
                <w:color w:val="000000"/>
              </w:rPr>
            </w:pPr>
            <w:r w:rsidRPr="000C773E">
              <w:rPr>
                <w:rFonts w:cs="Calibri Light"/>
                <w:color w:val="000000"/>
              </w:rPr>
              <w:t>12.2</w:t>
            </w:r>
          </w:p>
        </w:tc>
        <w:tc>
          <w:tcPr>
            <w:tcW w:w="1310" w:type="dxa"/>
            <w:shd w:val="clear" w:color="auto" w:fill="F2F2F2" w:themeFill="background1" w:themeFillShade="F2"/>
            <w:vAlign w:val="center"/>
          </w:tcPr>
          <w:p w14:paraId="07DD48BC" w14:textId="77777777" w:rsidR="00F96BD2" w:rsidRPr="000C773E" w:rsidRDefault="00F96BD2" w:rsidP="00F96BD2">
            <w:pPr>
              <w:spacing w:before="20" w:after="20"/>
              <w:jc w:val="center"/>
              <w:rPr>
                <w:rFonts w:cs="Calibri Light"/>
                <w:color w:val="000000"/>
              </w:rPr>
            </w:pPr>
            <w:r w:rsidRPr="000C773E">
              <w:rPr>
                <w:rFonts w:cs="Calibri Light"/>
                <w:color w:val="000000"/>
              </w:rPr>
              <w:t>0.371</w:t>
            </w:r>
          </w:p>
        </w:tc>
      </w:tr>
      <w:tr w:rsidR="00F96BD2" w:rsidRPr="001057C3" w14:paraId="6AC0B022" w14:textId="77777777" w:rsidTr="00C66F3C">
        <w:trPr>
          <w:trHeight w:val="20"/>
          <w:tblHeader/>
        </w:trPr>
        <w:tc>
          <w:tcPr>
            <w:tcW w:w="2093" w:type="dxa"/>
            <w:shd w:val="clear" w:color="auto" w:fill="F2F2F2" w:themeFill="background1" w:themeFillShade="F2"/>
            <w:vAlign w:val="center"/>
          </w:tcPr>
          <w:p w14:paraId="4E1CBBED" w14:textId="77777777" w:rsidR="00F96BD2" w:rsidRPr="000C773E" w:rsidRDefault="00F96BD2" w:rsidP="00F96BD2">
            <w:pPr>
              <w:spacing w:before="20" w:after="20"/>
              <w:rPr>
                <w:rFonts w:cs="Calibri Light"/>
              </w:rPr>
            </w:pPr>
            <w:r w:rsidRPr="000C773E">
              <w:rPr>
                <w:rFonts w:cs="Calibri Light"/>
              </w:rPr>
              <w:t>All deductions (WRE + Other)</w:t>
            </w:r>
          </w:p>
        </w:tc>
        <w:tc>
          <w:tcPr>
            <w:tcW w:w="1417" w:type="dxa"/>
            <w:shd w:val="clear" w:color="auto" w:fill="F2F2F2" w:themeFill="background1" w:themeFillShade="F2"/>
            <w:vAlign w:val="center"/>
          </w:tcPr>
          <w:p w14:paraId="3F625E9F" w14:textId="77777777" w:rsidR="00F96BD2" w:rsidRPr="000C773E" w:rsidRDefault="00F96BD2" w:rsidP="00F96BD2">
            <w:pPr>
              <w:spacing w:before="20" w:after="20"/>
              <w:rPr>
                <w:rFonts w:cs="Calibri Light"/>
                <w:color w:val="000000"/>
              </w:rPr>
            </w:pPr>
            <w:r w:rsidRPr="000C773E">
              <w:rPr>
                <w:rFonts w:cs="Calibri Light"/>
                <w:color w:val="000000"/>
              </w:rPr>
              <w:t>-194.8</w:t>
            </w:r>
          </w:p>
        </w:tc>
        <w:tc>
          <w:tcPr>
            <w:tcW w:w="1452" w:type="dxa"/>
            <w:shd w:val="clear" w:color="auto" w:fill="F2F2F2" w:themeFill="background1" w:themeFillShade="F2"/>
            <w:vAlign w:val="center"/>
          </w:tcPr>
          <w:p w14:paraId="3BD4C657" w14:textId="77777777" w:rsidR="00F96BD2" w:rsidRPr="000C773E" w:rsidRDefault="00F96BD2" w:rsidP="00F96BD2">
            <w:pPr>
              <w:spacing w:before="20" w:after="20"/>
              <w:rPr>
                <w:rFonts w:cs="Calibri Light"/>
                <w:color w:val="000000"/>
              </w:rPr>
            </w:pPr>
            <w:r w:rsidRPr="000C773E">
              <w:rPr>
                <w:rFonts w:cs="Calibri Light"/>
                <w:color w:val="000000"/>
              </w:rPr>
              <w:t>16.2</w:t>
            </w:r>
          </w:p>
        </w:tc>
        <w:tc>
          <w:tcPr>
            <w:tcW w:w="1279" w:type="dxa"/>
            <w:shd w:val="clear" w:color="auto" w:fill="F2F2F2" w:themeFill="background1" w:themeFillShade="F2"/>
            <w:vAlign w:val="center"/>
          </w:tcPr>
          <w:p w14:paraId="6CC9C381" w14:textId="77777777" w:rsidR="00F96BD2" w:rsidRPr="000C773E" w:rsidRDefault="00F96BD2" w:rsidP="00F96BD2">
            <w:pPr>
              <w:spacing w:before="20" w:after="20"/>
              <w:rPr>
                <w:rFonts w:cs="Calibri Light"/>
                <w:color w:val="000000"/>
              </w:rPr>
            </w:pPr>
            <w:r w:rsidRPr="000C773E">
              <w:rPr>
                <w:rFonts w:cs="Calibri Light"/>
                <w:color w:val="000000"/>
              </w:rPr>
              <w:t>&lt; 0.001</w:t>
            </w:r>
          </w:p>
        </w:tc>
        <w:tc>
          <w:tcPr>
            <w:tcW w:w="1414" w:type="dxa"/>
            <w:shd w:val="clear" w:color="auto" w:fill="F2F2F2" w:themeFill="background1" w:themeFillShade="F2"/>
            <w:vAlign w:val="center"/>
          </w:tcPr>
          <w:p w14:paraId="135E2C25" w14:textId="77777777" w:rsidR="00F96BD2" w:rsidRPr="000C773E" w:rsidRDefault="00F96BD2" w:rsidP="00F96BD2">
            <w:pPr>
              <w:spacing w:before="20" w:after="20"/>
              <w:rPr>
                <w:rFonts w:cs="Calibri Light"/>
                <w:color w:val="000000"/>
              </w:rPr>
            </w:pPr>
            <w:r w:rsidRPr="000C773E">
              <w:rPr>
                <w:rFonts w:cs="Calibri Light"/>
                <w:color w:val="000000"/>
              </w:rPr>
              <w:t>-1864.7</w:t>
            </w:r>
          </w:p>
        </w:tc>
        <w:tc>
          <w:tcPr>
            <w:tcW w:w="1310" w:type="dxa"/>
            <w:shd w:val="clear" w:color="auto" w:fill="F2F2F2" w:themeFill="background1" w:themeFillShade="F2"/>
            <w:vAlign w:val="center"/>
          </w:tcPr>
          <w:p w14:paraId="1ED039B8" w14:textId="77777777" w:rsidR="00F96BD2" w:rsidRPr="000C773E" w:rsidRDefault="00F96BD2" w:rsidP="00F96BD2">
            <w:pPr>
              <w:spacing w:before="20" w:after="20"/>
              <w:rPr>
                <w:rFonts w:cs="Calibri Light"/>
                <w:color w:val="000000"/>
              </w:rPr>
            </w:pPr>
            <w:r w:rsidRPr="000C773E">
              <w:rPr>
                <w:rFonts w:cs="Calibri Light"/>
                <w:color w:val="000000"/>
              </w:rPr>
              <w:t>215</w:t>
            </w:r>
          </w:p>
        </w:tc>
        <w:tc>
          <w:tcPr>
            <w:tcW w:w="1310" w:type="dxa"/>
            <w:shd w:val="clear" w:color="auto" w:fill="F2F2F2" w:themeFill="background1" w:themeFillShade="F2"/>
            <w:vAlign w:val="center"/>
          </w:tcPr>
          <w:p w14:paraId="35431D1D"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719F3812" w14:textId="77777777" w:rsidTr="00C66F3C">
        <w:trPr>
          <w:trHeight w:val="20"/>
          <w:tblHeader/>
        </w:trPr>
        <w:tc>
          <w:tcPr>
            <w:tcW w:w="2093" w:type="dxa"/>
            <w:shd w:val="clear" w:color="auto" w:fill="F2F2F2" w:themeFill="background1" w:themeFillShade="F2"/>
            <w:vAlign w:val="bottom"/>
          </w:tcPr>
          <w:p w14:paraId="7D31F6F1" w14:textId="77777777" w:rsidR="00F96BD2" w:rsidRPr="000C773E" w:rsidRDefault="00F96BD2" w:rsidP="00F96BD2">
            <w:pPr>
              <w:spacing w:before="20" w:after="20"/>
              <w:rPr>
                <w:rFonts w:cs="Calibri Light"/>
              </w:rPr>
            </w:pPr>
            <w:r w:rsidRPr="000C773E">
              <w:rPr>
                <w:rFonts w:cs="Calibri Light"/>
              </w:rPr>
              <w:t>WRE deduction (cars)</w:t>
            </w:r>
          </w:p>
        </w:tc>
        <w:tc>
          <w:tcPr>
            <w:tcW w:w="1417" w:type="dxa"/>
            <w:shd w:val="clear" w:color="auto" w:fill="F2F2F2" w:themeFill="background1" w:themeFillShade="F2"/>
            <w:vAlign w:val="center"/>
          </w:tcPr>
          <w:p w14:paraId="00DB7FA7" w14:textId="77777777" w:rsidR="00F96BD2" w:rsidRPr="000C773E" w:rsidRDefault="00F96BD2" w:rsidP="00F96BD2">
            <w:pPr>
              <w:tabs>
                <w:tab w:val="left" w:pos="908"/>
              </w:tabs>
              <w:spacing w:before="20" w:after="20"/>
              <w:rPr>
                <w:rFonts w:cs="Calibri Light"/>
              </w:rPr>
            </w:pPr>
            <w:r w:rsidRPr="000C773E">
              <w:rPr>
                <w:rFonts w:cs="Calibri Light"/>
                <w:color w:val="000000"/>
              </w:rPr>
              <w:t>-78.9</w:t>
            </w:r>
          </w:p>
        </w:tc>
        <w:tc>
          <w:tcPr>
            <w:tcW w:w="1452" w:type="dxa"/>
            <w:shd w:val="clear" w:color="auto" w:fill="F2F2F2" w:themeFill="background1" w:themeFillShade="F2"/>
            <w:vAlign w:val="center"/>
          </w:tcPr>
          <w:p w14:paraId="7FBCE622" w14:textId="77777777" w:rsidR="00F96BD2" w:rsidRPr="000C773E" w:rsidRDefault="00F96BD2" w:rsidP="00F96BD2">
            <w:pPr>
              <w:spacing w:before="20" w:after="20"/>
              <w:rPr>
                <w:rFonts w:cs="Calibri Light"/>
              </w:rPr>
            </w:pPr>
            <w:r w:rsidRPr="000C773E">
              <w:rPr>
                <w:rFonts w:cs="Calibri Light"/>
                <w:color w:val="000000"/>
              </w:rPr>
              <w:t>9.0</w:t>
            </w:r>
          </w:p>
        </w:tc>
        <w:tc>
          <w:tcPr>
            <w:tcW w:w="1279" w:type="dxa"/>
            <w:shd w:val="clear" w:color="auto" w:fill="F2F2F2" w:themeFill="background1" w:themeFillShade="F2"/>
            <w:vAlign w:val="center"/>
          </w:tcPr>
          <w:p w14:paraId="0CD59699"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78FF2E57" w14:textId="77777777" w:rsidR="00F96BD2" w:rsidRPr="000C773E" w:rsidRDefault="00F96BD2" w:rsidP="00F96BD2">
            <w:pPr>
              <w:spacing w:before="20" w:after="20"/>
              <w:rPr>
                <w:rFonts w:cs="Calibri Light"/>
                <w:color w:val="000000"/>
              </w:rPr>
            </w:pPr>
            <w:r w:rsidRPr="000C773E">
              <w:rPr>
                <w:rFonts w:cs="Calibri Light"/>
                <w:color w:val="000000"/>
              </w:rPr>
              <w:t>-727.0</w:t>
            </w:r>
          </w:p>
        </w:tc>
        <w:tc>
          <w:tcPr>
            <w:tcW w:w="1310" w:type="dxa"/>
            <w:shd w:val="clear" w:color="auto" w:fill="F2F2F2" w:themeFill="background1" w:themeFillShade="F2"/>
            <w:vAlign w:val="center"/>
          </w:tcPr>
          <w:p w14:paraId="70A1B9BC" w14:textId="77777777" w:rsidR="00F96BD2" w:rsidRPr="000C773E" w:rsidRDefault="00F96BD2" w:rsidP="00F96BD2">
            <w:pPr>
              <w:spacing w:before="20" w:after="20"/>
              <w:rPr>
                <w:rFonts w:cs="Calibri Light"/>
                <w:color w:val="000000"/>
              </w:rPr>
            </w:pPr>
            <w:r w:rsidRPr="000C773E">
              <w:rPr>
                <w:rFonts w:cs="Calibri Light"/>
                <w:color w:val="000000"/>
              </w:rPr>
              <w:t>112.6</w:t>
            </w:r>
          </w:p>
        </w:tc>
        <w:tc>
          <w:tcPr>
            <w:tcW w:w="1310" w:type="dxa"/>
            <w:shd w:val="clear" w:color="auto" w:fill="F2F2F2" w:themeFill="background1" w:themeFillShade="F2"/>
            <w:vAlign w:val="center"/>
          </w:tcPr>
          <w:p w14:paraId="075F6480"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216445BC" w14:textId="77777777" w:rsidTr="00C66F3C">
        <w:trPr>
          <w:trHeight w:val="20"/>
          <w:tblHeader/>
        </w:trPr>
        <w:tc>
          <w:tcPr>
            <w:tcW w:w="2093" w:type="dxa"/>
            <w:shd w:val="clear" w:color="auto" w:fill="F2F2F2" w:themeFill="background1" w:themeFillShade="F2"/>
            <w:vAlign w:val="bottom"/>
          </w:tcPr>
          <w:p w14:paraId="043705E0" w14:textId="77777777" w:rsidR="00F96BD2" w:rsidRPr="000C773E" w:rsidRDefault="00F96BD2" w:rsidP="00F96BD2">
            <w:pPr>
              <w:spacing w:before="20" w:after="20"/>
              <w:rPr>
                <w:rFonts w:cs="Calibri Light"/>
              </w:rPr>
            </w:pPr>
            <w:r w:rsidRPr="000C773E">
              <w:rPr>
                <w:rFonts w:cs="Calibri Light"/>
              </w:rPr>
              <w:t>WRE deduction (travel)</w:t>
            </w:r>
          </w:p>
        </w:tc>
        <w:tc>
          <w:tcPr>
            <w:tcW w:w="1417" w:type="dxa"/>
            <w:shd w:val="clear" w:color="auto" w:fill="F2F2F2" w:themeFill="background1" w:themeFillShade="F2"/>
            <w:vAlign w:val="center"/>
          </w:tcPr>
          <w:p w14:paraId="4DE91540" w14:textId="77777777" w:rsidR="00F96BD2" w:rsidRPr="000C773E" w:rsidRDefault="00F96BD2" w:rsidP="00F96BD2">
            <w:pPr>
              <w:spacing w:before="20" w:after="20"/>
              <w:rPr>
                <w:rFonts w:cs="Calibri Light"/>
              </w:rPr>
            </w:pPr>
            <w:r w:rsidRPr="000C773E">
              <w:rPr>
                <w:rFonts w:cs="Calibri Light"/>
                <w:color w:val="000000"/>
              </w:rPr>
              <w:t>-45.6</w:t>
            </w:r>
          </w:p>
        </w:tc>
        <w:tc>
          <w:tcPr>
            <w:tcW w:w="1452" w:type="dxa"/>
            <w:shd w:val="clear" w:color="auto" w:fill="F2F2F2" w:themeFill="background1" w:themeFillShade="F2"/>
            <w:vAlign w:val="center"/>
          </w:tcPr>
          <w:p w14:paraId="01E11EE8" w14:textId="77777777" w:rsidR="00F96BD2" w:rsidRPr="000C773E" w:rsidRDefault="00F96BD2" w:rsidP="00F96BD2">
            <w:pPr>
              <w:spacing w:before="20" w:after="20"/>
              <w:rPr>
                <w:rFonts w:cs="Calibri Light"/>
              </w:rPr>
            </w:pPr>
            <w:r w:rsidRPr="000C773E">
              <w:rPr>
                <w:rFonts w:cs="Calibri Light"/>
                <w:color w:val="000000"/>
              </w:rPr>
              <w:t>6.0</w:t>
            </w:r>
          </w:p>
        </w:tc>
        <w:tc>
          <w:tcPr>
            <w:tcW w:w="1279" w:type="dxa"/>
            <w:shd w:val="clear" w:color="auto" w:fill="F2F2F2" w:themeFill="background1" w:themeFillShade="F2"/>
            <w:vAlign w:val="center"/>
          </w:tcPr>
          <w:p w14:paraId="346B57EA"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1518773E" w14:textId="77777777" w:rsidR="00F96BD2" w:rsidRPr="000C773E" w:rsidRDefault="00F96BD2" w:rsidP="00F96BD2">
            <w:pPr>
              <w:spacing w:before="20" w:after="20"/>
              <w:rPr>
                <w:rFonts w:cs="Calibri Light"/>
                <w:color w:val="000000"/>
              </w:rPr>
            </w:pPr>
            <w:r w:rsidRPr="000C773E">
              <w:rPr>
                <w:rFonts w:cs="Calibri Light"/>
                <w:color w:val="000000"/>
              </w:rPr>
              <w:t>-484.3</w:t>
            </w:r>
          </w:p>
        </w:tc>
        <w:tc>
          <w:tcPr>
            <w:tcW w:w="1310" w:type="dxa"/>
            <w:shd w:val="clear" w:color="auto" w:fill="F2F2F2" w:themeFill="background1" w:themeFillShade="F2"/>
            <w:vAlign w:val="center"/>
          </w:tcPr>
          <w:p w14:paraId="66A337B9" w14:textId="77777777" w:rsidR="00F96BD2" w:rsidRPr="000C773E" w:rsidRDefault="00F96BD2" w:rsidP="00F96BD2">
            <w:pPr>
              <w:spacing w:before="20" w:after="20"/>
              <w:rPr>
                <w:rFonts w:cs="Calibri Light"/>
                <w:color w:val="000000"/>
              </w:rPr>
            </w:pPr>
            <w:r w:rsidRPr="000C773E">
              <w:rPr>
                <w:rFonts w:cs="Calibri Light"/>
                <w:color w:val="000000"/>
              </w:rPr>
              <w:t>97.9</w:t>
            </w:r>
          </w:p>
        </w:tc>
        <w:tc>
          <w:tcPr>
            <w:tcW w:w="1310" w:type="dxa"/>
            <w:shd w:val="clear" w:color="auto" w:fill="F2F2F2" w:themeFill="background1" w:themeFillShade="F2"/>
            <w:vAlign w:val="center"/>
          </w:tcPr>
          <w:p w14:paraId="1E9DA8DF"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2247C2BC" w14:textId="77777777" w:rsidTr="00C66F3C">
        <w:trPr>
          <w:trHeight w:val="20"/>
          <w:tblHeader/>
        </w:trPr>
        <w:tc>
          <w:tcPr>
            <w:tcW w:w="2093" w:type="dxa"/>
            <w:shd w:val="clear" w:color="auto" w:fill="F2F2F2" w:themeFill="background1" w:themeFillShade="F2"/>
            <w:vAlign w:val="bottom"/>
          </w:tcPr>
          <w:p w14:paraId="1ED40528" w14:textId="77777777" w:rsidR="00F96BD2" w:rsidRPr="000C773E" w:rsidRDefault="00F96BD2" w:rsidP="00F96BD2">
            <w:pPr>
              <w:spacing w:before="20" w:after="20"/>
              <w:rPr>
                <w:rFonts w:cs="Calibri Light"/>
              </w:rPr>
            </w:pPr>
            <w:r w:rsidRPr="000C773E">
              <w:rPr>
                <w:rFonts w:cs="Calibri Light"/>
              </w:rPr>
              <w:t>WRE deduction (clothing)</w:t>
            </w:r>
          </w:p>
        </w:tc>
        <w:tc>
          <w:tcPr>
            <w:tcW w:w="1417" w:type="dxa"/>
            <w:shd w:val="clear" w:color="auto" w:fill="F2F2F2" w:themeFill="background1" w:themeFillShade="F2"/>
            <w:vAlign w:val="center"/>
          </w:tcPr>
          <w:p w14:paraId="46D68A6D" w14:textId="77777777" w:rsidR="00F96BD2" w:rsidRPr="000C773E" w:rsidRDefault="00F96BD2" w:rsidP="00F96BD2">
            <w:pPr>
              <w:tabs>
                <w:tab w:val="left" w:pos="908"/>
              </w:tabs>
              <w:spacing w:before="20" w:after="20"/>
              <w:rPr>
                <w:rFonts w:cs="Calibri Light"/>
              </w:rPr>
            </w:pPr>
            <w:r w:rsidRPr="000C773E">
              <w:rPr>
                <w:rFonts w:cs="Calibri Light"/>
                <w:color w:val="000000"/>
              </w:rPr>
              <w:t>-4.6</w:t>
            </w:r>
          </w:p>
        </w:tc>
        <w:tc>
          <w:tcPr>
            <w:tcW w:w="1452" w:type="dxa"/>
            <w:shd w:val="clear" w:color="auto" w:fill="F2F2F2" w:themeFill="background1" w:themeFillShade="F2"/>
            <w:vAlign w:val="center"/>
          </w:tcPr>
          <w:p w14:paraId="2F894899" w14:textId="77777777" w:rsidR="00F96BD2" w:rsidRPr="000C773E" w:rsidRDefault="00F96BD2" w:rsidP="00F96BD2">
            <w:pPr>
              <w:spacing w:before="20" w:after="20"/>
              <w:rPr>
                <w:rFonts w:cs="Calibri Light"/>
              </w:rPr>
            </w:pPr>
            <w:r w:rsidRPr="000C773E">
              <w:rPr>
                <w:rFonts w:cs="Calibri Light"/>
                <w:color w:val="000000"/>
              </w:rPr>
              <w:t>0.7</w:t>
            </w:r>
          </w:p>
        </w:tc>
        <w:tc>
          <w:tcPr>
            <w:tcW w:w="1279" w:type="dxa"/>
            <w:shd w:val="clear" w:color="auto" w:fill="F2F2F2" w:themeFill="background1" w:themeFillShade="F2"/>
            <w:vAlign w:val="center"/>
          </w:tcPr>
          <w:p w14:paraId="40B2D69F" w14:textId="77777777" w:rsidR="00F96BD2" w:rsidRPr="000C773E" w:rsidRDefault="00F96BD2" w:rsidP="00F96BD2">
            <w:pPr>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27E05EB7" w14:textId="77777777" w:rsidR="00F96BD2" w:rsidRPr="000C773E" w:rsidRDefault="00F96BD2" w:rsidP="00F96BD2">
            <w:pPr>
              <w:spacing w:before="20" w:after="20"/>
              <w:rPr>
                <w:rFonts w:cs="Calibri Light"/>
                <w:color w:val="000000"/>
              </w:rPr>
            </w:pPr>
            <w:r w:rsidRPr="000C773E">
              <w:rPr>
                <w:rFonts w:cs="Calibri Light"/>
                <w:color w:val="000000"/>
              </w:rPr>
              <w:t>-45.0</w:t>
            </w:r>
          </w:p>
        </w:tc>
        <w:tc>
          <w:tcPr>
            <w:tcW w:w="1310" w:type="dxa"/>
            <w:shd w:val="clear" w:color="auto" w:fill="F2F2F2" w:themeFill="background1" w:themeFillShade="F2"/>
            <w:vAlign w:val="center"/>
          </w:tcPr>
          <w:p w14:paraId="659E5ADC" w14:textId="77777777" w:rsidR="00F96BD2" w:rsidRPr="000C773E" w:rsidRDefault="00F96BD2" w:rsidP="00F96BD2">
            <w:pPr>
              <w:spacing w:before="20" w:after="20"/>
              <w:rPr>
                <w:rFonts w:cs="Calibri Light"/>
                <w:color w:val="000000"/>
              </w:rPr>
            </w:pPr>
            <w:r w:rsidRPr="000C773E">
              <w:rPr>
                <w:rFonts w:cs="Calibri Light"/>
                <w:color w:val="000000"/>
              </w:rPr>
              <w:t>9.3</w:t>
            </w:r>
          </w:p>
        </w:tc>
        <w:tc>
          <w:tcPr>
            <w:tcW w:w="1310" w:type="dxa"/>
            <w:shd w:val="clear" w:color="auto" w:fill="F2F2F2" w:themeFill="background1" w:themeFillShade="F2"/>
            <w:vAlign w:val="center"/>
          </w:tcPr>
          <w:p w14:paraId="07109599"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2C638C1D" w14:textId="77777777" w:rsidTr="00C66F3C">
        <w:trPr>
          <w:trHeight w:val="20"/>
          <w:tblHeader/>
        </w:trPr>
        <w:tc>
          <w:tcPr>
            <w:tcW w:w="2093" w:type="dxa"/>
            <w:shd w:val="clear" w:color="auto" w:fill="F2F2F2" w:themeFill="background1" w:themeFillShade="F2"/>
            <w:vAlign w:val="bottom"/>
          </w:tcPr>
          <w:p w14:paraId="360669F5" w14:textId="77777777" w:rsidR="00F96BD2" w:rsidRPr="000C773E" w:rsidRDefault="00F96BD2" w:rsidP="00F96BD2">
            <w:pPr>
              <w:spacing w:before="20" w:after="20"/>
              <w:rPr>
                <w:rFonts w:cs="Calibri Light"/>
              </w:rPr>
            </w:pPr>
            <w:r w:rsidRPr="000C773E">
              <w:rPr>
                <w:rFonts w:cs="Calibri Light"/>
              </w:rPr>
              <w:t xml:space="preserve">WRE deduction (self-education) </w:t>
            </w:r>
          </w:p>
        </w:tc>
        <w:tc>
          <w:tcPr>
            <w:tcW w:w="1417" w:type="dxa"/>
            <w:shd w:val="clear" w:color="auto" w:fill="F2F2F2" w:themeFill="background1" w:themeFillShade="F2"/>
            <w:vAlign w:val="center"/>
          </w:tcPr>
          <w:p w14:paraId="2F1BB6AB" w14:textId="77777777" w:rsidR="00F96BD2" w:rsidRPr="000C773E" w:rsidRDefault="00F96BD2" w:rsidP="00F96BD2">
            <w:pPr>
              <w:spacing w:before="20" w:after="20"/>
              <w:rPr>
                <w:rFonts w:cs="Calibri Light"/>
              </w:rPr>
            </w:pPr>
            <w:r w:rsidRPr="000C773E">
              <w:rPr>
                <w:rFonts w:cs="Calibri Light"/>
                <w:color w:val="000000"/>
              </w:rPr>
              <w:t>-8.5</w:t>
            </w:r>
          </w:p>
        </w:tc>
        <w:tc>
          <w:tcPr>
            <w:tcW w:w="1452" w:type="dxa"/>
            <w:shd w:val="clear" w:color="auto" w:fill="F2F2F2" w:themeFill="background1" w:themeFillShade="F2"/>
            <w:vAlign w:val="center"/>
          </w:tcPr>
          <w:p w14:paraId="553B8FB8" w14:textId="77777777" w:rsidR="00F96BD2" w:rsidRPr="000C773E" w:rsidRDefault="00F96BD2" w:rsidP="00F96BD2">
            <w:pPr>
              <w:spacing w:before="20" w:after="20"/>
              <w:rPr>
                <w:rFonts w:cs="Calibri Light"/>
              </w:rPr>
            </w:pPr>
            <w:r w:rsidRPr="000C773E">
              <w:rPr>
                <w:rFonts w:cs="Calibri Light"/>
                <w:color w:val="000000"/>
              </w:rPr>
              <w:t>1.8</w:t>
            </w:r>
          </w:p>
        </w:tc>
        <w:tc>
          <w:tcPr>
            <w:tcW w:w="1279" w:type="dxa"/>
            <w:shd w:val="clear" w:color="auto" w:fill="F2F2F2" w:themeFill="background1" w:themeFillShade="F2"/>
            <w:vAlign w:val="center"/>
          </w:tcPr>
          <w:p w14:paraId="69055843" w14:textId="77777777" w:rsidR="00F96BD2" w:rsidRPr="000C773E" w:rsidRDefault="00F96BD2" w:rsidP="00F96BD2">
            <w:pPr>
              <w:keepNext/>
              <w:spacing w:before="20" w:after="20"/>
              <w:rPr>
                <w:rFonts w:cs="Calibri Light"/>
              </w:rPr>
            </w:pPr>
            <w:r w:rsidRPr="000C773E">
              <w:rPr>
                <w:rFonts w:cs="Calibri Light"/>
                <w:color w:val="000000"/>
              </w:rPr>
              <w:t>&lt; 0.001</w:t>
            </w:r>
          </w:p>
        </w:tc>
        <w:tc>
          <w:tcPr>
            <w:tcW w:w="1414" w:type="dxa"/>
            <w:shd w:val="clear" w:color="auto" w:fill="F2F2F2" w:themeFill="background1" w:themeFillShade="F2"/>
            <w:vAlign w:val="center"/>
          </w:tcPr>
          <w:p w14:paraId="0D17FB0E" w14:textId="77777777" w:rsidR="00F96BD2" w:rsidRPr="000C773E" w:rsidRDefault="00F96BD2" w:rsidP="00F96BD2">
            <w:pPr>
              <w:spacing w:before="20" w:after="20"/>
              <w:rPr>
                <w:rFonts w:cs="Calibri Light"/>
                <w:color w:val="000000"/>
              </w:rPr>
            </w:pPr>
            <w:r w:rsidRPr="000C773E">
              <w:rPr>
                <w:rFonts w:cs="Calibri Light"/>
                <w:color w:val="000000"/>
              </w:rPr>
              <w:t>-81.2</w:t>
            </w:r>
          </w:p>
        </w:tc>
        <w:tc>
          <w:tcPr>
            <w:tcW w:w="1310" w:type="dxa"/>
            <w:shd w:val="clear" w:color="auto" w:fill="F2F2F2" w:themeFill="background1" w:themeFillShade="F2"/>
            <w:vAlign w:val="center"/>
          </w:tcPr>
          <w:p w14:paraId="6C06ED19" w14:textId="77777777" w:rsidR="00F96BD2" w:rsidRPr="000C773E" w:rsidRDefault="00F96BD2" w:rsidP="00F96BD2">
            <w:pPr>
              <w:spacing w:before="20" w:after="20"/>
              <w:rPr>
                <w:rFonts w:cs="Calibri Light"/>
                <w:color w:val="000000"/>
              </w:rPr>
            </w:pPr>
            <w:r w:rsidRPr="000C773E">
              <w:rPr>
                <w:rFonts w:cs="Calibri Light"/>
                <w:color w:val="000000"/>
              </w:rPr>
              <w:t>27.3</w:t>
            </w:r>
          </w:p>
        </w:tc>
        <w:tc>
          <w:tcPr>
            <w:tcW w:w="1310" w:type="dxa"/>
            <w:shd w:val="clear" w:color="auto" w:fill="F2F2F2" w:themeFill="background1" w:themeFillShade="F2"/>
            <w:vAlign w:val="center"/>
          </w:tcPr>
          <w:p w14:paraId="60C2CDF1" w14:textId="77777777" w:rsidR="00F96BD2" w:rsidRPr="000C773E" w:rsidRDefault="00F96BD2" w:rsidP="00F96BD2">
            <w:pPr>
              <w:spacing w:before="20" w:after="20"/>
              <w:jc w:val="center"/>
              <w:rPr>
                <w:rFonts w:cs="Calibri Light"/>
                <w:color w:val="000000"/>
              </w:rPr>
            </w:pPr>
            <w:r w:rsidRPr="000C773E">
              <w:rPr>
                <w:rFonts w:cs="Calibri Light"/>
                <w:color w:val="000000"/>
              </w:rPr>
              <w:t>0.003</w:t>
            </w:r>
          </w:p>
        </w:tc>
      </w:tr>
      <w:tr w:rsidR="00F96BD2" w:rsidRPr="001057C3" w14:paraId="1758FA8A" w14:textId="77777777" w:rsidTr="00C66F3C">
        <w:trPr>
          <w:trHeight w:val="20"/>
          <w:tblHeader/>
        </w:trPr>
        <w:tc>
          <w:tcPr>
            <w:tcW w:w="2093" w:type="dxa"/>
            <w:tcBorders>
              <w:bottom w:val="single" w:sz="4" w:space="0" w:color="auto"/>
            </w:tcBorders>
            <w:shd w:val="clear" w:color="auto" w:fill="F2F2F2" w:themeFill="background1" w:themeFillShade="F2"/>
            <w:vAlign w:val="bottom"/>
          </w:tcPr>
          <w:p w14:paraId="02030E27" w14:textId="77777777" w:rsidR="00F96BD2" w:rsidRPr="000C773E" w:rsidRDefault="00F96BD2" w:rsidP="00F96BD2">
            <w:pPr>
              <w:spacing w:before="20" w:after="20"/>
              <w:rPr>
                <w:rFonts w:cs="Calibri Light"/>
              </w:rPr>
            </w:pPr>
            <w:r w:rsidRPr="000C773E">
              <w:rPr>
                <w:rFonts w:cs="Calibri Light"/>
              </w:rPr>
              <w:t>WRE deduction (other WRE)</w:t>
            </w:r>
          </w:p>
        </w:tc>
        <w:tc>
          <w:tcPr>
            <w:tcW w:w="1417" w:type="dxa"/>
            <w:tcBorders>
              <w:bottom w:val="single" w:sz="4" w:space="0" w:color="auto"/>
            </w:tcBorders>
            <w:shd w:val="clear" w:color="auto" w:fill="F2F2F2" w:themeFill="background1" w:themeFillShade="F2"/>
            <w:vAlign w:val="center"/>
          </w:tcPr>
          <w:p w14:paraId="4A42AAEF" w14:textId="77777777" w:rsidR="00F96BD2" w:rsidRPr="000C773E" w:rsidRDefault="00F96BD2" w:rsidP="00F96BD2">
            <w:pPr>
              <w:spacing w:before="20" w:after="20"/>
              <w:rPr>
                <w:rFonts w:cs="Calibri Light"/>
              </w:rPr>
            </w:pPr>
            <w:r w:rsidRPr="000C773E">
              <w:rPr>
                <w:rFonts w:cs="Calibri Light"/>
                <w:color w:val="000000"/>
              </w:rPr>
              <w:t>-55.7</w:t>
            </w:r>
          </w:p>
        </w:tc>
        <w:tc>
          <w:tcPr>
            <w:tcW w:w="1452" w:type="dxa"/>
            <w:tcBorders>
              <w:bottom w:val="single" w:sz="4" w:space="0" w:color="auto"/>
            </w:tcBorders>
            <w:shd w:val="clear" w:color="auto" w:fill="F2F2F2" w:themeFill="background1" w:themeFillShade="F2"/>
            <w:vAlign w:val="center"/>
          </w:tcPr>
          <w:p w14:paraId="7AA47893" w14:textId="77777777" w:rsidR="00F96BD2" w:rsidRPr="000C773E" w:rsidRDefault="00F96BD2" w:rsidP="00F96BD2">
            <w:pPr>
              <w:spacing w:before="20" w:after="20"/>
              <w:rPr>
                <w:rFonts w:cs="Calibri Light"/>
              </w:rPr>
            </w:pPr>
            <w:r w:rsidRPr="000C773E">
              <w:rPr>
                <w:rFonts w:cs="Calibri Light"/>
                <w:color w:val="000000"/>
              </w:rPr>
              <w:t>6.2</w:t>
            </w:r>
          </w:p>
        </w:tc>
        <w:tc>
          <w:tcPr>
            <w:tcW w:w="1279" w:type="dxa"/>
            <w:tcBorders>
              <w:bottom w:val="single" w:sz="4" w:space="0" w:color="auto"/>
            </w:tcBorders>
            <w:shd w:val="clear" w:color="auto" w:fill="F2F2F2" w:themeFill="background1" w:themeFillShade="F2"/>
            <w:vAlign w:val="center"/>
          </w:tcPr>
          <w:p w14:paraId="12B2A9DF" w14:textId="77777777" w:rsidR="00F96BD2" w:rsidRPr="000C773E" w:rsidRDefault="00F96BD2" w:rsidP="00F96BD2">
            <w:pPr>
              <w:keepNext/>
              <w:spacing w:before="20" w:after="20"/>
              <w:rPr>
                <w:rFonts w:cs="Calibri Light"/>
              </w:rPr>
            </w:pPr>
            <w:r w:rsidRPr="000C773E">
              <w:rPr>
                <w:rFonts w:cs="Calibri Light"/>
                <w:color w:val="000000"/>
              </w:rPr>
              <w:t>&lt; 0.001</w:t>
            </w:r>
          </w:p>
        </w:tc>
        <w:tc>
          <w:tcPr>
            <w:tcW w:w="1414" w:type="dxa"/>
            <w:tcBorders>
              <w:bottom w:val="single" w:sz="4" w:space="0" w:color="auto"/>
            </w:tcBorders>
            <w:shd w:val="clear" w:color="auto" w:fill="F2F2F2" w:themeFill="background1" w:themeFillShade="F2"/>
            <w:vAlign w:val="center"/>
          </w:tcPr>
          <w:p w14:paraId="6B2B9D43" w14:textId="77777777" w:rsidR="00F96BD2" w:rsidRPr="000C773E" w:rsidRDefault="00F96BD2" w:rsidP="00F96BD2">
            <w:pPr>
              <w:spacing w:before="20" w:after="20"/>
              <w:rPr>
                <w:rFonts w:cs="Calibri Light"/>
                <w:color w:val="000000"/>
              </w:rPr>
            </w:pPr>
            <w:r w:rsidRPr="000C773E">
              <w:rPr>
                <w:rFonts w:cs="Calibri Light"/>
                <w:color w:val="000000"/>
              </w:rPr>
              <w:t>-516.4</w:t>
            </w:r>
          </w:p>
        </w:tc>
        <w:tc>
          <w:tcPr>
            <w:tcW w:w="1310" w:type="dxa"/>
            <w:tcBorders>
              <w:bottom w:val="single" w:sz="4" w:space="0" w:color="auto"/>
            </w:tcBorders>
            <w:shd w:val="clear" w:color="auto" w:fill="F2F2F2" w:themeFill="background1" w:themeFillShade="F2"/>
            <w:vAlign w:val="center"/>
          </w:tcPr>
          <w:p w14:paraId="033CF799" w14:textId="77777777" w:rsidR="00F96BD2" w:rsidRPr="000C773E" w:rsidRDefault="00F96BD2" w:rsidP="00F96BD2">
            <w:pPr>
              <w:spacing w:before="20" w:after="20"/>
              <w:rPr>
                <w:rFonts w:cs="Calibri Light"/>
                <w:color w:val="000000"/>
              </w:rPr>
            </w:pPr>
            <w:r w:rsidRPr="000C773E">
              <w:rPr>
                <w:rFonts w:cs="Calibri Light"/>
                <w:color w:val="000000"/>
              </w:rPr>
              <w:t>77.5</w:t>
            </w:r>
          </w:p>
        </w:tc>
        <w:tc>
          <w:tcPr>
            <w:tcW w:w="1310" w:type="dxa"/>
            <w:tcBorders>
              <w:bottom w:val="single" w:sz="4" w:space="0" w:color="auto"/>
            </w:tcBorders>
            <w:shd w:val="clear" w:color="auto" w:fill="F2F2F2" w:themeFill="background1" w:themeFillShade="F2"/>
            <w:vAlign w:val="center"/>
          </w:tcPr>
          <w:p w14:paraId="54F35D8E" w14:textId="77777777" w:rsidR="00F96BD2" w:rsidRPr="000C773E" w:rsidRDefault="00F96BD2" w:rsidP="00F96BD2">
            <w:pPr>
              <w:spacing w:before="20" w:after="20"/>
              <w:jc w:val="center"/>
              <w:rPr>
                <w:rFonts w:cs="Calibri Light"/>
                <w:color w:val="000000"/>
              </w:rPr>
            </w:pPr>
            <w:r w:rsidRPr="000C773E">
              <w:rPr>
                <w:rFonts w:cs="Calibri Light"/>
                <w:color w:val="000000"/>
              </w:rPr>
              <w:t>&lt; 0.001</w:t>
            </w:r>
          </w:p>
        </w:tc>
      </w:tr>
      <w:tr w:rsidR="00F96BD2" w:rsidRPr="001057C3" w14:paraId="196E4FC3" w14:textId="77777777" w:rsidTr="00C66F3C">
        <w:trPr>
          <w:trHeight w:val="20"/>
          <w:tblHeader/>
        </w:trPr>
        <w:tc>
          <w:tcPr>
            <w:tcW w:w="10274" w:type="dxa"/>
            <w:gridSpan w:val="7"/>
            <w:tcBorders>
              <w:bottom w:val="nil"/>
            </w:tcBorders>
            <w:vAlign w:val="bottom"/>
          </w:tcPr>
          <w:p w14:paraId="4B904478" w14:textId="4026F7CC" w:rsidR="00F96BD2" w:rsidRDefault="00F96BD2" w:rsidP="00F96BD2">
            <w:pPr>
              <w:spacing w:before="20" w:after="20"/>
              <w:rPr>
                <w:rFonts w:cs="Calibri Light"/>
              </w:rPr>
            </w:pPr>
            <w:r w:rsidRPr="000C773E">
              <w:rPr>
                <w:rFonts w:cs="Calibri Light"/>
              </w:rPr>
              <w:t xml:space="preserve">Note: </w:t>
            </w:r>
            <w:r>
              <w:rPr>
                <w:rFonts w:cs="Calibri Light"/>
              </w:rPr>
              <w:t>Other deductions include non-work-related deductions such as deductions for expenses associated with earning interests and dividends, gifts or donations and the cost of managing tax affairs.</w:t>
            </w:r>
            <w:r w:rsidRPr="000C773E">
              <w:rPr>
                <w:rFonts w:cs="Calibri Light"/>
              </w:rPr>
              <w:t xml:space="preserve"> For individual level analysis, covariates included were individual age, individual gender and individual income and agent level covariates were agent segment, agent region, agent state, agent risk score and agent number of clients, agent average WRE c</w:t>
            </w:r>
            <w:r w:rsidR="00395807">
              <w:rPr>
                <w:rFonts w:cs="Calibri Light"/>
              </w:rPr>
              <w:t>laims (2013, 2014, 2015, 2016 to February 2017</w:t>
            </w:r>
            <w:r w:rsidRPr="000C773E">
              <w:rPr>
                <w:rFonts w:cs="Calibri Light"/>
              </w:rPr>
              <w:t>), agent's average clients' income and agent lodgements.  Agent level analyses include the same covariates except individual gender, age and income.</w:t>
            </w:r>
          </w:p>
          <w:p w14:paraId="789F7C3E" w14:textId="77777777" w:rsidR="00522958" w:rsidRPr="000C773E" w:rsidRDefault="00522958" w:rsidP="00F96BD2">
            <w:pPr>
              <w:spacing w:before="20" w:after="20"/>
              <w:rPr>
                <w:rFonts w:cs="Calibri Light"/>
                <w:color w:val="000000"/>
              </w:rPr>
            </w:pPr>
          </w:p>
        </w:tc>
      </w:tr>
    </w:tbl>
    <w:p w14:paraId="37F69B6C" w14:textId="77777777" w:rsidR="00F96BD2" w:rsidRDefault="00F96BD2">
      <w:pPr>
        <w:spacing w:before="0" w:after="0" w:line="240" w:lineRule="auto"/>
        <w:rPr>
          <w:b/>
        </w:rPr>
      </w:pPr>
    </w:p>
    <w:p w14:paraId="0AB53ED3" w14:textId="77777777" w:rsidR="00F96BD2" w:rsidRDefault="00522958" w:rsidP="00085623">
      <w:pPr>
        <w:spacing w:before="0" w:after="0" w:line="240" w:lineRule="auto"/>
        <w:outlineLvl w:val="2"/>
        <w:rPr>
          <w:b/>
        </w:rPr>
      </w:pPr>
      <w:r>
        <w:rPr>
          <w:b/>
        </w:rPr>
        <w:br w:type="page"/>
      </w:r>
      <w:r w:rsidR="00F96BD2">
        <w:rPr>
          <w:b/>
        </w:rPr>
        <w:t>Table 3.5 – Linear regression results for amended returns by risk score sub groups</w:t>
      </w:r>
    </w:p>
    <w:p w14:paraId="6637EE28" w14:textId="77777777" w:rsidR="00F96BD2" w:rsidRDefault="00F96BD2">
      <w:pPr>
        <w:spacing w:before="0" w:after="0" w:line="240" w:lineRule="auto"/>
        <w:rPr>
          <w:b/>
        </w:rPr>
      </w:pPr>
    </w:p>
    <w:tbl>
      <w:tblPr>
        <w:tblStyle w:val="TableGrid"/>
        <w:tblW w:w="9666" w:type="dxa"/>
        <w:tblBorders>
          <w:left w:val="none" w:sz="0" w:space="0" w:color="auto"/>
          <w:right w:val="none" w:sz="0" w:space="0" w:color="auto"/>
          <w:insideV w:val="none" w:sz="0" w:space="0" w:color="auto"/>
        </w:tblBorders>
        <w:tblLayout w:type="fixed"/>
        <w:tblLook w:val="04A0" w:firstRow="1" w:lastRow="0" w:firstColumn="1" w:lastColumn="0" w:noHBand="0" w:noVBand="1"/>
        <w:tblCaption w:val="Linear regression results for amended returns by risk score sub groups"/>
        <w:tblDescription w:val="Table showing deductions and tax paid at the individual level and agent level"/>
      </w:tblPr>
      <w:tblGrid>
        <w:gridCol w:w="3119"/>
        <w:gridCol w:w="1525"/>
        <w:gridCol w:w="1310"/>
        <w:gridCol w:w="2126"/>
        <w:gridCol w:w="1561"/>
        <w:gridCol w:w="25"/>
      </w:tblGrid>
      <w:tr w:rsidR="00F96BD2" w:rsidRPr="000C773E" w14:paraId="75DE80BF" w14:textId="77777777" w:rsidTr="00EA200D">
        <w:trPr>
          <w:gridAfter w:val="1"/>
          <w:wAfter w:w="25" w:type="dxa"/>
          <w:tblHeader/>
        </w:trPr>
        <w:tc>
          <w:tcPr>
            <w:tcW w:w="3119" w:type="dxa"/>
            <w:tcBorders>
              <w:bottom w:val="single" w:sz="4" w:space="0" w:color="auto"/>
            </w:tcBorders>
            <w:shd w:val="clear" w:color="auto" w:fill="142E3B" w:themeFill="accent6"/>
            <w:vAlign w:val="center"/>
          </w:tcPr>
          <w:p w14:paraId="0AB855A4" w14:textId="77777777" w:rsidR="00F96BD2" w:rsidRPr="00177AD3" w:rsidRDefault="00F96BD2" w:rsidP="00177AD3">
            <w:pPr>
              <w:pStyle w:val="TableHeading"/>
              <w:rPr>
                <w:b/>
              </w:rPr>
            </w:pPr>
          </w:p>
        </w:tc>
        <w:tc>
          <w:tcPr>
            <w:tcW w:w="1525" w:type="dxa"/>
            <w:tcBorders>
              <w:bottom w:val="single" w:sz="4" w:space="0" w:color="auto"/>
            </w:tcBorders>
            <w:shd w:val="clear" w:color="auto" w:fill="142E3B" w:themeFill="accent6"/>
            <w:vAlign w:val="center"/>
          </w:tcPr>
          <w:p w14:paraId="5CBA37A3" w14:textId="2E28C6A4" w:rsidR="00F96BD2" w:rsidRPr="00177AD3" w:rsidRDefault="00F96BD2" w:rsidP="00177AD3">
            <w:pPr>
              <w:pStyle w:val="TableHeading"/>
              <w:rPr>
                <w:b/>
              </w:rPr>
            </w:pPr>
            <w:r w:rsidRPr="00177AD3">
              <w:rPr>
                <w:b/>
              </w:rPr>
              <w:t>Average change in $ in the let</w:t>
            </w:r>
            <w:r w:rsidR="00EA200D">
              <w:rPr>
                <w:b/>
              </w:rPr>
              <w:t>ter group (compared to control)</w:t>
            </w:r>
          </w:p>
        </w:tc>
        <w:tc>
          <w:tcPr>
            <w:tcW w:w="1310" w:type="dxa"/>
            <w:tcBorders>
              <w:bottom w:val="single" w:sz="4" w:space="0" w:color="auto"/>
            </w:tcBorders>
            <w:shd w:val="clear" w:color="auto" w:fill="142E3B" w:themeFill="accent6"/>
            <w:vAlign w:val="center"/>
          </w:tcPr>
          <w:p w14:paraId="6EF557DB" w14:textId="77777777" w:rsidR="00F96BD2" w:rsidRPr="00177AD3" w:rsidRDefault="00F96BD2" w:rsidP="00177AD3">
            <w:pPr>
              <w:pStyle w:val="TableHeading"/>
              <w:rPr>
                <w:b/>
              </w:rPr>
            </w:pPr>
            <w:r w:rsidRPr="00177AD3">
              <w:rPr>
                <w:b/>
              </w:rPr>
              <w:t>Standard Error</w:t>
            </w:r>
          </w:p>
        </w:tc>
        <w:tc>
          <w:tcPr>
            <w:tcW w:w="2126" w:type="dxa"/>
            <w:tcBorders>
              <w:bottom w:val="single" w:sz="4" w:space="0" w:color="auto"/>
            </w:tcBorders>
            <w:shd w:val="clear" w:color="auto" w:fill="142E3B" w:themeFill="accent6"/>
            <w:vAlign w:val="center"/>
          </w:tcPr>
          <w:p w14:paraId="55385F1F" w14:textId="77777777" w:rsidR="00F96BD2" w:rsidRPr="00177AD3" w:rsidRDefault="00F96BD2" w:rsidP="00177AD3">
            <w:pPr>
              <w:pStyle w:val="TableHeading"/>
              <w:rPr>
                <w:b/>
              </w:rPr>
            </w:pPr>
            <w:r w:rsidRPr="00177AD3">
              <w:rPr>
                <w:b/>
              </w:rPr>
              <w:t>p-value –difference between  treatment and control within each sub group</w:t>
            </w:r>
          </w:p>
        </w:tc>
        <w:tc>
          <w:tcPr>
            <w:tcW w:w="1561" w:type="dxa"/>
            <w:tcBorders>
              <w:bottom w:val="single" w:sz="4" w:space="0" w:color="auto"/>
            </w:tcBorders>
            <w:shd w:val="clear" w:color="auto" w:fill="142E3B" w:themeFill="accent6"/>
            <w:vAlign w:val="center"/>
          </w:tcPr>
          <w:p w14:paraId="6EA61E1F" w14:textId="77777777" w:rsidR="00F96BD2" w:rsidRPr="00177AD3" w:rsidRDefault="00F96BD2" w:rsidP="00177AD3">
            <w:pPr>
              <w:pStyle w:val="TableHeading"/>
              <w:rPr>
                <w:b/>
              </w:rPr>
            </w:pPr>
            <w:r w:rsidRPr="00177AD3">
              <w:rPr>
                <w:b/>
              </w:rPr>
              <w:t>p-value – difference in treatment effect between sub groups</w:t>
            </w:r>
          </w:p>
        </w:tc>
      </w:tr>
      <w:tr w:rsidR="00F96BD2" w:rsidRPr="000C773E" w14:paraId="75FAC204" w14:textId="77777777" w:rsidTr="00EA200D">
        <w:tblPrEx>
          <w:tblBorders>
            <w:left w:val="single" w:sz="4" w:space="0" w:color="auto"/>
            <w:right w:val="single" w:sz="4" w:space="0" w:color="auto"/>
            <w:insideV w:val="single" w:sz="4" w:space="0" w:color="auto"/>
          </w:tblBorders>
        </w:tblPrEx>
        <w:trPr>
          <w:trHeight w:val="20"/>
          <w:tblHeader/>
        </w:trPr>
        <w:tc>
          <w:tcPr>
            <w:tcW w:w="9666" w:type="dxa"/>
            <w:gridSpan w:val="6"/>
            <w:tcBorders>
              <w:left w:val="nil"/>
              <w:right w:val="nil"/>
            </w:tcBorders>
            <w:shd w:val="clear" w:color="auto" w:fill="20B9A3" w:themeFill="background2"/>
          </w:tcPr>
          <w:p w14:paraId="73FE1865" w14:textId="77777777" w:rsidR="00F96BD2" w:rsidRPr="00522958" w:rsidRDefault="00F96BD2" w:rsidP="00F96BD2">
            <w:pPr>
              <w:spacing w:before="20" w:after="20"/>
              <w:rPr>
                <w:rFonts w:cs="Calibri Light"/>
                <w:b/>
              </w:rPr>
            </w:pPr>
            <w:r w:rsidRPr="00522958">
              <w:rPr>
                <w:rFonts w:cs="Calibri Light"/>
                <w:b/>
              </w:rPr>
              <w:t xml:space="preserve">WRE deduction - Individual level </w:t>
            </w:r>
          </w:p>
        </w:tc>
      </w:tr>
      <w:tr w:rsidR="00F96BD2" w:rsidRPr="000C773E" w14:paraId="44D31342"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2FF1FFE0" w14:textId="77777777" w:rsidR="00F96BD2" w:rsidRPr="000C773E" w:rsidRDefault="00F96BD2" w:rsidP="00F96BD2">
            <w:pPr>
              <w:spacing w:before="20" w:after="20"/>
              <w:rPr>
                <w:rFonts w:cs="Calibri Light"/>
              </w:rPr>
            </w:pPr>
            <w:r w:rsidRPr="000C773E">
              <w:rPr>
                <w:rFonts w:cs="Calibri Light"/>
              </w:rPr>
              <w:t>Higher risk score (n=9,218)</w:t>
            </w:r>
          </w:p>
        </w:tc>
        <w:tc>
          <w:tcPr>
            <w:tcW w:w="1525" w:type="dxa"/>
            <w:tcBorders>
              <w:left w:val="nil"/>
              <w:right w:val="nil"/>
            </w:tcBorders>
            <w:shd w:val="clear" w:color="auto" w:fill="F2F2F2" w:themeFill="background1" w:themeFillShade="F2"/>
          </w:tcPr>
          <w:p w14:paraId="71F207EB" w14:textId="77777777" w:rsidR="00F96BD2" w:rsidRPr="000C773E" w:rsidRDefault="00F96BD2" w:rsidP="00F96BD2">
            <w:pPr>
              <w:spacing w:before="20" w:after="20"/>
              <w:rPr>
                <w:rFonts w:cs="Calibri Light"/>
              </w:rPr>
            </w:pPr>
            <w:r w:rsidRPr="000C773E">
              <w:rPr>
                <w:rFonts w:cs="Calibri Light"/>
              </w:rPr>
              <w:t>-245.5</w:t>
            </w:r>
          </w:p>
        </w:tc>
        <w:tc>
          <w:tcPr>
            <w:tcW w:w="1310" w:type="dxa"/>
            <w:tcBorders>
              <w:left w:val="nil"/>
              <w:right w:val="nil"/>
            </w:tcBorders>
            <w:shd w:val="clear" w:color="auto" w:fill="F2F2F2" w:themeFill="background1" w:themeFillShade="F2"/>
          </w:tcPr>
          <w:p w14:paraId="6D26B083" w14:textId="77777777" w:rsidR="00F96BD2" w:rsidRPr="000C773E" w:rsidRDefault="00F96BD2" w:rsidP="00F96BD2">
            <w:pPr>
              <w:spacing w:before="20" w:after="20"/>
              <w:rPr>
                <w:rFonts w:cs="Calibri Light"/>
              </w:rPr>
            </w:pPr>
            <w:r w:rsidRPr="000C773E">
              <w:rPr>
                <w:rFonts w:cs="Calibri Light"/>
              </w:rPr>
              <w:t>40.8</w:t>
            </w:r>
          </w:p>
        </w:tc>
        <w:tc>
          <w:tcPr>
            <w:tcW w:w="2126" w:type="dxa"/>
            <w:tcBorders>
              <w:left w:val="nil"/>
              <w:right w:val="nil"/>
            </w:tcBorders>
            <w:shd w:val="clear" w:color="auto" w:fill="F2F2F2" w:themeFill="background1" w:themeFillShade="F2"/>
          </w:tcPr>
          <w:p w14:paraId="004E9265"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vAlign w:val="center"/>
          </w:tcPr>
          <w:p w14:paraId="6152E975" w14:textId="77777777" w:rsidR="00F96BD2" w:rsidRPr="000C773E" w:rsidRDefault="00F96BD2" w:rsidP="00F96BD2">
            <w:pPr>
              <w:spacing w:before="20" w:after="20"/>
              <w:jc w:val="center"/>
              <w:rPr>
                <w:rFonts w:cs="Calibri Light"/>
              </w:rPr>
            </w:pPr>
            <w:r w:rsidRPr="000C773E">
              <w:rPr>
                <w:rFonts w:cs="Calibri Light"/>
              </w:rPr>
              <w:t>0.032</w:t>
            </w:r>
          </w:p>
        </w:tc>
      </w:tr>
      <w:tr w:rsidR="00F96BD2" w:rsidRPr="000C773E" w14:paraId="09B9862E"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7096A676" w14:textId="77777777" w:rsidR="00F96BD2" w:rsidRPr="000C773E" w:rsidRDefault="00F96BD2" w:rsidP="00F96BD2">
            <w:pPr>
              <w:spacing w:before="20" w:after="20"/>
              <w:rPr>
                <w:rFonts w:cs="Calibri Light"/>
              </w:rPr>
            </w:pPr>
            <w:r w:rsidRPr="000C773E">
              <w:rPr>
                <w:rFonts w:cs="Calibri Light"/>
              </w:rPr>
              <w:t>Moderate risk score (n=13,468)</w:t>
            </w:r>
          </w:p>
        </w:tc>
        <w:tc>
          <w:tcPr>
            <w:tcW w:w="1525" w:type="dxa"/>
            <w:tcBorders>
              <w:left w:val="nil"/>
              <w:right w:val="nil"/>
            </w:tcBorders>
            <w:shd w:val="clear" w:color="auto" w:fill="F2F2F2" w:themeFill="background1" w:themeFillShade="F2"/>
          </w:tcPr>
          <w:p w14:paraId="5E7CF4C0" w14:textId="77777777" w:rsidR="00F96BD2" w:rsidRPr="000C773E" w:rsidRDefault="00F96BD2" w:rsidP="00F96BD2">
            <w:pPr>
              <w:spacing w:before="20" w:after="20"/>
              <w:rPr>
                <w:rFonts w:cs="Calibri Light"/>
              </w:rPr>
            </w:pPr>
            <w:r w:rsidRPr="000C773E">
              <w:rPr>
                <w:rFonts w:cs="Calibri Light"/>
              </w:rPr>
              <w:t>-146.4</w:t>
            </w:r>
          </w:p>
        </w:tc>
        <w:tc>
          <w:tcPr>
            <w:tcW w:w="1310" w:type="dxa"/>
            <w:tcBorders>
              <w:left w:val="nil"/>
              <w:right w:val="nil"/>
            </w:tcBorders>
            <w:shd w:val="clear" w:color="auto" w:fill="F2F2F2" w:themeFill="background1" w:themeFillShade="F2"/>
          </w:tcPr>
          <w:p w14:paraId="7AC65B90" w14:textId="77777777" w:rsidR="00F96BD2" w:rsidRPr="000C773E" w:rsidRDefault="00F96BD2" w:rsidP="00F96BD2">
            <w:pPr>
              <w:spacing w:before="20" w:after="20"/>
              <w:rPr>
                <w:rFonts w:cs="Calibri Light"/>
              </w:rPr>
            </w:pPr>
            <w:r w:rsidRPr="000C773E">
              <w:rPr>
                <w:rFonts w:cs="Calibri Light"/>
              </w:rPr>
              <w:t>22.0</w:t>
            </w:r>
          </w:p>
        </w:tc>
        <w:tc>
          <w:tcPr>
            <w:tcW w:w="2126" w:type="dxa"/>
            <w:tcBorders>
              <w:left w:val="nil"/>
              <w:right w:val="nil"/>
            </w:tcBorders>
            <w:shd w:val="clear" w:color="auto" w:fill="F2F2F2" w:themeFill="background1" w:themeFillShade="F2"/>
          </w:tcPr>
          <w:p w14:paraId="26B3A025"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right w:val="nil"/>
            </w:tcBorders>
            <w:shd w:val="clear" w:color="auto" w:fill="F2F2F2" w:themeFill="background1" w:themeFillShade="F2"/>
          </w:tcPr>
          <w:p w14:paraId="54137698" w14:textId="77777777" w:rsidR="00F96BD2" w:rsidRPr="000C773E" w:rsidRDefault="00F96BD2" w:rsidP="00F96BD2">
            <w:pPr>
              <w:spacing w:before="20" w:after="20"/>
              <w:rPr>
                <w:rFonts w:cs="Calibri Light"/>
              </w:rPr>
            </w:pPr>
          </w:p>
        </w:tc>
      </w:tr>
      <w:tr w:rsidR="00F96BD2" w:rsidRPr="000C773E" w14:paraId="6E99AE43" w14:textId="77777777" w:rsidTr="00EA200D">
        <w:tblPrEx>
          <w:tblBorders>
            <w:left w:val="single" w:sz="4" w:space="0" w:color="auto"/>
            <w:right w:val="single" w:sz="4" w:space="0" w:color="auto"/>
            <w:insideV w:val="single" w:sz="4" w:space="0" w:color="auto"/>
          </w:tblBorders>
        </w:tblPrEx>
        <w:trPr>
          <w:trHeight w:val="317"/>
          <w:tblHeader/>
        </w:trPr>
        <w:tc>
          <w:tcPr>
            <w:tcW w:w="9666" w:type="dxa"/>
            <w:gridSpan w:val="6"/>
            <w:tcBorders>
              <w:left w:val="nil"/>
              <w:bottom w:val="single" w:sz="4" w:space="0" w:color="auto"/>
              <w:right w:val="nil"/>
            </w:tcBorders>
            <w:shd w:val="clear" w:color="auto" w:fill="20B9A3" w:themeFill="background2"/>
          </w:tcPr>
          <w:p w14:paraId="2D5D47D6" w14:textId="77777777" w:rsidR="00F96BD2" w:rsidRPr="00522958" w:rsidRDefault="00F96BD2" w:rsidP="00F96BD2">
            <w:pPr>
              <w:spacing w:before="20" w:after="20"/>
              <w:rPr>
                <w:rFonts w:cs="Calibri Light"/>
                <w:b/>
              </w:rPr>
            </w:pPr>
            <w:r w:rsidRPr="00522958">
              <w:rPr>
                <w:rFonts w:cs="Calibri Light"/>
                <w:b/>
              </w:rPr>
              <w:t>WRE deduction -</w:t>
            </w:r>
            <w:r w:rsidR="00CB4B78">
              <w:rPr>
                <w:rFonts w:cs="Calibri Light"/>
                <w:b/>
              </w:rPr>
              <w:t xml:space="preserve"> </w:t>
            </w:r>
            <w:r w:rsidRPr="00522958">
              <w:rPr>
                <w:rFonts w:cs="Calibri Light"/>
                <w:b/>
              </w:rPr>
              <w:t xml:space="preserve">Agent level </w:t>
            </w:r>
          </w:p>
        </w:tc>
      </w:tr>
      <w:tr w:rsidR="00F96BD2" w:rsidRPr="000C773E" w14:paraId="46970B7A"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18BF3229" w14:textId="77777777" w:rsidR="00F96BD2" w:rsidRPr="000C773E" w:rsidRDefault="00F96BD2" w:rsidP="00F96BD2">
            <w:pPr>
              <w:spacing w:before="20" w:after="20"/>
              <w:rPr>
                <w:rFonts w:cs="Calibri Light"/>
              </w:rPr>
            </w:pPr>
            <w:r w:rsidRPr="000C773E">
              <w:rPr>
                <w:rFonts w:cs="Calibri Light"/>
              </w:rPr>
              <w:t>Higher risk score (n=745)</w:t>
            </w:r>
          </w:p>
        </w:tc>
        <w:tc>
          <w:tcPr>
            <w:tcW w:w="1525" w:type="dxa"/>
            <w:tcBorders>
              <w:left w:val="nil"/>
              <w:right w:val="nil"/>
            </w:tcBorders>
            <w:shd w:val="clear" w:color="auto" w:fill="F2F2F2" w:themeFill="background1" w:themeFillShade="F2"/>
          </w:tcPr>
          <w:p w14:paraId="79F3FF12" w14:textId="77777777" w:rsidR="00F96BD2" w:rsidRPr="000C773E" w:rsidRDefault="00F96BD2" w:rsidP="00F96BD2">
            <w:pPr>
              <w:spacing w:before="20" w:after="20"/>
              <w:rPr>
                <w:rFonts w:cs="Calibri Light"/>
              </w:rPr>
            </w:pPr>
            <w:r w:rsidRPr="000C773E">
              <w:rPr>
                <w:rFonts w:cs="Calibri Light"/>
              </w:rPr>
              <w:t>-1276.4</w:t>
            </w:r>
          </w:p>
        </w:tc>
        <w:tc>
          <w:tcPr>
            <w:tcW w:w="1310" w:type="dxa"/>
            <w:tcBorders>
              <w:left w:val="nil"/>
              <w:right w:val="nil"/>
            </w:tcBorders>
            <w:shd w:val="clear" w:color="auto" w:fill="F2F2F2" w:themeFill="background1" w:themeFillShade="F2"/>
          </w:tcPr>
          <w:p w14:paraId="208D4DE0" w14:textId="77777777" w:rsidR="00F96BD2" w:rsidRPr="000C773E" w:rsidRDefault="00F96BD2" w:rsidP="00F96BD2">
            <w:pPr>
              <w:spacing w:before="20" w:after="20"/>
              <w:rPr>
                <w:rFonts w:cs="Calibri Light"/>
              </w:rPr>
            </w:pPr>
            <w:r w:rsidRPr="000C773E">
              <w:rPr>
                <w:rFonts w:cs="Calibri Light"/>
              </w:rPr>
              <w:t>258.7</w:t>
            </w:r>
          </w:p>
        </w:tc>
        <w:tc>
          <w:tcPr>
            <w:tcW w:w="2126" w:type="dxa"/>
            <w:tcBorders>
              <w:left w:val="nil"/>
              <w:right w:val="nil"/>
            </w:tcBorders>
            <w:shd w:val="clear" w:color="auto" w:fill="F2F2F2" w:themeFill="background1" w:themeFillShade="F2"/>
          </w:tcPr>
          <w:p w14:paraId="67F1596C"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tcPr>
          <w:p w14:paraId="31007647" w14:textId="77777777" w:rsidR="00F96BD2" w:rsidRPr="000C773E" w:rsidRDefault="00F96BD2" w:rsidP="00F96BD2">
            <w:pPr>
              <w:spacing w:before="20" w:after="20"/>
              <w:jc w:val="center"/>
              <w:rPr>
                <w:rFonts w:cs="Calibri Light"/>
              </w:rPr>
            </w:pPr>
            <w:r w:rsidRPr="000C773E">
              <w:rPr>
                <w:rFonts w:cs="Calibri Light"/>
              </w:rPr>
              <w:t>&lt; 0.001</w:t>
            </w:r>
          </w:p>
          <w:p w14:paraId="79C646CC" w14:textId="77777777" w:rsidR="00F96BD2" w:rsidRPr="000C773E" w:rsidRDefault="00F96BD2" w:rsidP="00F96BD2">
            <w:pPr>
              <w:spacing w:before="20" w:after="20"/>
              <w:rPr>
                <w:rFonts w:cs="Calibri Light"/>
              </w:rPr>
            </w:pPr>
          </w:p>
        </w:tc>
      </w:tr>
      <w:tr w:rsidR="00F96BD2" w:rsidRPr="000C773E" w14:paraId="4D76E712"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bottom w:val="single" w:sz="4" w:space="0" w:color="auto"/>
              <w:right w:val="nil"/>
            </w:tcBorders>
            <w:shd w:val="clear" w:color="auto" w:fill="F2F2F2" w:themeFill="background1" w:themeFillShade="F2"/>
          </w:tcPr>
          <w:p w14:paraId="2BA01B77" w14:textId="77777777" w:rsidR="00F96BD2" w:rsidRPr="000C773E" w:rsidRDefault="00F96BD2" w:rsidP="00F96BD2">
            <w:pPr>
              <w:spacing w:before="20" w:after="20"/>
              <w:rPr>
                <w:rFonts w:cs="Calibri Light"/>
              </w:rPr>
            </w:pPr>
            <w:r w:rsidRPr="000C773E">
              <w:rPr>
                <w:rFonts w:cs="Calibri Light"/>
              </w:rPr>
              <w:t>Moderate risk score (n=1,522)</w:t>
            </w:r>
          </w:p>
        </w:tc>
        <w:tc>
          <w:tcPr>
            <w:tcW w:w="1525" w:type="dxa"/>
            <w:tcBorders>
              <w:left w:val="nil"/>
              <w:bottom w:val="single" w:sz="4" w:space="0" w:color="auto"/>
              <w:right w:val="nil"/>
            </w:tcBorders>
            <w:shd w:val="clear" w:color="auto" w:fill="F2F2F2" w:themeFill="background1" w:themeFillShade="F2"/>
          </w:tcPr>
          <w:p w14:paraId="384A7D65" w14:textId="77777777" w:rsidR="00F96BD2" w:rsidRPr="000C773E" w:rsidRDefault="00F96BD2" w:rsidP="00F96BD2">
            <w:pPr>
              <w:spacing w:before="20" w:after="20"/>
              <w:rPr>
                <w:rFonts w:cs="Calibri Light"/>
              </w:rPr>
            </w:pPr>
            <w:r w:rsidRPr="000C773E">
              <w:rPr>
                <w:rFonts w:cs="Calibri Light"/>
              </w:rPr>
              <w:t>-3048.3</w:t>
            </w:r>
          </w:p>
        </w:tc>
        <w:tc>
          <w:tcPr>
            <w:tcW w:w="1310" w:type="dxa"/>
            <w:tcBorders>
              <w:left w:val="nil"/>
              <w:bottom w:val="single" w:sz="4" w:space="0" w:color="auto"/>
              <w:right w:val="nil"/>
            </w:tcBorders>
            <w:shd w:val="clear" w:color="auto" w:fill="F2F2F2" w:themeFill="background1" w:themeFillShade="F2"/>
          </w:tcPr>
          <w:p w14:paraId="1CB96B61" w14:textId="77777777" w:rsidR="00F96BD2" w:rsidRPr="000C773E" w:rsidRDefault="00F96BD2" w:rsidP="00F96BD2">
            <w:pPr>
              <w:spacing w:before="20" w:after="20"/>
              <w:rPr>
                <w:rFonts w:cs="Calibri Light"/>
              </w:rPr>
            </w:pPr>
            <w:r w:rsidRPr="000C773E">
              <w:rPr>
                <w:rFonts w:cs="Calibri Light"/>
              </w:rPr>
              <w:t>369.7</w:t>
            </w:r>
          </w:p>
        </w:tc>
        <w:tc>
          <w:tcPr>
            <w:tcW w:w="2126" w:type="dxa"/>
            <w:tcBorders>
              <w:left w:val="nil"/>
              <w:bottom w:val="single" w:sz="4" w:space="0" w:color="auto"/>
              <w:right w:val="nil"/>
            </w:tcBorders>
            <w:shd w:val="clear" w:color="auto" w:fill="F2F2F2" w:themeFill="background1" w:themeFillShade="F2"/>
          </w:tcPr>
          <w:p w14:paraId="105919FE"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bottom w:val="single" w:sz="4" w:space="0" w:color="auto"/>
              <w:right w:val="nil"/>
            </w:tcBorders>
            <w:shd w:val="clear" w:color="auto" w:fill="F2F2F2" w:themeFill="background1" w:themeFillShade="F2"/>
          </w:tcPr>
          <w:p w14:paraId="4546F020" w14:textId="77777777" w:rsidR="00F96BD2" w:rsidRPr="000C773E" w:rsidRDefault="00F96BD2" w:rsidP="00F96BD2">
            <w:pPr>
              <w:spacing w:before="20" w:after="20"/>
              <w:rPr>
                <w:rFonts w:cs="Calibri Light"/>
              </w:rPr>
            </w:pPr>
          </w:p>
        </w:tc>
      </w:tr>
      <w:tr w:rsidR="00F96BD2" w:rsidRPr="000C773E" w14:paraId="3527369D" w14:textId="77777777" w:rsidTr="00EA200D">
        <w:tblPrEx>
          <w:tblBorders>
            <w:left w:val="single" w:sz="4" w:space="0" w:color="auto"/>
            <w:right w:val="single" w:sz="4" w:space="0" w:color="auto"/>
            <w:insideV w:val="single" w:sz="4" w:space="0" w:color="auto"/>
          </w:tblBorders>
        </w:tblPrEx>
        <w:trPr>
          <w:trHeight w:val="20"/>
          <w:tblHeader/>
        </w:trPr>
        <w:tc>
          <w:tcPr>
            <w:tcW w:w="9666" w:type="dxa"/>
            <w:gridSpan w:val="6"/>
            <w:tcBorders>
              <w:left w:val="nil"/>
              <w:right w:val="nil"/>
            </w:tcBorders>
            <w:shd w:val="clear" w:color="auto" w:fill="20B9A3" w:themeFill="background2"/>
          </w:tcPr>
          <w:p w14:paraId="658B8982" w14:textId="77777777" w:rsidR="00F96BD2" w:rsidRPr="00522958" w:rsidRDefault="00F96BD2" w:rsidP="00F96BD2">
            <w:pPr>
              <w:spacing w:before="20" w:after="20"/>
              <w:rPr>
                <w:rFonts w:cs="Calibri Light"/>
                <w:b/>
              </w:rPr>
            </w:pPr>
            <w:r w:rsidRPr="00522958">
              <w:rPr>
                <w:rFonts w:cs="Calibri Light"/>
                <w:b/>
              </w:rPr>
              <w:t xml:space="preserve">Net tax paid - Individual level </w:t>
            </w:r>
          </w:p>
        </w:tc>
      </w:tr>
      <w:tr w:rsidR="00F96BD2" w:rsidRPr="000C773E" w14:paraId="66895EC1"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3C66FE93" w14:textId="77777777" w:rsidR="00F96BD2" w:rsidRPr="000C773E" w:rsidRDefault="00F96BD2" w:rsidP="00F96BD2">
            <w:pPr>
              <w:spacing w:before="20" w:after="20"/>
              <w:rPr>
                <w:rFonts w:cs="Calibri Light"/>
              </w:rPr>
            </w:pPr>
            <w:r w:rsidRPr="000C773E">
              <w:rPr>
                <w:rFonts w:cs="Calibri Light"/>
              </w:rPr>
              <w:t>Higher risk score (n=9,218)</w:t>
            </w:r>
          </w:p>
        </w:tc>
        <w:tc>
          <w:tcPr>
            <w:tcW w:w="1525" w:type="dxa"/>
            <w:tcBorders>
              <w:left w:val="nil"/>
              <w:right w:val="nil"/>
            </w:tcBorders>
            <w:shd w:val="clear" w:color="auto" w:fill="F2F2F2" w:themeFill="background1" w:themeFillShade="F2"/>
          </w:tcPr>
          <w:p w14:paraId="56412990" w14:textId="77777777" w:rsidR="00F96BD2" w:rsidRPr="000C773E" w:rsidRDefault="00F96BD2" w:rsidP="00F96BD2">
            <w:pPr>
              <w:spacing w:before="20" w:after="20"/>
              <w:rPr>
                <w:rFonts w:cs="Calibri Light"/>
              </w:rPr>
            </w:pPr>
            <w:r w:rsidRPr="000C773E">
              <w:rPr>
                <w:rFonts w:cs="Calibri Light"/>
              </w:rPr>
              <w:t>86.2</w:t>
            </w:r>
          </w:p>
        </w:tc>
        <w:tc>
          <w:tcPr>
            <w:tcW w:w="1310" w:type="dxa"/>
            <w:tcBorders>
              <w:left w:val="nil"/>
              <w:right w:val="nil"/>
            </w:tcBorders>
            <w:shd w:val="clear" w:color="auto" w:fill="F2F2F2" w:themeFill="background1" w:themeFillShade="F2"/>
          </w:tcPr>
          <w:p w14:paraId="1CE46330" w14:textId="77777777" w:rsidR="00F96BD2" w:rsidRPr="000C773E" w:rsidRDefault="00F96BD2" w:rsidP="00F96BD2">
            <w:pPr>
              <w:spacing w:before="20" w:after="20"/>
              <w:rPr>
                <w:rFonts w:cs="Calibri Light"/>
              </w:rPr>
            </w:pPr>
            <w:r w:rsidRPr="000C773E">
              <w:rPr>
                <w:rFonts w:cs="Calibri Light"/>
              </w:rPr>
              <w:t>15.4</w:t>
            </w:r>
          </w:p>
        </w:tc>
        <w:tc>
          <w:tcPr>
            <w:tcW w:w="2126" w:type="dxa"/>
            <w:tcBorders>
              <w:left w:val="nil"/>
              <w:right w:val="nil"/>
            </w:tcBorders>
            <w:shd w:val="clear" w:color="auto" w:fill="F2F2F2" w:themeFill="background1" w:themeFillShade="F2"/>
          </w:tcPr>
          <w:p w14:paraId="00BDF52B"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vAlign w:val="center"/>
          </w:tcPr>
          <w:p w14:paraId="1273261A" w14:textId="77777777" w:rsidR="00F96BD2" w:rsidRPr="000C773E" w:rsidRDefault="00F96BD2" w:rsidP="00F96BD2">
            <w:pPr>
              <w:spacing w:before="20" w:after="20"/>
              <w:jc w:val="center"/>
              <w:rPr>
                <w:rFonts w:cs="Calibri Light"/>
              </w:rPr>
            </w:pPr>
            <w:r w:rsidRPr="000C773E">
              <w:rPr>
                <w:rFonts w:cs="Calibri Light"/>
              </w:rPr>
              <w:t>0.154</w:t>
            </w:r>
          </w:p>
        </w:tc>
      </w:tr>
      <w:tr w:rsidR="00F96BD2" w:rsidRPr="000C773E" w14:paraId="60458E47"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3F04F701" w14:textId="77777777" w:rsidR="00F96BD2" w:rsidRPr="000C773E" w:rsidRDefault="00F96BD2" w:rsidP="00F96BD2">
            <w:pPr>
              <w:spacing w:before="20" w:after="20"/>
              <w:rPr>
                <w:rFonts w:cs="Calibri Light"/>
              </w:rPr>
            </w:pPr>
            <w:r w:rsidRPr="000C773E">
              <w:rPr>
                <w:rFonts w:cs="Calibri Light"/>
              </w:rPr>
              <w:t>Moderate risk score (n=13,468)</w:t>
            </w:r>
          </w:p>
        </w:tc>
        <w:tc>
          <w:tcPr>
            <w:tcW w:w="1525" w:type="dxa"/>
            <w:tcBorders>
              <w:left w:val="nil"/>
              <w:right w:val="nil"/>
            </w:tcBorders>
            <w:shd w:val="clear" w:color="auto" w:fill="F2F2F2" w:themeFill="background1" w:themeFillShade="F2"/>
          </w:tcPr>
          <w:p w14:paraId="3C84BE46" w14:textId="77777777" w:rsidR="00F96BD2" w:rsidRPr="000C773E" w:rsidRDefault="00F96BD2" w:rsidP="00F96BD2">
            <w:pPr>
              <w:spacing w:before="20" w:after="20"/>
              <w:rPr>
                <w:rFonts w:cs="Calibri Light"/>
              </w:rPr>
            </w:pPr>
            <w:r w:rsidRPr="000C773E">
              <w:rPr>
                <w:rFonts w:cs="Calibri Light"/>
              </w:rPr>
              <w:t>57.9</w:t>
            </w:r>
          </w:p>
        </w:tc>
        <w:tc>
          <w:tcPr>
            <w:tcW w:w="1310" w:type="dxa"/>
            <w:tcBorders>
              <w:left w:val="nil"/>
              <w:right w:val="nil"/>
            </w:tcBorders>
            <w:shd w:val="clear" w:color="auto" w:fill="F2F2F2" w:themeFill="background1" w:themeFillShade="F2"/>
          </w:tcPr>
          <w:p w14:paraId="4B846642" w14:textId="77777777" w:rsidR="00F96BD2" w:rsidRPr="000C773E" w:rsidRDefault="00F96BD2" w:rsidP="00F96BD2">
            <w:pPr>
              <w:spacing w:before="20" w:after="20"/>
              <w:rPr>
                <w:rFonts w:cs="Calibri Light"/>
              </w:rPr>
            </w:pPr>
            <w:r w:rsidRPr="000C773E">
              <w:rPr>
                <w:rFonts w:cs="Calibri Light"/>
              </w:rPr>
              <w:t>12.4</w:t>
            </w:r>
          </w:p>
        </w:tc>
        <w:tc>
          <w:tcPr>
            <w:tcW w:w="2126" w:type="dxa"/>
            <w:tcBorders>
              <w:left w:val="nil"/>
              <w:right w:val="nil"/>
            </w:tcBorders>
            <w:shd w:val="clear" w:color="auto" w:fill="F2F2F2" w:themeFill="background1" w:themeFillShade="F2"/>
          </w:tcPr>
          <w:p w14:paraId="3153E238"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right w:val="nil"/>
            </w:tcBorders>
            <w:shd w:val="clear" w:color="auto" w:fill="F2F2F2" w:themeFill="background1" w:themeFillShade="F2"/>
          </w:tcPr>
          <w:p w14:paraId="7A1A5BED" w14:textId="77777777" w:rsidR="00F96BD2" w:rsidRPr="000C773E" w:rsidRDefault="00F96BD2" w:rsidP="00F96BD2">
            <w:pPr>
              <w:spacing w:before="20" w:after="20"/>
              <w:rPr>
                <w:rFonts w:cs="Calibri Light"/>
              </w:rPr>
            </w:pPr>
          </w:p>
        </w:tc>
      </w:tr>
      <w:tr w:rsidR="00F96BD2" w:rsidRPr="000C773E" w14:paraId="553A56A8" w14:textId="77777777" w:rsidTr="00EA200D">
        <w:tblPrEx>
          <w:tblBorders>
            <w:left w:val="single" w:sz="4" w:space="0" w:color="auto"/>
            <w:right w:val="single" w:sz="4" w:space="0" w:color="auto"/>
            <w:insideV w:val="single" w:sz="4" w:space="0" w:color="auto"/>
          </w:tblBorders>
        </w:tblPrEx>
        <w:trPr>
          <w:trHeight w:val="317"/>
          <w:tblHeader/>
        </w:trPr>
        <w:tc>
          <w:tcPr>
            <w:tcW w:w="9666" w:type="dxa"/>
            <w:gridSpan w:val="6"/>
            <w:tcBorders>
              <w:left w:val="nil"/>
              <w:bottom w:val="single" w:sz="4" w:space="0" w:color="auto"/>
              <w:right w:val="nil"/>
            </w:tcBorders>
            <w:shd w:val="clear" w:color="auto" w:fill="20B9A3" w:themeFill="background2"/>
          </w:tcPr>
          <w:p w14:paraId="67702B4F" w14:textId="77777777" w:rsidR="00F96BD2" w:rsidRPr="00522958" w:rsidRDefault="00F96BD2" w:rsidP="00F96BD2">
            <w:pPr>
              <w:spacing w:before="20" w:after="20"/>
              <w:rPr>
                <w:rFonts w:cs="Calibri Light"/>
                <w:b/>
              </w:rPr>
            </w:pPr>
            <w:r w:rsidRPr="00522958">
              <w:rPr>
                <w:rFonts w:cs="Calibri Light"/>
                <w:b/>
              </w:rPr>
              <w:t>Net tax paid -</w:t>
            </w:r>
            <w:r w:rsidR="00CB4B78">
              <w:rPr>
                <w:rFonts w:cs="Calibri Light"/>
                <w:b/>
              </w:rPr>
              <w:t xml:space="preserve"> </w:t>
            </w:r>
            <w:r w:rsidRPr="00522958">
              <w:rPr>
                <w:rFonts w:cs="Calibri Light"/>
                <w:b/>
              </w:rPr>
              <w:t xml:space="preserve">Agent level </w:t>
            </w:r>
          </w:p>
        </w:tc>
      </w:tr>
      <w:tr w:rsidR="00F96BD2" w:rsidRPr="000C773E" w14:paraId="1015756D"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right w:val="nil"/>
            </w:tcBorders>
            <w:shd w:val="clear" w:color="auto" w:fill="F2F2F2" w:themeFill="background1" w:themeFillShade="F2"/>
          </w:tcPr>
          <w:p w14:paraId="3A1B4685" w14:textId="77777777" w:rsidR="00F96BD2" w:rsidRPr="000C773E" w:rsidRDefault="00F96BD2" w:rsidP="00F96BD2">
            <w:pPr>
              <w:spacing w:before="20" w:after="20"/>
              <w:rPr>
                <w:rFonts w:cs="Calibri Light"/>
              </w:rPr>
            </w:pPr>
            <w:r w:rsidRPr="000C773E">
              <w:rPr>
                <w:rFonts w:cs="Calibri Light"/>
              </w:rPr>
              <w:t>Higher risk score (n=745)</w:t>
            </w:r>
          </w:p>
        </w:tc>
        <w:tc>
          <w:tcPr>
            <w:tcW w:w="1525" w:type="dxa"/>
            <w:tcBorders>
              <w:left w:val="nil"/>
              <w:right w:val="nil"/>
            </w:tcBorders>
            <w:shd w:val="clear" w:color="auto" w:fill="F2F2F2" w:themeFill="background1" w:themeFillShade="F2"/>
            <w:vAlign w:val="bottom"/>
          </w:tcPr>
          <w:p w14:paraId="436D2DD7" w14:textId="77777777" w:rsidR="00F96BD2" w:rsidRPr="000C773E" w:rsidRDefault="00F96BD2" w:rsidP="00F96BD2">
            <w:pPr>
              <w:spacing w:before="20" w:after="20"/>
              <w:rPr>
                <w:rFonts w:cs="Calibri Light"/>
              </w:rPr>
            </w:pPr>
            <w:r w:rsidRPr="000C773E">
              <w:rPr>
                <w:rFonts w:cs="Calibri Light"/>
              </w:rPr>
              <w:t>1070.0</w:t>
            </w:r>
          </w:p>
        </w:tc>
        <w:tc>
          <w:tcPr>
            <w:tcW w:w="1310" w:type="dxa"/>
            <w:tcBorders>
              <w:left w:val="nil"/>
              <w:right w:val="nil"/>
            </w:tcBorders>
            <w:shd w:val="clear" w:color="auto" w:fill="F2F2F2" w:themeFill="background1" w:themeFillShade="F2"/>
            <w:vAlign w:val="bottom"/>
          </w:tcPr>
          <w:p w14:paraId="4E845C8F" w14:textId="77777777" w:rsidR="00F96BD2" w:rsidRPr="000C773E" w:rsidRDefault="00F96BD2" w:rsidP="00F96BD2">
            <w:pPr>
              <w:spacing w:before="20" w:after="20"/>
              <w:rPr>
                <w:rFonts w:cs="Calibri Light"/>
              </w:rPr>
            </w:pPr>
            <w:r w:rsidRPr="000C773E">
              <w:rPr>
                <w:rFonts w:cs="Calibri Light"/>
              </w:rPr>
              <w:t>169.3</w:t>
            </w:r>
          </w:p>
        </w:tc>
        <w:tc>
          <w:tcPr>
            <w:tcW w:w="2126" w:type="dxa"/>
            <w:tcBorders>
              <w:left w:val="nil"/>
              <w:right w:val="nil"/>
            </w:tcBorders>
            <w:shd w:val="clear" w:color="auto" w:fill="F2F2F2" w:themeFill="background1" w:themeFillShade="F2"/>
          </w:tcPr>
          <w:p w14:paraId="46DFB06B" w14:textId="77777777" w:rsidR="00F96BD2" w:rsidRPr="000C773E" w:rsidRDefault="00F96BD2" w:rsidP="00F96BD2">
            <w:pPr>
              <w:spacing w:before="20" w:after="20"/>
              <w:rPr>
                <w:rFonts w:cs="Calibri Light"/>
              </w:rPr>
            </w:pPr>
            <w:r w:rsidRPr="000C773E">
              <w:rPr>
                <w:rFonts w:cs="Calibri Light"/>
              </w:rPr>
              <w:t>&lt; 0.001</w:t>
            </w:r>
          </w:p>
        </w:tc>
        <w:tc>
          <w:tcPr>
            <w:tcW w:w="1561" w:type="dxa"/>
            <w:vMerge w:val="restart"/>
            <w:tcBorders>
              <w:left w:val="nil"/>
              <w:right w:val="nil"/>
            </w:tcBorders>
            <w:shd w:val="clear" w:color="auto" w:fill="F2F2F2" w:themeFill="background1" w:themeFillShade="F2"/>
          </w:tcPr>
          <w:p w14:paraId="0E7FC3E1" w14:textId="77777777" w:rsidR="00F96BD2" w:rsidRPr="000C773E" w:rsidRDefault="00F96BD2" w:rsidP="00F96BD2">
            <w:pPr>
              <w:spacing w:before="20" w:after="20"/>
              <w:rPr>
                <w:rFonts w:cs="Calibri Light"/>
              </w:rPr>
            </w:pPr>
          </w:p>
          <w:p w14:paraId="568A3B65" w14:textId="77777777" w:rsidR="00F96BD2" w:rsidRPr="000C773E" w:rsidRDefault="00F96BD2" w:rsidP="00F96BD2">
            <w:pPr>
              <w:spacing w:before="20" w:after="20"/>
              <w:jc w:val="center"/>
              <w:rPr>
                <w:rFonts w:cs="Calibri Light"/>
              </w:rPr>
            </w:pPr>
            <w:r w:rsidRPr="000C773E">
              <w:rPr>
                <w:rFonts w:cs="Calibri Light"/>
              </w:rPr>
              <w:t>0.006</w:t>
            </w:r>
          </w:p>
        </w:tc>
      </w:tr>
      <w:tr w:rsidR="00F96BD2" w:rsidRPr="000C773E" w14:paraId="59A41CEA" w14:textId="77777777" w:rsidTr="00EA200D">
        <w:tblPrEx>
          <w:tblBorders>
            <w:left w:val="single" w:sz="4" w:space="0" w:color="auto"/>
            <w:right w:val="single" w:sz="4" w:space="0" w:color="auto"/>
            <w:insideV w:val="single" w:sz="4" w:space="0" w:color="auto"/>
          </w:tblBorders>
        </w:tblPrEx>
        <w:trPr>
          <w:gridAfter w:val="1"/>
          <w:wAfter w:w="25" w:type="dxa"/>
          <w:trHeight w:val="20"/>
          <w:tblHeader/>
        </w:trPr>
        <w:tc>
          <w:tcPr>
            <w:tcW w:w="3119" w:type="dxa"/>
            <w:tcBorders>
              <w:left w:val="nil"/>
              <w:bottom w:val="single" w:sz="4" w:space="0" w:color="auto"/>
              <w:right w:val="nil"/>
            </w:tcBorders>
            <w:shd w:val="clear" w:color="auto" w:fill="F2F2F2" w:themeFill="background1" w:themeFillShade="F2"/>
          </w:tcPr>
          <w:p w14:paraId="22468102" w14:textId="77777777" w:rsidR="00F96BD2" w:rsidRPr="000C773E" w:rsidRDefault="00F96BD2" w:rsidP="00F96BD2">
            <w:pPr>
              <w:spacing w:before="20" w:after="20"/>
              <w:rPr>
                <w:rFonts w:cs="Calibri Light"/>
              </w:rPr>
            </w:pPr>
            <w:r w:rsidRPr="000C773E">
              <w:rPr>
                <w:rFonts w:cs="Calibri Light"/>
              </w:rPr>
              <w:t>Moderate risk score (n=1,522)</w:t>
            </w:r>
          </w:p>
        </w:tc>
        <w:tc>
          <w:tcPr>
            <w:tcW w:w="1525" w:type="dxa"/>
            <w:tcBorders>
              <w:left w:val="nil"/>
              <w:bottom w:val="single" w:sz="4" w:space="0" w:color="auto"/>
              <w:right w:val="nil"/>
            </w:tcBorders>
            <w:shd w:val="clear" w:color="auto" w:fill="F2F2F2" w:themeFill="background1" w:themeFillShade="F2"/>
            <w:vAlign w:val="bottom"/>
          </w:tcPr>
          <w:p w14:paraId="05CFFC3A" w14:textId="77777777" w:rsidR="00F96BD2" w:rsidRPr="000C773E" w:rsidRDefault="00F96BD2" w:rsidP="00F96BD2">
            <w:pPr>
              <w:spacing w:before="20" w:after="20"/>
              <w:rPr>
                <w:rFonts w:cs="Calibri Light"/>
              </w:rPr>
            </w:pPr>
            <w:r w:rsidRPr="000C773E">
              <w:rPr>
                <w:rFonts w:cs="Calibri Light"/>
              </w:rPr>
              <w:t>504.4</w:t>
            </w:r>
          </w:p>
        </w:tc>
        <w:tc>
          <w:tcPr>
            <w:tcW w:w="1310" w:type="dxa"/>
            <w:tcBorders>
              <w:left w:val="nil"/>
              <w:bottom w:val="single" w:sz="4" w:space="0" w:color="auto"/>
              <w:right w:val="nil"/>
            </w:tcBorders>
            <w:shd w:val="clear" w:color="auto" w:fill="F2F2F2" w:themeFill="background1" w:themeFillShade="F2"/>
            <w:vAlign w:val="bottom"/>
          </w:tcPr>
          <w:p w14:paraId="170BF006" w14:textId="77777777" w:rsidR="00F96BD2" w:rsidRPr="000C773E" w:rsidRDefault="00F96BD2" w:rsidP="00F96BD2">
            <w:pPr>
              <w:spacing w:before="20" w:after="20"/>
              <w:rPr>
                <w:rFonts w:cs="Calibri Light"/>
              </w:rPr>
            </w:pPr>
            <w:r w:rsidRPr="000C773E">
              <w:rPr>
                <w:rFonts w:cs="Calibri Light"/>
              </w:rPr>
              <w:t>118.5</w:t>
            </w:r>
          </w:p>
        </w:tc>
        <w:tc>
          <w:tcPr>
            <w:tcW w:w="2126" w:type="dxa"/>
            <w:tcBorders>
              <w:left w:val="nil"/>
              <w:bottom w:val="single" w:sz="4" w:space="0" w:color="auto"/>
              <w:right w:val="nil"/>
            </w:tcBorders>
            <w:shd w:val="clear" w:color="auto" w:fill="F2F2F2" w:themeFill="background1" w:themeFillShade="F2"/>
          </w:tcPr>
          <w:p w14:paraId="4003DD70" w14:textId="77777777" w:rsidR="00F96BD2" w:rsidRPr="000C773E" w:rsidRDefault="00F96BD2" w:rsidP="00F96BD2">
            <w:pPr>
              <w:spacing w:before="20" w:after="20"/>
              <w:rPr>
                <w:rFonts w:cs="Calibri Light"/>
              </w:rPr>
            </w:pPr>
            <w:r w:rsidRPr="000C773E">
              <w:rPr>
                <w:rFonts w:cs="Calibri Light"/>
              </w:rPr>
              <w:t>&lt; 0.001</w:t>
            </w:r>
          </w:p>
        </w:tc>
        <w:tc>
          <w:tcPr>
            <w:tcW w:w="1561" w:type="dxa"/>
            <w:vMerge/>
            <w:tcBorders>
              <w:left w:val="nil"/>
              <w:bottom w:val="single" w:sz="4" w:space="0" w:color="auto"/>
              <w:right w:val="nil"/>
            </w:tcBorders>
            <w:shd w:val="clear" w:color="auto" w:fill="F2F2F2" w:themeFill="background1" w:themeFillShade="F2"/>
          </w:tcPr>
          <w:p w14:paraId="6F52E18F" w14:textId="77777777" w:rsidR="00F96BD2" w:rsidRPr="000C773E" w:rsidRDefault="00F96BD2" w:rsidP="00F96BD2">
            <w:pPr>
              <w:spacing w:before="20" w:after="20"/>
              <w:rPr>
                <w:rFonts w:cs="Calibri Light"/>
              </w:rPr>
            </w:pPr>
          </w:p>
        </w:tc>
      </w:tr>
      <w:tr w:rsidR="00F96BD2" w:rsidRPr="000C773E" w14:paraId="38E06EBA" w14:textId="77777777" w:rsidTr="00EA200D">
        <w:tblPrEx>
          <w:tblBorders>
            <w:left w:val="single" w:sz="4" w:space="0" w:color="auto"/>
            <w:right w:val="single" w:sz="4" w:space="0" w:color="auto"/>
            <w:insideV w:val="single" w:sz="4" w:space="0" w:color="auto"/>
          </w:tblBorders>
        </w:tblPrEx>
        <w:trPr>
          <w:trHeight w:val="20"/>
          <w:tblHeader/>
        </w:trPr>
        <w:tc>
          <w:tcPr>
            <w:tcW w:w="9666" w:type="dxa"/>
            <w:gridSpan w:val="6"/>
            <w:tcBorders>
              <w:left w:val="nil"/>
              <w:bottom w:val="nil"/>
              <w:right w:val="nil"/>
            </w:tcBorders>
          </w:tcPr>
          <w:p w14:paraId="086F8225" w14:textId="69E8E62D" w:rsidR="00522958" w:rsidRPr="000C773E" w:rsidRDefault="00F96BD2" w:rsidP="00EA200D">
            <w:pPr>
              <w:spacing w:before="20" w:after="20"/>
              <w:rPr>
                <w:rFonts w:cs="Calibri Light"/>
              </w:rPr>
            </w:pPr>
            <w:r w:rsidRPr="000C773E">
              <w:rPr>
                <w:rFonts w:cs="Calibri Light"/>
              </w:rPr>
              <w:t>Note: Pairs and covariates were not included in these regression models.</w:t>
            </w:r>
          </w:p>
        </w:tc>
      </w:tr>
    </w:tbl>
    <w:p w14:paraId="1504B2A2" w14:textId="77777777" w:rsidR="00F96BD2" w:rsidRDefault="00F96BD2">
      <w:pPr>
        <w:spacing w:before="0" w:after="0" w:line="240" w:lineRule="auto"/>
        <w:rPr>
          <w:b/>
        </w:rPr>
      </w:pPr>
    </w:p>
    <w:p w14:paraId="7045BB41" w14:textId="77777777" w:rsidR="00F96BD2" w:rsidRDefault="00F96BD2" w:rsidP="00085623">
      <w:pPr>
        <w:spacing w:before="0" w:after="0" w:line="240" w:lineRule="auto"/>
        <w:outlineLvl w:val="2"/>
        <w:rPr>
          <w:b/>
        </w:rPr>
      </w:pPr>
      <w:r>
        <w:rPr>
          <w:b/>
        </w:rPr>
        <w:t>Table 3.6 – Descriptive statistics for new tax returns – analysis sample</w:t>
      </w:r>
    </w:p>
    <w:p w14:paraId="3E2D949D" w14:textId="77777777" w:rsidR="00522958" w:rsidRDefault="00522958">
      <w:pPr>
        <w:spacing w:before="0" w:after="0" w:line="240" w:lineRule="auto"/>
        <w:rPr>
          <w:b/>
        </w:rPr>
      </w:pPr>
    </w:p>
    <w:tbl>
      <w:tblPr>
        <w:tblStyle w:val="LightList-Accent2"/>
        <w:tblW w:w="8755" w:type="dxa"/>
        <w:tblLook w:val="04A0" w:firstRow="1" w:lastRow="0" w:firstColumn="1" w:lastColumn="0" w:noHBand="0" w:noVBand="1"/>
        <w:tblCaption w:val="Descriptive statistics for new tax returns - analysis sample"/>
        <w:tblDescription w:val="Table showing mean, median and total new tax returns lodged in both treatment and control group."/>
      </w:tblPr>
      <w:tblGrid>
        <w:gridCol w:w="2660"/>
        <w:gridCol w:w="1417"/>
        <w:gridCol w:w="2268"/>
        <w:gridCol w:w="2410"/>
      </w:tblGrid>
      <w:tr w:rsidR="00F96BD2" w:rsidRPr="00873108" w14:paraId="0322D77F" w14:textId="77777777" w:rsidTr="00C66F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shd w:val="clear" w:color="auto" w:fill="142E3B" w:themeFill="accent6"/>
          </w:tcPr>
          <w:p w14:paraId="75AB295E" w14:textId="77777777" w:rsidR="00F96BD2" w:rsidRPr="00C7615C" w:rsidRDefault="00F96BD2" w:rsidP="00C7615C">
            <w:pPr>
              <w:pStyle w:val="TableHeading"/>
            </w:pPr>
            <w:r w:rsidRPr="00C7615C">
              <w:t>Characteristics</w:t>
            </w:r>
          </w:p>
        </w:tc>
        <w:tc>
          <w:tcPr>
            <w:tcW w:w="1417" w:type="dxa"/>
            <w:shd w:val="clear" w:color="auto" w:fill="142E3B" w:themeFill="accent6"/>
          </w:tcPr>
          <w:p w14:paraId="425EEF4A"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pPr>
          </w:p>
        </w:tc>
        <w:tc>
          <w:tcPr>
            <w:tcW w:w="2268" w:type="dxa"/>
            <w:shd w:val="clear" w:color="auto" w:fill="142E3B" w:themeFill="accent6"/>
          </w:tcPr>
          <w:p w14:paraId="4F0EB256"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pPr>
            <w:r w:rsidRPr="00C7615C">
              <w:t xml:space="preserve">Treatment </w:t>
            </w:r>
          </w:p>
        </w:tc>
        <w:tc>
          <w:tcPr>
            <w:tcW w:w="2410" w:type="dxa"/>
            <w:shd w:val="clear" w:color="auto" w:fill="142E3B" w:themeFill="accent6"/>
          </w:tcPr>
          <w:p w14:paraId="01DC7FE3" w14:textId="77777777" w:rsidR="00F96BD2" w:rsidRPr="00C7615C" w:rsidRDefault="00F96BD2" w:rsidP="00C7615C">
            <w:pPr>
              <w:pStyle w:val="TableHeading"/>
              <w:cnfStyle w:val="100000000000" w:firstRow="1" w:lastRow="0" w:firstColumn="0" w:lastColumn="0" w:oddVBand="0" w:evenVBand="0" w:oddHBand="0" w:evenHBand="0" w:firstRowFirstColumn="0" w:firstRowLastColumn="0" w:lastRowFirstColumn="0" w:lastRowLastColumn="0"/>
            </w:pPr>
            <w:r w:rsidRPr="00C7615C">
              <w:t>Control</w:t>
            </w:r>
          </w:p>
        </w:tc>
      </w:tr>
      <w:tr w:rsidR="00F96BD2" w:rsidRPr="00873108" w14:paraId="5379D1CE" w14:textId="77777777" w:rsidTr="00AC0A3C">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6AB1E72C" w14:textId="77777777" w:rsidR="00F96BD2" w:rsidRPr="00142091" w:rsidRDefault="00F96BD2" w:rsidP="00F96BD2">
            <w:pPr>
              <w:spacing w:before="20" w:after="20"/>
              <w:rPr>
                <w:rFonts w:cs="Calibri Light"/>
                <w:b w:val="0"/>
                <w:szCs w:val="22"/>
              </w:rPr>
            </w:pPr>
            <w:r w:rsidRPr="00142091">
              <w:rPr>
                <w:rFonts w:cs="Calibri Light"/>
                <w:b w:val="0"/>
                <w:szCs w:val="22"/>
              </w:rPr>
              <w:t>Number of agents in the analysis sample</w:t>
            </w:r>
          </w:p>
        </w:tc>
        <w:tc>
          <w:tcPr>
            <w:tcW w:w="1417" w:type="dxa"/>
            <w:shd w:val="clear" w:color="auto" w:fill="F2F2F2" w:themeFill="background1" w:themeFillShade="F2"/>
          </w:tcPr>
          <w:p w14:paraId="45FE7120"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N</w:t>
            </w:r>
          </w:p>
        </w:tc>
        <w:tc>
          <w:tcPr>
            <w:tcW w:w="2268" w:type="dxa"/>
            <w:shd w:val="clear" w:color="auto" w:fill="F2F2F2" w:themeFill="background1" w:themeFillShade="F2"/>
          </w:tcPr>
          <w:p w14:paraId="4D46AB45"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1087</w:t>
            </w:r>
          </w:p>
        </w:tc>
        <w:tc>
          <w:tcPr>
            <w:tcW w:w="2410" w:type="dxa"/>
            <w:shd w:val="clear" w:color="auto" w:fill="F2F2F2" w:themeFill="background1" w:themeFillShade="F2"/>
          </w:tcPr>
          <w:p w14:paraId="2B255D52"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1087</w:t>
            </w:r>
          </w:p>
        </w:tc>
      </w:tr>
      <w:tr w:rsidR="00F96BD2" w:rsidRPr="00873108" w14:paraId="266EB18D" w14:textId="77777777" w:rsidTr="00AC0A3C">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03729C76" w14:textId="77777777" w:rsidR="00F96BD2" w:rsidRPr="00142091" w:rsidRDefault="00F96BD2" w:rsidP="00F96BD2">
            <w:pPr>
              <w:spacing w:before="20" w:after="20"/>
              <w:rPr>
                <w:rFonts w:cs="Calibri Light"/>
                <w:b w:val="0"/>
                <w:szCs w:val="22"/>
              </w:rPr>
            </w:pPr>
            <w:r w:rsidRPr="00142091">
              <w:rPr>
                <w:rFonts w:cs="Calibri Light"/>
                <w:b w:val="0"/>
                <w:szCs w:val="22"/>
              </w:rPr>
              <w:t>New tax returns lodged</w:t>
            </w:r>
          </w:p>
        </w:tc>
        <w:tc>
          <w:tcPr>
            <w:tcW w:w="1417" w:type="dxa"/>
            <w:shd w:val="clear" w:color="auto" w:fill="F2F2F2" w:themeFill="background1" w:themeFillShade="F2"/>
          </w:tcPr>
          <w:p w14:paraId="5EE91F6D"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szCs w:val="22"/>
              </w:rPr>
            </w:pPr>
            <w:r w:rsidRPr="00DB1A34">
              <w:rPr>
                <w:rFonts w:cs="Calibri Light"/>
                <w:szCs w:val="22"/>
              </w:rPr>
              <w:t>Mean (SD)</w:t>
            </w:r>
          </w:p>
        </w:tc>
        <w:tc>
          <w:tcPr>
            <w:tcW w:w="2268" w:type="dxa"/>
            <w:shd w:val="clear" w:color="auto" w:fill="F2F2F2" w:themeFill="background1" w:themeFillShade="F2"/>
          </w:tcPr>
          <w:p w14:paraId="30677A28"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szCs w:val="22"/>
              </w:rPr>
            </w:pPr>
            <w:r w:rsidRPr="00DB1A34">
              <w:rPr>
                <w:rFonts w:cs="Calibri Light"/>
                <w:szCs w:val="22"/>
              </w:rPr>
              <w:t>260 (263)</w:t>
            </w:r>
          </w:p>
        </w:tc>
        <w:tc>
          <w:tcPr>
            <w:tcW w:w="2410" w:type="dxa"/>
            <w:shd w:val="clear" w:color="auto" w:fill="F2F2F2" w:themeFill="background1" w:themeFillShade="F2"/>
          </w:tcPr>
          <w:p w14:paraId="0CC6170B"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szCs w:val="22"/>
              </w:rPr>
            </w:pPr>
            <w:r w:rsidRPr="00DB1A34">
              <w:rPr>
                <w:rFonts w:cs="Calibri Light"/>
                <w:szCs w:val="22"/>
              </w:rPr>
              <w:t>279 (273)</w:t>
            </w:r>
          </w:p>
        </w:tc>
      </w:tr>
      <w:tr w:rsidR="00F96BD2" w:rsidRPr="00873108" w14:paraId="769B6766" w14:textId="77777777" w:rsidTr="00AC0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7F9E3CAB" w14:textId="77777777" w:rsidR="00F96BD2" w:rsidRPr="00142091" w:rsidRDefault="00F96BD2" w:rsidP="00F96BD2">
            <w:pPr>
              <w:spacing w:before="20" w:after="20"/>
              <w:rPr>
                <w:rFonts w:cs="Calibri Light"/>
                <w:b w:val="0"/>
                <w:szCs w:val="22"/>
              </w:rPr>
            </w:pPr>
            <w:r w:rsidRPr="00142091">
              <w:rPr>
                <w:rFonts w:cs="Calibri Light"/>
                <w:b w:val="0"/>
                <w:szCs w:val="22"/>
              </w:rPr>
              <w:t>New tax returns lodged</w:t>
            </w:r>
          </w:p>
        </w:tc>
        <w:tc>
          <w:tcPr>
            <w:tcW w:w="1417" w:type="dxa"/>
            <w:shd w:val="clear" w:color="auto" w:fill="F2F2F2" w:themeFill="background1" w:themeFillShade="F2"/>
          </w:tcPr>
          <w:p w14:paraId="748A7324"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Median</w:t>
            </w:r>
          </w:p>
        </w:tc>
        <w:tc>
          <w:tcPr>
            <w:tcW w:w="2268" w:type="dxa"/>
            <w:shd w:val="clear" w:color="auto" w:fill="F2F2F2" w:themeFill="background1" w:themeFillShade="F2"/>
          </w:tcPr>
          <w:p w14:paraId="7E701234"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180</w:t>
            </w:r>
          </w:p>
        </w:tc>
        <w:tc>
          <w:tcPr>
            <w:tcW w:w="2410" w:type="dxa"/>
            <w:shd w:val="clear" w:color="auto" w:fill="F2F2F2" w:themeFill="background1" w:themeFillShade="F2"/>
          </w:tcPr>
          <w:p w14:paraId="2C7744E9" w14:textId="77777777" w:rsidR="00F96BD2" w:rsidRPr="00DB1A34" w:rsidRDefault="00F96BD2" w:rsidP="00F96BD2">
            <w:pPr>
              <w:spacing w:before="20" w:after="20"/>
              <w:cnfStyle w:val="000000100000" w:firstRow="0" w:lastRow="0" w:firstColumn="0" w:lastColumn="0" w:oddVBand="0" w:evenVBand="0" w:oddHBand="1" w:evenHBand="0" w:firstRowFirstColumn="0" w:firstRowLastColumn="0" w:lastRowFirstColumn="0" w:lastRowLastColumn="0"/>
              <w:rPr>
                <w:rFonts w:cs="Calibri Light"/>
                <w:szCs w:val="22"/>
              </w:rPr>
            </w:pPr>
            <w:r w:rsidRPr="00DB1A34">
              <w:rPr>
                <w:rFonts w:cs="Calibri Light"/>
                <w:szCs w:val="22"/>
              </w:rPr>
              <w:t>183</w:t>
            </w:r>
          </w:p>
        </w:tc>
      </w:tr>
      <w:tr w:rsidR="00F96BD2" w:rsidRPr="00873108" w14:paraId="4392998A" w14:textId="77777777" w:rsidTr="00AC0A3C">
        <w:tc>
          <w:tcPr>
            <w:cnfStyle w:val="001000000000" w:firstRow="0" w:lastRow="0" w:firstColumn="1" w:lastColumn="0" w:oddVBand="0" w:evenVBand="0" w:oddHBand="0" w:evenHBand="0" w:firstRowFirstColumn="0" w:firstRowLastColumn="0" w:lastRowFirstColumn="0" w:lastRowLastColumn="0"/>
            <w:tcW w:w="2660" w:type="dxa"/>
            <w:shd w:val="clear" w:color="auto" w:fill="F2F2F2" w:themeFill="background1" w:themeFillShade="F2"/>
          </w:tcPr>
          <w:p w14:paraId="42DA9C35" w14:textId="77777777" w:rsidR="00F96BD2" w:rsidRPr="00142091" w:rsidRDefault="00F96BD2" w:rsidP="00F96BD2">
            <w:pPr>
              <w:spacing w:before="20" w:after="20"/>
              <w:rPr>
                <w:rFonts w:cs="Calibri Light"/>
                <w:b w:val="0"/>
              </w:rPr>
            </w:pPr>
            <w:r w:rsidRPr="00142091">
              <w:rPr>
                <w:rFonts w:cs="Calibri Light"/>
                <w:b w:val="0"/>
                <w:szCs w:val="22"/>
              </w:rPr>
              <w:t>New tax returns lodged</w:t>
            </w:r>
          </w:p>
        </w:tc>
        <w:tc>
          <w:tcPr>
            <w:tcW w:w="1417" w:type="dxa"/>
            <w:shd w:val="clear" w:color="auto" w:fill="F2F2F2" w:themeFill="background1" w:themeFillShade="F2"/>
          </w:tcPr>
          <w:p w14:paraId="57A76350"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DB1A34">
              <w:rPr>
                <w:rFonts w:cs="Calibri Light"/>
              </w:rPr>
              <w:t>Total</w:t>
            </w:r>
          </w:p>
        </w:tc>
        <w:tc>
          <w:tcPr>
            <w:tcW w:w="2268" w:type="dxa"/>
            <w:shd w:val="clear" w:color="auto" w:fill="F2F2F2" w:themeFill="background1" w:themeFillShade="F2"/>
          </w:tcPr>
          <w:p w14:paraId="4B99C788"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DB1A34">
              <w:rPr>
                <w:rFonts w:cs="Calibri Light"/>
              </w:rPr>
              <w:t>107,427</w:t>
            </w:r>
          </w:p>
        </w:tc>
        <w:tc>
          <w:tcPr>
            <w:tcW w:w="2410" w:type="dxa"/>
            <w:shd w:val="clear" w:color="auto" w:fill="F2F2F2" w:themeFill="background1" w:themeFillShade="F2"/>
          </w:tcPr>
          <w:p w14:paraId="65889395" w14:textId="77777777" w:rsidR="00F96BD2" w:rsidRPr="00DB1A34" w:rsidRDefault="00F96BD2" w:rsidP="00F96BD2">
            <w:pPr>
              <w:spacing w:before="20" w:after="20"/>
              <w:cnfStyle w:val="000000000000" w:firstRow="0" w:lastRow="0" w:firstColumn="0" w:lastColumn="0" w:oddVBand="0" w:evenVBand="0" w:oddHBand="0" w:evenHBand="0" w:firstRowFirstColumn="0" w:firstRowLastColumn="0" w:lastRowFirstColumn="0" w:lastRowLastColumn="0"/>
              <w:rPr>
                <w:rFonts w:cs="Calibri Light"/>
              </w:rPr>
            </w:pPr>
            <w:r w:rsidRPr="00DB1A34">
              <w:rPr>
                <w:rFonts w:cs="Calibri Light"/>
              </w:rPr>
              <w:t>113,867</w:t>
            </w:r>
          </w:p>
        </w:tc>
      </w:tr>
    </w:tbl>
    <w:p w14:paraId="6A1917E0" w14:textId="77777777" w:rsidR="00F96BD2" w:rsidRDefault="00F96BD2">
      <w:pPr>
        <w:spacing w:before="0" w:after="0" w:line="240" w:lineRule="auto"/>
        <w:rPr>
          <w:b/>
        </w:rPr>
      </w:pPr>
    </w:p>
    <w:p w14:paraId="5FB5D6EC" w14:textId="77777777" w:rsidR="00F96BD2" w:rsidRDefault="00F96BD2">
      <w:pPr>
        <w:spacing w:before="0" w:after="0" w:line="240" w:lineRule="auto"/>
        <w:rPr>
          <w:b/>
        </w:rPr>
      </w:pPr>
    </w:p>
    <w:p w14:paraId="5E0300D0" w14:textId="77777777" w:rsidR="00F96BD2" w:rsidRDefault="00F96BD2" w:rsidP="00085623">
      <w:pPr>
        <w:spacing w:before="0" w:after="0" w:line="240" w:lineRule="auto"/>
        <w:outlineLvl w:val="2"/>
        <w:rPr>
          <w:b/>
        </w:rPr>
      </w:pPr>
      <w:r>
        <w:rPr>
          <w:b/>
        </w:rPr>
        <w:t>Table 3.7 – Poisson regression results for new returns (number of agents = 2,174)</w:t>
      </w:r>
    </w:p>
    <w:p w14:paraId="344306AD" w14:textId="77777777" w:rsidR="00522958" w:rsidRDefault="00522958">
      <w:pPr>
        <w:spacing w:before="0" w:after="0" w:line="240" w:lineRule="auto"/>
        <w:rPr>
          <w:b/>
        </w:rPr>
      </w:pPr>
    </w:p>
    <w:tbl>
      <w:tblPr>
        <w:tblStyle w:val="TableGrid"/>
        <w:tblW w:w="8756" w:type="dxa"/>
        <w:tblBorders>
          <w:left w:val="none" w:sz="0" w:space="0" w:color="auto"/>
          <w:right w:val="none" w:sz="0" w:space="0" w:color="auto"/>
          <w:insideV w:val="none" w:sz="0" w:space="0" w:color="auto"/>
        </w:tblBorders>
        <w:tblLayout w:type="fixed"/>
        <w:tblLook w:val="04A0" w:firstRow="1" w:lastRow="0" w:firstColumn="1" w:lastColumn="0" w:noHBand="0" w:noVBand="1"/>
        <w:tblCaption w:val="Poisson regression results for new returns"/>
        <w:tblDescription w:val="Table showing Incidence rate ratio, standard error and p-value in treatment group and control group."/>
      </w:tblPr>
      <w:tblGrid>
        <w:gridCol w:w="2093"/>
        <w:gridCol w:w="2693"/>
        <w:gridCol w:w="1985"/>
        <w:gridCol w:w="1985"/>
      </w:tblGrid>
      <w:tr w:rsidR="00F96BD2" w:rsidRPr="000C773E" w14:paraId="192C0AC6" w14:textId="77777777" w:rsidTr="00DA7796">
        <w:trPr>
          <w:tblHeader/>
        </w:trPr>
        <w:tc>
          <w:tcPr>
            <w:tcW w:w="2093" w:type="dxa"/>
            <w:shd w:val="clear" w:color="auto" w:fill="142E3B" w:themeFill="accent6"/>
            <w:vAlign w:val="center"/>
          </w:tcPr>
          <w:p w14:paraId="0A63EFE5" w14:textId="77777777" w:rsidR="00F96BD2" w:rsidRPr="00EA200D" w:rsidRDefault="00F96BD2" w:rsidP="00EA200D">
            <w:pPr>
              <w:pStyle w:val="TableHeading"/>
              <w:rPr>
                <w:b/>
              </w:rPr>
            </w:pPr>
          </w:p>
        </w:tc>
        <w:tc>
          <w:tcPr>
            <w:tcW w:w="2693" w:type="dxa"/>
            <w:shd w:val="clear" w:color="auto" w:fill="142E3B" w:themeFill="accent6"/>
            <w:vAlign w:val="center"/>
          </w:tcPr>
          <w:p w14:paraId="36F6DDE3" w14:textId="77777777" w:rsidR="00F96BD2" w:rsidRPr="00EA200D" w:rsidRDefault="00F96BD2" w:rsidP="00EA200D">
            <w:pPr>
              <w:pStyle w:val="TableHeading"/>
              <w:rPr>
                <w:b/>
              </w:rPr>
            </w:pPr>
            <w:r w:rsidRPr="00EA200D">
              <w:rPr>
                <w:b/>
              </w:rPr>
              <w:t>Incidence rate ratio (IRR)</w:t>
            </w:r>
          </w:p>
        </w:tc>
        <w:tc>
          <w:tcPr>
            <w:tcW w:w="1985" w:type="dxa"/>
            <w:shd w:val="clear" w:color="auto" w:fill="142E3B" w:themeFill="accent6"/>
            <w:vAlign w:val="center"/>
          </w:tcPr>
          <w:p w14:paraId="37AB220F" w14:textId="77777777" w:rsidR="00F96BD2" w:rsidRPr="00EA200D" w:rsidRDefault="00F96BD2" w:rsidP="00EA200D">
            <w:pPr>
              <w:pStyle w:val="TableHeading"/>
              <w:rPr>
                <w:b/>
              </w:rPr>
            </w:pPr>
            <w:r w:rsidRPr="00EA200D">
              <w:rPr>
                <w:b/>
              </w:rPr>
              <w:t>Standard Error</w:t>
            </w:r>
          </w:p>
        </w:tc>
        <w:tc>
          <w:tcPr>
            <w:tcW w:w="1985" w:type="dxa"/>
            <w:shd w:val="clear" w:color="auto" w:fill="142E3B" w:themeFill="accent6"/>
            <w:vAlign w:val="center"/>
          </w:tcPr>
          <w:p w14:paraId="3B467610" w14:textId="77777777" w:rsidR="00F96BD2" w:rsidRPr="00EA200D" w:rsidRDefault="00F96BD2" w:rsidP="00EA200D">
            <w:pPr>
              <w:pStyle w:val="TableHeading"/>
              <w:rPr>
                <w:b/>
              </w:rPr>
            </w:pPr>
            <w:r w:rsidRPr="00EA200D">
              <w:rPr>
                <w:b/>
              </w:rPr>
              <w:t>p-value</w:t>
            </w:r>
          </w:p>
        </w:tc>
      </w:tr>
      <w:tr w:rsidR="00F96BD2" w:rsidRPr="000C773E" w14:paraId="5AD23BA6" w14:textId="77777777" w:rsidTr="00522958">
        <w:trPr>
          <w:trHeight w:val="20"/>
        </w:trPr>
        <w:tc>
          <w:tcPr>
            <w:tcW w:w="2093" w:type="dxa"/>
            <w:shd w:val="clear" w:color="auto" w:fill="F2F2F2" w:themeFill="background1" w:themeFillShade="F2"/>
            <w:vAlign w:val="center"/>
          </w:tcPr>
          <w:p w14:paraId="49A601EE" w14:textId="77777777" w:rsidR="00F96BD2" w:rsidRPr="000C773E" w:rsidRDefault="00F96BD2" w:rsidP="00F96BD2">
            <w:pPr>
              <w:spacing w:before="20" w:after="20"/>
              <w:rPr>
                <w:rFonts w:cs="Calibri Light"/>
              </w:rPr>
            </w:pPr>
            <w:r w:rsidRPr="000C773E">
              <w:rPr>
                <w:rFonts w:cs="Calibri Light"/>
              </w:rPr>
              <w:t>Control</w:t>
            </w:r>
          </w:p>
        </w:tc>
        <w:tc>
          <w:tcPr>
            <w:tcW w:w="2693" w:type="dxa"/>
            <w:shd w:val="clear" w:color="auto" w:fill="F2F2F2" w:themeFill="background1" w:themeFillShade="F2"/>
            <w:vAlign w:val="center"/>
          </w:tcPr>
          <w:p w14:paraId="00A4E38D" w14:textId="77777777" w:rsidR="00F96BD2" w:rsidRPr="000C773E" w:rsidRDefault="00F96BD2" w:rsidP="00F96BD2">
            <w:pPr>
              <w:tabs>
                <w:tab w:val="left" w:pos="908"/>
              </w:tabs>
              <w:spacing w:before="20" w:after="20"/>
              <w:rPr>
                <w:rFonts w:cs="Calibri Light"/>
                <w:color w:val="000000"/>
              </w:rPr>
            </w:pPr>
            <w:r w:rsidRPr="000C773E">
              <w:rPr>
                <w:rFonts w:cs="Calibri Light"/>
                <w:color w:val="000000"/>
              </w:rPr>
              <w:t>1.1</w:t>
            </w:r>
          </w:p>
        </w:tc>
        <w:tc>
          <w:tcPr>
            <w:tcW w:w="1985" w:type="dxa"/>
            <w:shd w:val="clear" w:color="auto" w:fill="F2F2F2" w:themeFill="background1" w:themeFillShade="F2"/>
            <w:vAlign w:val="center"/>
          </w:tcPr>
          <w:p w14:paraId="50BA54C4" w14:textId="77777777" w:rsidR="00F96BD2" w:rsidRPr="000C773E" w:rsidRDefault="00F96BD2" w:rsidP="00F96BD2">
            <w:pPr>
              <w:spacing w:before="20" w:after="20"/>
              <w:rPr>
                <w:rFonts w:cs="Calibri Light"/>
              </w:rPr>
            </w:pPr>
            <w:r w:rsidRPr="000C773E">
              <w:rPr>
                <w:rFonts w:cs="Calibri Light"/>
              </w:rPr>
              <w:t>0.005</w:t>
            </w:r>
          </w:p>
        </w:tc>
        <w:tc>
          <w:tcPr>
            <w:tcW w:w="1985" w:type="dxa"/>
            <w:shd w:val="clear" w:color="auto" w:fill="F2F2F2" w:themeFill="background1" w:themeFillShade="F2"/>
            <w:vAlign w:val="center"/>
          </w:tcPr>
          <w:p w14:paraId="1752B40E" w14:textId="77777777" w:rsidR="00F96BD2" w:rsidRPr="000C773E" w:rsidRDefault="00F96BD2" w:rsidP="00F96BD2">
            <w:pPr>
              <w:spacing w:before="20" w:after="20"/>
              <w:rPr>
                <w:rFonts w:cs="Calibri Light"/>
              </w:rPr>
            </w:pPr>
            <w:r w:rsidRPr="000C773E">
              <w:rPr>
                <w:rFonts w:cs="Calibri Light"/>
              </w:rPr>
              <w:t>&lt; 0.001</w:t>
            </w:r>
          </w:p>
        </w:tc>
      </w:tr>
      <w:tr w:rsidR="00F96BD2" w:rsidRPr="000C773E" w14:paraId="3A9B5879" w14:textId="77777777" w:rsidTr="00522958">
        <w:trPr>
          <w:trHeight w:val="20"/>
        </w:trPr>
        <w:tc>
          <w:tcPr>
            <w:tcW w:w="2093" w:type="dxa"/>
            <w:shd w:val="clear" w:color="auto" w:fill="F2F2F2" w:themeFill="background1" w:themeFillShade="F2"/>
            <w:vAlign w:val="center"/>
          </w:tcPr>
          <w:p w14:paraId="4E4742D8" w14:textId="77777777" w:rsidR="00F96BD2" w:rsidRPr="000C773E" w:rsidRDefault="00F96BD2" w:rsidP="00F96BD2">
            <w:pPr>
              <w:spacing w:before="20" w:after="20"/>
              <w:rPr>
                <w:rFonts w:cs="Calibri Light"/>
              </w:rPr>
            </w:pPr>
            <w:r w:rsidRPr="000C773E">
              <w:rPr>
                <w:rFonts w:cs="Calibri Light"/>
              </w:rPr>
              <w:t>Treatment</w:t>
            </w:r>
          </w:p>
        </w:tc>
        <w:tc>
          <w:tcPr>
            <w:tcW w:w="2693" w:type="dxa"/>
            <w:shd w:val="clear" w:color="auto" w:fill="F2F2F2" w:themeFill="background1" w:themeFillShade="F2"/>
            <w:vAlign w:val="center"/>
          </w:tcPr>
          <w:p w14:paraId="1EDC35C2" w14:textId="77777777" w:rsidR="00F96BD2" w:rsidRPr="000C773E" w:rsidRDefault="00F96BD2" w:rsidP="00F96BD2">
            <w:pPr>
              <w:spacing w:before="20" w:after="20"/>
              <w:rPr>
                <w:rFonts w:cs="Calibri Light"/>
                <w:color w:val="000000"/>
              </w:rPr>
            </w:pPr>
            <w:r w:rsidRPr="000C773E">
              <w:rPr>
                <w:rFonts w:cs="Calibri Light"/>
                <w:color w:val="000000"/>
              </w:rPr>
              <w:t>Reference group</w:t>
            </w:r>
          </w:p>
        </w:tc>
        <w:tc>
          <w:tcPr>
            <w:tcW w:w="1985" w:type="dxa"/>
            <w:shd w:val="clear" w:color="auto" w:fill="F2F2F2" w:themeFill="background1" w:themeFillShade="F2"/>
            <w:vAlign w:val="center"/>
          </w:tcPr>
          <w:p w14:paraId="01070C6D" w14:textId="77777777" w:rsidR="00F96BD2" w:rsidRPr="000C773E" w:rsidRDefault="00F96BD2" w:rsidP="00F96BD2">
            <w:pPr>
              <w:spacing w:before="20" w:after="20"/>
              <w:rPr>
                <w:rFonts w:cs="Calibri Light"/>
                <w:color w:val="000000"/>
              </w:rPr>
            </w:pPr>
          </w:p>
        </w:tc>
        <w:tc>
          <w:tcPr>
            <w:tcW w:w="1985" w:type="dxa"/>
            <w:shd w:val="clear" w:color="auto" w:fill="F2F2F2" w:themeFill="background1" w:themeFillShade="F2"/>
            <w:vAlign w:val="center"/>
          </w:tcPr>
          <w:p w14:paraId="067466E0" w14:textId="77777777" w:rsidR="00F96BD2" w:rsidRPr="000C773E" w:rsidRDefault="00F96BD2" w:rsidP="00F96BD2">
            <w:pPr>
              <w:spacing w:before="20" w:after="20"/>
              <w:rPr>
                <w:rFonts w:cs="Calibri Light"/>
                <w:color w:val="000000"/>
              </w:rPr>
            </w:pPr>
          </w:p>
        </w:tc>
      </w:tr>
    </w:tbl>
    <w:p w14:paraId="749DE8A9" w14:textId="5E7141AD" w:rsidR="00F96BD2" w:rsidRDefault="00F96BD2" w:rsidP="00F96BD2">
      <w:pPr>
        <w:spacing w:before="20" w:after="20"/>
        <w:rPr>
          <w:rFonts w:cs="Calibri Light"/>
        </w:rPr>
      </w:pPr>
      <w:r w:rsidRPr="000C773E">
        <w:rPr>
          <w:rFonts w:cs="Calibri Light"/>
        </w:rPr>
        <w:t xml:space="preserve">Note: Adjusted for agent segment, agent state, agent number of clients, agent’s average WRE claims (2013, 2014, 2015, </w:t>
      </w:r>
      <w:r>
        <w:rPr>
          <w:rFonts w:cs="Calibri Light"/>
        </w:rPr>
        <w:t>2016 to February</w:t>
      </w:r>
      <w:r w:rsidR="00395807">
        <w:rPr>
          <w:rFonts w:cs="Calibri Light"/>
        </w:rPr>
        <w:t xml:space="preserve"> 2017</w:t>
      </w:r>
      <w:r w:rsidRPr="000C773E">
        <w:rPr>
          <w:rFonts w:cs="Calibri Light"/>
        </w:rPr>
        <w:t>), agent’s average clients’ income 2015, agent’s number of lodgements and state. Dummy variables for</w:t>
      </w:r>
      <w:r>
        <w:rPr>
          <w:rFonts w:cs="Calibri Light"/>
        </w:rPr>
        <w:t xml:space="preserve"> pairs were included. We also ra</w:t>
      </w:r>
      <w:r w:rsidRPr="000C773E">
        <w:rPr>
          <w:rFonts w:cs="Calibri Light"/>
        </w:rPr>
        <w:t>n this as a linear regression and found similar results.</w:t>
      </w:r>
    </w:p>
    <w:p w14:paraId="68F3A004" w14:textId="77777777" w:rsidR="008A7D2D" w:rsidRDefault="008A7D2D">
      <w:pPr>
        <w:spacing w:before="0" w:after="0" w:line="240" w:lineRule="auto"/>
        <w:rPr>
          <w:b/>
        </w:rPr>
      </w:pPr>
      <w:r>
        <w:rPr>
          <w:b/>
        </w:rPr>
        <w:br w:type="page"/>
      </w:r>
    </w:p>
    <w:p w14:paraId="1560D44C" w14:textId="77777777" w:rsidR="00F96BD2" w:rsidRDefault="00F96BD2" w:rsidP="00085623">
      <w:pPr>
        <w:spacing w:before="0" w:after="0" w:line="240" w:lineRule="auto"/>
        <w:outlineLvl w:val="2"/>
        <w:rPr>
          <w:b/>
        </w:rPr>
      </w:pPr>
      <w:r>
        <w:rPr>
          <w:b/>
        </w:rPr>
        <w:t>Table 3.8 – Regression results for new returns – impact on new returns – main results</w:t>
      </w:r>
    </w:p>
    <w:p w14:paraId="3EBD1D55" w14:textId="77777777" w:rsidR="008A7D2D" w:rsidRDefault="008A7D2D">
      <w:pPr>
        <w:spacing w:before="0" w:after="0" w:line="240" w:lineRule="auto"/>
        <w:rPr>
          <w:b/>
        </w:rPr>
      </w:pPr>
    </w:p>
    <w:tbl>
      <w:tblPr>
        <w:tblStyle w:val="TableGrid"/>
        <w:tblW w:w="10424"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Caption w:val="Regression results for new returns - impact on new returns - main results"/>
        <w:tblDescription w:val="Table showing deductions and tax paid at individual level and agent level."/>
      </w:tblPr>
      <w:tblGrid>
        <w:gridCol w:w="2407"/>
        <w:gridCol w:w="143"/>
        <w:gridCol w:w="1146"/>
        <w:gridCol w:w="144"/>
        <w:gridCol w:w="1083"/>
        <w:gridCol w:w="33"/>
        <w:gridCol w:w="1279"/>
        <w:gridCol w:w="1438"/>
        <w:gridCol w:w="33"/>
        <w:gridCol w:w="1244"/>
        <w:gridCol w:w="33"/>
        <w:gridCol w:w="1304"/>
        <w:gridCol w:w="62"/>
        <w:gridCol w:w="75"/>
      </w:tblGrid>
      <w:tr w:rsidR="008A7D2D" w:rsidRPr="000C773E" w14:paraId="29C28E2E" w14:textId="77777777" w:rsidTr="00EA200D">
        <w:trPr>
          <w:gridAfter w:val="2"/>
          <w:wAfter w:w="137" w:type="dxa"/>
          <w:tblHeader/>
        </w:trPr>
        <w:tc>
          <w:tcPr>
            <w:tcW w:w="2408" w:type="dxa"/>
            <w:tcBorders>
              <w:bottom w:val="single" w:sz="4" w:space="0" w:color="auto"/>
            </w:tcBorders>
            <w:shd w:val="clear" w:color="auto" w:fill="142E3B" w:themeFill="accent6"/>
            <w:vAlign w:val="center"/>
          </w:tcPr>
          <w:p w14:paraId="781B28C8" w14:textId="77777777" w:rsidR="008A7D2D" w:rsidRPr="00EA200D" w:rsidRDefault="008A7D2D" w:rsidP="00EA200D">
            <w:pPr>
              <w:pStyle w:val="TableHeading"/>
              <w:rPr>
                <w:b/>
              </w:rPr>
            </w:pPr>
          </w:p>
        </w:tc>
        <w:tc>
          <w:tcPr>
            <w:tcW w:w="1290" w:type="dxa"/>
            <w:gridSpan w:val="2"/>
            <w:tcBorders>
              <w:bottom w:val="single" w:sz="4" w:space="0" w:color="auto"/>
            </w:tcBorders>
            <w:shd w:val="clear" w:color="auto" w:fill="142E3B" w:themeFill="accent6"/>
            <w:vAlign w:val="center"/>
          </w:tcPr>
          <w:p w14:paraId="44F877DE" w14:textId="77777777" w:rsidR="008A7D2D" w:rsidRPr="00EA200D" w:rsidRDefault="008A7D2D" w:rsidP="00EA200D">
            <w:pPr>
              <w:pStyle w:val="TableHeading"/>
              <w:rPr>
                <w:b/>
              </w:rPr>
            </w:pPr>
            <w:r w:rsidRPr="00EA200D">
              <w:rPr>
                <w:b/>
              </w:rPr>
              <w:t xml:space="preserve">Average $ per </w:t>
            </w:r>
            <w:r w:rsidRPr="00EA200D">
              <w:rPr>
                <w:b/>
                <w:i/>
              </w:rPr>
              <w:t>individual</w:t>
            </w:r>
            <w:r w:rsidRPr="00EA200D">
              <w:rPr>
                <w:b/>
              </w:rPr>
              <w:t xml:space="preserve"> in the letter group (compared control)</w:t>
            </w:r>
            <w:r w:rsidRPr="00EA200D">
              <w:rPr>
                <w:b/>
              </w:rPr>
              <w:br/>
            </w:r>
          </w:p>
        </w:tc>
        <w:tc>
          <w:tcPr>
            <w:tcW w:w="1260" w:type="dxa"/>
            <w:gridSpan w:val="3"/>
            <w:tcBorders>
              <w:bottom w:val="single" w:sz="4" w:space="0" w:color="auto"/>
            </w:tcBorders>
            <w:shd w:val="clear" w:color="auto" w:fill="142E3B" w:themeFill="accent6"/>
            <w:vAlign w:val="center"/>
          </w:tcPr>
          <w:p w14:paraId="0B1B5931" w14:textId="77777777" w:rsidR="008A7D2D" w:rsidRPr="00EA200D" w:rsidRDefault="008A7D2D" w:rsidP="00EA200D">
            <w:pPr>
              <w:pStyle w:val="TableHeading"/>
              <w:rPr>
                <w:b/>
              </w:rPr>
            </w:pPr>
            <w:r w:rsidRPr="00EA200D">
              <w:rPr>
                <w:b/>
              </w:rPr>
              <w:t>Standard Error</w:t>
            </w:r>
          </w:p>
        </w:tc>
        <w:tc>
          <w:tcPr>
            <w:tcW w:w="1279" w:type="dxa"/>
            <w:tcBorders>
              <w:bottom w:val="single" w:sz="4" w:space="0" w:color="auto"/>
            </w:tcBorders>
            <w:shd w:val="clear" w:color="auto" w:fill="142E3B" w:themeFill="accent6"/>
            <w:vAlign w:val="center"/>
          </w:tcPr>
          <w:p w14:paraId="3339629A" w14:textId="77777777" w:rsidR="008A7D2D" w:rsidRPr="00EA200D" w:rsidRDefault="008A7D2D" w:rsidP="00EA200D">
            <w:pPr>
              <w:pStyle w:val="TableHeading"/>
              <w:rPr>
                <w:b/>
              </w:rPr>
            </w:pPr>
            <w:r w:rsidRPr="00EA200D">
              <w:rPr>
                <w:b/>
              </w:rPr>
              <w:t>p-value- difference between control and treatment</w:t>
            </w:r>
          </w:p>
        </w:tc>
        <w:tc>
          <w:tcPr>
            <w:tcW w:w="1438" w:type="dxa"/>
            <w:tcBorders>
              <w:bottom w:val="single" w:sz="4" w:space="0" w:color="auto"/>
            </w:tcBorders>
            <w:shd w:val="clear" w:color="auto" w:fill="142E3B" w:themeFill="accent6"/>
            <w:vAlign w:val="center"/>
          </w:tcPr>
          <w:p w14:paraId="3B887175" w14:textId="77777777" w:rsidR="008A7D2D" w:rsidRPr="00EA200D" w:rsidRDefault="008A7D2D" w:rsidP="00EA200D">
            <w:pPr>
              <w:pStyle w:val="TableHeading"/>
              <w:rPr>
                <w:b/>
              </w:rPr>
            </w:pPr>
            <w:r w:rsidRPr="00EA200D">
              <w:rPr>
                <w:b/>
              </w:rPr>
              <w:t xml:space="preserve">Average $ per </w:t>
            </w:r>
            <w:r w:rsidRPr="00EA200D">
              <w:rPr>
                <w:b/>
                <w:i/>
              </w:rPr>
              <w:t>agent</w:t>
            </w:r>
            <w:r w:rsidRPr="00EA200D">
              <w:rPr>
                <w:b/>
              </w:rPr>
              <w:t xml:space="preserve"> in the letter group (compared to control)</w:t>
            </w:r>
            <w:r w:rsidRPr="00EA200D">
              <w:rPr>
                <w:b/>
              </w:rPr>
              <w:br/>
            </w:r>
          </w:p>
        </w:tc>
        <w:tc>
          <w:tcPr>
            <w:tcW w:w="1277" w:type="dxa"/>
            <w:gridSpan w:val="2"/>
            <w:tcBorders>
              <w:bottom w:val="single" w:sz="4" w:space="0" w:color="auto"/>
            </w:tcBorders>
            <w:shd w:val="clear" w:color="auto" w:fill="142E3B" w:themeFill="accent6"/>
            <w:vAlign w:val="center"/>
          </w:tcPr>
          <w:p w14:paraId="7C75623A" w14:textId="77777777" w:rsidR="008A7D2D" w:rsidRPr="00EA200D" w:rsidRDefault="008A7D2D" w:rsidP="00EA200D">
            <w:pPr>
              <w:pStyle w:val="TableHeading"/>
              <w:rPr>
                <w:b/>
              </w:rPr>
            </w:pPr>
            <w:r w:rsidRPr="00EA200D">
              <w:rPr>
                <w:b/>
              </w:rPr>
              <w:t>Standard Error</w:t>
            </w:r>
          </w:p>
        </w:tc>
        <w:tc>
          <w:tcPr>
            <w:tcW w:w="1335" w:type="dxa"/>
            <w:gridSpan w:val="2"/>
            <w:tcBorders>
              <w:bottom w:val="single" w:sz="4" w:space="0" w:color="auto"/>
            </w:tcBorders>
            <w:shd w:val="clear" w:color="auto" w:fill="142E3B" w:themeFill="accent6"/>
            <w:vAlign w:val="center"/>
          </w:tcPr>
          <w:p w14:paraId="3E464B46" w14:textId="77777777" w:rsidR="008A7D2D" w:rsidRPr="00EA200D" w:rsidRDefault="008A7D2D" w:rsidP="00EA200D">
            <w:pPr>
              <w:pStyle w:val="TableHeading"/>
              <w:rPr>
                <w:b/>
              </w:rPr>
            </w:pPr>
            <w:r w:rsidRPr="00EA200D">
              <w:rPr>
                <w:b/>
              </w:rPr>
              <w:t>p-value- difference between control and treatment</w:t>
            </w:r>
          </w:p>
        </w:tc>
      </w:tr>
      <w:tr w:rsidR="008A7D2D" w:rsidRPr="000C773E" w14:paraId="19EBE42E" w14:textId="77777777" w:rsidTr="00EA200D">
        <w:trPr>
          <w:trHeight w:val="20"/>
        </w:trPr>
        <w:tc>
          <w:tcPr>
            <w:tcW w:w="2552" w:type="dxa"/>
            <w:gridSpan w:val="2"/>
            <w:tcBorders>
              <w:top w:val="single" w:sz="4" w:space="0" w:color="auto"/>
              <w:bottom w:val="single" w:sz="4" w:space="0" w:color="auto"/>
              <w:right w:val="nil"/>
            </w:tcBorders>
            <w:shd w:val="clear" w:color="auto" w:fill="20B9A3" w:themeFill="background2"/>
            <w:vAlign w:val="center"/>
          </w:tcPr>
          <w:p w14:paraId="27D534B5" w14:textId="77777777" w:rsidR="008A7D2D" w:rsidRPr="008A7D2D" w:rsidRDefault="008A7D2D" w:rsidP="009A4872">
            <w:pPr>
              <w:spacing w:before="20" w:after="20"/>
              <w:rPr>
                <w:rFonts w:cs="Calibri Light"/>
                <w:color w:val="auto"/>
              </w:rPr>
            </w:pPr>
          </w:p>
        </w:tc>
        <w:tc>
          <w:tcPr>
            <w:tcW w:w="3685" w:type="dxa"/>
            <w:gridSpan w:val="5"/>
            <w:tcBorders>
              <w:top w:val="single" w:sz="4" w:space="0" w:color="auto"/>
              <w:left w:val="nil"/>
              <w:bottom w:val="single" w:sz="4" w:space="0" w:color="auto"/>
              <w:right w:val="nil"/>
            </w:tcBorders>
            <w:shd w:val="clear" w:color="auto" w:fill="20B9A3" w:themeFill="background2"/>
            <w:vAlign w:val="bottom"/>
          </w:tcPr>
          <w:p w14:paraId="3953CDDC" w14:textId="77777777" w:rsidR="008A7D2D" w:rsidRPr="008A7D2D" w:rsidRDefault="008A7D2D" w:rsidP="009A4872">
            <w:pPr>
              <w:spacing w:before="20" w:after="20"/>
              <w:jc w:val="center"/>
              <w:rPr>
                <w:rFonts w:cs="Calibri Light"/>
                <w:b/>
                <w:color w:val="auto"/>
              </w:rPr>
            </w:pPr>
            <w:r w:rsidRPr="008A7D2D">
              <w:rPr>
                <w:rFonts w:cs="Calibri Light"/>
                <w:b/>
                <w:color w:val="auto"/>
              </w:rPr>
              <w:t>Individual level (n= 222,194)</w:t>
            </w:r>
          </w:p>
        </w:tc>
        <w:tc>
          <w:tcPr>
            <w:tcW w:w="4187" w:type="dxa"/>
            <w:gridSpan w:val="7"/>
            <w:tcBorders>
              <w:top w:val="single" w:sz="4" w:space="0" w:color="auto"/>
              <w:left w:val="nil"/>
              <w:bottom w:val="single" w:sz="4" w:space="0" w:color="auto"/>
            </w:tcBorders>
            <w:shd w:val="clear" w:color="auto" w:fill="20B9A3" w:themeFill="background2"/>
            <w:vAlign w:val="bottom"/>
          </w:tcPr>
          <w:p w14:paraId="5F0D3D0C" w14:textId="77777777" w:rsidR="008A7D2D" w:rsidRPr="008A7D2D" w:rsidRDefault="008A7D2D" w:rsidP="009A4872">
            <w:pPr>
              <w:spacing w:before="20" w:after="20"/>
              <w:jc w:val="center"/>
              <w:rPr>
                <w:rFonts w:cs="Calibri Light"/>
                <w:b/>
                <w:color w:val="auto"/>
              </w:rPr>
            </w:pPr>
            <w:r w:rsidRPr="008A7D2D">
              <w:rPr>
                <w:rFonts w:cs="Calibri Light"/>
                <w:b/>
                <w:color w:val="auto"/>
              </w:rPr>
              <w:t>Agent level (n=2,174)</w:t>
            </w:r>
          </w:p>
        </w:tc>
      </w:tr>
      <w:tr w:rsidR="008A7D2D" w:rsidRPr="000C773E" w14:paraId="0D818148" w14:textId="77777777" w:rsidTr="00EA200D">
        <w:trPr>
          <w:gridAfter w:val="1"/>
          <w:wAfter w:w="73" w:type="dxa"/>
          <w:trHeight w:val="20"/>
        </w:trPr>
        <w:tc>
          <w:tcPr>
            <w:tcW w:w="2552" w:type="dxa"/>
            <w:gridSpan w:val="2"/>
            <w:tcBorders>
              <w:top w:val="single" w:sz="4" w:space="0" w:color="auto"/>
              <w:bottom w:val="single" w:sz="4" w:space="0" w:color="auto"/>
              <w:right w:val="nil"/>
            </w:tcBorders>
            <w:shd w:val="clear" w:color="auto" w:fill="F2F2F2" w:themeFill="background1" w:themeFillShade="F2"/>
            <w:vAlign w:val="center"/>
          </w:tcPr>
          <w:p w14:paraId="099D84FE" w14:textId="77777777" w:rsidR="008A7D2D" w:rsidRPr="000C773E" w:rsidRDefault="008A7D2D" w:rsidP="009A4872">
            <w:pPr>
              <w:spacing w:before="20" w:after="20"/>
              <w:rPr>
                <w:rFonts w:cs="Calibri Light"/>
              </w:rPr>
            </w:pPr>
            <w:r w:rsidRPr="000C773E">
              <w:rPr>
                <w:rFonts w:cs="Calibri Light"/>
              </w:rPr>
              <w:t xml:space="preserve">WRE deduction </w:t>
            </w:r>
          </w:p>
        </w:tc>
        <w:tc>
          <w:tcPr>
            <w:tcW w:w="1290" w:type="dxa"/>
            <w:gridSpan w:val="2"/>
            <w:tcBorders>
              <w:top w:val="single" w:sz="4" w:space="0" w:color="auto"/>
              <w:left w:val="nil"/>
              <w:bottom w:val="single" w:sz="4" w:space="0" w:color="auto"/>
            </w:tcBorders>
            <w:shd w:val="clear" w:color="auto" w:fill="F2F2F2" w:themeFill="background1" w:themeFillShade="F2"/>
            <w:vAlign w:val="bottom"/>
          </w:tcPr>
          <w:p w14:paraId="7B03B44D" w14:textId="77777777" w:rsidR="008A7D2D" w:rsidRPr="000C773E" w:rsidRDefault="008A7D2D" w:rsidP="009A4872">
            <w:pPr>
              <w:spacing w:before="20" w:after="20"/>
              <w:rPr>
                <w:rFonts w:cs="Calibri Light"/>
              </w:rPr>
            </w:pPr>
            <w:r w:rsidRPr="000C773E">
              <w:rPr>
                <w:rFonts w:cs="Calibri Light"/>
              </w:rPr>
              <w:t>-31.8</w:t>
            </w:r>
          </w:p>
        </w:tc>
        <w:tc>
          <w:tcPr>
            <w:tcW w:w="1083" w:type="dxa"/>
            <w:tcBorders>
              <w:top w:val="single" w:sz="4" w:space="0" w:color="auto"/>
              <w:bottom w:val="single" w:sz="4" w:space="0" w:color="auto"/>
            </w:tcBorders>
            <w:shd w:val="clear" w:color="auto" w:fill="F2F2F2" w:themeFill="background1" w:themeFillShade="F2"/>
            <w:vAlign w:val="bottom"/>
          </w:tcPr>
          <w:p w14:paraId="5828D85F" w14:textId="77777777" w:rsidR="008A7D2D" w:rsidRPr="000C773E" w:rsidRDefault="008A7D2D" w:rsidP="009A4872">
            <w:pPr>
              <w:spacing w:before="20" w:after="20"/>
              <w:rPr>
                <w:rFonts w:cs="Calibri Light"/>
              </w:rPr>
            </w:pPr>
            <w:r w:rsidRPr="000C773E">
              <w:rPr>
                <w:rFonts w:cs="Calibri Light"/>
              </w:rPr>
              <w:t>15.7</w:t>
            </w:r>
          </w:p>
        </w:tc>
        <w:tc>
          <w:tcPr>
            <w:tcW w:w="1312" w:type="dxa"/>
            <w:gridSpan w:val="2"/>
            <w:tcBorders>
              <w:top w:val="single" w:sz="4" w:space="0" w:color="auto"/>
              <w:bottom w:val="single" w:sz="4" w:space="0" w:color="auto"/>
              <w:right w:val="nil"/>
            </w:tcBorders>
            <w:shd w:val="clear" w:color="auto" w:fill="F2F2F2" w:themeFill="background1" w:themeFillShade="F2"/>
            <w:vAlign w:val="bottom"/>
          </w:tcPr>
          <w:p w14:paraId="32018BA8" w14:textId="77777777" w:rsidR="008A7D2D" w:rsidRPr="000C773E" w:rsidRDefault="008A7D2D" w:rsidP="009A4872">
            <w:pPr>
              <w:spacing w:before="20" w:after="20"/>
              <w:rPr>
                <w:rFonts w:cs="Calibri Light"/>
              </w:rPr>
            </w:pPr>
            <w:r w:rsidRPr="000C773E">
              <w:rPr>
                <w:rFonts w:cs="Calibri Light"/>
              </w:rPr>
              <w:t>0.043</w:t>
            </w:r>
          </w:p>
        </w:tc>
        <w:tc>
          <w:tcPr>
            <w:tcW w:w="1471" w:type="dxa"/>
            <w:gridSpan w:val="2"/>
            <w:tcBorders>
              <w:top w:val="single" w:sz="4" w:space="0" w:color="auto"/>
              <w:left w:val="nil"/>
              <w:bottom w:val="single" w:sz="4" w:space="0" w:color="auto"/>
            </w:tcBorders>
            <w:shd w:val="clear" w:color="auto" w:fill="F2F2F2" w:themeFill="background1" w:themeFillShade="F2"/>
            <w:vAlign w:val="bottom"/>
          </w:tcPr>
          <w:p w14:paraId="00576907" w14:textId="77777777" w:rsidR="008A7D2D" w:rsidRPr="000C773E" w:rsidRDefault="008A7D2D" w:rsidP="009A4872">
            <w:pPr>
              <w:spacing w:before="20" w:after="20"/>
              <w:rPr>
                <w:rFonts w:cs="Calibri Light"/>
              </w:rPr>
            </w:pPr>
            <w:r w:rsidRPr="000C773E">
              <w:rPr>
                <w:rFonts w:cs="Calibri Light"/>
              </w:rPr>
              <w:t>-82.6</w:t>
            </w:r>
          </w:p>
        </w:tc>
        <w:tc>
          <w:tcPr>
            <w:tcW w:w="1277" w:type="dxa"/>
            <w:gridSpan w:val="2"/>
            <w:tcBorders>
              <w:top w:val="single" w:sz="4" w:space="0" w:color="auto"/>
              <w:bottom w:val="single" w:sz="4" w:space="0" w:color="auto"/>
            </w:tcBorders>
            <w:shd w:val="clear" w:color="auto" w:fill="F2F2F2" w:themeFill="background1" w:themeFillShade="F2"/>
            <w:vAlign w:val="bottom"/>
          </w:tcPr>
          <w:p w14:paraId="3464DF7A" w14:textId="77777777" w:rsidR="008A7D2D" w:rsidRPr="000C773E" w:rsidRDefault="008A7D2D" w:rsidP="009A4872">
            <w:pPr>
              <w:spacing w:before="20" w:after="20"/>
              <w:rPr>
                <w:rFonts w:cs="Calibri Light"/>
              </w:rPr>
            </w:pPr>
            <w:r w:rsidRPr="000C773E">
              <w:rPr>
                <w:rFonts w:cs="Calibri Light"/>
              </w:rPr>
              <w:t>32.2</w:t>
            </w:r>
          </w:p>
        </w:tc>
        <w:tc>
          <w:tcPr>
            <w:tcW w:w="1366" w:type="dxa"/>
            <w:gridSpan w:val="2"/>
            <w:tcBorders>
              <w:top w:val="single" w:sz="4" w:space="0" w:color="auto"/>
              <w:bottom w:val="single" w:sz="4" w:space="0" w:color="auto"/>
            </w:tcBorders>
            <w:shd w:val="clear" w:color="auto" w:fill="F2F2F2" w:themeFill="background1" w:themeFillShade="F2"/>
            <w:vAlign w:val="bottom"/>
          </w:tcPr>
          <w:p w14:paraId="1CDE0C10" w14:textId="77777777" w:rsidR="008A7D2D" w:rsidRPr="000C773E" w:rsidRDefault="008A7D2D" w:rsidP="009A4872">
            <w:pPr>
              <w:spacing w:before="20" w:after="20"/>
              <w:rPr>
                <w:rFonts w:cs="Calibri Light"/>
              </w:rPr>
            </w:pPr>
            <w:r w:rsidRPr="000C773E">
              <w:rPr>
                <w:rFonts w:cs="Calibri Light"/>
              </w:rPr>
              <w:t>0.011</w:t>
            </w:r>
          </w:p>
        </w:tc>
      </w:tr>
      <w:tr w:rsidR="008A7D2D" w:rsidRPr="000C773E" w14:paraId="2181E7D2" w14:textId="77777777" w:rsidTr="00EA200D">
        <w:trPr>
          <w:gridAfter w:val="1"/>
          <w:wAfter w:w="73" w:type="dxa"/>
          <w:trHeight w:val="20"/>
        </w:trPr>
        <w:tc>
          <w:tcPr>
            <w:tcW w:w="2552" w:type="dxa"/>
            <w:gridSpan w:val="2"/>
            <w:tcBorders>
              <w:top w:val="single" w:sz="4" w:space="0" w:color="auto"/>
              <w:bottom w:val="single" w:sz="4" w:space="0" w:color="auto"/>
              <w:right w:val="nil"/>
            </w:tcBorders>
            <w:shd w:val="clear" w:color="auto" w:fill="F2F2F2" w:themeFill="background1" w:themeFillShade="F2"/>
            <w:vAlign w:val="center"/>
          </w:tcPr>
          <w:p w14:paraId="3C4954DD" w14:textId="77777777" w:rsidR="008A7D2D" w:rsidRPr="000C773E" w:rsidRDefault="008A7D2D" w:rsidP="009A4872">
            <w:pPr>
              <w:spacing w:before="20" w:after="20"/>
              <w:rPr>
                <w:rFonts w:cs="Calibri Light"/>
              </w:rPr>
            </w:pPr>
            <w:r w:rsidRPr="000C773E">
              <w:rPr>
                <w:rFonts w:cs="Calibri Light"/>
              </w:rPr>
              <w:t>Net tax paid</w:t>
            </w:r>
          </w:p>
        </w:tc>
        <w:tc>
          <w:tcPr>
            <w:tcW w:w="1290" w:type="dxa"/>
            <w:gridSpan w:val="2"/>
            <w:tcBorders>
              <w:top w:val="single" w:sz="4" w:space="0" w:color="auto"/>
              <w:left w:val="nil"/>
              <w:bottom w:val="single" w:sz="4" w:space="0" w:color="auto"/>
            </w:tcBorders>
            <w:shd w:val="clear" w:color="auto" w:fill="F2F2F2" w:themeFill="background1" w:themeFillShade="F2"/>
            <w:vAlign w:val="bottom"/>
          </w:tcPr>
          <w:p w14:paraId="6449747B" w14:textId="77777777" w:rsidR="008A7D2D" w:rsidRPr="000C773E" w:rsidRDefault="008A7D2D" w:rsidP="009A4872">
            <w:pPr>
              <w:spacing w:before="20" w:after="20"/>
              <w:rPr>
                <w:rFonts w:cs="Calibri Light"/>
              </w:rPr>
            </w:pPr>
            <w:r w:rsidRPr="000C773E">
              <w:rPr>
                <w:rFonts w:cs="Calibri Light"/>
              </w:rPr>
              <w:t>1998.7</w:t>
            </w:r>
          </w:p>
        </w:tc>
        <w:tc>
          <w:tcPr>
            <w:tcW w:w="1083" w:type="dxa"/>
            <w:tcBorders>
              <w:top w:val="single" w:sz="4" w:space="0" w:color="auto"/>
              <w:bottom w:val="single" w:sz="4" w:space="0" w:color="auto"/>
            </w:tcBorders>
            <w:shd w:val="clear" w:color="auto" w:fill="F2F2F2" w:themeFill="background1" w:themeFillShade="F2"/>
            <w:vAlign w:val="bottom"/>
          </w:tcPr>
          <w:p w14:paraId="7106767C" w14:textId="77777777" w:rsidR="008A7D2D" w:rsidRPr="000C773E" w:rsidRDefault="008A7D2D" w:rsidP="009A4872">
            <w:pPr>
              <w:spacing w:before="20" w:after="20"/>
              <w:rPr>
                <w:rFonts w:cs="Calibri Light"/>
              </w:rPr>
            </w:pPr>
            <w:r w:rsidRPr="000C773E">
              <w:rPr>
                <w:rFonts w:cs="Calibri Light"/>
              </w:rPr>
              <w:t>749.0</w:t>
            </w:r>
          </w:p>
        </w:tc>
        <w:tc>
          <w:tcPr>
            <w:tcW w:w="1312" w:type="dxa"/>
            <w:gridSpan w:val="2"/>
            <w:tcBorders>
              <w:top w:val="single" w:sz="4" w:space="0" w:color="auto"/>
              <w:bottom w:val="single" w:sz="4" w:space="0" w:color="auto"/>
              <w:right w:val="nil"/>
            </w:tcBorders>
            <w:shd w:val="clear" w:color="auto" w:fill="F2F2F2" w:themeFill="background1" w:themeFillShade="F2"/>
            <w:vAlign w:val="bottom"/>
          </w:tcPr>
          <w:p w14:paraId="1FFC7127" w14:textId="77777777" w:rsidR="008A7D2D" w:rsidRPr="000C773E" w:rsidRDefault="008A7D2D" w:rsidP="009A4872">
            <w:pPr>
              <w:spacing w:before="20" w:after="20"/>
              <w:rPr>
                <w:rFonts w:cs="Calibri Light"/>
              </w:rPr>
            </w:pPr>
            <w:r w:rsidRPr="000C773E">
              <w:rPr>
                <w:rFonts w:cs="Calibri Light"/>
              </w:rPr>
              <w:t>0.008</w:t>
            </w:r>
          </w:p>
        </w:tc>
        <w:tc>
          <w:tcPr>
            <w:tcW w:w="1471" w:type="dxa"/>
            <w:gridSpan w:val="2"/>
            <w:tcBorders>
              <w:top w:val="single" w:sz="4" w:space="0" w:color="auto"/>
              <w:left w:val="nil"/>
              <w:bottom w:val="single" w:sz="4" w:space="0" w:color="auto"/>
            </w:tcBorders>
            <w:shd w:val="clear" w:color="auto" w:fill="F2F2F2" w:themeFill="background1" w:themeFillShade="F2"/>
            <w:vAlign w:val="bottom"/>
          </w:tcPr>
          <w:p w14:paraId="328DB39E" w14:textId="77777777" w:rsidR="008A7D2D" w:rsidRPr="000C773E" w:rsidRDefault="008A7D2D" w:rsidP="009A4872">
            <w:pPr>
              <w:spacing w:before="20" w:after="20"/>
              <w:rPr>
                <w:rFonts w:cs="Calibri Light"/>
              </w:rPr>
            </w:pPr>
            <w:r w:rsidRPr="000C773E">
              <w:rPr>
                <w:rFonts w:cs="Calibri Light"/>
              </w:rPr>
              <w:t>-238.8</w:t>
            </w:r>
          </w:p>
        </w:tc>
        <w:tc>
          <w:tcPr>
            <w:tcW w:w="1277" w:type="dxa"/>
            <w:gridSpan w:val="2"/>
            <w:tcBorders>
              <w:top w:val="single" w:sz="4" w:space="0" w:color="auto"/>
              <w:bottom w:val="single" w:sz="4" w:space="0" w:color="auto"/>
            </w:tcBorders>
            <w:shd w:val="clear" w:color="auto" w:fill="F2F2F2" w:themeFill="background1" w:themeFillShade="F2"/>
            <w:vAlign w:val="bottom"/>
          </w:tcPr>
          <w:p w14:paraId="0130950F" w14:textId="77777777" w:rsidR="008A7D2D" w:rsidRPr="000C773E" w:rsidRDefault="008A7D2D" w:rsidP="009A4872">
            <w:pPr>
              <w:spacing w:before="20" w:after="20"/>
              <w:rPr>
                <w:rFonts w:cs="Calibri Light"/>
              </w:rPr>
            </w:pPr>
            <w:r w:rsidRPr="000C773E">
              <w:rPr>
                <w:rFonts w:cs="Calibri Light"/>
              </w:rPr>
              <w:t>672.9</w:t>
            </w:r>
          </w:p>
        </w:tc>
        <w:tc>
          <w:tcPr>
            <w:tcW w:w="1366" w:type="dxa"/>
            <w:gridSpan w:val="2"/>
            <w:tcBorders>
              <w:top w:val="single" w:sz="4" w:space="0" w:color="auto"/>
              <w:bottom w:val="single" w:sz="4" w:space="0" w:color="auto"/>
            </w:tcBorders>
            <w:shd w:val="clear" w:color="auto" w:fill="F2F2F2" w:themeFill="background1" w:themeFillShade="F2"/>
            <w:vAlign w:val="bottom"/>
          </w:tcPr>
          <w:p w14:paraId="3FD32010" w14:textId="77777777" w:rsidR="008A7D2D" w:rsidRPr="000C773E" w:rsidRDefault="008A7D2D" w:rsidP="009A4872">
            <w:pPr>
              <w:spacing w:before="20" w:after="20"/>
              <w:rPr>
                <w:rFonts w:cs="Calibri Light"/>
              </w:rPr>
            </w:pPr>
            <w:r w:rsidRPr="000C773E">
              <w:rPr>
                <w:rFonts w:cs="Calibri Light"/>
              </w:rPr>
              <w:t>0.723</w:t>
            </w:r>
          </w:p>
        </w:tc>
      </w:tr>
      <w:tr w:rsidR="008A7D2D" w:rsidRPr="000C773E" w14:paraId="3CFE1F9D" w14:textId="77777777" w:rsidTr="00EA200D">
        <w:trPr>
          <w:gridAfter w:val="1"/>
          <w:wAfter w:w="73" w:type="dxa"/>
          <w:trHeight w:val="418"/>
        </w:trPr>
        <w:tc>
          <w:tcPr>
            <w:tcW w:w="2552" w:type="dxa"/>
            <w:gridSpan w:val="2"/>
            <w:tcBorders>
              <w:bottom w:val="single" w:sz="4" w:space="0" w:color="auto"/>
              <w:right w:val="nil"/>
            </w:tcBorders>
            <w:shd w:val="clear" w:color="auto" w:fill="F2F2F2" w:themeFill="background1" w:themeFillShade="F2"/>
            <w:vAlign w:val="center"/>
          </w:tcPr>
          <w:p w14:paraId="0FA738B6" w14:textId="77777777" w:rsidR="008A7D2D" w:rsidRPr="000C773E" w:rsidRDefault="008A7D2D" w:rsidP="009A4872">
            <w:pPr>
              <w:spacing w:before="20" w:after="20"/>
              <w:rPr>
                <w:rFonts w:cs="Calibri Light"/>
              </w:rPr>
            </w:pPr>
            <w:r w:rsidRPr="000C773E">
              <w:rPr>
                <w:rFonts w:cs="Calibri Light"/>
              </w:rPr>
              <w:t xml:space="preserve">Other deductions </w:t>
            </w:r>
          </w:p>
        </w:tc>
        <w:tc>
          <w:tcPr>
            <w:tcW w:w="1290" w:type="dxa"/>
            <w:gridSpan w:val="2"/>
            <w:tcBorders>
              <w:left w:val="nil"/>
              <w:bottom w:val="single" w:sz="4" w:space="0" w:color="auto"/>
            </w:tcBorders>
            <w:shd w:val="clear" w:color="auto" w:fill="F2F2F2" w:themeFill="background1" w:themeFillShade="F2"/>
            <w:vAlign w:val="bottom"/>
          </w:tcPr>
          <w:p w14:paraId="1D37544B" w14:textId="77777777" w:rsidR="008A7D2D" w:rsidRPr="000C773E" w:rsidRDefault="008A7D2D" w:rsidP="009A4872">
            <w:pPr>
              <w:spacing w:before="20" w:after="20"/>
              <w:rPr>
                <w:rFonts w:cs="Calibri Light"/>
              </w:rPr>
            </w:pPr>
            <w:r w:rsidRPr="000C773E">
              <w:rPr>
                <w:rFonts w:cs="Calibri Light"/>
              </w:rPr>
              <w:t>398.9</w:t>
            </w:r>
          </w:p>
        </w:tc>
        <w:tc>
          <w:tcPr>
            <w:tcW w:w="1083" w:type="dxa"/>
            <w:tcBorders>
              <w:bottom w:val="single" w:sz="4" w:space="0" w:color="auto"/>
            </w:tcBorders>
            <w:shd w:val="clear" w:color="auto" w:fill="F2F2F2" w:themeFill="background1" w:themeFillShade="F2"/>
            <w:vAlign w:val="bottom"/>
          </w:tcPr>
          <w:p w14:paraId="6EA9813B" w14:textId="77777777" w:rsidR="008A7D2D" w:rsidRPr="000C773E" w:rsidRDefault="008A7D2D" w:rsidP="009A4872">
            <w:pPr>
              <w:spacing w:before="20" w:after="20"/>
              <w:rPr>
                <w:rFonts w:cs="Calibri Light"/>
              </w:rPr>
            </w:pPr>
            <w:r w:rsidRPr="000C773E">
              <w:rPr>
                <w:rFonts w:cs="Calibri Light"/>
              </w:rPr>
              <w:t>115.1</w:t>
            </w:r>
          </w:p>
        </w:tc>
        <w:tc>
          <w:tcPr>
            <w:tcW w:w="1312" w:type="dxa"/>
            <w:gridSpan w:val="2"/>
            <w:tcBorders>
              <w:bottom w:val="single" w:sz="4" w:space="0" w:color="auto"/>
              <w:right w:val="nil"/>
            </w:tcBorders>
            <w:shd w:val="clear" w:color="auto" w:fill="F2F2F2" w:themeFill="background1" w:themeFillShade="F2"/>
            <w:vAlign w:val="bottom"/>
          </w:tcPr>
          <w:p w14:paraId="77CFB947" w14:textId="77777777" w:rsidR="008A7D2D" w:rsidRPr="000C773E" w:rsidRDefault="008A7D2D" w:rsidP="009A4872">
            <w:pPr>
              <w:spacing w:before="20" w:after="20"/>
              <w:rPr>
                <w:rFonts w:cs="Calibri Light"/>
              </w:rPr>
            </w:pPr>
            <w:r w:rsidRPr="000C773E">
              <w:rPr>
                <w:rFonts w:cs="Calibri Light"/>
              </w:rPr>
              <w:t>0.001</w:t>
            </w:r>
          </w:p>
        </w:tc>
        <w:tc>
          <w:tcPr>
            <w:tcW w:w="1471" w:type="dxa"/>
            <w:gridSpan w:val="2"/>
            <w:tcBorders>
              <w:left w:val="nil"/>
              <w:bottom w:val="single" w:sz="4" w:space="0" w:color="auto"/>
            </w:tcBorders>
            <w:shd w:val="clear" w:color="auto" w:fill="F2F2F2" w:themeFill="background1" w:themeFillShade="F2"/>
            <w:vAlign w:val="bottom"/>
          </w:tcPr>
          <w:p w14:paraId="7703DAF1" w14:textId="77777777" w:rsidR="008A7D2D" w:rsidRPr="000C773E" w:rsidRDefault="008A7D2D" w:rsidP="009A4872">
            <w:pPr>
              <w:spacing w:before="20" w:after="20"/>
              <w:rPr>
                <w:rFonts w:cs="Calibri Light"/>
              </w:rPr>
            </w:pPr>
            <w:r w:rsidRPr="000C773E">
              <w:rPr>
                <w:rFonts w:cs="Calibri Light"/>
              </w:rPr>
              <w:t>81.5</w:t>
            </w:r>
          </w:p>
        </w:tc>
        <w:tc>
          <w:tcPr>
            <w:tcW w:w="1277" w:type="dxa"/>
            <w:gridSpan w:val="2"/>
            <w:tcBorders>
              <w:bottom w:val="single" w:sz="4" w:space="0" w:color="auto"/>
            </w:tcBorders>
            <w:shd w:val="clear" w:color="auto" w:fill="F2F2F2" w:themeFill="background1" w:themeFillShade="F2"/>
            <w:vAlign w:val="bottom"/>
          </w:tcPr>
          <w:p w14:paraId="69F33D05" w14:textId="77777777" w:rsidR="008A7D2D" w:rsidRPr="000C773E" w:rsidRDefault="008A7D2D" w:rsidP="009A4872">
            <w:pPr>
              <w:spacing w:before="20" w:after="20"/>
              <w:rPr>
                <w:rFonts w:cs="Calibri Light"/>
              </w:rPr>
            </w:pPr>
            <w:r w:rsidRPr="000C773E">
              <w:rPr>
                <w:rFonts w:cs="Calibri Light"/>
              </w:rPr>
              <w:t>96.1</w:t>
            </w:r>
          </w:p>
        </w:tc>
        <w:tc>
          <w:tcPr>
            <w:tcW w:w="1366" w:type="dxa"/>
            <w:gridSpan w:val="2"/>
            <w:tcBorders>
              <w:bottom w:val="single" w:sz="4" w:space="0" w:color="auto"/>
            </w:tcBorders>
            <w:shd w:val="clear" w:color="auto" w:fill="F2F2F2" w:themeFill="background1" w:themeFillShade="F2"/>
            <w:vAlign w:val="bottom"/>
          </w:tcPr>
          <w:p w14:paraId="3378D131" w14:textId="77777777" w:rsidR="008A7D2D" w:rsidRPr="000C773E" w:rsidRDefault="008A7D2D" w:rsidP="009A4872">
            <w:pPr>
              <w:spacing w:before="20" w:after="20"/>
              <w:rPr>
                <w:rFonts w:cs="Calibri Light"/>
              </w:rPr>
            </w:pPr>
            <w:r w:rsidRPr="000C773E">
              <w:rPr>
                <w:rFonts w:cs="Calibri Light"/>
              </w:rPr>
              <w:t>0.397</w:t>
            </w:r>
          </w:p>
        </w:tc>
      </w:tr>
      <w:tr w:rsidR="008A7D2D" w:rsidRPr="000C773E" w14:paraId="0AE251FE"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center"/>
          </w:tcPr>
          <w:p w14:paraId="7C0FA991" w14:textId="77777777" w:rsidR="008A7D2D" w:rsidRPr="000C773E" w:rsidRDefault="008A7D2D" w:rsidP="009A4872">
            <w:pPr>
              <w:spacing w:before="20" w:after="20"/>
              <w:rPr>
                <w:rFonts w:cs="Calibri Light"/>
              </w:rPr>
            </w:pPr>
            <w:r w:rsidRPr="000C773E">
              <w:rPr>
                <w:rFonts w:cs="Calibri Light"/>
              </w:rPr>
              <w:t>All deductions (WRE + Other)</w:t>
            </w:r>
          </w:p>
        </w:tc>
        <w:tc>
          <w:tcPr>
            <w:tcW w:w="1290" w:type="dxa"/>
            <w:gridSpan w:val="2"/>
            <w:tcBorders>
              <w:left w:val="nil"/>
              <w:bottom w:val="single" w:sz="4" w:space="0" w:color="auto"/>
            </w:tcBorders>
            <w:shd w:val="clear" w:color="auto" w:fill="F2F2F2" w:themeFill="background1" w:themeFillShade="F2"/>
            <w:vAlign w:val="bottom"/>
          </w:tcPr>
          <w:p w14:paraId="7FE91037" w14:textId="77777777" w:rsidR="008A7D2D" w:rsidRPr="000C773E" w:rsidRDefault="008A7D2D" w:rsidP="009A4872">
            <w:pPr>
              <w:spacing w:before="20" w:after="20"/>
              <w:rPr>
                <w:rFonts w:cs="Calibri Light"/>
              </w:rPr>
            </w:pPr>
            <w:r w:rsidRPr="000C773E">
              <w:rPr>
                <w:rFonts w:cs="Calibri Light"/>
              </w:rPr>
              <w:t>367.1</w:t>
            </w:r>
          </w:p>
        </w:tc>
        <w:tc>
          <w:tcPr>
            <w:tcW w:w="1083" w:type="dxa"/>
            <w:tcBorders>
              <w:bottom w:val="single" w:sz="4" w:space="0" w:color="auto"/>
            </w:tcBorders>
            <w:shd w:val="clear" w:color="auto" w:fill="F2F2F2" w:themeFill="background1" w:themeFillShade="F2"/>
            <w:vAlign w:val="bottom"/>
          </w:tcPr>
          <w:p w14:paraId="2B200797" w14:textId="77777777" w:rsidR="008A7D2D" w:rsidRPr="000C773E" w:rsidRDefault="008A7D2D" w:rsidP="009A4872">
            <w:pPr>
              <w:spacing w:before="20" w:after="20"/>
              <w:rPr>
                <w:rFonts w:cs="Calibri Light"/>
              </w:rPr>
            </w:pPr>
            <w:r w:rsidRPr="000C773E">
              <w:rPr>
                <w:rFonts w:cs="Calibri Light"/>
              </w:rPr>
              <w:t>118.7</w:t>
            </w:r>
          </w:p>
        </w:tc>
        <w:tc>
          <w:tcPr>
            <w:tcW w:w="1312" w:type="dxa"/>
            <w:gridSpan w:val="2"/>
            <w:tcBorders>
              <w:bottom w:val="single" w:sz="4" w:space="0" w:color="auto"/>
              <w:right w:val="nil"/>
            </w:tcBorders>
            <w:shd w:val="clear" w:color="auto" w:fill="F2F2F2" w:themeFill="background1" w:themeFillShade="F2"/>
            <w:vAlign w:val="bottom"/>
          </w:tcPr>
          <w:p w14:paraId="06CFFE35" w14:textId="77777777" w:rsidR="008A7D2D" w:rsidRPr="000C773E" w:rsidRDefault="008A7D2D" w:rsidP="009A4872">
            <w:pPr>
              <w:spacing w:before="20" w:after="20"/>
              <w:rPr>
                <w:rFonts w:cs="Calibri Light"/>
              </w:rPr>
            </w:pPr>
            <w:r w:rsidRPr="000C773E">
              <w:rPr>
                <w:rFonts w:cs="Calibri Light"/>
              </w:rPr>
              <w:t>0.002</w:t>
            </w:r>
          </w:p>
        </w:tc>
        <w:tc>
          <w:tcPr>
            <w:tcW w:w="1471" w:type="dxa"/>
            <w:gridSpan w:val="2"/>
            <w:tcBorders>
              <w:left w:val="nil"/>
              <w:bottom w:val="single" w:sz="4" w:space="0" w:color="auto"/>
            </w:tcBorders>
            <w:shd w:val="clear" w:color="auto" w:fill="F2F2F2" w:themeFill="background1" w:themeFillShade="F2"/>
            <w:vAlign w:val="bottom"/>
          </w:tcPr>
          <w:p w14:paraId="7457DC44" w14:textId="77777777" w:rsidR="008A7D2D" w:rsidRPr="000C773E" w:rsidRDefault="008A7D2D" w:rsidP="009A4872">
            <w:pPr>
              <w:pStyle w:val="Header"/>
              <w:spacing w:before="20" w:after="20"/>
              <w:rPr>
                <w:rFonts w:cs="Calibri Light"/>
                <w:sz w:val="22"/>
              </w:rPr>
            </w:pPr>
            <w:r w:rsidRPr="000C773E">
              <w:rPr>
                <w:rFonts w:cs="Calibri Light"/>
                <w:sz w:val="22"/>
              </w:rPr>
              <w:t>-1.1</w:t>
            </w:r>
          </w:p>
        </w:tc>
        <w:tc>
          <w:tcPr>
            <w:tcW w:w="1277" w:type="dxa"/>
            <w:gridSpan w:val="2"/>
            <w:tcBorders>
              <w:bottom w:val="single" w:sz="4" w:space="0" w:color="auto"/>
            </w:tcBorders>
            <w:shd w:val="clear" w:color="auto" w:fill="F2F2F2" w:themeFill="background1" w:themeFillShade="F2"/>
            <w:vAlign w:val="bottom"/>
          </w:tcPr>
          <w:p w14:paraId="69AA1290" w14:textId="77777777" w:rsidR="008A7D2D" w:rsidRPr="000C773E" w:rsidRDefault="008A7D2D" w:rsidP="009A4872">
            <w:pPr>
              <w:spacing w:before="20" w:after="20"/>
              <w:rPr>
                <w:rFonts w:cs="Calibri Light"/>
              </w:rPr>
            </w:pPr>
            <w:r w:rsidRPr="000C773E">
              <w:rPr>
                <w:rFonts w:cs="Calibri Light"/>
              </w:rPr>
              <w:t>104.9</w:t>
            </w:r>
          </w:p>
        </w:tc>
        <w:tc>
          <w:tcPr>
            <w:tcW w:w="1366" w:type="dxa"/>
            <w:gridSpan w:val="2"/>
            <w:tcBorders>
              <w:bottom w:val="single" w:sz="4" w:space="0" w:color="auto"/>
            </w:tcBorders>
            <w:shd w:val="clear" w:color="auto" w:fill="F2F2F2" w:themeFill="background1" w:themeFillShade="F2"/>
            <w:vAlign w:val="bottom"/>
          </w:tcPr>
          <w:p w14:paraId="3C9713E0" w14:textId="77777777" w:rsidR="008A7D2D" w:rsidRPr="000C773E" w:rsidRDefault="008A7D2D" w:rsidP="009A4872">
            <w:pPr>
              <w:spacing w:before="20" w:after="20"/>
              <w:rPr>
                <w:rFonts w:cs="Calibri Light"/>
              </w:rPr>
            </w:pPr>
            <w:r w:rsidRPr="000C773E">
              <w:rPr>
                <w:rFonts w:cs="Calibri Light"/>
              </w:rPr>
              <w:t>0.992</w:t>
            </w:r>
          </w:p>
        </w:tc>
      </w:tr>
      <w:tr w:rsidR="008A7D2D" w:rsidRPr="000C773E" w14:paraId="30C72F9F"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27703A0B" w14:textId="77777777" w:rsidR="008A7D2D" w:rsidRPr="000C773E" w:rsidRDefault="008A7D2D" w:rsidP="009A4872">
            <w:pPr>
              <w:spacing w:before="20" w:after="20"/>
              <w:rPr>
                <w:rFonts w:cs="Calibri Light"/>
              </w:rPr>
            </w:pPr>
            <w:r w:rsidRPr="000C773E">
              <w:rPr>
                <w:rFonts w:cs="Calibri Light"/>
              </w:rPr>
              <w:t>WRE deduction (cars)</w:t>
            </w:r>
          </w:p>
        </w:tc>
        <w:tc>
          <w:tcPr>
            <w:tcW w:w="1290" w:type="dxa"/>
            <w:gridSpan w:val="2"/>
            <w:tcBorders>
              <w:left w:val="nil"/>
              <w:bottom w:val="single" w:sz="4" w:space="0" w:color="auto"/>
            </w:tcBorders>
            <w:shd w:val="clear" w:color="auto" w:fill="F2F2F2" w:themeFill="background1" w:themeFillShade="F2"/>
            <w:vAlign w:val="bottom"/>
          </w:tcPr>
          <w:p w14:paraId="176F7763" w14:textId="77777777" w:rsidR="008A7D2D" w:rsidRPr="000C773E" w:rsidRDefault="008A7D2D" w:rsidP="009A4872">
            <w:pPr>
              <w:spacing w:before="20" w:after="20"/>
              <w:rPr>
                <w:rFonts w:cs="Calibri Light"/>
              </w:rPr>
            </w:pPr>
            <w:r w:rsidRPr="000C773E">
              <w:rPr>
                <w:rFonts w:cs="Calibri Light"/>
              </w:rPr>
              <w:t>-33.1</w:t>
            </w:r>
          </w:p>
        </w:tc>
        <w:tc>
          <w:tcPr>
            <w:tcW w:w="1083" w:type="dxa"/>
            <w:tcBorders>
              <w:bottom w:val="single" w:sz="4" w:space="0" w:color="auto"/>
            </w:tcBorders>
            <w:shd w:val="clear" w:color="auto" w:fill="F2F2F2" w:themeFill="background1" w:themeFillShade="F2"/>
            <w:vAlign w:val="bottom"/>
          </w:tcPr>
          <w:p w14:paraId="2A43DE11" w14:textId="77777777" w:rsidR="008A7D2D" w:rsidRPr="000C773E" w:rsidRDefault="008A7D2D" w:rsidP="009A4872">
            <w:pPr>
              <w:spacing w:before="20" w:after="20"/>
              <w:rPr>
                <w:rFonts w:cs="Calibri Light"/>
              </w:rPr>
            </w:pPr>
            <w:r w:rsidRPr="000C773E">
              <w:rPr>
                <w:rFonts w:cs="Calibri Light"/>
              </w:rPr>
              <w:t>9.6</w:t>
            </w:r>
          </w:p>
        </w:tc>
        <w:tc>
          <w:tcPr>
            <w:tcW w:w="1312" w:type="dxa"/>
            <w:gridSpan w:val="2"/>
            <w:tcBorders>
              <w:bottom w:val="single" w:sz="4" w:space="0" w:color="auto"/>
              <w:right w:val="nil"/>
            </w:tcBorders>
            <w:shd w:val="clear" w:color="auto" w:fill="F2F2F2" w:themeFill="background1" w:themeFillShade="F2"/>
            <w:vAlign w:val="bottom"/>
          </w:tcPr>
          <w:p w14:paraId="08AB087F" w14:textId="77777777" w:rsidR="008A7D2D" w:rsidRPr="000C773E" w:rsidRDefault="008A7D2D" w:rsidP="009A4872">
            <w:pPr>
              <w:spacing w:before="20" w:after="20"/>
              <w:rPr>
                <w:rFonts w:cs="Calibri Light"/>
              </w:rPr>
            </w:pPr>
            <w:r w:rsidRPr="000C773E">
              <w:rPr>
                <w:rFonts w:cs="Calibri Light"/>
              </w:rPr>
              <w:t>0.001</w:t>
            </w:r>
          </w:p>
        </w:tc>
        <w:tc>
          <w:tcPr>
            <w:tcW w:w="1471" w:type="dxa"/>
            <w:gridSpan w:val="2"/>
            <w:tcBorders>
              <w:left w:val="nil"/>
              <w:bottom w:val="single" w:sz="4" w:space="0" w:color="auto"/>
            </w:tcBorders>
            <w:shd w:val="clear" w:color="auto" w:fill="F2F2F2" w:themeFill="background1" w:themeFillShade="F2"/>
          </w:tcPr>
          <w:p w14:paraId="2471AD35" w14:textId="77777777" w:rsidR="008A7D2D" w:rsidRPr="000C773E" w:rsidRDefault="008A7D2D" w:rsidP="009A4872">
            <w:pPr>
              <w:spacing w:before="20" w:after="20"/>
              <w:rPr>
                <w:rFonts w:cs="Calibri Light"/>
              </w:rPr>
            </w:pPr>
            <w:r w:rsidRPr="000C773E">
              <w:rPr>
                <w:rFonts w:cs="Calibri Light"/>
              </w:rPr>
              <w:t>-39.6</w:t>
            </w:r>
          </w:p>
        </w:tc>
        <w:tc>
          <w:tcPr>
            <w:tcW w:w="1277" w:type="dxa"/>
            <w:gridSpan w:val="2"/>
            <w:tcBorders>
              <w:bottom w:val="single" w:sz="4" w:space="0" w:color="auto"/>
            </w:tcBorders>
            <w:shd w:val="clear" w:color="auto" w:fill="F2F2F2" w:themeFill="background1" w:themeFillShade="F2"/>
          </w:tcPr>
          <w:p w14:paraId="380E7F27" w14:textId="77777777" w:rsidR="008A7D2D" w:rsidRPr="000C773E" w:rsidRDefault="008A7D2D" w:rsidP="009A4872">
            <w:pPr>
              <w:spacing w:before="20" w:after="20"/>
              <w:rPr>
                <w:rFonts w:cs="Calibri Light"/>
              </w:rPr>
            </w:pPr>
            <w:r w:rsidRPr="000C773E">
              <w:rPr>
                <w:rFonts w:cs="Calibri Light"/>
              </w:rPr>
              <w:t>19.6</w:t>
            </w:r>
          </w:p>
        </w:tc>
        <w:tc>
          <w:tcPr>
            <w:tcW w:w="1366" w:type="dxa"/>
            <w:gridSpan w:val="2"/>
            <w:tcBorders>
              <w:bottom w:val="single" w:sz="4" w:space="0" w:color="auto"/>
            </w:tcBorders>
            <w:shd w:val="clear" w:color="auto" w:fill="F2F2F2" w:themeFill="background1" w:themeFillShade="F2"/>
          </w:tcPr>
          <w:p w14:paraId="1F30DE27" w14:textId="77777777" w:rsidR="008A7D2D" w:rsidRPr="000C773E" w:rsidRDefault="008A7D2D" w:rsidP="009A4872">
            <w:pPr>
              <w:spacing w:before="20" w:after="20"/>
              <w:rPr>
                <w:rFonts w:cs="Calibri Light"/>
              </w:rPr>
            </w:pPr>
            <w:r w:rsidRPr="000C773E">
              <w:rPr>
                <w:rFonts w:cs="Calibri Light"/>
              </w:rPr>
              <w:t>0.044</w:t>
            </w:r>
          </w:p>
        </w:tc>
      </w:tr>
      <w:tr w:rsidR="008A7D2D" w:rsidRPr="000C773E" w14:paraId="58C4F8A7"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647ABC1A" w14:textId="77777777" w:rsidR="008A7D2D" w:rsidRPr="000C773E" w:rsidRDefault="008A7D2D" w:rsidP="009A4872">
            <w:pPr>
              <w:spacing w:before="20" w:after="20"/>
              <w:rPr>
                <w:rFonts w:cs="Calibri Light"/>
              </w:rPr>
            </w:pPr>
            <w:r w:rsidRPr="000C773E">
              <w:rPr>
                <w:rFonts w:cs="Calibri Light"/>
              </w:rPr>
              <w:t>WRE deduction (travel)</w:t>
            </w:r>
          </w:p>
        </w:tc>
        <w:tc>
          <w:tcPr>
            <w:tcW w:w="1290" w:type="dxa"/>
            <w:gridSpan w:val="2"/>
            <w:tcBorders>
              <w:left w:val="nil"/>
              <w:bottom w:val="single" w:sz="4" w:space="0" w:color="auto"/>
            </w:tcBorders>
            <w:shd w:val="clear" w:color="auto" w:fill="F2F2F2" w:themeFill="background1" w:themeFillShade="F2"/>
            <w:vAlign w:val="bottom"/>
          </w:tcPr>
          <w:p w14:paraId="538F2D60" w14:textId="77777777" w:rsidR="008A7D2D" w:rsidRPr="000C773E" w:rsidRDefault="008A7D2D" w:rsidP="009A4872">
            <w:pPr>
              <w:spacing w:before="20" w:after="20"/>
              <w:rPr>
                <w:rFonts w:cs="Calibri Light"/>
              </w:rPr>
            </w:pPr>
            <w:r w:rsidRPr="000C773E">
              <w:rPr>
                <w:rFonts w:cs="Calibri Light"/>
              </w:rPr>
              <w:t>-2.5</w:t>
            </w:r>
          </w:p>
        </w:tc>
        <w:tc>
          <w:tcPr>
            <w:tcW w:w="1083" w:type="dxa"/>
            <w:tcBorders>
              <w:bottom w:val="single" w:sz="4" w:space="0" w:color="auto"/>
            </w:tcBorders>
            <w:shd w:val="clear" w:color="auto" w:fill="F2F2F2" w:themeFill="background1" w:themeFillShade="F2"/>
            <w:vAlign w:val="bottom"/>
          </w:tcPr>
          <w:p w14:paraId="36CCA659" w14:textId="77777777" w:rsidR="008A7D2D" w:rsidRPr="000C773E" w:rsidRDefault="008A7D2D" w:rsidP="009A4872">
            <w:pPr>
              <w:spacing w:before="20" w:after="20"/>
              <w:rPr>
                <w:rFonts w:cs="Calibri Light"/>
              </w:rPr>
            </w:pPr>
            <w:r w:rsidRPr="000C773E">
              <w:rPr>
                <w:rFonts w:cs="Calibri Light"/>
              </w:rPr>
              <w:t>5.4</w:t>
            </w:r>
          </w:p>
        </w:tc>
        <w:tc>
          <w:tcPr>
            <w:tcW w:w="1312" w:type="dxa"/>
            <w:gridSpan w:val="2"/>
            <w:tcBorders>
              <w:bottom w:val="single" w:sz="4" w:space="0" w:color="auto"/>
              <w:right w:val="nil"/>
            </w:tcBorders>
            <w:shd w:val="clear" w:color="auto" w:fill="F2F2F2" w:themeFill="background1" w:themeFillShade="F2"/>
            <w:vAlign w:val="bottom"/>
          </w:tcPr>
          <w:p w14:paraId="64168271" w14:textId="77777777" w:rsidR="008A7D2D" w:rsidRPr="000C773E" w:rsidRDefault="008A7D2D" w:rsidP="009A4872">
            <w:pPr>
              <w:spacing w:before="20" w:after="20"/>
              <w:rPr>
                <w:rFonts w:cs="Calibri Light"/>
              </w:rPr>
            </w:pPr>
            <w:r w:rsidRPr="000C773E">
              <w:rPr>
                <w:rFonts w:cs="Calibri Light"/>
              </w:rPr>
              <w:t>0.651</w:t>
            </w:r>
          </w:p>
        </w:tc>
        <w:tc>
          <w:tcPr>
            <w:tcW w:w="1471" w:type="dxa"/>
            <w:gridSpan w:val="2"/>
            <w:tcBorders>
              <w:left w:val="nil"/>
              <w:bottom w:val="single" w:sz="4" w:space="0" w:color="auto"/>
            </w:tcBorders>
            <w:shd w:val="clear" w:color="auto" w:fill="F2F2F2" w:themeFill="background1" w:themeFillShade="F2"/>
          </w:tcPr>
          <w:p w14:paraId="4E970849" w14:textId="77777777" w:rsidR="008A7D2D" w:rsidRPr="000C773E" w:rsidRDefault="008A7D2D" w:rsidP="009A4872">
            <w:pPr>
              <w:spacing w:before="20" w:after="20"/>
              <w:rPr>
                <w:rFonts w:cs="Calibri Light"/>
              </w:rPr>
            </w:pPr>
            <w:r w:rsidRPr="000C773E">
              <w:rPr>
                <w:rFonts w:cs="Calibri Light"/>
              </w:rPr>
              <w:t>-26.3</w:t>
            </w:r>
          </w:p>
        </w:tc>
        <w:tc>
          <w:tcPr>
            <w:tcW w:w="1277" w:type="dxa"/>
            <w:gridSpan w:val="2"/>
            <w:tcBorders>
              <w:bottom w:val="single" w:sz="4" w:space="0" w:color="auto"/>
            </w:tcBorders>
            <w:shd w:val="clear" w:color="auto" w:fill="F2F2F2" w:themeFill="background1" w:themeFillShade="F2"/>
          </w:tcPr>
          <w:p w14:paraId="1325AD31" w14:textId="77777777" w:rsidR="008A7D2D" w:rsidRPr="000C773E" w:rsidRDefault="008A7D2D" w:rsidP="009A4872">
            <w:pPr>
              <w:spacing w:before="20" w:after="20"/>
              <w:rPr>
                <w:rFonts w:cs="Calibri Light"/>
              </w:rPr>
            </w:pPr>
            <w:r w:rsidRPr="000C773E">
              <w:rPr>
                <w:rFonts w:cs="Calibri Light"/>
              </w:rPr>
              <w:t>11.6</w:t>
            </w:r>
          </w:p>
        </w:tc>
        <w:tc>
          <w:tcPr>
            <w:tcW w:w="1366" w:type="dxa"/>
            <w:gridSpan w:val="2"/>
            <w:tcBorders>
              <w:bottom w:val="single" w:sz="4" w:space="0" w:color="auto"/>
            </w:tcBorders>
            <w:shd w:val="clear" w:color="auto" w:fill="F2F2F2" w:themeFill="background1" w:themeFillShade="F2"/>
          </w:tcPr>
          <w:p w14:paraId="2771EE05" w14:textId="77777777" w:rsidR="008A7D2D" w:rsidRPr="000C773E" w:rsidRDefault="008A7D2D" w:rsidP="009A4872">
            <w:pPr>
              <w:spacing w:before="20" w:after="20"/>
              <w:rPr>
                <w:rFonts w:cs="Calibri Light"/>
              </w:rPr>
            </w:pPr>
            <w:r w:rsidRPr="000C773E">
              <w:rPr>
                <w:rFonts w:cs="Calibri Light"/>
              </w:rPr>
              <w:t>0.023</w:t>
            </w:r>
          </w:p>
        </w:tc>
      </w:tr>
      <w:tr w:rsidR="008A7D2D" w:rsidRPr="000C773E" w14:paraId="0776330B"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1783F969" w14:textId="77777777" w:rsidR="008A7D2D" w:rsidRPr="000C773E" w:rsidRDefault="008A7D2D" w:rsidP="009A4872">
            <w:pPr>
              <w:spacing w:before="20" w:after="20"/>
              <w:rPr>
                <w:rFonts w:cs="Calibri Light"/>
              </w:rPr>
            </w:pPr>
            <w:r w:rsidRPr="000C773E">
              <w:rPr>
                <w:rFonts w:cs="Calibri Light"/>
              </w:rPr>
              <w:t>WRE deduction (clothing)</w:t>
            </w:r>
          </w:p>
        </w:tc>
        <w:tc>
          <w:tcPr>
            <w:tcW w:w="1290" w:type="dxa"/>
            <w:gridSpan w:val="2"/>
            <w:tcBorders>
              <w:left w:val="nil"/>
              <w:bottom w:val="single" w:sz="4" w:space="0" w:color="auto"/>
            </w:tcBorders>
            <w:shd w:val="clear" w:color="auto" w:fill="F2F2F2" w:themeFill="background1" w:themeFillShade="F2"/>
            <w:vAlign w:val="bottom"/>
          </w:tcPr>
          <w:p w14:paraId="3D03E359" w14:textId="77777777" w:rsidR="008A7D2D" w:rsidRPr="000C773E" w:rsidRDefault="008A7D2D" w:rsidP="009A4872">
            <w:pPr>
              <w:spacing w:before="20" w:after="20"/>
              <w:rPr>
                <w:rFonts w:cs="Calibri Light"/>
              </w:rPr>
            </w:pPr>
            <w:r w:rsidRPr="000C773E">
              <w:rPr>
                <w:rFonts w:cs="Calibri Light"/>
              </w:rPr>
              <w:t>1.2</w:t>
            </w:r>
          </w:p>
        </w:tc>
        <w:tc>
          <w:tcPr>
            <w:tcW w:w="1083" w:type="dxa"/>
            <w:tcBorders>
              <w:bottom w:val="single" w:sz="4" w:space="0" w:color="auto"/>
            </w:tcBorders>
            <w:shd w:val="clear" w:color="auto" w:fill="F2F2F2" w:themeFill="background1" w:themeFillShade="F2"/>
            <w:vAlign w:val="bottom"/>
          </w:tcPr>
          <w:p w14:paraId="59359BA2" w14:textId="77777777" w:rsidR="008A7D2D" w:rsidRPr="000C773E" w:rsidRDefault="008A7D2D" w:rsidP="009A4872">
            <w:pPr>
              <w:spacing w:before="20" w:after="20"/>
              <w:rPr>
                <w:rFonts w:cs="Calibri Light"/>
              </w:rPr>
            </w:pPr>
            <w:r w:rsidRPr="000C773E">
              <w:rPr>
                <w:rFonts w:cs="Calibri Light"/>
              </w:rPr>
              <w:t>1.4</w:t>
            </w:r>
          </w:p>
        </w:tc>
        <w:tc>
          <w:tcPr>
            <w:tcW w:w="1312" w:type="dxa"/>
            <w:gridSpan w:val="2"/>
            <w:tcBorders>
              <w:bottom w:val="single" w:sz="4" w:space="0" w:color="auto"/>
              <w:right w:val="nil"/>
            </w:tcBorders>
            <w:shd w:val="clear" w:color="auto" w:fill="F2F2F2" w:themeFill="background1" w:themeFillShade="F2"/>
            <w:vAlign w:val="bottom"/>
          </w:tcPr>
          <w:p w14:paraId="78A06892" w14:textId="77777777" w:rsidR="008A7D2D" w:rsidRPr="000C773E" w:rsidRDefault="008A7D2D" w:rsidP="009A4872">
            <w:pPr>
              <w:spacing w:before="20" w:after="20"/>
              <w:rPr>
                <w:rFonts w:cs="Calibri Light"/>
              </w:rPr>
            </w:pPr>
            <w:r w:rsidRPr="000C773E">
              <w:rPr>
                <w:rFonts w:cs="Calibri Light"/>
              </w:rPr>
              <w:t>0.375</w:t>
            </w:r>
          </w:p>
        </w:tc>
        <w:tc>
          <w:tcPr>
            <w:tcW w:w="1471" w:type="dxa"/>
            <w:gridSpan w:val="2"/>
            <w:tcBorders>
              <w:left w:val="nil"/>
              <w:bottom w:val="single" w:sz="4" w:space="0" w:color="auto"/>
            </w:tcBorders>
            <w:shd w:val="clear" w:color="auto" w:fill="F2F2F2" w:themeFill="background1" w:themeFillShade="F2"/>
          </w:tcPr>
          <w:p w14:paraId="3CD89742" w14:textId="77777777" w:rsidR="008A7D2D" w:rsidRPr="000C773E" w:rsidRDefault="008A7D2D" w:rsidP="009A4872">
            <w:pPr>
              <w:spacing w:before="20" w:after="20"/>
              <w:rPr>
                <w:rFonts w:cs="Calibri Light"/>
              </w:rPr>
            </w:pPr>
            <w:r w:rsidRPr="000C773E">
              <w:rPr>
                <w:rFonts w:cs="Calibri Light"/>
              </w:rPr>
              <w:t>1.5</w:t>
            </w:r>
          </w:p>
        </w:tc>
        <w:tc>
          <w:tcPr>
            <w:tcW w:w="1277" w:type="dxa"/>
            <w:gridSpan w:val="2"/>
            <w:tcBorders>
              <w:bottom w:val="single" w:sz="4" w:space="0" w:color="auto"/>
            </w:tcBorders>
            <w:shd w:val="clear" w:color="auto" w:fill="F2F2F2" w:themeFill="background1" w:themeFillShade="F2"/>
          </w:tcPr>
          <w:p w14:paraId="5C2FA04F" w14:textId="77777777" w:rsidR="008A7D2D" w:rsidRPr="000C773E" w:rsidRDefault="008A7D2D" w:rsidP="009A4872">
            <w:pPr>
              <w:spacing w:before="20" w:after="20"/>
              <w:rPr>
                <w:rFonts w:cs="Calibri Light"/>
              </w:rPr>
            </w:pPr>
            <w:r w:rsidRPr="000C773E">
              <w:rPr>
                <w:rFonts w:cs="Calibri Light"/>
              </w:rPr>
              <w:t>2.8</w:t>
            </w:r>
          </w:p>
        </w:tc>
        <w:tc>
          <w:tcPr>
            <w:tcW w:w="1366" w:type="dxa"/>
            <w:gridSpan w:val="2"/>
            <w:tcBorders>
              <w:bottom w:val="single" w:sz="4" w:space="0" w:color="auto"/>
            </w:tcBorders>
            <w:shd w:val="clear" w:color="auto" w:fill="F2F2F2" w:themeFill="background1" w:themeFillShade="F2"/>
          </w:tcPr>
          <w:p w14:paraId="2A25CEAB" w14:textId="77777777" w:rsidR="008A7D2D" w:rsidRPr="000C773E" w:rsidRDefault="008A7D2D" w:rsidP="009A4872">
            <w:pPr>
              <w:spacing w:before="20" w:after="20"/>
              <w:rPr>
                <w:rFonts w:cs="Calibri Light"/>
              </w:rPr>
            </w:pPr>
            <w:r w:rsidRPr="000C773E">
              <w:rPr>
                <w:rFonts w:cs="Calibri Light"/>
              </w:rPr>
              <w:t>0.601</w:t>
            </w:r>
          </w:p>
        </w:tc>
      </w:tr>
      <w:tr w:rsidR="008A7D2D" w:rsidRPr="000C773E" w14:paraId="4D5E202C"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vAlign w:val="bottom"/>
          </w:tcPr>
          <w:p w14:paraId="5C90D3F5" w14:textId="77777777" w:rsidR="008A7D2D" w:rsidRPr="000C773E" w:rsidRDefault="008A7D2D" w:rsidP="009A4872">
            <w:pPr>
              <w:spacing w:before="20" w:after="20"/>
              <w:rPr>
                <w:rFonts w:cs="Calibri Light"/>
              </w:rPr>
            </w:pPr>
            <w:r w:rsidRPr="000C773E">
              <w:rPr>
                <w:rFonts w:cs="Calibri Light"/>
              </w:rPr>
              <w:t xml:space="preserve">WRE deduction (self-education) </w:t>
            </w:r>
          </w:p>
        </w:tc>
        <w:tc>
          <w:tcPr>
            <w:tcW w:w="1290" w:type="dxa"/>
            <w:gridSpan w:val="2"/>
            <w:tcBorders>
              <w:left w:val="nil"/>
              <w:bottom w:val="single" w:sz="4" w:space="0" w:color="auto"/>
            </w:tcBorders>
            <w:shd w:val="clear" w:color="auto" w:fill="F2F2F2" w:themeFill="background1" w:themeFillShade="F2"/>
            <w:vAlign w:val="bottom"/>
          </w:tcPr>
          <w:p w14:paraId="3B20493A" w14:textId="77777777" w:rsidR="008A7D2D" w:rsidRPr="000C773E" w:rsidRDefault="008A7D2D" w:rsidP="009A4872">
            <w:pPr>
              <w:spacing w:before="20" w:after="20"/>
              <w:rPr>
                <w:rFonts w:cs="Calibri Light"/>
              </w:rPr>
            </w:pPr>
            <w:r w:rsidRPr="000C773E">
              <w:rPr>
                <w:rFonts w:cs="Calibri Light"/>
              </w:rPr>
              <w:t>2.5</w:t>
            </w:r>
          </w:p>
        </w:tc>
        <w:tc>
          <w:tcPr>
            <w:tcW w:w="1083" w:type="dxa"/>
            <w:tcBorders>
              <w:bottom w:val="single" w:sz="4" w:space="0" w:color="auto"/>
            </w:tcBorders>
            <w:shd w:val="clear" w:color="auto" w:fill="F2F2F2" w:themeFill="background1" w:themeFillShade="F2"/>
            <w:vAlign w:val="bottom"/>
          </w:tcPr>
          <w:p w14:paraId="60A60D23" w14:textId="77777777" w:rsidR="008A7D2D" w:rsidRPr="000C773E" w:rsidRDefault="008A7D2D" w:rsidP="009A4872">
            <w:pPr>
              <w:spacing w:before="20" w:after="20"/>
              <w:rPr>
                <w:rFonts w:cs="Calibri Light"/>
              </w:rPr>
            </w:pPr>
            <w:r w:rsidRPr="000C773E">
              <w:rPr>
                <w:rFonts w:cs="Calibri Light"/>
              </w:rPr>
              <w:t>3.3</w:t>
            </w:r>
          </w:p>
        </w:tc>
        <w:tc>
          <w:tcPr>
            <w:tcW w:w="1312" w:type="dxa"/>
            <w:gridSpan w:val="2"/>
            <w:tcBorders>
              <w:bottom w:val="single" w:sz="4" w:space="0" w:color="auto"/>
              <w:right w:val="nil"/>
            </w:tcBorders>
            <w:shd w:val="clear" w:color="auto" w:fill="F2F2F2" w:themeFill="background1" w:themeFillShade="F2"/>
            <w:vAlign w:val="bottom"/>
          </w:tcPr>
          <w:p w14:paraId="5D52D41A" w14:textId="77777777" w:rsidR="008A7D2D" w:rsidRPr="000C773E" w:rsidRDefault="008A7D2D" w:rsidP="009A4872">
            <w:pPr>
              <w:keepNext/>
              <w:spacing w:before="20" w:after="20"/>
              <w:rPr>
                <w:rFonts w:cs="Calibri Light"/>
              </w:rPr>
            </w:pPr>
            <w:r w:rsidRPr="000C773E">
              <w:rPr>
                <w:rFonts w:cs="Calibri Light"/>
              </w:rPr>
              <w:t>0.440</w:t>
            </w:r>
          </w:p>
        </w:tc>
        <w:tc>
          <w:tcPr>
            <w:tcW w:w="1471" w:type="dxa"/>
            <w:gridSpan w:val="2"/>
            <w:tcBorders>
              <w:left w:val="nil"/>
              <w:bottom w:val="single" w:sz="4" w:space="0" w:color="auto"/>
            </w:tcBorders>
            <w:shd w:val="clear" w:color="auto" w:fill="F2F2F2" w:themeFill="background1" w:themeFillShade="F2"/>
          </w:tcPr>
          <w:p w14:paraId="4D9FC1DC" w14:textId="77777777" w:rsidR="008A7D2D" w:rsidRPr="000C773E" w:rsidRDefault="008A7D2D" w:rsidP="009A4872">
            <w:pPr>
              <w:spacing w:before="20" w:after="20"/>
              <w:rPr>
                <w:rFonts w:cs="Calibri Light"/>
              </w:rPr>
            </w:pPr>
            <w:r w:rsidRPr="000C773E">
              <w:rPr>
                <w:rFonts w:cs="Calibri Light"/>
              </w:rPr>
              <w:t>-3.1</w:t>
            </w:r>
          </w:p>
        </w:tc>
        <w:tc>
          <w:tcPr>
            <w:tcW w:w="1277" w:type="dxa"/>
            <w:gridSpan w:val="2"/>
            <w:tcBorders>
              <w:bottom w:val="single" w:sz="4" w:space="0" w:color="auto"/>
            </w:tcBorders>
            <w:shd w:val="clear" w:color="auto" w:fill="F2F2F2" w:themeFill="background1" w:themeFillShade="F2"/>
          </w:tcPr>
          <w:p w14:paraId="04DCFBA7" w14:textId="77777777" w:rsidR="008A7D2D" w:rsidRPr="000C773E" w:rsidRDefault="008A7D2D" w:rsidP="009A4872">
            <w:pPr>
              <w:spacing w:before="20" w:after="20"/>
              <w:rPr>
                <w:rFonts w:cs="Calibri Light"/>
              </w:rPr>
            </w:pPr>
            <w:r w:rsidRPr="000C773E">
              <w:rPr>
                <w:rFonts w:cs="Calibri Light"/>
              </w:rPr>
              <w:t>6.4</w:t>
            </w:r>
          </w:p>
        </w:tc>
        <w:tc>
          <w:tcPr>
            <w:tcW w:w="1366" w:type="dxa"/>
            <w:gridSpan w:val="2"/>
            <w:tcBorders>
              <w:bottom w:val="single" w:sz="4" w:space="0" w:color="auto"/>
            </w:tcBorders>
            <w:shd w:val="clear" w:color="auto" w:fill="F2F2F2" w:themeFill="background1" w:themeFillShade="F2"/>
          </w:tcPr>
          <w:p w14:paraId="2CAEEA45" w14:textId="77777777" w:rsidR="008A7D2D" w:rsidRPr="000C773E" w:rsidRDefault="008A7D2D" w:rsidP="009A4872">
            <w:pPr>
              <w:spacing w:before="20" w:after="20"/>
              <w:rPr>
                <w:rFonts w:cs="Calibri Light"/>
              </w:rPr>
            </w:pPr>
            <w:r w:rsidRPr="000C773E">
              <w:rPr>
                <w:rFonts w:cs="Calibri Light"/>
              </w:rPr>
              <w:t>0.622</w:t>
            </w:r>
          </w:p>
        </w:tc>
      </w:tr>
      <w:tr w:rsidR="008A7D2D" w:rsidRPr="000C773E" w14:paraId="1E70AD7C" w14:textId="77777777" w:rsidTr="00EA200D">
        <w:trPr>
          <w:gridAfter w:val="1"/>
          <w:wAfter w:w="73" w:type="dxa"/>
          <w:trHeight w:val="20"/>
        </w:trPr>
        <w:tc>
          <w:tcPr>
            <w:tcW w:w="2552" w:type="dxa"/>
            <w:gridSpan w:val="2"/>
            <w:tcBorders>
              <w:bottom w:val="single" w:sz="4" w:space="0" w:color="auto"/>
              <w:right w:val="nil"/>
            </w:tcBorders>
            <w:shd w:val="clear" w:color="auto" w:fill="F2F2F2" w:themeFill="background1" w:themeFillShade="F2"/>
          </w:tcPr>
          <w:p w14:paraId="2F052049" w14:textId="77777777" w:rsidR="008A7D2D" w:rsidRPr="000C773E" w:rsidRDefault="008A7D2D" w:rsidP="009A4872">
            <w:pPr>
              <w:spacing w:before="20" w:after="20"/>
              <w:rPr>
                <w:rFonts w:cs="Calibri Light"/>
              </w:rPr>
            </w:pPr>
            <w:r w:rsidRPr="000C773E">
              <w:rPr>
                <w:rFonts w:cs="Calibri Light"/>
              </w:rPr>
              <w:t>WRE deduction (other WRE)</w:t>
            </w:r>
          </w:p>
        </w:tc>
        <w:tc>
          <w:tcPr>
            <w:tcW w:w="1290" w:type="dxa"/>
            <w:gridSpan w:val="2"/>
            <w:tcBorders>
              <w:left w:val="nil"/>
              <w:bottom w:val="single" w:sz="4" w:space="0" w:color="auto"/>
            </w:tcBorders>
            <w:shd w:val="clear" w:color="auto" w:fill="F2F2F2" w:themeFill="background1" w:themeFillShade="F2"/>
            <w:vAlign w:val="bottom"/>
          </w:tcPr>
          <w:p w14:paraId="72B4645D" w14:textId="77777777" w:rsidR="008A7D2D" w:rsidRPr="000C773E" w:rsidRDefault="008A7D2D" w:rsidP="009A4872">
            <w:pPr>
              <w:spacing w:before="20" w:after="20"/>
              <w:rPr>
                <w:rFonts w:cs="Calibri Light"/>
              </w:rPr>
            </w:pPr>
            <w:r w:rsidRPr="000C773E">
              <w:rPr>
                <w:rFonts w:cs="Calibri Light"/>
              </w:rPr>
              <w:t>0.0</w:t>
            </w:r>
          </w:p>
        </w:tc>
        <w:tc>
          <w:tcPr>
            <w:tcW w:w="1083" w:type="dxa"/>
            <w:tcBorders>
              <w:bottom w:val="single" w:sz="4" w:space="0" w:color="auto"/>
            </w:tcBorders>
            <w:shd w:val="clear" w:color="auto" w:fill="F2F2F2" w:themeFill="background1" w:themeFillShade="F2"/>
            <w:vAlign w:val="bottom"/>
          </w:tcPr>
          <w:p w14:paraId="0D7B2771" w14:textId="77777777" w:rsidR="008A7D2D" w:rsidRPr="000C773E" w:rsidRDefault="008A7D2D" w:rsidP="009A4872">
            <w:pPr>
              <w:spacing w:before="20" w:after="20"/>
              <w:rPr>
                <w:rFonts w:cs="Calibri Light"/>
              </w:rPr>
            </w:pPr>
            <w:r w:rsidRPr="000C773E">
              <w:rPr>
                <w:rFonts w:cs="Calibri Light"/>
              </w:rPr>
              <w:t>10.0</w:t>
            </w:r>
          </w:p>
        </w:tc>
        <w:tc>
          <w:tcPr>
            <w:tcW w:w="1312" w:type="dxa"/>
            <w:gridSpan w:val="2"/>
            <w:tcBorders>
              <w:bottom w:val="single" w:sz="4" w:space="0" w:color="auto"/>
              <w:right w:val="nil"/>
            </w:tcBorders>
            <w:shd w:val="clear" w:color="auto" w:fill="F2F2F2" w:themeFill="background1" w:themeFillShade="F2"/>
            <w:vAlign w:val="bottom"/>
          </w:tcPr>
          <w:p w14:paraId="48A4E401" w14:textId="77777777" w:rsidR="008A7D2D" w:rsidRPr="000C773E" w:rsidRDefault="008A7D2D" w:rsidP="009A4872">
            <w:pPr>
              <w:keepNext/>
              <w:spacing w:before="20" w:after="20"/>
              <w:rPr>
                <w:rFonts w:cs="Calibri Light"/>
              </w:rPr>
            </w:pPr>
            <w:r w:rsidRPr="000C773E">
              <w:rPr>
                <w:rFonts w:cs="Calibri Light"/>
              </w:rPr>
              <w:t>0.998</w:t>
            </w:r>
          </w:p>
        </w:tc>
        <w:tc>
          <w:tcPr>
            <w:tcW w:w="1471" w:type="dxa"/>
            <w:gridSpan w:val="2"/>
            <w:tcBorders>
              <w:left w:val="nil"/>
              <w:bottom w:val="single" w:sz="4" w:space="0" w:color="auto"/>
            </w:tcBorders>
            <w:shd w:val="clear" w:color="auto" w:fill="F2F2F2" w:themeFill="background1" w:themeFillShade="F2"/>
          </w:tcPr>
          <w:p w14:paraId="78CBDEEA" w14:textId="77777777" w:rsidR="008A7D2D" w:rsidRPr="000C773E" w:rsidRDefault="008A7D2D" w:rsidP="009A4872">
            <w:pPr>
              <w:spacing w:before="20" w:after="20"/>
              <w:rPr>
                <w:rFonts w:cs="Calibri Light"/>
              </w:rPr>
            </w:pPr>
            <w:r w:rsidRPr="000C773E">
              <w:rPr>
                <w:rFonts w:cs="Calibri Light"/>
              </w:rPr>
              <w:t>-15.0</w:t>
            </w:r>
          </w:p>
        </w:tc>
        <w:tc>
          <w:tcPr>
            <w:tcW w:w="1277" w:type="dxa"/>
            <w:gridSpan w:val="2"/>
            <w:tcBorders>
              <w:bottom w:val="single" w:sz="4" w:space="0" w:color="auto"/>
            </w:tcBorders>
            <w:shd w:val="clear" w:color="auto" w:fill="F2F2F2" w:themeFill="background1" w:themeFillShade="F2"/>
          </w:tcPr>
          <w:p w14:paraId="4033AE12" w14:textId="77777777" w:rsidR="008A7D2D" w:rsidRPr="000C773E" w:rsidRDefault="008A7D2D" w:rsidP="009A4872">
            <w:pPr>
              <w:spacing w:before="20" w:after="20"/>
              <w:rPr>
                <w:rFonts w:cs="Calibri Light"/>
              </w:rPr>
            </w:pPr>
            <w:r w:rsidRPr="000C773E">
              <w:rPr>
                <w:rFonts w:cs="Calibri Light"/>
              </w:rPr>
              <w:t>16.5</w:t>
            </w:r>
          </w:p>
        </w:tc>
        <w:tc>
          <w:tcPr>
            <w:tcW w:w="1366" w:type="dxa"/>
            <w:gridSpan w:val="2"/>
            <w:tcBorders>
              <w:bottom w:val="single" w:sz="4" w:space="0" w:color="auto"/>
            </w:tcBorders>
            <w:shd w:val="clear" w:color="auto" w:fill="F2F2F2" w:themeFill="background1" w:themeFillShade="F2"/>
          </w:tcPr>
          <w:p w14:paraId="19A9B425" w14:textId="77777777" w:rsidR="008A7D2D" w:rsidRPr="000C773E" w:rsidRDefault="008A7D2D" w:rsidP="009A4872">
            <w:pPr>
              <w:spacing w:before="20" w:after="20"/>
              <w:rPr>
                <w:rFonts w:cs="Calibri Light"/>
              </w:rPr>
            </w:pPr>
            <w:r w:rsidRPr="000C773E">
              <w:rPr>
                <w:rFonts w:cs="Calibri Light"/>
              </w:rPr>
              <w:t>0.361</w:t>
            </w:r>
          </w:p>
        </w:tc>
      </w:tr>
      <w:tr w:rsidR="008A7D2D" w:rsidRPr="000C773E" w14:paraId="45A948F8" w14:textId="77777777" w:rsidTr="00EA200D">
        <w:trPr>
          <w:gridAfter w:val="2"/>
          <w:wAfter w:w="135" w:type="dxa"/>
          <w:trHeight w:val="20"/>
        </w:trPr>
        <w:tc>
          <w:tcPr>
            <w:tcW w:w="10289" w:type="dxa"/>
            <w:gridSpan w:val="12"/>
            <w:tcBorders>
              <w:top w:val="single" w:sz="4" w:space="0" w:color="auto"/>
            </w:tcBorders>
          </w:tcPr>
          <w:p w14:paraId="63BC30CE" w14:textId="46AA6A70" w:rsidR="008A7D2D" w:rsidRPr="000C773E" w:rsidRDefault="008A7D2D" w:rsidP="009A4872">
            <w:pPr>
              <w:spacing w:before="20" w:after="20"/>
              <w:rPr>
                <w:rFonts w:cs="Calibri Light"/>
                <w:color w:val="000000"/>
              </w:rPr>
            </w:pPr>
            <w:r w:rsidRPr="000C773E">
              <w:rPr>
                <w:rFonts w:cs="Calibri Light"/>
              </w:rPr>
              <w:t xml:space="preserve">Note: For individual level analysis, covariates included were agent state, agent segment, agent risk score, agent number of clients, agent's average WRE (2013, 2014, 2015, </w:t>
            </w:r>
            <w:r>
              <w:rPr>
                <w:rFonts w:cs="Calibri Light"/>
              </w:rPr>
              <w:t>2016 to February</w:t>
            </w:r>
            <w:r w:rsidR="00395807">
              <w:rPr>
                <w:rFonts w:cs="Calibri Light"/>
              </w:rPr>
              <w:t xml:space="preserve"> 2017</w:t>
            </w:r>
            <w:r w:rsidRPr="000C773E">
              <w:rPr>
                <w:rFonts w:cs="Calibri Light"/>
              </w:rPr>
              <w:t xml:space="preserve">), agent's average income of clients from 2015, agent's number of lodgements, individual gender, individual income (2016) and individual age. For agent level analysis, covariates included were agent segment, agent state, agent risk score, and agent number of clients, agent's average WRE claims (2013, 2014, 2015, </w:t>
            </w:r>
            <w:r>
              <w:rPr>
                <w:rFonts w:cs="Calibri Light"/>
              </w:rPr>
              <w:t>2016 to February</w:t>
            </w:r>
            <w:r w:rsidR="00395807">
              <w:rPr>
                <w:rFonts w:cs="Calibri Light"/>
              </w:rPr>
              <w:t xml:space="preserve"> 2017</w:t>
            </w:r>
            <w:r w:rsidRPr="000C773E">
              <w:rPr>
                <w:rFonts w:cs="Calibri Light"/>
              </w:rPr>
              <w:t>), agent's number of lodgements 2015 and median income of agent’s clients for whom new</w:t>
            </w:r>
            <w:r>
              <w:rPr>
                <w:rFonts w:cs="Calibri Light"/>
              </w:rPr>
              <w:t xml:space="preserve"> tax returns were lodged. Note </w:t>
            </w:r>
            <w:r w:rsidRPr="000C773E">
              <w:rPr>
                <w:rFonts w:cs="Calibri Light"/>
              </w:rPr>
              <w:t>for new returns, there are some changes to findings depending on which income variables were included. For th</w:t>
            </w:r>
            <w:r>
              <w:rPr>
                <w:rFonts w:cs="Calibri Light"/>
              </w:rPr>
              <w:t>is reason, we present Table 3.9</w:t>
            </w:r>
            <w:r w:rsidRPr="000C773E">
              <w:rPr>
                <w:rFonts w:cs="Calibri Light"/>
              </w:rPr>
              <w:t xml:space="preserve"> which presents results with alternative covariates.</w:t>
            </w:r>
          </w:p>
        </w:tc>
      </w:tr>
    </w:tbl>
    <w:p w14:paraId="0A612EC9" w14:textId="77777777" w:rsidR="008A7D2D" w:rsidRDefault="008A7D2D">
      <w:pPr>
        <w:spacing w:before="0" w:after="0" w:line="240" w:lineRule="auto"/>
        <w:rPr>
          <w:b/>
        </w:rPr>
      </w:pPr>
    </w:p>
    <w:p w14:paraId="4D4C7C95" w14:textId="77777777" w:rsidR="008A7D2D" w:rsidRDefault="008A7D2D">
      <w:pPr>
        <w:spacing w:before="0" w:after="0" w:line="240" w:lineRule="auto"/>
        <w:rPr>
          <w:b/>
        </w:rPr>
      </w:pPr>
      <w:r>
        <w:rPr>
          <w:b/>
        </w:rPr>
        <w:br w:type="page"/>
      </w:r>
    </w:p>
    <w:p w14:paraId="0A543660" w14:textId="77777777" w:rsidR="00F96BD2" w:rsidRDefault="00F96BD2">
      <w:pPr>
        <w:spacing w:before="0" w:after="0" w:line="240" w:lineRule="auto"/>
        <w:rPr>
          <w:b/>
        </w:rPr>
      </w:pPr>
    </w:p>
    <w:p w14:paraId="5BB6B6F9" w14:textId="77777777" w:rsidR="00F96BD2" w:rsidRDefault="00F96BD2" w:rsidP="00085623">
      <w:pPr>
        <w:spacing w:before="0" w:after="0" w:line="240" w:lineRule="auto"/>
        <w:outlineLvl w:val="2"/>
        <w:rPr>
          <w:b/>
        </w:rPr>
      </w:pPr>
      <w:r>
        <w:rPr>
          <w:b/>
        </w:rPr>
        <w:t>Table 3.9 – Regression results for new returns – with different covariates</w:t>
      </w:r>
    </w:p>
    <w:p w14:paraId="0B964DD8" w14:textId="77777777" w:rsidR="008A7D2D" w:rsidRDefault="008A7D2D">
      <w:pPr>
        <w:spacing w:before="0" w:after="0" w:line="240" w:lineRule="auto"/>
        <w:rPr>
          <w:b/>
        </w:rPr>
      </w:pPr>
    </w:p>
    <w:tbl>
      <w:tblPr>
        <w:tblStyle w:val="TableGrid"/>
        <w:tblW w:w="10207" w:type="dxa"/>
        <w:tblBorders>
          <w:left w:val="none" w:sz="0" w:space="0" w:color="auto"/>
          <w:right w:val="none" w:sz="0" w:space="0" w:color="auto"/>
          <w:insideV w:val="none" w:sz="0" w:space="0" w:color="auto"/>
        </w:tblBorders>
        <w:tblLayout w:type="fixed"/>
        <w:tblLook w:val="04A0" w:firstRow="1" w:lastRow="0" w:firstColumn="1" w:lastColumn="0" w:noHBand="0" w:noVBand="1"/>
        <w:tblCaption w:val="Regression results for new returns - with different covariates"/>
        <w:tblDescription w:val="Table showing tax paid and deductions at both individual level and agent level."/>
      </w:tblPr>
      <w:tblGrid>
        <w:gridCol w:w="2268"/>
        <w:gridCol w:w="137"/>
        <w:gridCol w:w="1281"/>
        <w:gridCol w:w="133"/>
        <w:gridCol w:w="1142"/>
        <w:gridCol w:w="130"/>
        <w:gridCol w:w="1145"/>
        <w:gridCol w:w="130"/>
        <w:gridCol w:w="1289"/>
        <w:gridCol w:w="127"/>
        <w:gridCol w:w="1134"/>
        <w:gridCol w:w="15"/>
        <w:gridCol w:w="1261"/>
        <w:gridCol w:w="15"/>
      </w:tblGrid>
      <w:tr w:rsidR="00F96BD2" w:rsidRPr="000C773E" w14:paraId="65D4C942" w14:textId="77777777" w:rsidTr="00EA200D">
        <w:trPr>
          <w:tblHeader/>
        </w:trPr>
        <w:tc>
          <w:tcPr>
            <w:tcW w:w="2268" w:type="dxa"/>
            <w:shd w:val="clear" w:color="auto" w:fill="142E3B" w:themeFill="accent6"/>
            <w:vAlign w:val="center"/>
          </w:tcPr>
          <w:p w14:paraId="203513B7" w14:textId="77777777" w:rsidR="00F96BD2" w:rsidRPr="00F96BD2" w:rsidRDefault="00F96BD2" w:rsidP="00EA200D">
            <w:pPr>
              <w:pStyle w:val="TableHeading"/>
            </w:pPr>
          </w:p>
        </w:tc>
        <w:tc>
          <w:tcPr>
            <w:tcW w:w="1418" w:type="dxa"/>
            <w:gridSpan w:val="2"/>
            <w:shd w:val="clear" w:color="auto" w:fill="142E3B" w:themeFill="accent6"/>
            <w:vAlign w:val="center"/>
          </w:tcPr>
          <w:p w14:paraId="2F420875" w14:textId="77777777" w:rsidR="00F96BD2" w:rsidRPr="00F96BD2" w:rsidRDefault="00F96BD2" w:rsidP="00EA200D">
            <w:pPr>
              <w:pStyle w:val="TableHeading"/>
            </w:pPr>
            <w:r w:rsidRPr="00F96BD2">
              <w:rPr>
                <w:b/>
              </w:rPr>
              <w:t xml:space="preserve">Average $ per </w:t>
            </w:r>
            <w:r w:rsidRPr="00F96BD2">
              <w:rPr>
                <w:b/>
                <w:i/>
              </w:rPr>
              <w:t>individual</w:t>
            </w:r>
            <w:r w:rsidRPr="00F96BD2">
              <w:rPr>
                <w:b/>
              </w:rPr>
              <w:t xml:space="preserve"> in the letter group (compared control)</w:t>
            </w:r>
            <w:r w:rsidRPr="00F96BD2">
              <w:rPr>
                <w:b/>
              </w:rPr>
              <w:br/>
            </w:r>
          </w:p>
        </w:tc>
        <w:tc>
          <w:tcPr>
            <w:tcW w:w="1275" w:type="dxa"/>
            <w:gridSpan w:val="2"/>
            <w:shd w:val="clear" w:color="auto" w:fill="142E3B" w:themeFill="accent6"/>
            <w:vAlign w:val="center"/>
          </w:tcPr>
          <w:p w14:paraId="134B3418" w14:textId="77777777" w:rsidR="00F96BD2" w:rsidRPr="00F96BD2" w:rsidRDefault="00F96BD2" w:rsidP="00EA200D">
            <w:pPr>
              <w:pStyle w:val="TableHeading"/>
            </w:pPr>
            <w:r w:rsidRPr="00F96BD2">
              <w:rPr>
                <w:b/>
              </w:rPr>
              <w:t>Standard Error</w:t>
            </w:r>
          </w:p>
        </w:tc>
        <w:tc>
          <w:tcPr>
            <w:tcW w:w="1275" w:type="dxa"/>
            <w:gridSpan w:val="2"/>
            <w:shd w:val="clear" w:color="auto" w:fill="142E3B" w:themeFill="accent6"/>
            <w:vAlign w:val="center"/>
          </w:tcPr>
          <w:p w14:paraId="471A2A0D" w14:textId="77777777" w:rsidR="00F96BD2" w:rsidRPr="00F96BD2" w:rsidRDefault="00F96BD2" w:rsidP="00EA200D">
            <w:pPr>
              <w:pStyle w:val="TableHeading"/>
            </w:pPr>
            <w:r w:rsidRPr="00F96BD2">
              <w:rPr>
                <w:b/>
              </w:rPr>
              <w:t>p-value- difference between control and treatment</w:t>
            </w:r>
          </w:p>
        </w:tc>
        <w:tc>
          <w:tcPr>
            <w:tcW w:w="1419" w:type="dxa"/>
            <w:gridSpan w:val="2"/>
            <w:shd w:val="clear" w:color="auto" w:fill="142E3B" w:themeFill="accent6"/>
            <w:vAlign w:val="center"/>
          </w:tcPr>
          <w:p w14:paraId="51CC0A71" w14:textId="77777777" w:rsidR="00F96BD2" w:rsidRPr="00F96BD2" w:rsidRDefault="00F96BD2" w:rsidP="00EA200D">
            <w:pPr>
              <w:pStyle w:val="TableHeading"/>
            </w:pPr>
            <w:r w:rsidRPr="00F96BD2">
              <w:rPr>
                <w:b/>
              </w:rPr>
              <w:t xml:space="preserve">Average $ per </w:t>
            </w:r>
            <w:r w:rsidRPr="00F96BD2">
              <w:rPr>
                <w:b/>
                <w:i/>
              </w:rPr>
              <w:t>agent</w:t>
            </w:r>
            <w:r w:rsidRPr="00F96BD2">
              <w:rPr>
                <w:b/>
              </w:rPr>
              <w:t xml:space="preserve"> in the letter group (compared to control)</w:t>
            </w:r>
            <w:r w:rsidRPr="00F96BD2">
              <w:rPr>
                <w:b/>
              </w:rPr>
              <w:br/>
            </w:r>
          </w:p>
        </w:tc>
        <w:tc>
          <w:tcPr>
            <w:tcW w:w="1276" w:type="dxa"/>
            <w:gridSpan w:val="3"/>
            <w:shd w:val="clear" w:color="auto" w:fill="142E3B" w:themeFill="accent6"/>
            <w:vAlign w:val="center"/>
          </w:tcPr>
          <w:p w14:paraId="1BB9631A" w14:textId="77777777" w:rsidR="00F96BD2" w:rsidRPr="00F96BD2" w:rsidRDefault="00F96BD2" w:rsidP="00EA200D">
            <w:pPr>
              <w:pStyle w:val="TableHeading"/>
            </w:pPr>
            <w:r w:rsidRPr="00F96BD2">
              <w:rPr>
                <w:b/>
              </w:rPr>
              <w:t>Standard Error</w:t>
            </w:r>
          </w:p>
        </w:tc>
        <w:tc>
          <w:tcPr>
            <w:tcW w:w="1276" w:type="dxa"/>
            <w:gridSpan w:val="2"/>
            <w:shd w:val="clear" w:color="auto" w:fill="142E3B" w:themeFill="accent6"/>
            <w:vAlign w:val="center"/>
          </w:tcPr>
          <w:p w14:paraId="321B8BF3" w14:textId="77777777" w:rsidR="00F96BD2" w:rsidRPr="00F96BD2" w:rsidRDefault="00F96BD2" w:rsidP="00EA200D">
            <w:pPr>
              <w:pStyle w:val="TableHeading"/>
            </w:pPr>
            <w:r w:rsidRPr="00F96BD2">
              <w:rPr>
                <w:b/>
              </w:rPr>
              <w:t>p-value- difference between control and treatment</w:t>
            </w:r>
          </w:p>
        </w:tc>
      </w:tr>
      <w:tr w:rsidR="00F96BD2" w:rsidRPr="000C773E" w14:paraId="3FCDA873" w14:textId="77777777" w:rsidTr="00EA200D">
        <w:trPr>
          <w:gridAfter w:val="1"/>
          <w:wAfter w:w="15" w:type="dxa"/>
          <w:trHeight w:val="20"/>
        </w:trPr>
        <w:tc>
          <w:tcPr>
            <w:tcW w:w="2405" w:type="dxa"/>
            <w:gridSpan w:val="2"/>
            <w:shd w:val="clear" w:color="auto" w:fill="20B9A3" w:themeFill="background2"/>
            <w:vAlign w:val="center"/>
          </w:tcPr>
          <w:p w14:paraId="2F39DCF8" w14:textId="77777777" w:rsidR="00F96BD2" w:rsidRPr="000C773E" w:rsidRDefault="00F96BD2" w:rsidP="00F96BD2">
            <w:pPr>
              <w:spacing w:before="20" w:after="20"/>
              <w:rPr>
                <w:rFonts w:cs="Calibri Light"/>
              </w:rPr>
            </w:pPr>
          </w:p>
        </w:tc>
        <w:tc>
          <w:tcPr>
            <w:tcW w:w="3961" w:type="dxa"/>
            <w:gridSpan w:val="6"/>
            <w:shd w:val="clear" w:color="auto" w:fill="20B9A3" w:themeFill="background2"/>
            <w:vAlign w:val="bottom"/>
          </w:tcPr>
          <w:p w14:paraId="59DED076" w14:textId="77777777" w:rsidR="00F96BD2" w:rsidRPr="008A7D2D" w:rsidRDefault="00F96BD2" w:rsidP="00F96BD2">
            <w:pPr>
              <w:spacing w:before="20" w:after="20"/>
              <w:jc w:val="center"/>
              <w:rPr>
                <w:rFonts w:cs="Calibri Light"/>
              </w:rPr>
            </w:pPr>
            <w:r w:rsidRPr="008A7D2D">
              <w:rPr>
                <w:rFonts w:cs="Calibri Light"/>
                <w:b/>
              </w:rPr>
              <w:t>Individual level (n= 222,194)</w:t>
            </w:r>
          </w:p>
        </w:tc>
        <w:tc>
          <w:tcPr>
            <w:tcW w:w="3826" w:type="dxa"/>
            <w:gridSpan w:val="5"/>
            <w:shd w:val="clear" w:color="auto" w:fill="20B9A3" w:themeFill="background2"/>
            <w:vAlign w:val="bottom"/>
          </w:tcPr>
          <w:p w14:paraId="53F02BD0" w14:textId="77777777" w:rsidR="00F96BD2" w:rsidRPr="008A7D2D" w:rsidRDefault="00F96BD2" w:rsidP="00F96BD2">
            <w:pPr>
              <w:spacing w:before="20" w:after="20"/>
              <w:jc w:val="center"/>
              <w:rPr>
                <w:rFonts w:cs="Calibri Light"/>
              </w:rPr>
            </w:pPr>
            <w:r w:rsidRPr="008A7D2D">
              <w:rPr>
                <w:rFonts w:cs="Calibri Light"/>
                <w:b/>
              </w:rPr>
              <w:t>Agent level (n=2,174)</w:t>
            </w:r>
          </w:p>
        </w:tc>
      </w:tr>
      <w:tr w:rsidR="00F96BD2" w:rsidRPr="000C773E" w14:paraId="557D8A6F" w14:textId="77777777" w:rsidTr="00EA200D">
        <w:trPr>
          <w:gridAfter w:val="1"/>
          <w:wAfter w:w="15" w:type="dxa"/>
          <w:trHeight w:val="20"/>
        </w:trPr>
        <w:tc>
          <w:tcPr>
            <w:tcW w:w="2405" w:type="dxa"/>
            <w:gridSpan w:val="2"/>
            <w:shd w:val="clear" w:color="auto" w:fill="F2F2F2" w:themeFill="background1" w:themeFillShade="F2"/>
            <w:vAlign w:val="center"/>
          </w:tcPr>
          <w:p w14:paraId="4FC40E1B" w14:textId="77777777" w:rsidR="00F96BD2" w:rsidRPr="000C773E" w:rsidRDefault="00F96BD2" w:rsidP="00F96BD2">
            <w:pPr>
              <w:spacing w:before="20" w:after="20"/>
              <w:rPr>
                <w:rFonts w:cs="Calibri Light"/>
              </w:rPr>
            </w:pPr>
            <w:r w:rsidRPr="000C773E">
              <w:rPr>
                <w:rFonts w:cs="Calibri Light"/>
              </w:rPr>
              <w:t xml:space="preserve">WRE deduction </w:t>
            </w:r>
          </w:p>
        </w:tc>
        <w:tc>
          <w:tcPr>
            <w:tcW w:w="1414" w:type="dxa"/>
            <w:gridSpan w:val="2"/>
            <w:shd w:val="clear" w:color="auto" w:fill="F2F2F2" w:themeFill="background1" w:themeFillShade="F2"/>
          </w:tcPr>
          <w:p w14:paraId="2F5E02D8" w14:textId="77777777" w:rsidR="00F96BD2" w:rsidRPr="000C773E" w:rsidRDefault="00F96BD2" w:rsidP="00F96BD2">
            <w:pPr>
              <w:spacing w:before="20" w:after="20"/>
              <w:rPr>
                <w:rFonts w:cs="Calibri Light"/>
              </w:rPr>
            </w:pPr>
            <w:r w:rsidRPr="000C773E">
              <w:rPr>
                <w:rFonts w:cs="Calibri Light"/>
              </w:rPr>
              <w:t>-36.7</w:t>
            </w:r>
          </w:p>
        </w:tc>
        <w:tc>
          <w:tcPr>
            <w:tcW w:w="1272" w:type="dxa"/>
            <w:gridSpan w:val="2"/>
            <w:shd w:val="clear" w:color="auto" w:fill="F2F2F2" w:themeFill="background1" w:themeFillShade="F2"/>
          </w:tcPr>
          <w:p w14:paraId="449FD490" w14:textId="77777777" w:rsidR="00F96BD2" w:rsidRPr="000C773E" w:rsidRDefault="00F96BD2" w:rsidP="00F96BD2">
            <w:pPr>
              <w:spacing w:before="20" w:after="20"/>
              <w:rPr>
                <w:rFonts w:cs="Calibri Light"/>
              </w:rPr>
            </w:pPr>
            <w:r w:rsidRPr="000C773E">
              <w:rPr>
                <w:rFonts w:cs="Calibri Light"/>
              </w:rPr>
              <w:t>16.0</w:t>
            </w:r>
          </w:p>
        </w:tc>
        <w:tc>
          <w:tcPr>
            <w:tcW w:w="1275" w:type="dxa"/>
            <w:gridSpan w:val="2"/>
            <w:shd w:val="clear" w:color="auto" w:fill="F2F2F2" w:themeFill="background1" w:themeFillShade="F2"/>
          </w:tcPr>
          <w:p w14:paraId="42AA65B7" w14:textId="77777777" w:rsidR="00F96BD2" w:rsidRPr="000C773E" w:rsidRDefault="00F96BD2" w:rsidP="00F96BD2">
            <w:pPr>
              <w:spacing w:before="20" w:after="20"/>
              <w:rPr>
                <w:rFonts w:cs="Calibri Light"/>
              </w:rPr>
            </w:pPr>
            <w:r w:rsidRPr="000C773E">
              <w:rPr>
                <w:rFonts w:cs="Calibri Light"/>
              </w:rPr>
              <w:t>0.022</w:t>
            </w:r>
          </w:p>
        </w:tc>
        <w:tc>
          <w:tcPr>
            <w:tcW w:w="1416" w:type="dxa"/>
            <w:gridSpan w:val="2"/>
            <w:shd w:val="clear" w:color="auto" w:fill="F2F2F2" w:themeFill="background1" w:themeFillShade="F2"/>
          </w:tcPr>
          <w:p w14:paraId="1E0CE94F" w14:textId="77777777" w:rsidR="00F96BD2" w:rsidRPr="000C773E" w:rsidRDefault="00F96BD2" w:rsidP="00F96BD2">
            <w:pPr>
              <w:spacing w:before="20" w:after="20"/>
              <w:jc w:val="center"/>
              <w:rPr>
                <w:rFonts w:cs="Calibri Light"/>
              </w:rPr>
            </w:pPr>
            <w:r w:rsidRPr="000C773E">
              <w:rPr>
                <w:rFonts w:cs="Calibri Light"/>
              </w:rPr>
              <w:t>-66.1</w:t>
            </w:r>
          </w:p>
        </w:tc>
        <w:tc>
          <w:tcPr>
            <w:tcW w:w="1134" w:type="dxa"/>
            <w:shd w:val="clear" w:color="auto" w:fill="F2F2F2" w:themeFill="background1" w:themeFillShade="F2"/>
          </w:tcPr>
          <w:p w14:paraId="705F4EA4" w14:textId="77777777" w:rsidR="00F96BD2" w:rsidRPr="000C773E" w:rsidRDefault="00F96BD2" w:rsidP="00F96BD2">
            <w:pPr>
              <w:spacing w:before="20" w:after="20"/>
              <w:jc w:val="center"/>
              <w:rPr>
                <w:rFonts w:cs="Calibri Light"/>
              </w:rPr>
            </w:pPr>
            <w:r w:rsidRPr="000C773E">
              <w:rPr>
                <w:rFonts w:cs="Calibri Light"/>
              </w:rPr>
              <w:t>35.0</w:t>
            </w:r>
          </w:p>
        </w:tc>
        <w:tc>
          <w:tcPr>
            <w:tcW w:w="1276" w:type="dxa"/>
            <w:gridSpan w:val="2"/>
            <w:shd w:val="clear" w:color="auto" w:fill="F2F2F2" w:themeFill="background1" w:themeFillShade="F2"/>
          </w:tcPr>
          <w:p w14:paraId="1358ECB5" w14:textId="77777777" w:rsidR="00F96BD2" w:rsidRPr="000C773E" w:rsidRDefault="00F96BD2" w:rsidP="00F96BD2">
            <w:pPr>
              <w:spacing w:before="20" w:after="20"/>
              <w:jc w:val="center"/>
              <w:rPr>
                <w:rFonts w:cs="Calibri Light"/>
              </w:rPr>
            </w:pPr>
            <w:r w:rsidRPr="000C773E">
              <w:rPr>
                <w:rFonts w:cs="Calibri Light"/>
              </w:rPr>
              <w:t>0.059</w:t>
            </w:r>
          </w:p>
        </w:tc>
      </w:tr>
      <w:tr w:rsidR="00F96BD2" w:rsidRPr="000C773E" w14:paraId="7C280D56" w14:textId="77777777" w:rsidTr="00EA200D">
        <w:trPr>
          <w:gridAfter w:val="1"/>
          <w:wAfter w:w="15" w:type="dxa"/>
          <w:trHeight w:val="20"/>
        </w:trPr>
        <w:tc>
          <w:tcPr>
            <w:tcW w:w="2405" w:type="dxa"/>
            <w:gridSpan w:val="2"/>
            <w:shd w:val="clear" w:color="auto" w:fill="F2F2F2" w:themeFill="background1" w:themeFillShade="F2"/>
            <w:vAlign w:val="center"/>
          </w:tcPr>
          <w:p w14:paraId="4C34A462" w14:textId="77777777" w:rsidR="00F96BD2" w:rsidRPr="000C773E" w:rsidRDefault="00F96BD2" w:rsidP="00F96BD2">
            <w:pPr>
              <w:spacing w:before="20" w:after="20"/>
              <w:rPr>
                <w:rFonts w:cs="Calibri Light"/>
              </w:rPr>
            </w:pPr>
            <w:r w:rsidRPr="000C773E">
              <w:rPr>
                <w:rFonts w:cs="Calibri Light"/>
              </w:rPr>
              <w:t>Net tax paid</w:t>
            </w:r>
          </w:p>
        </w:tc>
        <w:tc>
          <w:tcPr>
            <w:tcW w:w="1414" w:type="dxa"/>
            <w:gridSpan w:val="2"/>
            <w:shd w:val="clear" w:color="auto" w:fill="F2F2F2" w:themeFill="background1" w:themeFillShade="F2"/>
          </w:tcPr>
          <w:p w14:paraId="1A931833" w14:textId="77777777" w:rsidR="00F96BD2" w:rsidRPr="000C773E" w:rsidRDefault="00F96BD2" w:rsidP="00F96BD2">
            <w:pPr>
              <w:spacing w:before="20" w:after="20"/>
              <w:rPr>
                <w:rFonts w:cs="Calibri Light"/>
              </w:rPr>
            </w:pPr>
            <w:r w:rsidRPr="000C773E">
              <w:rPr>
                <w:rFonts w:cs="Calibri Light"/>
              </w:rPr>
              <w:t>1821.2</w:t>
            </w:r>
          </w:p>
        </w:tc>
        <w:tc>
          <w:tcPr>
            <w:tcW w:w="1272" w:type="dxa"/>
            <w:gridSpan w:val="2"/>
            <w:shd w:val="clear" w:color="auto" w:fill="F2F2F2" w:themeFill="background1" w:themeFillShade="F2"/>
          </w:tcPr>
          <w:p w14:paraId="181412C7" w14:textId="77777777" w:rsidR="00F96BD2" w:rsidRPr="000C773E" w:rsidRDefault="00F96BD2" w:rsidP="00F96BD2">
            <w:pPr>
              <w:spacing w:before="20" w:after="20"/>
              <w:rPr>
                <w:rFonts w:cs="Calibri Light"/>
              </w:rPr>
            </w:pPr>
            <w:r w:rsidRPr="000C773E">
              <w:rPr>
                <w:rFonts w:cs="Calibri Light"/>
              </w:rPr>
              <w:t>766.1</w:t>
            </w:r>
          </w:p>
        </w:tc>
        <w:tc>
          <w:tcPr>
            <w:tcW w:w="1275" w:type="dxa"/>
            <w:gridSpan w:val="2"/>
            <w:shd w:val="clear" w:color="auto" w:fill="F2F2F2" w:themeFill="background1" w:themeFillShade="F2"/>
          </w:tcPr>
          <w:p w14:paraId="55212340" w14:textId="77777777" w:rsidR="00F96BD2" w:rsidRPr="000C773E" w:rsidRDefault="00F96BD2" w:rsidP="00F96BD2">
            <w:pPr>
              <w:spacing w:before="20" w:after="20"/>
              <w:rPr>
                <w:rFonts w:cs="Calibri Light"/>
              </w:rPr>
            </w:pPr>
            <w:r w:rsidRPr="000C773E">
              <w:rPr>
                <w:rFonts w:cs="Calibri Light"/>
              </w:rPr>
              <w:t>0.018</w:t>
            </w:r>
          </w:p>
        </w:tc>
        <w:tc>
          <w:tcPr>
            <w:tcW w:w="1416" w:type="dxa"/>
            <w:gridSpan w:val="2"/>
            <w:shd w:val="clear" w:color="auto" w:fill="F2F2F2" w:themeFill="background1" w:themeFillShade="F2"/>
          </w:tcPr>
          <w:p w14:paraId="7352289C" w14:textId="77777777" w:rsidR="00F96BD2" w:rsidRPr="000C773E" w:rsidRDefault="00F96BD2" w:rsidP="00F96BD2">
            <w:pPr>
              <w:spacing w:before="20" w:after="20"/>
              <w:jc w:val="center"/>
              <w:rPr>
                <w:rFonts w:cs="Calibri Light"/>
              </w:rPr>
            </w:pPr>
            <w:r w:rsidRPr="000C773E">
              <w:rPr>
                <w:rFonts w:cs="Calibri Light"/>
              </w:rPr>
              <w:t>-10.1</w:t>
            </w:r>
          </w:p>
        </w:tc>
        <w:tc>
          <w:tcPr>
            <w:tcW w:w="1134" w:type="dxa"/>
            <w:shd w:val="clear" w:color="auto" w:fill="F2F2F2" w:themeFill="background1" w:themeFillShade="F2"/>
          </w:tcPr>
          <w:p w14:paraId="31ECEB20" w14:textId="77777777" w:rsidR="00F96BD2" w:rsidRPr="000C773E" w:rsidRDefault="00F96BD2" w:rsidP="00F96BD2">
            <w:pPr>
              <w:spacing w:before="20" w:after="20"/>
              <w:jc w:val="center"/>
              <w:rPr>
                <w:rFonts w:cs="Calibri Light"/>
              </w:rPr>
            </w:pPr>
            <w:r w:rsidRPr="000C773E">
              <w:rPr>
                <w:rFonts w:cs="Calibri Light"/>
              </w:rPr>
              <w:t>573.4</w:t>
            </w:r>
          </w:p>
        </w:tc>
        <w:tc>
          <w:tcPr>
            <w:tcW w:w="1276" w:type="dxa"/>
            <w:gridSpan w:val="2"/>
            <w:shd w:val="clear" w:color="auto" w:fill="F2F2F2" w:themeFill="background1" w:themeFillShade="F2"/>
          </w:tcPr>
          <w:p w14:paraId="6904E73D" w14:textId="77777777" w:rsidR="00F96BD2" w:rsidRPr="000C773E" w:rsidRDefault="00F96BD2" w:rsidP="00F96BD2">
            <w:pPr>
              <w:spacing w:before="20" w:after="20"/>
              <w:jc w:val="center"/>
              <w:rPr>
                <w:rFonts w:cs="Calibri Light"/>
              </w:rPr>
            </w:pPr>
            <w:r w:rsidRPr="000C773E">
              <w:rPr>
                <w:rFonts w:cs="Calibri Light"/>
              </w:rPr>
              <w:t>0.986</w:t>
            </w:r>
          </w:p>
        </w:tc>
      </w:tr>
      <w:tr w:rsidR="00F96BD2" w:rsidRPr="000C773E" w14:paraId="53D069AD" w14:textId="77777777" w:rsidTr="00EA200D">
        <w:trPr>
          <w:gridAfter w:val="1"/>
          <w:wAfter w:w="15" w:type="dxa"/>
          <w:trHeight w:val="604"/>
        </w:trPr>
        <w:tc>
          <w:tcPr>
            <w:tcW w:w="2405" w:type="dxa"/>
            <w:gridSpan w:val="2"/>
            <w:shd w:val="clear" w:color="auto" w:fill="F2F2F2" w:themeFill="background1" w:themeFillShade="F2"/>
            <w:vAlign w:val="center"/>
          </w:tcPr>
          <w:p w14:paraId="279497F3" w14:textId="77777777" w:rsidR="00F96BD2" w:rsidRPr="000C773E" w:rsidRDefault="00F96BD2" w:rsidP="00F96BD2">
            <w:pPr>
              <w:spacing w:before="20" w:after="20"/>
              <w:rPr>
                <w:rFonts w:cs="Calibri Light"/>
              </w:rPr>
            </w:pPr>
            <w:r w:rsidRPr="000C773E">
              <w:rPr>
                <w:rFonts w:cs="Calibri Light"/>
              </w:rPr>
              <w:t xml:space="preserve">Other deductions </w:t>
            </w:r>
          </w:p>
        </w:tc>
        <w:tc>
          <w:tcPr>
            <w:tcW w:w="1414" w:type="dxa"/>
            <w:gridSpan w:val="2"/>
            <w:shd w:val="clear" w:color="auto" w:fill="F2F2F2" w:themeFill="background1" w:themeFillShade="F2"/>
          </w:tcPr>
          <w:p w14:paraId="0A961AED" w14:textId="77777777" w:rsidR="00F96BD2" w:rsidRPr="000C773E" w:rsidRDefault="00F96BD2" w:rsidP="00F96BD2">
            <w:pPr>
              <w:spacing w:before="20" w:after="20"/>
              <w:rPr>
                <w:rFonts w:cs="Calibri Light"/>
              </w:rPr>
            </w:pPr>
            <w:r w:rsidRPr="000C773E">
              <w:rPr>
                <w:rFonts w:cs="Calibri Light"/>
              </w:rPr>
              <w:t>395.4</w:t>
            </w:r>
          </w:p>
        </w:tc>
        <w:tc>
          <w:tcPr>
            <w:tcW w:w="1272" w:type="dxa"/>
            <w:gridSpan w:val="2"/>
            <w:shd w:val="clear" w:color="auto" w:fill="F2F2F2" w:themeFill="background1" w:themeFillShade="F2"/>
          </w:tcPr>
          <w:p w14:paraId="3B939AD0" w14:textId="77777777" w:rsidR="00F96BD2" w:rsidRPr="000C773E" w:rsidRDefault="00F96BD2" w:rsidP="00F96BD2">
            <w:pPr>
              <w:spacing w:before="20" w:after="20"/>
              <w:rPr>
                <w:rFonts w:cs="Calibri Light"/>
              </w:rPr>
            </w:pPr>
            <w:r w:rsidRPr="000C773E">
              <w:rPr>
                <w:rFonts w:cs="Calibri Light"/>
              </w:rPr>
              <w:t>115.3</w:t>
            </w:r>
          </w:p>
        </w:tc>
        <w:tc>
          <w:tcPr>
            <w:tcW w:w="1275" w:type="dxa"/>
            <w:gridSpan w:val="2"/>
            <w:shd w:val="clear" w:color="auto" w:fill="F2F2F2" w:themeFill="background1" w:themeFillShade="F2"/>
          </w:tcPr>
          <w:p w14:paraId="28A6F78E" w14:textId="77777777" w:rsidR="00F96BD2" w:rsidRPr="000C773E" w:rsidRDefault="00F96BD2" w:rsidP="00F96BD2">
            <w:pPr>
              <w:spacing w:before="20" w:after="20"/>
              <w:rPr>
                <w:rFonts w:cs="Calibri Light"/>
              </w:rPr>
            </w:pPr>
            <w:r w:rsidRPr="000C773E">
              <w:rPr>
                <w:rFonts w:cs="Calibri Light"/>
              </w:rPr>
              <w:t>0.001</w:t>
            </w:r>
          </w:p>
        </w:tc>
        <w:tc>
          <w:tcPr>
            <w:tcW w:w="1416" w:type="dxa"/>
            <w:gridSpan w:val="2"/>
            <w:shd w:val="clear" w:color="auto" w:fill="F2F2F2" w:themeFill="background1" w:themeFillShade="F2"/>
          </w:tcPr>
          <w:p w14:paraId="2873BBD5" w14:textId="77777777" w:rsidR="00F96BD2" w:rsidRPr="000C773E" w:rsidRDefault="00F96BD2" w:rsidP="00F96BD2">
            <w:pPr>
              <w:spacing w:before="20" w:after="20"/>
              <w:jc w:val="center"/>
              <w:rPr>
                <w:rFonts w:cs="Calibri Light"/>
              </w:rPr>
            </w:pPr>
            <w:r w:rsidRPr="000C773E">
              <w:rPr>
                <w:rFonts w:cs="Calibri Light"/>
              </w:rPr>
              <w:t>83.1</w:t>
            </w:r>
          </w:p>
        </w:tc>
        <w:tc>
          <w:tcPr>
            <w:tcW w:w="1134" w:type="dxa"/>
            <w:shd w:val="clear" w:color="auto" w:fill="F2F2F2" w:themeFill="background1" w:themeFillShade="F2"/>
          </w:tcPr>
          <w:p w14:paraId="7AF9AB86" w14:textId="77777777" w:rsidR="00F96BD2" w:rsidRPr="000C773E" w:rsidRDefault="00F96BD2" w:rsidP="00F96BD2">
            <w:pPr>
              <w:spacing w:before="20" w:after="20"/>
              <w:jc w:val="center"/>
              <w:rPr>
                <w:rFonts w:cs="Calibri Light"/>
              </w:rPr>
            </w:pPr>
            <w:r w:rsidRPr="000C773E">
              <w:rPr>
                <w:rFonts w:cs="Calibri Light"/>
              </w:rPr>
              <w:t>93.5</w:t>
            </w:r>
          </w:p>
        </w:tc>
        <w:tc>
          <w:tcPr>
            <w:tcW w:w="1276" w:type="dxa"/>
            <w:gridSpan w:val="2"/>
            <w:shd w:val="clear" w:color="auto" w:fill="F2F2F2" w:themeFill="background1" w:themeFillShade="F2"/>
          </w:tcPr>
          <w:p w14:paraId="57362904" w14:textId="77777777" w:rsidR="00F96BD2" w:rsidRPr="000C773E" w:rsidRDefault="00F96BD2" w:rsidP="00F96BD2">
            <w:pPr>
              <w:spacing w:before="20" w:after="20"/>
              <w:jc w:val="center"/>
              <w:rPr>
                <w:rFonts w:cs="Calibri Light"/>
              </w:rPr>
            </w:pPr>
            <w:r w:rsidRPr="000C773E">
              <w:rPr>
                <w:rFonts w:cs="Calibri Light"/>
              </w:rPr>
              <w:t>0.374</w:t>
            </w:r>
          </w:p>
        </w:tc>
      </w:tr>
      <w:tr w:rsidR="00F96BD2" w:rsidRPr="000C773E" w14:paraId="123B1799" w14:textId="77777777" w:rsidTr="00EA200D">
        <w:trPr>
          <w:gridAfter w:val="1"/>
          <w:wAfter w:w="15" w:type="dxa"/>
          <w:trHeight w:val="20"/>
        </w:trPr>
        <w:tc>
          <w:tcPr>
            <w:tcW w:w="2405" w:type="dxa"/>
            <w:gridSpan w:val="2"/>
            <w:shd w:val="clear" w:color="auto" w:fill="F2F2F2" w:themeFill="background1" w:themeFillShade="F2"/>
            <w:vAlign w:val="center"/>
          </w:tcPr>
          <w:p w14:paraId="7D72E8E9" w14:textId="77777777" w:rsidR="00F96BD2" w:rsidRPr="000C773E" w:rsidRDefault="00F96BD2" w:rsidP="00F96BD2">
            <w:pPr>
              <w:spacing w:before="20" w:after="20"/>
              <w:rPr>
                <w:rFonts w:cs="Calibri Light"/>
              </w:rPr>
            </w:pPr>
            <w:r w:rsidRPr="000C773E">
              <w:rPr>
                <w:rFonts w:cs="Calibri Light"/>
              </w:rPr>
              <w:t>All deductions (WRE + Other)</w:t>
            </w:r>
          </w:p>
        </w:tc>
        <w:tc>
          <w:tcPr>
            <w:tcW w:w="1414" w:type="dxa"/>
            <w:gridSpan w:val="2"/>
            <w:shd w:val="clear" w:color="auto" w:fill="F2F2F2" w:themeFill="background1" w:themeFillShade="F2"/>
          </w:tcPr>
          <w:p w14:paraId="3C5E3565" w14:textId="77777777" w:rsidR="00F96BD2" w:rsidRPr="000C773E" w:rsidRDefault="00F96BD2" w:rsidP="00F96BD2">
            <w:pPr>
              <w:spacing w:before="20" w:after="20"/>
              <w:rPr>
                <w:rFonts w:cs="Calibri Light"/>
              </w:rPr>
            </w:pPr>
            <w:r w:rsidRPr="000C773E">
              <w:rPr>
                <w:rFonts w:cs="Calibri Light"/>
              </w:rPr>
              <w:t>358.7</w:t>
            </w:r>
          </w:p>
        </w:tc>
        <w:tc>
          <w:tcPr>
            <w:tcW w:w="1272" w:type="dxa"/>
            <w:gridSpan w:val="2"/>
            <w:shd w:val="clear" w:color="auto" w:fill="F2F2F2" w:themeFill="background1" w:themeFillShade="F2"/>
          </w:tcPr>
          <w:p w14:paraId="05333C30" w14:textId="77777777" w:rsidR="00F96BD2" w:rsidRPr="000C773E" w:rsidRDefault="00F96BD2" w:rsidP="00F96BD2">
            <w:pPr>
              <w:spacing w:before="20" w:after="20"/>
              <w:rPr>
                <w:rFonts w:cs="Calibri Light"/>
              </w:rPr>
            </w:pPr>
            <w:r w:rsidRPr="000C773E">
              <w:rPr>
                <w:rFonts w:cs="Calibri Light"/>
              </w:rPr>
              <w:t>119.2</w:t>
            </w:r>
          </w:p>
        </w:tc>
        <w:tc>
          <w:tcPr>
            <w:tcW w:w="1275" w:type="dxa"/>
            <w:gridSpan w:val="2"/>
            <w:shd w:val="clear" w:color="auto" w:fill="F2F2F2" w:themeFill="background1" w:themeFillShade="F2"/>
          </w:tcPr>
          <w:p w14:paraId="19989E69" w14:textId="77777777" w:rsidR="00F96BD2" w:rsidRPr="000C773E" w:rsidRDefault="00F96BD2" w:rsidP="00F96BD2">
            <w:pPr>
              <w:spacing w:before="20" w:after="20"/>
              <w:rPr>
                <w:rFonts w:cs="Calibri Light"/>
              </w:rPr>
            </w:pPr>
            <w:r w:rsidRPr="000C773E">
              <w:rPr>
                <w:rFonts w:cs="Calibri Light"/>
              </w:rPr>
              <w:t>0.003</w:t>
            </w:r>
          </w:p>
        </w:tc>
        <w:tc>
          <w:tcPr>
            <w:tcW w:w="1416" w:type="dxa"/>
            <w:gridSpan w:val="2"/>
            <w:shd w:val="clear" w:color="auto" w:fill="F2F2F2" w:themeFill="background1" w:themeFillShade="F2"/>
          </w:tcPr>
          <w:p w14:paraId="0F01D2A0" w14:textId="77777777" w:rsidR="00F96BD2" w:rsidRPr="000C773E" w:rsidRDefault="00F96BD2" w:rsidP="00F96BD2">
            <w:pPr>
              <w:spacing w:before="20" w:after="20"/>
              <w:jc w:val="center"/>
              <w:rPr>
                <w:rFonts w:cs="Calibri Light"/>
              </w:rPr>
            </w:pPr>
            <w:r w:rsidRPr="000C773E">
              <w:rPr>
                <w:rFonts w:cs="Calibri Light"/>
              </w:rPr>
              <w:t>16.9</w:t>
            </w:r>
          </w:p>
        </w:tc>
        <w:tc>
          <w:tcPr>
            <w:tcW w:w="1134" w:type="dxa"/>
            <w:shd w:val="clear" w:color="auto" w:fill="F2F2F2" w:themeFill="background1" w:themeFillShade="F2"/>
          </w:tcPr>
          <w:p w14:paraId="53FA0B9B" w14:textId="77777777" w:rsidR="00F96BD2" w:rsidRPr="000C773E" w:rsidRDefault="00F96BD2" w:rsidP="00F96BD2">
            <w:pPr>
              <w:spacing w:before="20" w:after="20"/>
              <w:jc w:val="center"/>
              <w:rPr>
                <w:rFonts w:cs="Calibri Light"/>
              </w:rPr>
            </w:pPr>
            <w:r w:rsidRPr="000C773E">
              <w:rPr>
                <w:rFonts w:cs="Calibri Light"/>
              </w:rPr>
              <w:t>102.2</w:t>
            </w:r>
          </w:p>
        </w:tc>
        <w:tc>
          <w:tcPr>
            <w:tcW w:w="1276" w:type="dxa"/>
            <w:gridSpan w:val="2"/>
            <w:shd w:val="clear" w:color="auto" w:fill="F2F2F2" w:themeFill="background1" w:themeFillShade="F2"/>
          </w:tcPr>
          <w:p w14:paraId="3A9C1E16" w14:textId="77777777" w:rsidR="00F96BD2" w:rsidRPr="000C773E" w:rsidRDefault="00F96BD2" w:rsidP="00F96BD2">
            <w:pPr>
              <w:spacing w:before="20" w:after="20"/>
              <w:jc w:val="center"/>
              <w:rPr>
                <w:rFonts w:cs="Calibri Light"/>
              </w:rPr>
            </w:pPr>
            <w:r w:rsidRPr="000C773E">
              <w:rPr>
                <w:rFonts w:cs="Calibri Light"/>
              </w:rPr>
              <w:t>0.868</w:t>
            </w:r>
          </w:p>
        </w:tc>
      </w:tr>
      <w:tr w:rsidR="00F96BD2" w:rsidRPr="000C773E" w14:paraId="5A6A7F0E" w14:textId="77777777" w:rsidTr="00EA200D">
        <w:trPr>
          <w:gridAfter w:val="1"/>
          <w:wAfter w:w="15" w:type="dxa"/>
          <w:trHeight w:val="20"/>
        </w:trPr>
        <w:tc>
          <w:tcPr>
            <w:tcW w:w="2405" w:type="dxa"/>
            <w:gridSpan w:val="2"/>
            <w:shd w:val="clear" w:color="auto" w:fill="F2F2F2" w:themeFill="background1" w:themeFillShade="F2"/>
            <w:vAlign w:val="bottom"/>
          </w:tcPr>
          <w:p w14:paraId="000507C0" w14:textId="77777777" w:rsidR="00F96BD2" w:rsidRPr="000C773E" w:rsidRDefault="00F96BD2" w:rsidP="00F96BD2">
            <w:pPr>
              <w:spacing w:before="20" w:after="20"/>
              <w:rPr>
                <w:rFonts w:cs="Calibri Light"/>
              </w:rPr>
            </w:pPr>
            <w:r w:rsidRPr="000C773E">
              <w:rPr>
                <w:rFonts w:cs="Calibri Light"/>
              </w:rPr>
              <w:t>WRE deduction (cars)</w:t>
            </w:r>
          </w:p>
        </w:tc>
        <w:tc>
          <w:tcPr>
            <w:tcW w:w="1414" w:type="dxa"/>
            <w:gridSpan w:val="2"/>
            <w:shd w:val="clear" w:color="auto" w:fill="F2F2F2" w:themeFill="background1" w:themeFillShade="F2"/>
          </w:tcPr>
          <w:p w14:paraId="5C0708F2" w14:textId="77777777" w:rsidR="00F96BD2" w:rsidRPr="000C773E" w:rsidRDefault="00F96BD2" w:rsidP="00F96BD2">
            <w:pPr>
              <w:spacing w:before="20" w:after="20"/>
              <w:rPr>
                <w:rFonts w:cs="Calibri Light"/>
              </w:rPr>
            </w:pPr>
            <w:r w:rsidRPr="000C773E">
              <w:rPr>
                <w:rFonts w:cs="Calibri Light"/>
              </w:rPr>
              <w:t>-34.9</w:t>
            </w:r>
          </w:p>
        </w:tc>
        <w:tc>
          <w:tcPr>
            <w:tcW w:w="1272" w:type="dxa"/>
            <w:gridSpan w:val="2"/>
            <w:shd w:val="clear" w:color="auto" w:fill="F2F2F2" w:themeFill="background1" w:themeFillShade="F2"/>
          </w:tcPr>
          <w:p w14:paraId="14EF0E99" w14:textId="77777777" w:rsidR="00F96BD2" w:rsidRPr="000C773E" w:rsidRDefault="00F96BD2" w:rsidP="00F96BD2">
            <w:pPr>
              <w:spacing w:before="20" w:after="20"/>
              <w:rPr>
                <w:rFonts w:cs="Calibri Light"/>
              </w:rPr>
            </w:pPr>
            <w:r w:rsidRPr="000C773E">
              <w:rPr>
                <w:rFonts w:cs="Calibri Light"/>
              </w:rPr>
              <w:t>9.7</w:t>
            </w:r>
          </w:p>
        </w:tc>
        <w:tc>
          <w:tcPr>
            <w:tcW w:w="1275" w:type="dxa"/>
            <w:gridSpan w:val="2"/>
            <w:shd w:val="clear" w:color="auto" w:fill="F2F2F2" w:themeFill="background1" w:themeFillShade="F2"/>
          </w:tcPr>
          <w:p w14:paraId="320FCD63" w14:textId="77777777" w:rsidR="00F96BD2" w:rsidRPr="000C773E" w:rsidRDefault="00F96BD2" w:rsidP="00F96BD2">
            <w:pPr>
              <w:spacing w:before="20" w:after="20"/>
              <w:rPr>
                <w:rFonts w:cs="Calibri Light"/>
              </w:rPr>
            </w:pPr>
            <w:r w:rsidRPr="000C773E">
              <w:rPr>
                <w:rFonts w:cs="Calibri Light"/>
              </w:rPr>
              <w:t>&lt;0.001</w:t>
            </w:r>
          </w:p>
        </w:tc>
        <w:tc>
          <w:tcPr>
            <w:tcW w:w="1416" w:type="dxa"/>
            <w:gridSpan w:val="2"/>
            <w:shd w:val="clear" w:color="auto" w:fill="F2F2F2" w:themeFill="background1" w:themeFillShade="F2"/>
          </w:tcPr>
          <w:p w14:paraId="23472596" w14:textId="77777777" w:rsidR="00F96BD2" w:rsidRPr="000C773E" w:rsidRDefault="00F96BD2" w:rsidP="00F96BD2">
            <w:pPr>
              <w:spacing w:before="20" w:after="20"/>
              <w:jc w:val="center"/>
              <w:rPr>
                <w:rFonts w:cs="Calibri Light"/>
              </w:rPr>
            </w:pPr>
            <w:r w:rsidRPr="000C773E">
              <w:rPr>
                <w:rFonts w:cs="Calibri Light"/>
              </w:rPr>
              <w:t>-34.1</w:t>
            </w:r>
          </w:p>
        </w:tc>
        <w:tc>
          <w:tcPr>
            <w:tcW w:w="1134" w:type="dxa"/>
            <w:shd w:val="clear" w:color="auto" w:fill="F2F2F2" w:themeFill="background1" w:themeFillShade="F2"/>
          </w:tcPr>
          <w:p w14:paraId="7B799E11" w14:textId="77777777" w:rsidR="00F96BD2" w:rsidRPr="000C773E" w:rsidRDefault="00F96BD2" w:rsidP="00F96BD2">
            <w:pPr>
              <w:spacing w:before="20" w:after="20"/>
              <w:jc w:val="center"/>
              <w:rPr>
                <w:rFonts w:cs="Calibri Light"/>
              </w:rPr>
            </w:pPr>
            <w:r w:rsidRPr="000C773E">
              <w:rPr>
                <w:rFonts w:cs="Calibri Light"/>
              </w:rPr>
              <w:t>20.2</w:t>
            </w:r>
          </w:p>
        </w:tc>
        <w:tc>
          <w:tcPr>
            <w:tcW w:w="1276" w:type="dxa"/>
            <w:gridSpan w:val="2"/>
            <w:shd w:val="clear" w:color="auto" w:fill="F2F2F2" w:themeFill="background1" w:themeFillShade="F2"/>
          </w:tcPr>
          <w:p w14:paraId="03B1E352" w14:textId="77777777" w:rsidR="00F96BD2" w:rsidRPr="000C773E" w:rsidRDefault="00F96BD2" w:rsidP="00F96BD2">
            <w:pPr>
              <w:spacing w:before="20" w:after="20"/>
              <w:jc w:val="center"/>
              <w:rPr>
                <w:rFonts w:cs="Calibri Light"/>
              </w:rPr>
            </w:pPr>
            <w:r w:rsidRPr="000C773E">
              <w:rPr>
                <w:rFonts w:cs="Calibri Light"/>
              </w:rPr>
              <w:t>0.092</w:t>
            </w:r>
          </w:p>
        </w:tc>
      </w:tr>
      <w:tr w:rsidR="00F96BD2" w:rsidRPr="000C773E" w14:paraId="78FC8613" w14:textId="77777777" w:rsidTr="00EA200D">
        <w:trPr>
          <w:gridAfter w:val="1"/>
          <w:wAfter w:w="15" w:type="dxa"/>
          <w:trHeight w:val="20"/>
        </w:trPr>
        <w:tc>
          <w:tcPr>
            <w:tcW w:w="2405" w:type="dxa"/>
            <w:gridSpan w:val="2"/>
            <w:shd w:val="clear" w:color="auto" w:fill="F2F2F2" w:themeFill="background1" w:themeFillShade="F2"/>
            <w:vAlign w:val="bottom"/>
          </w:tcPr>
          <w:p w14:paraId="429913C1" w14:textId="77777777" w:rsidR="00F96BD2" w:rsidRPr="000C773E" w:rsidRDefault="00F96BD2" w:rsidP="00F96BD2">
            <w:pPr>
              <w:spacing w:before="20" w:after="20"/>
              <w:rPr>
                <w:rFonts w:cs="Calibri Light"/>
              </w:rPr>
            </w:pPr>
            <w:r w:rsidRPr="000C773E">
              <w:rPr>
                <w:rFonts w:cs="Calibri Light"/>
              </w:rPr>
              <w:t>WRE deduction (travel)</w:t>
            </w:r>
          </w:p>
        </w:tc>
        <w:tc>
          <w:tcPr>
            <w:tcW w:w="1414" w:type="dxa"/>
            <w:gridSpan w:val="2"/>
            <w:shd w:val="clear" w:color="auto" w:fill="F2F2F2" w:themeFill="background1" w:themeFillShade="F2"/>
          </w:tcPr>
          <w:p w14:paraId="05979A86" w14:textId="77777777" w:rsidR="00F96BD2" w:rsidRPr="000C773E" w:rsidRDefault="00F96BD2" w:rsidP="00F96BD2">
            <w:pPr>
              <w:spacing w:before="20" w:after="20"/>
              <w:rPr>
                <w:rFonts w:cs="Calibri Light"/>
              </w:rPr>
            </w:pPr>
            <w:r w:rsidRPr="000C773E">
              <w:rPr>
                <w:rFonts w:cs="Calibri Light"/>
              </w:rPr>
              <w:t>-3.2</w:t>
            </w:r>
          </w:p>
        </w:tc>
        <w:tc>
          <w:tcPr>
            <w:tcW w:w="1272" w:type="dxa"/>
            <w:gridSpan w:val="2"/>
            <w:shd w:val="clear" w:color="auto" w:fill="F2F2F2" w:themeFill="background1" w:themeFillShade="F2"/>
          </w:tcPr>
          <w:p w14:paraId="240FBE21" w14:textId="77777777" w:rsidR="00F96BD2" w:rsidRPr="000C773E" w:rsidRDefault="00F96BD2" w:rsidP="00F96BD2">
            <w:pPr>
              <w:spacing w:before="20" w:after="20"/>
              <w:rPr>
                <w:rFonts w:cs="Calibri Light"/>
              </w:rPr>
            </w:pPr>
            <w:r w:rsidRPr="000C773E">
              <w:rPr>
                <w:rFonts w:cs="Calibri Light"/>
              </w:rPr>
              <w:t>5.4</w:t>
            </w:r>
          </w:p>
        </w:tc>
        <w:tc>
          <w:tcPr>
            <w:tcW w:w="1275" w:type="dxa"/>
            <w:gridSpan w:val="2"/>
            <w:shd w:val="clear" w:color="auto" w:fill="F2F2F2" w:themeFill="background1" w:themeFillShade="F2"/>
          </w:tcPr>
          <w:p w14:paraId="0AFDBB5A" w14:textId="77777777" w:rsidR="00F96BD2" w:rsidRPr="000C773E" w:rsidRDefault="00F96BD2" w:rsidP="00F96BD2">
            <w:pPr>
              <w:spacing w:before="20" w:after="20"/>
              <w:rPr>
                <w:rFonts w:cs="Calibri Light"/>
              </w:rPr>
            </w:pPr>
            <w:r w:rsidRPr="000C773E">
              <w:rPr>
                <w:rFonts w:cs="Calibri Light"/>
              </w:rPr>
              <w:t>0.550</w:t>
            </w:r>
          </w:p>
        </w:tc>
        <w:tc>
          <w:tcPr>
            <w:tcW w:w="1416" w:type="dxa"/>
            <w:gridSpan w:val="2"/>
            <w:shd w:val="clear" w:color="auto" w:fill="F2F2F2" w:themeFill="background1" w:themeFillShade="F2"/>
          </w:tcPr>
          <w:p w14:paraId="43092A7C" w14:textId="77777777" w:rsidR="00F96BD2" w:rsidRPr="000C773E" w:rsidRDefault="00F96BD2" w:rsidP="00F96BD2">
            <w:pPr>
              <w:spacing w:before="20" w:after="20"/>
              <w:jc w:val="center"/>
              <w:rPr>
                <w:rFonts w:cs="Calibri Light"/>
              </w:rPr>
            </w:pPr>
            <w:r w:rsidRPr="000C773E">
              <w:rPr>
                <w:rFonts w:cs="Calibri Light"/>
              </w:rPr>
              <w:t>-24.1</w:t>
            </w:r>
          </w:p>
        </w:tc>
        <w:tc>
          <w:tcPr>
            <w:tcW w:w="1134" w:type="dxa"/>
            <w:shd w:val="clear" w:color="auto" w:fill="F2F2F2" w:themeFill="background1" w:themeFillShade="F2"/>
          </w:tcPr>
          <w:p w14:paraId="51AFB921" w14:textId="77777777" w:rsidR="00F96BD2" w:rsidRPr="000C773E" w:rsidRDefault="00F96BD2" w:rsidP="00F96BD2">
            <w:pPr>
              <w:spacing w:before="20" w:after="20"/>
              <w:jc w:val="center"/>
              <w:rPr>
                <w:rFonts w:cs="Calibri Light"/>
              </w:rPr>
            </w:pPr>
            <w:r w:rsidRPr="000C773E">
              <w:rPr>
                <w:rFonts w:cs="Calibri Light"/>
              </w:rPr>
              <w:t>11.6</w:t>
            </w:r>
          </w:p>
        </w:tc>
        <w:tc>
          <w:tcPr>
            <w:tcW w:w="1276" w:type="dxa"/>
            <w:gridSpan w:val="2"/>
            <w:shd w:val="clear" w:color="auto" w:fill="F2F2F2" w:themeFill="background1" w:themeFillShade="F2"/>
          </w:tcPr>
          <w:p w14:paraId="5D5DF7E9" w14:textId="77777777" w:rsidR="00F96BD2" w:rsidRPr="000C773E" w:rsidRDefault="00F96BD2" w:rsidP="00F96BD2">
            <w:pPr>
              <w:spacing w:before="20" w:after="20"/>
              <w:jc w:val="center"/>
              <w:rPr>
                <w:rFonts w:cs="Calibri Light"/>
              </w:rPr>
            </w:pPr>
            <w:r w:rsidRPr="000C773E">
              <w:rPr>
                <w:rFonts w:cs="Calibri Light"/>
              </w:rPr>
              <w:t>0.039</w:t>
            </w:r>
          </w:p>
        </w:tc>
      </w:tr>
      <w:tr w:rsidR="00F96BD2" w:rsidRPr="000C773E" w14:paraId="2E2ECA05" w14:textId="77777777" w:rsidTr="00EA200D">
        <w:trPr>
          <w:gridAfter w:val="1"/>
          <w:wAfter w:w="15" w:type="dxa"/>
          <w:trHeight w:val="20"/>
        </w:trPr>
        <w:tc>
          <w:tcPr>
            <w:tcW w:w="2405" w:type="dxa"/>
            <w:gridSpan w:val="2"/>
            <w:shd w:val="clear" w:color="auto" w:fill="F2F2F2" w:themeFill="background1" w:themeFillShade="F2"/>
            <w:vAlign w:val="bottom"/>
          </w:tcPr>
          <w:p w14:paraId="0AB07E57" w14:textId="77777777" w:rsidR="00F96BD2" w:rsidRPr="000C773E" w:rsidRDefault="00F96BD2" w:rsidP="00F96BD2">
            <w:pPr>
              <w:spacing w:before="20" w:after="20"/>
              <w:rPr>
                <w:rFonts w:cs="Calibri Light"/>
              </w:rPr>
            </w:pPr>
            <w:r w:rsidRPr="000C773E">
              <w:rPr>
                <w:rFonts w:cs="Calibri Light"/>
              </w:rPr>
              <w:t>WRE deduction (clothing)</w:t>
            </w:r>
          </w:p>
        </w:tc>
        <w:tc>
          <w:tcPr>
            <w:tcW w:w="1414" w:type="dxa"/>
            <w:gridSpan w:val="2"/>
            <w:shd w:val="clear" w:color="auto" w:fill="F2F2F2" w:themeFill="background1" w:themeFillShade="F2"/>
          </w:tcPr>
          <w:p w14:paraId="2FEB97C3" w14:textId="77777777" w:rsidR="00F96BD2" w:rsidRPr="000C773E" w:rsidRDefault="00F96BD2" w:rsidP="00F96BD2">
            <w:pPr>
              <w:spacing w:before="20" w:after="20"/>
              <w:rPr>
                <w:rFonts w:cs="Calibri Light"/>
              </w:rPr>
            </w:pPr>
            <w:r w:rsidRPr="000C773E">
              <w:rPr>
                <w:rFonts w:cs="Calibri Light"/>
              </w:rPr>
              <w:t>1.2</w:t>
            </w:r>
          </w:p>
        </w:tc>
        <w:tc>
          <w:tcPr>
            <w:tcW w:w="1272" w:type="dxa"/>
            <w:gridSpan w:val="2"/>
            <w:shd w:val="clear" w:color="auto" w:fill="F2F2F2" w:themeFill="background1" w:themeFillShade="F2"/>
          </w:tcPr>
          <w:p w14:paraId="7C29EA9A" w14:textId="77777777" w:rsidR="00F96BD2" w:rsidRPr="000C773E" w:rsidRDefault="00F96BD2" w:rsidP="00F96BD2">
            <w:pPr>
              <w:spacing w:before="20" w:after="20"/>
              <w:rPr>
                <w:rFonts w:cs="Calibri Light"/>
              </w:rPr>
            </w:pPr>
            <w:r w:rsidRPr="000C773E">
              <w:rPr>
                <w:rFonts w:cs="Calibri Light"/>
              </w:rPr>
              <w:t>1.4</w:t>
            </w:r>
          </w:p>
        </w:tc>
        <w:tc>
          <w:tcPr>
            <w:tcW w:w="1275" w:type="dxa"/>
            <w:gridSpan w:val="2"/>
            <w:shd w:val="clear" w:color="auto" w:fill="F2F2F2" w:themeFill="background1" w:themeFillShade="F2"/>
          </w:tcPr>
          <w:p w14:paraId="6F1A232F" w14:textId="77777777" w:rsidR="00F96BD2" w:rsidRPr="000C773E" w:rsidRDefault="00F96BD2" w:rsidP="00F96BD2">
            <w:pPr>
              <w:spacing w:before="20" w:after="20"/>
              <w:rPr>
                <w:rFonts w:cs="Calibri Light"/>
              </w:rPr>
            </w:pPr>
            <w:r w:rsidRPr="000C773E">
              <w:rPr>
                <w:rFonts w:cs="Calibri Light"/>
              </w:rPr>
              <w:t>0.401</w:t>
            </w:r>
          </w:p>
        </w:tc>
        <w:tc>
          <w:tcPr>
            <w:tcW w:w="1416" w:type="dxa"/>
            <w:gridSpan w:val="2"/>
            <w:shd w:val="clear" w:color="auto" w:fill="F2F2F2" w:themeFill="background1" w:themeFillShade="F2"/>
          </w:tcPr>
          <w:p w14:paraId="58C4AB0C" w14:textId="77777777" w:rsidR="00F96BD2" w:rsidRPr="000C773E" w:rsidRDefault="00F96BD2" w:rsidP="00F96BD2">
            <w:pPr>
              <w:spacing w:before="20" w:after="20"/>
              <w:jc w:val="center"/>
              <w:rPr>
                <w:rFonts w:cs="Calibri Light"/>
              </w:rPr>
            </w:pPr>
            <w:r w:rsidRPr="000C773E">
              <w:rPr>
                <w:rFonts w:cs="Calibri Light"/>
              </w:rPr>
              <w:t>1.9</w:t>
            </w:r>
          </w:p>
        </w:tc>
        <w:tc>
          <w:tcPr>
            <w:tcW w:w="1134" w:type="dxa"/>
            <w:shd w:val="clear" w:color="auto" w:fill="F2F2F2" w:themeFill="background1" w:themeFillShade="F2"/>
          </w:tcPr>
          <w:p w14:paraId="0BE2D7A2" w14:textId="77777777" w:rsidR="00F96BD2" w:rsidRPr="000C773E" w:rsidRDefault="00F96BD2" w:rsidP="00F96BD2">
            <w:pPr>
              <w:spacing w:before="20" w:after="20"/>
              <w:jc w:val="center"/>
              <w:rPr>
                <w:rFonts w:cs="Calibri Light"/>
              </w:rPr>
            </w:pPr>
            <w:r w:rsidRPr="000C773E">
              <w:rPr>
                <w:rFonts w:cs="Calibri Light"/>
              </w:rPr>
              <w:t>2.8</w:t>
            </w:r>
          </w:p>
        </w:tc>
        <w:tc>
          <w:tcPr>
            <w:tcW w:w="1276" w:type="dxa"/>
            <w:gridSpan w:val="2"/>
            <w:shd w:val="clear" w:color="auto" w:fill="F2F2F2" w:themeFill="background1" w:themeFillShade="F2"/>
          </w:tcPr>
          <w:p w14:paraId="18772763" w14:textId="77777777" w:rsidR="00F96BD2" w:rsidRPr="000C773E" w:rsidRDefault="00F96BD2" w:rsidP="00F96BD2">
            <w:pPr>
              <w:spacing w:before="20" w:after="20"/>
              <w:jc w:val="center"/>
              <w:rPr>
                <w:rFonts w:cs="Calibri Light"/>
              </w:rPr>
            </w:pPr>
            <w:r w:rsidRPr="000C773E">
              <w:rPr>
                <w:rFonts w:cs="Calibri Light"/>
              </w:rPr>
              <w:t>0.486</w:t>
            </w:r>
          </w:p>
        </w:tc>
      </w:tr>
      <w:tr w:rsidR="00F96BD2" w:rsidRPr="000C773E" w14:paraId="2607D75C" w14:textId="77777777" w:rsidTr="00EA200D">
        <w:trPr>
          <w:gridAfter w:val="1"/>
          <w:wAfter w:w="15" w:type="dxa"/>
          <w:trHeight w:val="20"/>
        </w:trPr>
        <w:tc>
          <w:tcPr>
            <w:tcW w:w="2405" w:type="dxa"/>
            <w:gridSpan w:val="2"/>
            <w:tcBorders>
              <w:bottom w:val="single" w:sz="4" w:space="0" w:color="auto"/>
            </w:tcBorders>
            <w:shd w:val="clear" w:color="auto" w:fill="F2F2F2" w:themeFill="background1" w:themeFillShade="F2"/>
            <w:vAlign w:val="bottom"/>
          </w:tcPr>
          <w:p w14:paraId="5408FF7A" w14:textId="77777777" w:rsidR="00F96BD2" w:rsidRPr="000C773E" w:rsidRDefault="00F96BD2" w:rsidP="00F96BD2">
            <w:pPr>
              <w:spacing w:before="20" w:after="20"/>
              <w:rPr>
                <w:rFonts w:cs="Calibri Light"/>
              </w:rPr>
            </w:pPr>
            <w:r w:rsidRPr="000C773E">
              <w:rPr>
                <w:rFonts w:cs="Calibri Light"/>
              </w:rPr>
              <w:t xml:space="preserve">WRE deduction (self-education) </w:t>
            </w:r>
          </w:p>
        </w:tc>
        <w:tc>
          <w:tcPr>
            <w:tcW w:w="1414" w:type="dxa"/>
            <w:gridSpan w:val="2"/>
            <w:tcBorders>
              <w:bottom w:val="single" w:sz="4" w:space="0" w:color="auto"/>
            </w:tcBorders>
            <w:shd w:val="clear" w:color="auto" w:fill="F2F2F2" w:themeFill="background1" w:themeFillShade="F2"/>
          </w:tcPr>
          <w:p w14:paraId="783DC71B" w14:textId="77777777" w:rsidR="00F96BD2" w:rsidRPr="000C773E" w:rsidRDefault="00F96BD2" w:rsidP="00F96BD2">
            <w:pPr>
              <w:spacing w:before="20" w:after="20"/>
              <w:rPr>
                <w:rFonts w:cs="Calibri Light"/>
              </w:rPr>
            </w:pPr>
            <w:r w:rsidRPr="000C773E">
              <w:rPr>
                <w:rFonts w:cs="Calibri Light"/>
              </w:rPr>
              <w:t>2.3</w:t>
            </w:r>
          </w:p>
        </w:tc>
        <w:tc>
          <w:tcPr>
            <w:tcW w:w="1272" w:type="dxa"/>
            <w:gridSpan w:val="2"/>
            <w:tcBorders>
              <w:bottom w:val="single" w:sz="4" w:space="0" w:color="auto"/>
            </w:tcBorders>
            <w:shd w:val="clear" w:color="auto" w:fill="F2F2F2" w:themeFill="background1" w:themeFillShade="F2"/>
          </w:tcPr>
          <w:p w14:paraId="750C4433" w14:textId="77777777" w:rsidR="00F96BD2" w:rsidRPr="000C773E" w:rsidRDefault="00F96BD2" w:rsidP="00F96BD2">
            <w:pPr>
              <w:spacing w:before="20" w:after="20"/>
              <w:rPr>
                <w:rFonts w:cs="Calibri Light"/>
              </w:rPr>
            </w:pPr>
            <w:r w:rsidRPr="000C773E">
              <w:rPr>
                <w:rFonts w:cs="Calibri Light"/>
              </w:rPr>
              <w:t>3.3</w:t>
            </w:r>
          </w:p>
        </w:tc>
        <w:tc>
          <w:tcPr>
            <w:tcW w:w="1275" w:type="dxa"/>
            <w:gridSpan w:val="2"/>
            <w:tcBorders>
              <w:bottom w:val="single" w:sz="4" w:space="0" w:color="auto"/>
            </w:tcBorders>
            <w:shd w:val="clear" w:color="auto" w:fill="F2F2F2" w:themeFill="background1" w:themeFillShade="F2"/>
          </w:tcPr>
          <w:p w14:paraId="72A16038" w14:textId="77777777" w:rsidR="00F96BD2" w:rsidRPr="000C773E" w:rsidRDefault="00F96BD2" w:rsidP="00F96BD2">
            <w:pPr>
              <w:keepNext/>
              <w:spacing w:before="20" w:after="20"/>
              <w:rPr>
                <w:rFonts w:cs="Calibri Light"/>
              </w:rPr>
            </w:pPr>
            <w:r w:rsidRPr="000C773E">
              <w:rPr>
                <w:rFonts w:cs="Calibri Light"/>
              </w:rPr>
              <w:t>0.472</w:t>
            </w:r>
          </w:p>
        </w:tc>
        <w:tc>
          <w:tcPr>
            <w:tcW w:w="1416" w:type="dxa"/>
            <w:gridSpan w:val="2"/>
            <w:tcBorders>
              <w:bottom w:val="single" w:sz="4" w:space="0" w:color="auto"/>
            </w:tcBorders>
            <w:shd w:val="clear" w:color="auto" w:fill="F2F2F2" w:themeFill="background1" w:themeFillShade="F2"/>
          </w:tcPr>
          <w:p w14:paraId="33F542C0" w14:textId="77777777" w:rsidR="00F96BD2" w:rsidRPr="000C773E" w:rsidRDefault="00F96BD2" w:rsidP="00F96BD2">
            <w:pPr>
              <w:spacing w:before="20" w:after="20"/>
              <w:jc w:val="center"/>
              <w:rPr>
                <w:rFonts w:cs="Calibri Light"/>
              </w:rPr>
            </w:pPr>
            <w:r w:rsidRPr="000C773E">
              <w:rPr>
                <w:rFonts w:cs="Calibri Light"/>
              </w:rPr>
              <w:t>-2.6</w:t>
            </w:r>
          </w:p>
        </w:tc>
        <w:tc>
          <w:tcPr>
            <w:tcW w:w="1134" w:type="dxa"/>
            <w:tcBorders>
              <w:bottom w:val="single" w:sz="4" w:space="0" w:color="auto"/>
            </w:tcBorders>
            <w:shd w:val="clear" w:color="auto" w:fill="F2F2F2" w:themeFill="background1" w:themeFillShade="F2"/>
          </w:tcPr>
          <w:p w14:paraId="630E83B5" w14:textId="77777777" w:rsidR="00F96BD2" w:rsidRPr="000C773E" w:rsidRDefault="00F96BD2" w:rsidP="00F96BD2">
            <w:pPr>
              <w:spacing w:before="20" w:after="20"/>
              <w:jc w:val="center"/>
              <w:rPr>
                <w:rFonts w:cs="Calibri Light"/>
              </w:rPr>
            </w:pPr>
            <w:r w:rsidRPr="000C773E">
              <w:rPr>
                <w:rFonts w:cs="Calibri Light"/>
              </w:rPr>
              <w:t>6.4</w:t>
            </w:r>
          </w:p>
        </w:tc>
        <w:tc>
          <w:tcPr>
            <w:tcW w:w="1276" w:type="dxa"/>
            <w:gridSpan w:val="2"/>
            <w:tcBorders>
              <w:bottom w:val="single" w:sz="4" w:space="0" w:color="auto"/>
            </w:tcBorders>
            <w:shd w:val="clear" w:color="auto" w:fill="F2F2F2" w:themeFill="background1" w:themeFillShade="F2"/>
          </w:tcPr>
          <w:p w14:paraId="3EDFAD4A" w14:textId="77777777" w:rsidR="00F96BD2" w:rsidRPr="000C773E" w:rsidRDefault="00F96BD2" w:rsidP="00F96BD2">
            <w:pPr>
              <w:spacing w:before="20" w:after="20"/>
              <w:jc w:val="center"/>
              <w:rPr>
                <w:rFonts w:cs="Calibri Light"/>
              </w:rPr>
            </w:pPr>
            <w:r w:rsidRPr="000C773E">
              <w:rPr>
                <w:rFonts w:cs="Calibri Light"/>
              </w:rPr>
              <w:t>0.684</w:t>
            </w:r>
          </w:p>
        </w:tc>
      </w:tr>
      <w:tr w:rsidR="00F96BD2" w:rsidRPr="000C773E" w14:paraId="445581CF" w14:textId="77777777" w:rsidTr="00EA200D">
        <w:tblPrEx>
          <w:tblBorders>
            <w:left w:val="single" w:sz="4" w:space="0" w:color="auto"/>
            <w:right w:val="single" w:sz="4" w:space="0" w:color="auto"/>
            <w:insideV w:val="single" w:sz="4" w:space="0" w:color="auto"/>
          </w:tblBorders>
        </w:tblPrEx>
        <w:trPr>
          <w:gridAfter w:val="1"/>
          <w:wAfter w:w="15" w:type="dxa"/>
          <w:trHeight w:val="20"/>
        </w:trPr>
        <w:tc>
          <w:tcPr>
            <w:tcW w:w="2405" w:type="dxa"/>
            <w:gridSpan w:val="2"/>
            <w:tcBorders>
              <w:left w:val="nil"/>
              <w:bottom w:val="single" w:sz="4" w:space="0" w:color="auto"/>
              <w:right w:val="nil"/>
            </w:tcBorders>
            <w:shd w:val="clear" w:color="auto" w:fill="F2F2F2" w:themeFill="background1" w:themeFillShade="F2"/>
          </w:tcPr>
          <w:p w14:paraId="15DDB858" w14:textId="77777777" w:rsidR="00F96BD2" w:rsidRPr="000C773E" w:rsidRDefault="00F96BD2" w:rsidP="00F96BD2">
            <w:pPr>
              <w:spacing w:before="20" w:after="20"/>
              <w:rPr>
                <w:rFonts w:cs="Calibri Light"/>
              </w:rPr>
            </w:pPr>
            <w:r w:rsidRPr="000C773E">
              <w:rPr>
                <w:rFonts w:cs="Calibri Light"/>
              </w:rPr>
              <w:t>WRE deduction (other WRE)</w:t>
            </w:r>
          </w:p>
        </w:tc>
        <w:tc>
          <w:tcPr>
            <w:tcW w:w="1414" w:type="dxa"/>
            <w:gridSpan w:val="2"/>
            <w:tcBorders>
              <w:left w:val="nil"/>
              <w:bottom w:val="single" w:sz="4" w:space="0" w:color="auto"/>
              <w:right w:val="nil"/>
            </w:tcBorders>
            <w:shd w:val="clear" w:color="auto" w:fill="F2F2F2" w:themeFill="background1" w:themeFillShade="F2"/>
          </w:tcPr>
          <w:p w14:paraId="75F5CC3A" w14:textId="77777777" w:rsidR="00F96BD2" w:rsidRPr="000C773E" w:rsidRDefault="00F96BD2" w:rsidP="00F96BD2">
            <w:pPr>
              <w:spacing w:before="20" w:after="20"/>
              <w:rPr>
                <w:rFonts w:cs="Calibri Light"/>
              </w:rPr>
            </w:pPr>
            <w:r w:rsidRPr="000C773E">
              <w:rPr>
                <w:rFonts w:cs="Calibri Light"/>
              </w:rPr>
              <w:t>-2.1</w:t>
            </w:r>
          </w:p>
        </w:tc>
        <w:tc>
          <w:tcPr>
            <w:tcW w:w="1272" w:type="dxa"/>
            <w:gridSpan w:val="2"/>
            <w:tcBorders>
              <w:left w:val="nil"/>
              <w:bottom w:val="single" w:sz="4" w:space="0" w:color="auto"/>
              <w:right w:val="nil"/>
            </w:tcBorders>
            <w:shd w:val="clear" w:color="auto" w:fill="F2F2F2" w:themeFill="background1" w:themeFillShade="F2"/>
          </w:tcPr>
          <w:p w14:paraId="71A8B91D" w14:textId="77777777" w:rsidR="00F96BD2" w:rsidRPr="000C773E" w:rsidRDefault="00F96BD2" w:rsidP="00F96BD2">
            <w:pPr>
              <w:spacing w:before="20" w:after="20"/>
              <w:rPr>
                <w:rFonts w:cs="Calibri Light"/>
              </w:rPr>
            </w:pPr>
            <w:r w:rsidRPr="000C773E">
              <w:rPr>
                <w:rFonts w:cs="Calibri Light"/>
              </w:rPr>
              <w:t>10.1</w:t>
            </w:r>
          </w:p>
        </w:tc>
        <w:tc>
          <w:tcPr>
            <w:tcW w:w="1275" w:type="dxa"/>
            <w:gridSpan w:val="2"/>
            <w:tcBorders>
              <w:left w:val="nil"/>
              <w:bottom w:val="single" w:sz="4" w:space="0" w:color="auto"/>
              <w:right w:val="nil"/>
            </w:tcBorders>
            <w:shd w:val="clear" w:color="auto" w:fill="F2F2F2" w:themeFill="background1" w:themeFillShade="F2"/>
          </w:tcPr>
          <w:p w14:paraId="70D28B0A" w14:textId="77777777" w:rsidR="00F96BD2" w:rsidRPr="000C773E" w:rsidRDefault="00F96BD2" w:rsidP="00F96BD2">
            <w:pPr>
              <w:keepNext/>
              <w:spacing w:before="20" w:after="20"/>
              <w:rPr>
                <w:rFonts w:cs="Calibri Light"/>
              </w:rPr>
            </w:pPr>
            <w:r w:rsidRPr="000C773E">
              <w:rPr>
                <w:rFonts w:cs="Calibri Light"/>
              </w:rPr>
              <w:t>0.832</w:t>
            </w:r>
          </w:p>
        </w:tc>
        <w:tc>
          <w:tcPr>
            <w:tcW w:w="1416" w:type="dxa"/>
            <w:gridSpan w:val="2"/>
            <w:tcBorders>
              <w:left w:val="nil"/>
              <w:bottom w:val="single" w:sz="4" w:space="0" w:color="auto"/>
              <w:right w:val="nil"/>
            </w:tcBorders>
            <w:shd w:val="clear" w:color="auto" w:fill="F2F2F2" w:themeFill="background1" w:themeFillShade="F2"/>
          </w:tcPr>
          <w:p w14:paraId="582CE210" w14:textId="77777777" w:rsidR="00F96BD2" w:rsidRPr="000C773E" w:rsidRDefault="00F96BD2" w:rsidP="00F96BD2">
            <w:pPr>
              <w:spacing w:before="20" w:after="20"/>
              <w:jc w:val="center"/>
              <w:rPr>
                <w:rFonts w:cs="Calibri Light"/>
              </w:rPr>
            </w:pPr>
            <w:r w:rsidRPr="000C773E">
              <w:rPr>
                <w:rFonts w:cs="Calibri Light"/>
              </w:rPr>
              <w:t>-7.4</w:t>
            </w:r>
          </w:p>
        </w:tc>
        <w:tc>
          <w:tcPr>
            <w:tcW w:w="1134" w:type="dxa"/>
            <w:tcBorders>
              <w:left w:val="nil"/>
              <w:bottom w:val="single" w:sz="4" w:space="0" w:color="auto"/>
              <w:right w:val="nil"/>
            </w:tcBorders>
            <w:shd w:val="clear" w:color="auto" w:fill="F2F2F2" w:themeFill="background1" w:themeFillShade="F2"/>
          </w:tcPr>
          <w:p w14:paraId="4CE95B26" w14:textId="77777777" w:rsidR="00F96BD2" w:rsidRPr="000C773E" w:rsidRDefault="00F96BD2" w:rsidP="00F96BD2">
            <w:pPr>
              <w:spacing w:before="20" w:after="20"/>
              <w:jc w:val="center"/>
              <w:rPr>
                <w:rFonts w:cs="Calibri Light"/>
              </w:rPr>
            </w:pPr>
            <w:r w:rsidRPr="000C773E">
              <w:rPr>
                <w:rFonts w:cs="Calibri Light"/>
              </w:rPr>
              <w:t>17.4</w:t>
            </w:r>
          </w:p>
        </w:tc>
        <w:tc>
          <w:tcPr>
            <w:tcW w:w="1276" w:type="dxa"/>
            <w:gridSpan w:val="2"/>
            <w:tcBorders>
              <w:left w:val="nil"/>
              <w:bottom w:val="single" w:sz="4" w:space="0" w:color="auto"/>
              <w:right w:val="nil"/>
            </w:tcBorders>
            <w:shd w:val="clear" w:color="auto" w:fill="F2F2F2" w:themeFill="background1" w:themeFillShade="F2"/>
          </w:tcPr>
          <w:p w14:paraId="2F5AAAC1" w14:textId="77777777" w:rsidR="00F96BD2" w:rsidRPr="000C773E" w:rsidRDefault="00F96BD2" w:rsidP="00F96BD2">
            <w:pPr>
              <w:spacing w:before="20" w:after="20"/>
              <w:jc w:val="center"/>
              <w:rPr>
                <w:rFonts w:cs="Calibri Light"/>
              </w:rPr>
            </w:pPr>
            <w:r w:rsidRPr="000C773E">
              <w:rPr>
                <w:rFonts w:cs="Calibri Light"/>
              </w:rPr>
              <w:t>0.671</w:t>
            </w:r>
          </w:p>
        </w:tc>
      </w:tr>
      <w:tr w:rsidR="00F96BD2" w:rsidRPr="000C773E" w14:paraId="02D9846C" w14:textId="77777777" w:rsidTr="00EA200D">
        <w:tblPrEx>
          <w:tblBorders>
            <w:left w:val="single" w:sz="4" w:space="0" w:color="auto"/>
            <w:right w:val="single" w:sz="4" w:space="0" w:color="auto"/>
            <w:insideV w:val="single" w:sz="4" w:space="0" w:color="auto"/>
          </w:tblBorders>
        </w:tblPrEx>
        <w:trPr>
          <w:gridAfter w:val="1"/>
          <w:wAfter w:w="15" w:type="dxa"/>
          <w:trHeight w:val="20"/>
        </w:trPr>
        <w:tc>
          <w:tcPr>
            <w:tcW w:w="10192" w:type="dxa"/>
            <w:gridSpan w:val="13"/>
            <w:tcBorders>
              <w:left w:val="nil"/>
              <w:bottom w:val="nil"/>
              <w:right w:val="nil"/>
            </w:tcBorders>
          </w:tcPr>
          <w:p w14:paraId="1F61B7EB" w14:textId="18CDF813" w:rsidR="00F96BD2" w:rsidRPr="000C773E" w:rsidRDefault="00F96BD2" w:rsidP="00F96BD2">
            <w:pPr>
              <w:spacing w:before="20" w:after="20"/>
              <w:rPr>
                <w:rFonts w:cs="Calibri Light"/>
                <w:color w:val="000000"/>
              </w:rPr>
            </w:pPr>
            <w:r w:rsidRPr="000C773E">
              <w:rPr>
                <w:rFonts w:cs="Calibri Light"/>
              </w:rPr>
              <w:t xml:space="preserve">Note: This table presents findings undertaken for robust checks with different covariates. For individual level analysis, covariates included were agent state, agent segment, agent risk score, agent number of clients, agent's average WRE (2013, 2014, 2015, </w:t>
            </w:r>
            <w:r>
              <w:rPr>
                <w:rFonts w:cs="Calibri Light"/>
              </w:rPr>
              <w:t>2016 to February</w:t>
            </w:r>
            <w:r w:rsidR="00395807">
              <w:rPr>
                <w:rFonts w:cs="Calibri Light"/>
              </w:rPr>
              <w:t xml:space="preserve"> 2017</w:t>
            </w:r>
            <w:r w:rsidRPr="000C773E">
              <w:rPr>
                <w:rFonts w:cs="Calibri Light"/>
              </w:rPr>
              <w:t xml:space="preserve">), agent's average income of clients, agent's number of lodgements,  individual gender, income (2015) and individual age. For agent level analysis, covariates included were agent segment, agent state, agent risk score, and agent number of clients, agent's average WRE claims (2013, 2014, 2015, </w:t>
            </w:r>
            <w:r>
              <w:rPr>
                <w:rFonts w:cs="Calibri Light"/>
              </w:rPr>
              <w:t>2016 to February</w:t>
            </w:r>
            <w:r w:rsidR="00395807">
              <w:rPr>
                <w:rFonts w:cs="Calibri Light"/>
              </w:rPr>
              <w:t xml:space="preserve"> 2017</w:t>
            </w:r>
            <w:r w:rsidRPr="000C773E">
              <w:rPr>
                <w:rFonts w:cs="Calibri Light"/>
              </w:rPr>
              <w:t xml:space="preserve">), agent average income of clients 2015, agent's number of lodgements 2015. </w:t>
            </w:r>
          </w:p>
        </w:tc>
      </w:tr>
    </w:tbl>
    <w:p w14:paraId="6DB9D2BD" w14:textId="77777777" w:rsidR="00F96BD2" w:rsidRDefault="00F96BD2">
      <w:pPr>
        <w:spacing w:before="0" w:after="0" w:line="240" w:lineRule="auto"/>
        <w:rPr>
          <w:b/>
        </w:rPr>
      </w:pPr>
    </w:p>
    <w:p w14:paraId="0CD67CA6" w14:textId="77777777" w:rsidR="008A7D2D" w:rsidRDefault="008A7D2D">
      <w:pPr>
        <w:spacing w:before="0" w:after="0" w:line="240" w:lineRule="auto"/>
        <w:rPr>
          <w:b/>
        </w:rPr>
      </w:pPr>
      <w:r>
        <w:rPr>
          <w:b/>
        </w:rPr>
        <w:br w:type="page"/>
      </w:r>
    </w:p>
    <w:p w14:paraId="1B78AA93" w14:textId="77777777" w:rsidR="00F96BD2" w:rsidRDefault="00F96BD2">
      <w:pPr>
        <w:spacing w:before="0" w:after="0" w:line="240" w:lineRule="auto"/>
        <w:rPr>
          <w:b/>
        </w:rPr>
      </w:pPr>
    </w:p>
    <w:p w14:paraId="7F347AB4" w14:textId="77777777" w:rsidR="00F96BD2" w:rsidRDefault="00F96BD2" w:rsidP="00085623">
      <w:pPr>
        <w:spacing w:before="0" w:after="0" w:line="240" w:lineRule="auto"/>
        <w:outlineLvl w:val="2"/>
        <w:rPr>
          <w:b/>
        </w:rPr>
      </w:pPr>
      <w:r>
        <w:rPr>
          <w:b/>
        </w:rPr>
        <w:t>Table 3.10 – Extrapolation on work-related deductions and net tax paid to all identified clients and their agents in this trial</w:t>
      </w:r>
    </w:p>
    <w:p w14:paraId="1B54392A" w14:textId="77777777" w:rsidR="008A7D2D" w:rsidRDefault="008A7D2D">
      <w:pPr>
        <w:spacing w:before="0" w:after="0" w:line="240" w:lineRule="auto"/>
        <w:rPr>
          <w:b/>
        </w:rPr>
      </w:pPr>
    </w:p>
    <w:tbl>
      <w:tblPr>
        <w:tblStyle w:val="TableGrid"/>
        <w:tblW w:w="10348" w:type="dxa"/>
        <w:tblBorders>
          <w:left w:val="none" w:sz="0" w:space="0" w:color="auto"/>
          <w:right w:val="none" w:sz="0" w:space="0" w:color="auto"/>
          <w:insideV w:val="none" w:sz="0" w:space="0" w:color="auto"/>
        </w:tblBorders>
        <w:tblLayout w:type="fixed"/>
        <w:tblLook w:val="04A0" w:firstRow="1" w:lastRow="0" w:firstColumn="1" w:lastColumn="0" w:noHBand="0" w:noVBand="1"/>
        <w:tblCaption w:val="Extrapolation on work-related deductions and net tax paid to all identified clients and their agents in this trial"/>
        <w:tblDescription w:val="Table extrapolating the decrease in work-related deductions and increase in net tax paid. Provides upper bound, mid-point and lower bound estimates. "/>
      </w:tblPr>
      <w:tblGrid>
        <w:gridCol w:w="2410"/>
        <w:gridCol w:w="3827"/>
        <w:gridCol w:w="4111"/>
      </w:tblGrid>
      <w:tr w:rsidR="00F96BD2" w:rsidRPr="000C773E" w14:paraId="7E4D894B" w14:textId="77777777" w:rsidTr="00DA7796">
        <w:trPr>
          <w:trHeight w:val="20"/>
          <w:tblHeader/>
        </w:trPr>
        <w:tc>
          <w:tcPr>
            <w:tcW w:w="2410" w:type="dxa"/>
            <w:shd w:val="clear" w:color="auto" w:fill="142E3B" w:themeFill="accent6"/>
            <w:vAlign w:val="center"/>
          </w:tcPr>
          <w:p w14:paraId="0921B7C9" w14:textId="77777777" w:rsidR="00F96BD2" w:rsidRPr="00F96BD2" w:rsidRDefault="00F96BD2" w:rsidP="00EA200D">
            <w:pPr>
              <w:pStyle w:val="TableHeading"/>
            </w:pPr>
          </w:p>
        </w:tc>
        <w:tc>
          <w:tcPr>
            <w:tcW w:w="3827" w:type="dxa"/>
            <w:shd w:val="clear" w:color="auto" w:fill="142E3B" w:themeFill="accent6"/>
          </w:tcPr>
          <w:p w14:paraId="6D943DFC" w14:textId="77777777" w:rsidR="00F96BD2" w:rsidRPr="00F96BD2" w:rsidRDefault="00F96BD2" w:rsidP="00EA200D">
            <w:pPr>
              <w:pStyle w:val="TableHeading"/>
              <w:rPr>
                <w:b/>
              </w:rPr>
            </w:pPr>
            <w:r w:rsidRPr="00F96BD2">
              <w:rPr>
                <w:b/>
              </w:rPr>
              <w:t>Results within trial</w:t>
            </w:r>
          </w:p>
        </w:tc>
        <w:tc>
          <w:tcPr>
            <w:tcW w:w="4111" w:type="dxa"/>
            <w:shd w:val="clear" w:color="auto" w:fill="142E3B" w:themeFill="accent6"/>
          </w:tcPr>
          <w:p w14:paraId="6B1ACD94" w14:textId="77777777" w:rsidR="00F96BD2" w:rsidRPr="00F96BD2" w:rsidRDefault="00F96BD2" w:rsidP="00EA200D">
            <w:pPr>
              <w:pStyle w:val="TableHeading"/>
              <w:rPr>
                <w:b/>
              </w:rPr>
            </w:pPr>
            <w:r w:rsidRPr="00F96BD2">
              <w:rPr>
                <w:b/>
              </w:rPr>
              <w:t xml:space="preserve">Extrapolation- if all agents in the trial received the letter </w:t>
            </w:r>
          </w:p>
        </w:tc>
      </w:tr>
      <w:tr w:rsidR="00F96BD2" w:rsidRPr="000C773E" w14:paraId="47AFDB02" w14:textId="77777777" w:rsidTr="008A7D2D">
        <w:trPr>
          <w:trHeight w:val="20"/>
        </w:trPr>
        <w:tc>
          <w:tcPr>
            <w:tcW w:w="2410" w:type="dxa"/>
            <w:shd w:val="clear" w:color="auto" w:fill="20B9A3" w:themeFill="background2"/>
            <w:vAlign w:val="center"/>
          </w:tcPr>
          <w:p w14:paraId="7F98FD0D" w14:textId="77777777" w:rsidR="00F96BD2" w:rsidRPr="000C773E" w:rsidRDefault="00F96BD2" w:rsidP="00F96BD2">
            <w:pPr>
              <w:spacing w:before="20" w:after="20"/>
              <w:rPr>
                <w:rFonts w:cs="Calibri Light"/>
              </w:rPr>
            </w:pPr>
          </w:p>
        </w:tc>
        <w:tc>
          <w:tcPr>
            <w:tcW w:w="3827" w:type="dxa"/>
            <w:shd w:val="clear" w:color="auto" w:fill="20B9A3" w:themeFill="background2"/>
          </w:tcPr>
          <w:p w14:paraId="2B30D0D6" w14:textId="77777777" w:rsidR="00F96BD2" w:rsidRPr="008A7D2D" w:rsidRDefault="00F96BD2" w:rsidP="00F96BD2">
            <w:pPr>
              <w:spacing w:before="20" w:after="20"/>
              <w:rPr>
                <w:rFonts w:cs="Calibri Light"/>
                <w:b/>
              </w:rPr>
            </w:pPr>
            <w:r w:rsidRPr="008A7D2D">
              <w:rPr>
                <w:rFonts w:cs="Calibri Light"/>
                <w:b/>
              </w:rPr>
              <w:t>Decrease in work-related deductions</w:t>
            </w:r>
          </w:p>
        </w:tc>
        <w:tc>
          <w:tcPr>
            <w:tcW w:w="4111" w:type="dxa"/>
            <w:shd w:val="clear" w:color="auto" w:fill="20B9A3" w:themeFill="background2"/>
          </w:tcPr>
          <w:p w14:paraId="0AC877FD" w14:textId="77777777" w:rsidR="00F96BD2" w:rsidRPr="008A7D2D" w:rsidRDefault="00F96BD2" w:rsidP="00F96BD2">
            <w:pPr>
              <w:spacing w:before="20" w:after="20"/>
              <w:rPr>
                <w:rFonts w:cs="Calibri Light"/>
                <w:b/>
              </w:rPr>
            </w:pPr>
            <w:r w:rsidRPr="008A7D2D">
              <w:rPr>
                <w:rFonts w:cs="Calibri Light"/>
                <w:b/>
              </w:rPr>
              <w:t>Decrease in work-related deductions</w:t>
            </w:r>
          </w:p>
        </w:tc>
      </w:tr>
      <w:tr w:rsidR="00F96BD2" w:rsidRPr="000C773E" w14:paraId="54D13E70" w14:textId="77777777" w:rsidTr="00FF4E39">
        <w:trPr>
          <w:trHeight w:val="399"/>
        </w:trPr>
        <w:tc>
          <w:tcPr>
            <w:tcW w:w="2410" w:type="dxa"/>
            <w:shd w:val="clear" w:color="auto" w:fill="F2F2F2" w:themeFill="background1" w:themeFillShade="F2"/>
            <w:vAlign w:val="center"/>
          </w:tcPr>
          <w:p w14:paraId="4071BB1C" w14:textId="77777777" w:rsidR="00F96BD2" w:rsidRPr="000C773E" w:rsidRDefault="00F96BD2" w:rsidP="00F96BD2">
            <w:pPr>
              <w:spacing w:before="20" w:after="20"/>
              <w:rPr>
                <w:rFonts w:cs="Calibri Light"/>
              </w:rPr>
            </w:pPr>
            <w:r w:rsidRPr="000C773E">
              <w:rPr>
                <w:rFonts w:cs="Calibri Light"/>
              </w:rPr>
              <w:t>Upper bound estimate</w:t>
            </w:r>
          </w:p>
        </w:tc>
        <w:tc>
          <w:tcPr>
            <w:tcW w:w="3827" w:type="dxa"/>
            <w:shd w:val="clear" w:color="auto" w:fill="F2F2F2" w:themeFill="background1" w:themeFillShade="F2"/>
          </w:tcPr>
          <w:p w14:paraId="662403C7" w14:textId="241D2DCC" w:rsidR="00F96BD2" w:rsidRPr="000C773E" w:rsidRDefault="00F96BD2" w:rsidP="00C66F3C">
            <w:pPr>
              <w:spacing w:before="20" w:after="20"/>
              <w:rPr>
                <w:rFonts w:cs="Calibri Light"/>
              </w:rPr>
            </w:pPr>
            <w:r w:rsidRPr="000C773E">
              <w:rPr>
                <w:rFonts w:cs="Calibri Light"/>
              </w:rPr>
              <w:t>$2.53 million (=$224.91 X 11</w:t>
            </w:r>
            <w:r>
              <w:rPr>
                <w:rFonts w:cs="Calibri Light"/>
              </w:rPr>
              <w:t>,256)</w:t>
            </w:r>
          </w:p>
        </w:tc>
        <w:tc>
          <w:tcPr>
            <w:tcW w:w="4111" w:type="dxa"/>
            <w:shd w:val="clear" w:color="auto" w:fill="F2F2F2" w:themeFill="background1" w:themeFillShade="F2"/>
          </w:tcPr>
          <w:p w14:paraId="0EB1C4A2" w14:textId="77777777" w:rsidR="00F96BD2" w:rsidRPr="000C773E" w:rsidRDefault="00F96BD2" w:rsidP="00F96BD2">
            <w:pPr>
              <w:spacing w:before="20" w:after="20"/>
              <w:rPr>
                <w:rFonts w:cs="Calibri Light"/>
              </w:rPr>
            </w:pPr>
            <w:r w:rsidRPr="000C773E">
              <w:rPr>
                <w:rFonts w:cs="Calibri Light"/>
              </w:rPr>
              <w:t>$5.13 million (=$224.91 X 22,815)</w:t>
            </w:r>
          </w:p>
        </w:tc>
      </w:tr>
      <w:tr w:rsidR="00F96BD2" w:rsidRPr="000C773E" w14:paraId="6E53CD9C" w14:textId="77777777" w:rsidTr="008A7D2D">
        <w:trPr>
          <w:trHeight w:val="20"/>
        </w:trPr>
        <w:tc>
          <w:tcPr>
            <w:tcW w:w="2410" w:type="dxa"/>
            <w:shd w:val="clear" w:color="auto" w:fill="F2F2F2" w:themeFill="background1" w:themeFillShade="F2"/>
            <w:vAlign w:val="center"/>
          </w:tcPr>
          <w:p w14:paraId="7A552261" w14:textId="77777777" w:rsidR="00F96BD2" w:rsidRPr="000C773E" w:rsidRDefault="00F96BD2" w:rsidP="00F96BD2">
            <w:pPr>
              <w:spacing w:before="20" w:after="20"/>
              <w:rPr>
                <w:rFonts w:cs="Calibri Light"/>
              </w:rPr>
            </w:pPr>
            <w:r w:rsidRPr="000C773E">
              <w:rPr>
                <w:rFonts w:cs="Calibri Light"/>
              </w:rPr>
              <w:t>Mid-point estimate</w:t>
            </w:r>
          </w:p>
        </w:tc>
        <w:tc>
          <w:tcPr>
            <w:tcW w:w="3827" w:type="dxa"/>
            <w:shd w:val="clear" w:color="auto" w:fill="F2F2F2" w:themeFill="background1" w:themeFillShade="F2"/>
          </w:tcPr>
          <w:p w14:paraId="2F14DF52" w14:textId="77777777" w:rsidR="00F96BD2" w:rsidRPr="000C773E" w:rsidRDefault="00F96BD2" w:rsidP="00F96BD2">
            <w:pPr>
              <w:spacing w:before="20" w:after="20"/>
              <w:rPr>
                <w:rFonts w:cs="Calibri Light"/>
              </w:rPr>
            </w:pPr>
            <w:r w:rsidRPr="000C773E">
              <w:rPr>
                <w:rFonts w:cs="Calibri Light"/>
              </w:rPr>
              <w:t>$2.17 million (=$193.20 X 11,256)</w:t>
            </w:r>
          </w:p>
        </w:tc>
        <w:tc>
          <w:tcPr>
            <w:tcW w:w="4111" w:type="dxa"/>
            <w:shd w:val="clear" w:color="auto" w:fill="F2F2F2" w:themeFill="background1" w:themeFillShade="F2"/>
          </w:tcPr>
          <w:p w14:paraId="4EC81ED6" w14:textId="77777777" w:rsidR="00F96BD2" w:rsidRPr="000C773E" w:rsidRDefault="00F96BD2" w:rsidP="00F96BD2">
            <w:pPr>
              <w:spacing w:before="20" w:after="20"/>
              <w:rPr>
                <w:rFonts w:cs="Calibri Light"/>
              </w:rPr>
            </w:pPr>
            <w:r w:rsidRPr="000C773E">
              <w:rPr>
                <w:rFonts w:cs="Calibri Light"/>
              </w:rPr>
              <w:t>$4.41 million (=$193.20 X 22,815)</w:t>
            </w:r>
          </w:p>
        </w:tc>
      </w:tr>
      <w:tr w:rsidR="00F96BD2" w:rsidRPr="000C773E" w14:paraId="702F2FAC" w14:textId="77777777" w:rsidTr="008A7D2D">
        <w:trPr>
          <w:trHeight w:val="20"/>
        </w:trPr>
        <w:tc>
          <w:tcPr>
            <w:tcW w:w="2410" w:type="dxa"/>
            <w:shd w:val="clear" w:color="auto" w:fill="F2F2F2" w:themeFill="background1" w:themeFillShade="F2"/>
            <w:vAlign w:val="bottom"/>
          </w:tcPr>
          <w:p w14:paraId="2003B9A8" w14:textId="77777777" w:rsidR="00F96BD2" w:rsidRPr="000C773E" w:rsidRDefault="00F96BD2" w:rsidP="00F96BD2">
            <w:pPr>
              <w:spacing w:before="20" w:after="20"/>
              <w:rPr>
                <w:rFonts w:cs="Calibri Light"/>
              </w:rPr>
            </w:pPr>
            <w:r w:rsidRPr="000C773E">
              <w:rPr>
                <w:rFonts w:cs="Calibri Light"/>
              </w:rPr>
              <w:t>Lower bound estimate</w:t>
            </w:r>
          </w:p>
        </w:tc>
        <w:tc>
          <w:tcPr>
            <w:tcW w:w="3827" w:type="dxa"/>
            <w:shd w:val="clear" w:color="auto" w:fill="F2F2F2" w:themeFill="background1" w:themeFillShade="F2"/>
          </w:tcPr>
          <w:p w14:paraId="49F62FBB" w14:textId="77777777" w:rsidR="00F96BD2" w:rsidRPr="000C773E" w:rsidRDefault="00F96BD2" w:rsidP="00F96BD2">
            <w:pPr>
              <w:spacing w:before="20" w:after="20"/>
              <w:rPr>
                <w:rFonts w:cs="Calibri Light"/>
              </w:rPr>
            </w:pPr>
            <w:r w:rsidRPr="000C773E">
              <w:rPr>
                <w:rFonts w:cs="Calibri Light"/>
              </w:rPr>
              <w:t>$1.82 million (=$161.48 X 11,256)</w:t>
            </w:r>
          </w:p>
        </w:tc>
        <w:tc>
          <w:tcPr>
            <w:tcW w:w="4111" w:type="dxa"/>
            <w:shd w:val="clear" w:color="auto" w:fill="F2F2F2" w:themeFill="background1" w:themeFillShade="F2"/>
          </w:tcPr>
          <w:p w14:paraId="049200A3" w14:textId="77777777" w:rsidR="00F96BD2" w:rsidRPr="000C773E" w:rsidRDefault="00F96BD2" w:rsidP="00F96BD2">
            <w:pPr>
              <w:spacing w:before="20" w:after="20"/>
              <w:rPr>
                <w:rFonts w:cs="Calibri Light"/>
              </w:rPr>
            </w:pPr>
            <w:r w:rsidRPr="000C773E">
              <w:rPr>
                <w:rFonts w:cs="Calibri Light"/>
              </w:rPr>
              <w:t>$3.68 million (=$161.48 X 22,815)</w:t>
            </w:r>
          </w:p>
        </w:tc>
      </w:tr>
      <w:tr w:rsidR="00F96BD2" w:rsidRPr="000C773E" w14:paraId="3DCA4BC8" w14:textId="77777777" w:rsidTr="008A7D2D">
        <w:trPr>
          <w:trHeight w:val="20"/>
        </w:trPr>
        <w:tc>
          <w:tcPr>
            <w:tcW w:w="2410" w:type="dxa"/>
            <w:shd w:val="clear" w:color="auto" w:fill="20B9A3" w:themeFill="background2"/>
            <w:vAlign w:val="bottom"/>
          </w:tcPr>
          <w:p w14:paraId="5D44DE1B" w14:textId="77777777" w:rsidR="00F96BD2" w:rsidRPr="000C773E" w:rsidRDefault="00F96BD2" w:rsidP="00F96BD2">
            <w:pPr>
              <w:spacing w:before="20" w:after="20"/>
              <w:rPr>
                <w:rFonts w:cs="Calibri Light"/>
              </w:rPr>
            </w:pPr>
          </w:p>
        </w:tc>
        <w:tc>
          <w:tcPr>
            <w:tcW w:w="3827" w:type="dxa"/>
            <w:shd w:val="clear" w:color="auto" w:fill="20B9A3" w:themeFill="background2"/>
          </w:tcPr>
          <w:p w14:paraId="36099F21" w14:textId="77777777" w:rsidR="00F96BD2" w:rsidRPr="00DB1A34" w:rsidRDefault="00F96BD2" w:rsidP="00F96BD2">
            <w:pPr>
              <w:spacing w:before="20" w:after="20"/>
              <w:rPr>
                <w:rFonts w:cs="Calibri Light"/>
                <w:b/>
              </w:rPr>
            </w:pPr>
            <w:r w:rsidRPr="00DB1A34">
              <w:rPr>
                <w:rFonts w:cs="Calibri Light"/>
                <w:b/>
              </w:rPr>
              <w:t>Increase in tax paid</w:t>
            </w:r>
          </w:p>
        </w:tc>
        <w:tc>
          <w:tcPr>
            <w:tcW w:w="4111" w:type="dxa"/>
            <w:shd w:val="clear" w:color="auto" w:fill="20B9A3" w:themeFill="background2"/>
          </w:tcPr>
          <w:p w14:paraId="2A2A8F5A" w14:textId="77777777" w:rsidR="00F96BD2" w:rsidRPr="00DB1A34" w:rsidRDefault="00F96BD2" w:rsidP="00F96BD2">
            <w:pPr>
              <w:spacing w:before="20" w:after="20"/>
              <w:rPr>
                <w:rFonts w:cs="Calibri Light"/>
                <w:b/>
              </w:rPr>
            </w:pPr>
            <w:r w:rsidRPr="00DB1A34">
              <w:rPr>
                <w:rFonts w:cs="Calibri Light"/>
                <w:b/>
              </w:rPr>
              <w:t>Increase in tax paid</w:t>
            </w:r>
          </w:p>
        </w:tc>
      </w:tr>
      <w:tr w:rsidR="00F96BD2" w:rsidRPr="000C773E" w14:paraId="0A89B39E" w14:textId="77777777" w:rsidTr="008A7D2D">
        <w:trPr>
          <w:trHeight w:val="20"/>
        </w:trPr>
        <w:tc>
          <w:tcPr>
            <w:tcW w:w="2410" w:type="dxa"/>
            <w:shd w:val="clear" w:color="auto" w:fill="F2F2F2" w:themeFill="background1" w:themeFillShade="F2"/>
            <w:vAlign w:val="center"/>
          </w:tcPr>
          <w:p w14:paraId="14CA1A91" w14:textId="77777777" w:rsidR="00F96BD2" w:rsidRPr="000C773E" w:rsidRDefault="00F96BD2" w:rsidP="00F96BD2">
            <w:pPr>
              <w:spacing w:before="20" w:after="20"/>
              <w:rPr>
                <w:rFonts w:cs="Calibri Light"/>
              </w:rPr>
            </w:pPr>
            <w:r w:rsidRPr="000C773E">
              <w:rPr>
                <w:rFonts w:cs="Calibri Light"/>
              </w:rPr>
              <w:t>Upper bound estimate</w:t>
            </w:r>
          </w:p>
        </w:tc>
        <w:tc>
          <w:tcPr>
            <w:tcW w:w="3827" w:type="dxa"/>
            <w:shd w:val="clear" w:color="auto" w:fill="F2F2F2" w:themeFill="background1" w:themeFillShade="F2"/>
          </w:tcPr>
          <w:p w14:paraId="2869D729" w14:textId="77777777" w:rsidR="00F96BD2" w:rsidRPr="000C773E" w:rsidRDefault="00F96BD2" w:rsidP="00F96BD2">
            <w:pPr>
              <w:spacing w:before="20" w:after="20"/>
              <w:rPr>
                <w:rFonts w:cs="Calibri Light"/>
              </w:rPr>
            </w:pPr>
            <w:r w:rsidRPr="000C773E">
              <w:rPr>
                <w:rFonts w:cs="Calibri Light"/>
              </w:rPr>
              <w:t>$1.02 million (=$90.93 X 11,256)</w:t>
            </w:r>
          </w:p>
        </w:tc>
        <w:tc>
          <w:tcPr>
            <w:tcW w:w="4111" w:type="dxa"/>
            <w:shd w:val="clear" w:color="auto" w:fill="F2F2F2" w:themeFill="background1" w:themeFillShade="F2"/>
          </w:tcPr>
          <w:p w14:paraId="7F70195B" w14:textId="77777777" w:rsidR="00F96BD2" w:rsidRPr="000C773E" w:rsidRDefault="00F96BD2" w:rsidP="00F96BD2">
            <w:pPr>
              <w:spacing w:before="20" w:after="20"/>
              <w:rPr>
                <w:rFonts w:cs="Calibri Light"/>
              </w:rPr>
            </w:pPr>
            <w:r w:rsidRPr="000C773E">
              <w:rPr>
                <w:rFonts w:cs="Calibri Light"/>
              </w:rPr>
              <w:t>$2.07 million (=$90.93 X 22,815)</w:t>
            </w:r>
          </w:p>
        </w:tc>
      </w:tr>
      <w:tr w:rsidR="00F96BD2" w:rsidRPr="000C773E" w14:paraId="7E1ED9B8" w14:textId="77777777" w:rsidTr="008A7D2D">
        <w:trPr>
          <w:trHeight w:val="20"/>
        </w:trPr>
        <w:tc>
          <w:tcPr>
            <w:tcW w:w="2410" w:type="dxa"/>
            <w:shd w:val="clear" w:color="auto" w:fill="F2F2F2" w:themeFill="background1" w:themeFillShade="F2"/>
            <w:vAlign w:val="center"/>
          </w:tcPr>
          <w:p w14:paraId="5FBC7C1A" w14:textId="77777777" w:rsidR="00F96BD2" w:rsidRPr="000C773E" w:rsidRDefault="00F96BD2" w:rsidP="00F96BD2">
            <w:pPr>
              <w:spacing w:before="20" w:after="20"/>
              <w:rPr>
                <w:rFonts w:cs="Calibri Light"/>
              </w:rPr>
            </w:pPr>
            <w:r w:rsidRPr="000C773E">
              <w:rPr>
                <w:rFonts w:cs="Calibri Light"/>
              </w:rPr>
              <w:t>Mid-point estimate</w:t>
            </w:r>
          </w:p>
        </w:tc>
        <w:tc>
          <w:tcPr>
            <w:tcW w:w="3827" w:type="dxa"/>
            <w:shd w:val="clear" w:color="auto" w:fill="F2F2F2" w:themeFill="background1" w:themeFillShade="F2"/>
          </w:tcPr>
          <w:p w14:paraId="5CF1EB21" w14:textId="77777777" w:rsidR="00F96BD2" w:rsidRPr="000C773E" w:rsidRDefault="00F96BD2" w:rsidP="00F96BD2">
            <w:pPr>
              <w:spacing w:before="20" w:after="20"/>
              <w:rPr>
                <w:rFonts w:cs="Calibri Light"/>
              </w:rPr>
            </w:pPr>
            <w:r w:rsidRPr="000C773E">
              <w:rPr>
                <w:rFonts w:cs="Calibri Light"/>
              </w:rPr>
              <w:t>$857,369.52 (=$76.17 X 11,256)</w:t>
            </w:r>
          </w:p>
        </w:tc>
        <w:tc>
          <w:tcPr>
            <w:tcW w:w="4111" w:type="dxa"/>
            <w:shd w:val="clear" w:color="auto" w:fill="F2F2F2" w:themeFill="background1" w:themeFillShade="F2"/>
          </w:tcPr>
          <w:p w14:paraId="47D62A3A" w14:textId="77777777" w:rsidR="00F96BD2" w:rsidRPr="000C773E" w:rsidRDefault="00F96BD2" w:rsidP="00F96BD2">
            <w:pPr>
              <w:spacing w:before="20" w:after="20"/>
              <w:rPr>
                <w:rFonts w:cs="Calibri Light"/>
              </w:rPr>
            </w:pPr>
            <w:r w:rsidRPr="000C773E">
              <w:rPr>
                <w:rFonts w:cs="Calibri Light"/>
              </w:rPr>
              <w:t>$1.74 million (=$76.17 X 22,815)</w:t>
            </w:r>
          </w:p>
        </w:tc>
      </w:tr>
      <w:tr w:rsidR="00F96BD2" w:rsidRPr="000C773E" w14:paraId="4141A969" w14:textId="77777777" w:rsidTr="008A7D2D">
        <w:trPr>
          <w:trHeight w:val="20"/>
        </w:trPr>
        <w:tc>
          <w:tcPr>
            <w:tcW w:w="2410" w:type="dxa"/>
            <w:shd w:val="clear" w:color="auto" w:fill="F2F2F2" w:themeFill="background1" w:themeFillShade="F2"/>
            <w:vAlign w:val="bottom"/>
          </w:tcPr>
          <w:p w14:paraId="00936235" w14:textId="77777777" w:rsidR="00F96BD2" w:rsidRPr="000C773E" w:rsidRDefault="00F96BD2" w:rsidP="00F96BD2">
            <w:pPr>
              <w:spacing w:before="20" w:after="20"/>
              <w:rPr>
                <w:rFonts w:cs="Calibri Light"/>
              </w:rPr>
            </w:pPr>
            <w:r w:rsidRPr="000C773E">
              <w:rPr>
                <w:rFonts w:cs="Calibri Light"/>
              </w:rPr>
              <w:t>Lower bound estimate</w:t>
            </w:r>
          </w:p>
        </w:tc>
        <w:tc>
          <w:tcPr>
            <w:tcW w:w="3827" w:type="dxa"/>
            <w:shd w:val="clear" w:color="auto" w:fill="F2F2F2" w:themeFill="background1" w:themeFillShade="F2"/>
          </w:tcPr>
          <w:p w14:paraId="312B3032" w14:textId="77777777" w:rsidR="00F96BD2" w:rsidRPr="000C773E" w:rsidRDefault="00F96BD2" w:rsidP="00F96BD2">
            <w:pPr>
              <w:spacing w:before="20" w:after="20"/>
              <w:rPr>
                <w:rFonts w:cs="Calibri Light"/>
              </w:rPr>
            </w:pPr>
            <w:r w:rsidRPr="000C773E">
              <w:rPr>
                <w:rFonts w:cs="Calibri Light"/>
              </w:rPr>
              <w:t>$691,230.96 (=$61.41 X 11,256)</w:t>
            </w:r>
          </w:p>
        </w:tc>
        <w:tc>
          <w:tcPr>
            <w:tcW w:w="4111" w:type="dxa"/>
            <w:shd w:val="clear" w:color="auto" w:fill="F2F2F2" w:themeFill="background1" w:themeFillShade="F2"/>
          </w:tcPr>
          <w:p w14:paraId="60E4B6B2" w14:textId="77777777" w:rsidR="00F96BD2" w:rsidRPr="000C773E" w:rsidRDefault="00F96BD2" w:rsidP="00F96BD2">
            <w:pPr>
              <w:spacing w:before="20" w:after="20"/>
              <w:rPr>
                <w:rFonts w:cs="Calibri Light"/>
              </w:rPr>
            </w:pPr>
            <w:r w:rsidRPr="000C773E">
              <w:rPr>
                <w:rFonts w:cs="Calibri Light"/>
              </w:rPr>
              <w:t>$1.40 million (=$61.41 X 22,815)</w:t>
            </w:r>
          </w:p>
        </w:tc>
      </w:tr>
    </w:tbl>
    <w:p w14:paraId="0F0D021B" w14:textId="77777777" w:rsidR="00F96BD2" w:rsidRPr="000C773E" w:rsidRDefault="00F96BD2" w:rsidP="00F96BD2">
      <w:pPr>
        <w:spacing w:before="20" w:after="20"/>
        <w:rPr>
          <w:rFonts w:cs="Calibri Light"/>
        </w:rPr>
      </w:pPr>
      <w:r w:rsidRPr="000C773E">
        <w:rPr>
          <w:rFonts w:cs="Calibri Light"/>
        </w:rPr>
        <w:t xml:space="preserve">Note: This table uses estimated deductions and net tax paid from amendments and extrapolates this for all identified clients in the trial regardless of which letter group they were in. The table uses the 95 per cent confidence interval to calculate the upper bound and lower bound estimates. The number of amendments used in these extrapolations are based on the number of identified clients (n=22,815) among eligible agents for the trial. This number is larger than the number of identified clients in the analysis sample (n=22,686) because the analysis sample excluded </w:t>
      </w:r>
      <w:r>
        <w:rPr>
          <w:rFonts w:cs="Calibri Light"/>
        </w:rPr>
        <w:t>individuals</w:t>
      </w:r>
      <w:r w:rsidRPr="000C773E">
        <w:rPr>
          <w:rFonts w:cs="Calibri Light"/>
        </w:rPr>
        <w:t xml:space="preserve"> whose agents had broken pairs from randomisation. </w:t>
      </w:r>
    </w:p>
    <w:p w14:paraId="01167AF0" w14:textId="77777777" w:rsidR="003A04CB" w:rsidRDefault="003A04CB">
      <w:pPr>
        <w:spacing w:before="0" w:after="0" w:line="240" w:lineRule="auto"/>
      </w:pPr>
      <w:r>
        <w:br w:type="page"/>
      </w:r>
    </w:p>
    <w:p w14:paraId="5676F458" w14:textId="77777777" w:rsidR="00C67F21" w:rsidRDefault="00C67F21" w:rsidP="00F04EF6"/>
    <w:p w14:paraId="2C88C5CA" w14:textId="77777777" w:rsidR="001E6A27" w:rsidRDefault="00C67F21" w:rsidP="00C67F21">
      <w:pPr>
        <w:pStyle w:val="Heading1"/>
      </w:pPr>
      <w:bookmarkStart w:id="12" w:name="_Toc521485122"/>
      <w:r>
        <w:t>References</w:t>
      </w:r>
      <w:bookmarkEnd w:id="12"/>
    </w:p>
    <w:p w14:paraId="161891F4" w14:textId="77777777" w:rsidR="000E1510" w:rsidRDefault="000E1510" w:rsidP="000E1510">
      <w:r>
        <w:t>Appelgren, L. 2008. The Effect of Audit Strategy Information on Tax Compliance - an Empirical Study. eJournal of Tax Research, 6, 67-81.</w:t>
      </w:r>
    </w:p>
    <w:p w14:paraId="47A400A0" w14:textId="77777777" w:rsidR="000E1510" w:rsidRDefault="000E1510" w:rsidP="000E1510">
      <w:r>
        <w:t>Australian Government, The Treasury 2015, Stocktake of Regulation, Final Report, March 2015.</w:t>
      </w:r>
    </w:p>
    <w:p w14:paraId="79B8E2CC" w14:textId="77777777" w:rsidR="000E1510" w:rsidRDefault="000E1510" w:rsidP="000E1510">
      <w:r>
        <w:t>BIT 2012. Applying Behavioral Insights to reduce Fraud, Error and Debt. 38.</w:t>
      </w:r>
    </w:p>
    <w:p w14:paraId="44E1A2CC" w14:textId="77777777" w:rsidR="000E1510" w:rsidRDefault="000E1510" w:rsidP="000E1510">
      <w:r>
        <w:t>Bolkan, S., &amp; Anderson, P. A. 2009. Image induction and social influence: Explication and initial tests. Basic and Applied Social Psychology, 31(4), pp.317-324.</w:t>
      </w:r>
    </w:p>
    <w:p w14:paraId="1F2F3B29" w14:textId="77777777" w:rsidR="000E1510" w:rsidRDefault="000E1510" w:rsidP="000E1510">
      <w:r>
        <w:t>Commonwealth of Australia (House of Representatives Standing Committee on Economics 2017. Report on the inquiry into tax deductibility.</w:t>
      </w:r>
    </w:p>
    <w:p w14:paraId="71FD5F92" w14:textId="77777777" w:rsidR="000E1510" w:rsidRDefault="000E1510" w:rsidP="000E1510">
      <w:r>
        <w:t>Hasseldine, J., Hite, P., James, S. &amp; Toumi, M. 2007. Persuasive communications: Tax compliance enforcement strategies for sole proprietors. Contemporary Accounting Research, 24, 171-+.</w:t>
      </w:r>
    </w:p>
    <w:p w14:paraId="20484F6A" w14:textId="77777777" w:rsidR="000E1510" w:rsidRDefault="000E1510" w:rsidP="000E1510">
      <w:r>
        <w:t>Kleven, H. J., Knudsen, M. B., Kreiner, C. T., Pedersen, S. O. S. O. &amp; Saez, E. 2011. Unwilling or Unable to Cheat? Evidence From a Tax Audit Experiment in Denmark. Econometrica, 79, 651-692.</w:t>
      </w:r>
    </w:p>
    <w:p w14:paraId="111B543A" w14:textId="77777777" w:rsidR="000E1510" w:rsidRDefault="000E1510" w:rsidP="000E1510">
      <w:r>
        <w:t>Lonergan Research 2016. Australian community attitudes towards tax agents and tax obligations (H&amp;R Block).</w:t>
      </w:r>
    </w:p>
    <w:p w14:paraId="607AE9D1" w14:textId="77777777" w:rsidR="000E1510" w:rsidRDefault="000E1510" w:rsidP="000E1510">
      <w:r>
        <w:t>Mazar, N., Amir, O. &amp; Ariely, D. 2008 The Dishonesty of Honest People: A Theory of Self-Concept Maintenance, Journal of Marketing Research, 45(6), pp. 633-644.</w:t>
      </w:r>
    </w:p>
    <w:p w14:paraId="6668F255" w14:textId="77777777" w:rsidR="000E1510" w:rsidRDefault="000E1510" w:rsidP="000E1510">
      <w:r>
        <w:t>Meritt, A., Effron, D. A &amp; Monin, B. 2010.Moral self-licensing: When being good frees us to be bad. Social and Personality Psychology Compass, 4/5, 344 357.</w:t>
      </w:r>
    </w:p>
    <w:p w14:paraId="632586EF" w14:textId="77777777" w:rsidR="000E1510" w:rsidRDefault="000E1510" w:rsidP="000E1510">
      <w:r>
        <w:t>Orima 2015. ATO Taxpayer Behaviour Research.</w:t>
      </w:r>
    </w:p>
    <w:p w14:paraId="31B679C8" w14:textId="77777777" w:rsidR="000E1510" w:rsidRDefault="000E1510" w:rsidP="000E1510">
      <w:r>
        <w:t>Slemrod, J., Blumenthal, M. &amp; Christian, C. 2001. Taxpayer response to an increased probability of audit: Evidence from a controlled experiment in Minnesota. Journal of Public Economics, 79, 455-483.</w:t>
      </w:r>
    </w:p>
    <w:p w14:paraId="406ACA45" w14:textId="77777777" w:rsidR="00C67F21" w:rsidRDefault="000E1510" w:rsidP="000E1510">
      <w:r>
        <w:t>Tversky, A. &amp; Kahneman, D. 1973. Availability: A Heuristic for Judging Frequency and robability. Cognitive Psychology.</w:t>
      </w:r>
    </w:p>
    <w:p w14:paraId="5BDE8006" w14:textId="77777777" w:rsidR="000E1510" w:rsidRDefault="000E1510" w:rsidP="000E1510">
      <w:pPr>
        <w:spacing w:before="0" w:after="200" w:line="276" w:lineRule="auto"/>
        <w:rPr>
          <w:rFonts w:cstheme="minorHAnsi"/>
        </w:rPr>
      </w:pPr>
      <w:r>
        <w:rPr>
          <w:rFonts w:cstheme="minorHAnsi"/>
        </w:rPr>
        <w:t xml:space="preserve">Wurth, E. 2013. A will and a way: An analysis of tax practitioner preparation compliance. A thesis submitted for the degree of Doctor of Philosophy of the Australian National University, </w:t>
      </w:r>
      <w:r w:rsidRPr="00021D68">
        <w:rPr>
          <w:rFonts w:cstheme="minorHAnsi"/>
        </w:rPr>
        <w:t>https://openresearch-repository.anu.edu.au/bitstream/1885/10355/1/01Front_Wurth.pdf</w:t>
      </w:r>
    </w:p>
    <w:p w14:paraId="01E2408C" w14:textId="77777777" w:rsidR="00F96BD2" w:rsidRDefault="00F96BD2">
      <w:pPr>
        <w:spacing w:before="0" w:after="0" w:line="240" w:lineRule="auto"/>
      </w:pPr>
      <w:r>
        <w:br w:type="page"/>
      </w:r>
    </w:p>
    <w:p w14:paraId="5EC4F1A9" w14:textId="77777777" w:rsidR="00EB0609" w:rsidRDefault="00EB0609" w:rsidP="00EB0609">
      <w:pPr>
        <w:pStyle w:val="DisclaimerH1"/>
      </w:pPr>
    </w:p>
    <w:p w14:paraId="4477B66A" w14:textId="77777777" w:rsidR="00EB0609" w:rsidRPr="00C711A6" w:rsidRDefault="00EB0609" w:rsidP="00200E55">
      <w:pPr>
        <w:pStyle w:val="DisclaimerH2"/>
        <w:outlineLvl w:val="1"/>
      </w:pPr>
      <w:r w:rsidRPr="00C711A6">
        <w:t>© Commonwealth of Australia 201</w:t>
      </w:r>
      <w:r w:rsidR="00B965B5">
        <w:t>8</w:t>
      </w:r>
    </w:p>
    <w:p w14:paraId="3F9DC811" w14:textId="77777777" w:rsidR="00DE610F" w:rsidRPr="00DE610F" w:rsidRDefault="00DE610F" w:rsidP="00DE610F">
      <w:r w:rsidRPr="00DE610F">
        <w:t>978-1-925363-49-4 Improving tax compliance: deductions for work-related expenses (DOCX)</w:t>
      </w:r>
    </w:p>
    <w:p w14:paraId="2310F990" w14:textId="77777777" w:rsidR="00DE610F" w:rsidRPr="00DE610F" w:rsidRDefault="00DE610F" w:rsidP="00DE610F">
      <w:r w:rsidRPr="00DE610F">
        <w:t>978-1-925363-50-0 Improving tax compliance: deductions for work-related expenses (PDF)</w:t>
      </w:r>
    </w:p>
    <w:p w14:paraId="5D42C46E" w14:textId="77777777" w:rsidR="00EB0609" w:rsidRPr="00C711A6" w:rsidRDefault="00EB0609" w:rsidP="00200E55">
      <w:pPr>
        <w:pStyle w:val="DisclaimerH2"/>
        <w:outlineLvl w:val="1"/>
      </w:pPr>
      <w:r w:rsidRPr="00C711A6">
        <w:t>Copyright Notice</w:t>
      </w:r>
    </w:p>
    <w:p w14:paraId="657695DD" w14:textId="77777777" w:rsidR="00EB0609" w:rsidRDefault="00EB0609" w:rsidP="00EB0609">
      <w:r>
        <w:t xml:space="preserve">With the exception of the Commonwealth Coat of Arms, this work is licensed under a Creative Commons Attribution 4.0 International license (CC BY 4.0) </w:t>
      </w:r>
      <w:hyperlink r:id="rId26" w:history="1">
        <w:r w:rsidRPr="006911C0">
          <w:rPr>
            <w:rStyle w:val="Hyperlink"/>
          </w:rPr>
          <w:t>http://creativecommons.org/licensesby/4.0/deed.en</w:t>
        </w:r>
      </w:hyperlink>
    </w:p>
    <w:p w14:paraId="11601A54" w14:textId="77777777" w:rsidR="00EB0609" w:rsidRDefault="00EB0609" w:rsidP="00EB0609">
      <w:pPr>
        <w:spacing w:before="240"/>
      </w:pPr>
      <w:r>
        <w:rPr>
          <w:noProof/>
        </w:rPr>
        <w:drawing>
          <wp:inline distT="0" distB="0" distL="0" distR="0" wp14:anchorId="1CD1DDBA" wp14:editId="2807AF80">
            <wp:extent cx="771146" cy="307849"/>
            <wp:effectExtent l="0" t="0" r="0" b="0"/>
            <wp:docPr id="2" name="Picture 2" descr="Creative Commons Attribution 4.0 International license (CC BY 4.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2EDEB03B" w14:textId="77777777" w:rsidR="00EB0609" w:rsidRDefault="00EB0609" w:rsidP="00200E55">
      <w:pPr>
        <w:pStyle w:val="DisclaimerH2"/>
        <w:outlineLvl w:val="1"/>
      </w:pPr>
      <w:r>
        <w:t>Third party copyright</w:t>
      </w:r>
    </w:p>
    <w:p w14:paraId="301B8540" w14:textId="77777777" w:rsidR="00EB0609" w:rsidRDefault="00EB0609" w:rsidP="00EB0609">
      <w:r>
        <w:t>Wherever a third party holds copyright in this material, the copyright remains with that party. Their permission may be required to use the material. Please contact them directly.</w:t>
      </w:r>
    </w:p>
    <w:p w14:paraId="2AD3BC79" w14:textId="77777777" w:rsidR="00EB0609" w:rsidRDefault="00EB0609" w:rsidP="00200E55">
      <w:pPr>
        <w:pStyle w:val="DisclaimerH2"/>
        <w:outlineLvl w:val="1"/>
      </w:pPr>
      <w:r>
        <w:t>Attribution</w:t>
      </w:r>
    </w:p>
    <w:p w14:paraId="17F227BB" w14:textId="77777777" w:rsidR="00DE610F" w:rsidRDefault="00DE610F" w:rsidP="00EB0609">
      <w:pPr>
        <w:pStyle w:val="DisclaimerH2"/>
        <w:rPr>
          <w:b w:val="0"/>
          <w:color w:val="3F3F3F" w:themeColor="text1"/>
          <w:sz w:val="20"/>
        </w:rPr>
      </w:pPr>
      <w:r w:rsidRPr="00DE610F">
        <w:rPr>
          <w:b w:val="0"/>
          <w:color w:val="3F3F3F" w:themeColor="text1"/>
          <w:sz w:val="20"/>
        </w:rPr>
        <w:t xml:space="preserve">This publication should be attributed as follows: Commonwealth of Australia, Department of the Prime Minister and Cabinet, Improved tax compliance: deductions for work-related expenses. </w:t>
      </w:r>
    </w:p>
    <w:p w14:paraId="3FEAE622" w14:textId="77777777" w:rsidR="00DE610F" w:rsidRDefault="00DE610F" w:rsidP="00EB0609">
      <w:pPr>
        <w:pStyle w:val="DisclaimerH2"/>
        <w:rPr>
          <w:b w:val="0"/>
          <w:color w:val="3F3F3F" w:themeColor="text1"/>
          <w:sz w:val="20"/>
        </w:rPr>
      </w:pPr>
    </w:p>
    <w:p w14:paraId="318B7ED8" w14:textId="77777777" w:rsidR="00EB0609" w:rsidRDefault="00EB0609" w:rsidP="00200E55">
      <w:pPr>
        <w:pStyle w:val="DisclaimerH2"/>
        <w:outlineLvl w:val="1"/>
      </w:pPr>
      <w:r>
        <w:t>Use of the Coat of Arms</w:t>
      </w:r>
    </w:p>
    <w:p w14:paraId="4F8DEBCD" w14:textId="77777777" w:rsidR="00EB0609" w:rsidRDefault="00EB0609" w:rsidP="00EB0609">
      <w:r>
        <w:t xml:space="preserve">The terms under which the Coat of Arms can be used are detailed on the following website: </w:t>
      </w:r>
      <w:hyperlink r:id="rId28" w:history="1">
        <w:r w:rsidRPr="006911C0">
          <w:rPr>
            <w:rStyle w:val="Hyperlink"/>
          </w:rPr>
          <w:t>http://www.itsanhonour.gov.au/coat-arms</w:t>
        </w:r>
      </w:hyperlink>
    </w:p>
    <w:p w14:paraId="129BEE51" w14:textId="77777777" w:rsidR="00C67F21" w:rsidRPr="00C67F21" w:rsidRDefault="00C67F21" w:rsidP="00C67F21"/>
    <w:p w14:paraId="031260E9" w14:textId="77777777" w:rsidR="000A48B2" w:rsidRDefault="000A48B2" w:rsidP="00F04EF6"/>
    <w:p w14:paraId="731C890F" w14:textId="77777777" w:rsidR="009C7EE6" w:rsidRDefault="009C7EE6" w:rsidP="00C6442A">
      <w:pPr>
        <w:sectPr w:rsidR="009C7EE6" w:rsidSect="00EA200D">
          <w:headerReference w:type="default" r:id="rId29"/>
          <w:footerReference w:type="default" r:id="rId30"/>
          <w:pgSz w:w="11906" w:h="16838" w:code="9"/>
          <w:pgMar w:top="2041" w:right="1133" w:bottom="1247" w:left="1247" w:header="720" w:footer="851" w:gutter="0"/>
          <w:cols w:space="708"/>
          <w:docGrid w:linePitch="360"/>
        </w:sectPr>
      </w:pPr>
    </w:p>
    <w:p w14:paraId="28C2EA0E" w14:textId="77777777" w:rsidR="00D10FA1" w:rsidRDefault="00037F3D" w:rsidP="00E320C4">
      <w:pPr>
        <w:ind w:left="-378"/>
      </w:pPr>
      <w:r>
        <w:rPr>
          <w:noProof/>
        </w:rPr>
        <w:drawing>
          <wp:inline distT="0" distB="0" distL="0" distR="0" wp14:anchorId="728D8A07" wp14:editId="4DAE3829">
            <wp:extent cx="2532893" cy="3496063"/>
            <wp:effectExtent l="0" t="0" r="1270" b="0"/>
            <wp:docPr id="9" name="Picture 9" descr="Australian Government BETA" title="Government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5899F154" w14:textId="77777777" w:rsidR="001A0BF0" w:rsidRPr="00DF234F" w:rsidRDefault="001A0BF0" w:rsidP="001A0BF0">
      <w:pPr>
        <w:pStyle w:val="BackPageH1"/>
      </w:pPr>
      <w:r w:rsidRPr="00037F3D">
        <w:t xml:space="preserve">Behavioural Economics Team </w:t>
      </w:r>
      <w:r>
        <w:br/>
      </w:r>
      <w:r w:rsidRPr="00037F3D">
        <w:t>of the Australian Government</w:t>
      </w:r>
    </w:p>
    <w:p w14:paraId="24CBFFFB" w14:textId="77777777" w:rsidR="001A0BF0" w:rsidRPr="004A4D74" w:rsidRDefault="001A0BF0" w:rsidP="004A4D74">
      <w:pPr>
        <w:pStyle w:val="BackPageH2"/>
      </w:pPr>
      <w:r w:rsidRPr="004A4D74">
        <w:t xml:space="preserve">General enquiries </w:t>
      </w:r>
      <w:hyperlink r:id="rId32" w:history="1">
        <w:r w:rsidRPr="004A4D74">
          <w:rPr>
            <w:rStyle w:val="Hyperlink"/>
          </w:rPr>
          <w:t>beta@pmc.gov.au</w:t>
        </w:r>
      </w:hyperlink>
    </w:p>
    <w:p w14:paraId="4127F934" w14:textId="77777777" w:rsidR="001A0BF0" w:rsidRPr="004A4D74" w:rsidRDefault="001A0BF0" w:rsidP="004A4D74">
      <w:pPr>
        <w:pStyle w:val="BackPageH2"/>
      </w:pPr>
      <w:r w:rsidRPr="004A4D74">
        <w:t xml:space="preserve">Media enquiries </w:t>
      </w:r>
      <w:hyperlink r:id="rId33" w:history="1">
        <w:r w:rsidRPr="004A4D74">
          <w:rPr>
            <w:rStyle w:val="Hyperlink"/>
          </w:rPr>
          <w:t>media@pmc.gov.au</w:t>
        </w:r>
      </w:hyperlink>
    </w:p>
    <w:p w14:paraId="3590227F" w14:textId="77777777" w:rsidR="001A0BF0" w:rsidRPr="004A4D74" w:rsidRDefault="001A0BF0" w:rsidP="004A4D74">
      <w:pPr>
        <w:pStyle w:val="BackPageH2"/>
      </w:pPr>
      <w:r w:rsidRPr="004A4D74">
        <w:t xml:space="preserve">Find out more </w:t>
      </w:r>
      <w:hyperlink r:id="rId34" w:history="1">
        <w:r w:rsidRPr="004A4D74">
          <w:rPr>
            <w:rStyle w:val="Hyperlink"/>
          </w:rPr>
          <w:t>www.pmc.gov.au/beta</w:t>
        </w:r>
      </w:hyperlink>
    </w:p>
    <w:p w14:paraId="75883D79" w14:textId="77777777" w:rsidR="00037F3D" w:rsidRPr="00037F3D" w:rsidRDefault="00037F3D" w:rsidP="00037F3D">
      <w:pPr>
        <w:spacing w:before="0" w:after="0" w:line="240" w:lineRule="auto"/>
        <w:rPr>
          <w:sz w:val="2"/>
          <w:szCs w:val="2"/>
        </w:rPr>
      </w:pPr>
    </w:p>
    <w:sectPr w:rsidR="00037F3D" w:rsidRPr="00037F3D" w:rsidSect="00F202CA">
      <w:headerReference w:type="default" r:id="rId35"/>
      <w:footerReference w:type="default" r:id="rId36"/>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9AAAB" w14:textId="77777777" w:rsidR="00DC5645" w:rsidRDefault="00DC5645">
      <w:r>
        <w:separator/>
      </w:r>
    </w:p>
  </w:endnote>
  <w:endnote w:type="continuationSeparator" w:id="0">
    <w:p w14:paraId="74550008" w14:textId="77777777" w:rsidR="00DC5645" w:rsidRDefault="00DC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7BA88" w14:textId="01850AA4" w:rsidR="002A311D" w:rsidRDefault="002A311D" w:rsidP="00A00EEB">
    <w:pPr>
      <w:pStyle w:val="Footer"/>
    </w:pPr>
    <w:r w:rsidRPr="003F31E6">
      <w:rPr>
        <w:noProof/>
      </w:rPr>
      <mc:AlternateContent>
        <mc:Choice Requires="wps">
          <w:drawing>
            <wp:anchor distT="0" distB="0" distL="114300" distR="114300" simplePos="0" relativeHeight="251661312" behindDoc="1" locked="0" layoutInCell="1" allowOverlap="1" wp14:anchorId="53278F2D" wp14:editId="2FAC9514">
              <wp:simplePos x="0" y="0"/>
              <wp:positionH relativeFrom="page">
                <wp:posOffset>0</wp:posOffset>
              </wp:positionH>
              <wp:positionV relativeFrom="page">
                <wp:posOffset>0</wp:posOffset>
              </wp:positionV>
              <wp:extent cx="7560000" cy="10692000"/>
              <wp:effectExtent l="0" t="0" r="3175" b="0"/>
              <wp:wrapNone/>
              <wp:docPr id="4" name="Rectangle 4"/>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A9FA0" id="Rectangle 4" o:spid="_x0000_s1026" style="position:absolute;margin-left:0;margin-top:0;width:595.3pt;height:841.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6543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1B6E3" w14:textId="2E28A560" w:rsidR="002A311D" w:rsidRPr="008253C4" w:rsidRDefault="002A311D" w:rsidP="00A00EEB">
    <w:pPr>
      <w:pStyle w:val="Footer"/>
      <w:rPr>
        <w:color w:val="FFFFFF" w:themeColor="background1"/>
      </w:rPr>
    </w:pPr>
    <w:r w:rsidRPr="003F31E6">
      <w:rPr>
        <w:noProof/>
      </w:rPr>
      <mc:AlternateContent>
        <mc:Choice Requires="wps">
          <w:drawing>
            <wp:anchor distT="0" distB="0" distL="114300" distR="114300" simplePos="0" relativeHeight="251659264" behindDoc="1" locked="0" layoutInCell="1" allowOverlap="1" wp14:anchorId="0ADFF10B" wp14:editId="4C2EDF21">
              <wp:simplePos x="0" y="0"/>
              <wp:positionH relativeFrom="page">
                <wp:posOffset>0</wp:posOffset>
              </wp:positionH>
              <wp:positionV relativeFrom="page">
                <wp:posOffset>0</wp:posOffset>
              </wp:positionV>
              <wp:extent cx="7560000" cy="10692000"/>
              <wp:effectExtent l="0" t="0" r="3175" b="0"/>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A9582" id="Rectangle 3"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46543A">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40001" w14:textId="3ED277E8" w:rsidR="002A311D" w:rsidRDefault="002A311D"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6543A">
      <w:rPr>
        <w:noProof/>
      </w:rPr>
      <w:t>31</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48C44" w14:textId="77777777" w:rsidR="002A311D" w:rsidRPr="00F202CA" w:rsidRDefault="002A311D"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AC46F" w14:textId="77777777" w:rsidR="00DC5645" w:rsidRDefault="00DC5645">
      <w:r>
        <w:separator/>
      </w:r>
    </w:p>
  </w:footnote>
  <w:footnote w:type="continuationSeparator" w:id="0">
    <w:p w14:paraId="6FCB8539" w14:textId="77777777" w:rsidR="00DC5645" w:rsidRDefault="00DC5645">
      <w:r>
        <w:continuationSeparator/>
      </w:r>
    </w:p>
  </w:footnote>
  <w:footnote w:id="1">
    <w:p w14:paraId="3D32CE4E" w14:textId="77777777" w:rsidR="002A311D" w:rsidRPr="00F95844" w:rsidRDefault="002A311D" w:rsidP="00A51A60">
      <w:pPr>
        <w:pStyle w:val="FootnoteText"/>
      </w:pPr>
      <w:r>
        <w:rPr>
          <w:rStyle w:val="FootnoteReference"/>
        </w:rPr>
        <w:footnoteRef/>
      </w:r>
      <w:r>
        <w:t xml:space="preserve"> These reviews include: Commonwealth of Australia (chaired by Ken Henry) 2009, </w:t>
      </w:r>
      <w:r>
        <w:rPr>
          <w:i/>
        </w:rPr>
        <w:t xml:space="preserve">Australia’s Future Tax System; </w:t>
      </w:r>
      <w:r>
        <w:t xml:space="preserve">Commonwealth of Australia (Commonwealth Treasury) 2015, </w:t>
      </w:r>
      <w:r>
        <w:rPr>
          <w:i/>
        </w:rPr>
        <w:t>Re:think – tax discussion paper</w:t>
      </w:r>
      <w:r>
        <w:t xml:space="preserve">; and Commonwealth of Australia (House of Representatives Standing Committee on Economics) 2017, </w:t>
      </w:r>
      <w:r>
        <w:rPr>
          <w:i/>
        </w:rPr>
        <w:t xml:space="preserve">Report on the inquiry into tax deductibility. </w:t>
      </w:r>
    </w:p>
    <w:p w14:paraId="61214D97" w14:textId="77777777" w:rsidR="002A311D" w:rsidRPr="00A51A60" w:rsidRDefault="002A311D">
      <w:pPr>
        <w:pStyle w:val="FootnoteText"/>
        <w:rPr>
          <w:lang w:val="en-US"/>
        </w:rPr>
      </w:pPr>
    </w:p>
  </w:footnote>
  <w:footnote w:id="2">
    <w:p w14:paraId="55AA9017" w14:textId="77777777" w:rsidR="002A311D" w:rsidRPr="000E1510" w:rsidRDefault="002A311D">
      <w:pPr>
        <w:pStyle w:val="FootnoteText"/>
        <w:rPr>
          <w:lang w:val="en-US"/>
        </w:rPr>
      </w:pPr>
      <w:r>
        <w:rPr>
          <w:rStyle w:val="FootnoteReference"/>
        </w:rPr>
        <w:footnoteRef/>
      </w:r>
      <w:r>
        <w:t xml:space="preserve"> </w:t>
      </w:r>
      <w:r w:rsidRPr="004E742D">
        <w:t>The majority of results presented in this section are averages. For example, we compared the average deduction (in dollars) among agents who received the letter with the average among agents who did not receive the letter. When we present other statistics (e.g. the percentage who lodged tax amendments), these are clearly noted in text.</w:t>
      </w:r>
    </w:p>
  </w:footnote>
  <w:footnote w:id="3">
    <w:p w14:paraId="0B66B453" w14:textId="77777777" w:rsidR="002A311D" w:rsidRPr="00D51EAC" w:rsidRDefault="002A311D" w:rsidP="000E1510">
      <w:pPr>
        <w:pStyle w:val="FootnoteText"/>
        <w:rPr>
          <w:lang w:val="en-US"/>
        </w:rPr>
      </w:pPr>
      <w:r>
        <w:rPr>
          <w:rStyle w:val="FootnoteReference"/>
        </w:rPr>
        <w:footnoteRef/>
      </w:r>
      <w:r>
        <w:t xml:space="preserve"> </w:t>
      </w:r>
      <w:r w:rsidRPr="00B51868">
        <w:t xml:space="preserve">The effect </w:t>
      </w:r>
      <w:r>
        <w:t>was</w:t>
      </w:r>
      <w:r w:rsidRPr="00B51868">
        <w:t xml:space="preserve"> statist</w:t>
      </w:r>
      <w:r>
        <w:t>ically significant at p &lt; 0.001.</w:t>
      </w:r>
      <w:r w:rsidRPr="00B51868">
        <w:t xml:space="preserve"> </w:t>
      </w:r>
      <w:r>
        <w:t>For statistical details of this finding and other results presented in the Results Section, please refer to Appendix 3. We are aware there is a lively academic debate about the merits of testing for ‘statistical significance’, the appropriateness of conventional thresholds such as p&lt;0.05 (or any thresholds at all), and even the use of p</w:t>
      </w:r>
      <w:r>
        <w:noBreakHyphen/>
        <w:t>values generally. See, in particular, ‘The American Statistical Association Statement on Statistical Significance and P-Values’ (Wassertein and Lazar 2016).</w:t>
      </w:r>
    </w:p>
  </w:footnote>
  <w:footnote w:id="4">
    <w:p w14:paraId="7E209231" w14:textId="77777777" w:rsidR="002A311D" w:rsidRPr="007E4BB3" w:rsidRDefault="002A311D" w:rsidP="000E1510">
      <w:pPr>
        <w:pStyle w:val="FootnoteText"/>
        <w:rPr>
          <w:lang w:val="en-US"/>
        </w:rPr>
      </w:pPr>
      <w:r>
        <w:rPr>
          <w:rStyle w:val="FootnoteReference"/>
        </w:rPr>
        <w:footnoteRef/>
      </w:r>
      <w:r>
        <w:t xml:space="preserve"> Note new tax returns lodged are for an agent’s other clients. They are not new tax returns for identified clients who were attached in the treatment letter.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9A2ED" w14:textId="77777777" w:rsidR="002A311D" w:rsidRDefault="002A311D">
    <w:pPr>
      <w:pStyle w:val="Header"/>
    </w:pPr>
    <w:r>
      <w:rPr>
        <w:noProof/>
      </w:rPr>
      <w:drawing>
        <wp:anchor distT="0" distB="0" distL="114300" distR="114300" simplePos="0" relativeHeight="251662336" behindDoc="1" locked="0" layoutInCell="1" allowOverlap="1" wp14:anchorId="753B2B8D" wp14:editId="7A02A958">
          <wp:simplePos x="0" y="0"/>
          <wp:positionH relativeFrom="page">
            <wp:align>left</wp:align>
          </wp:positionH>
          <wp:positionV relativeFrom="page">
            <wp:align>top</wp:align>
          </wp:positionV>
          <wp:extent cx="7563600" cy="10692000"/>
          <wp:effectExtent l="0" t="0" r="571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AD928" w14:textId="77777777" w:rsidR="002A311D" w:rsidRDefault="002A3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475F6" w14:textId="77777777" w:rsidR="002A311D" w:rsidRPr="00D00D91" w:rsidRDefault="002A311D" w:rsidP="008253C4">
    <w:pPr>
      <w:pStyle w:val="Header"/>
      <w:rPr>
        <w:color w:val="FFFFFF" w:themeColor="background1"/>
        <w:lang w:val="en-US"/>
      </w:rPr>
    </w:pPr>
    <w:r>
      <w:rPr>
        <w:color w:val="FFFFFF" w:themeColor="background1"/>
        <w:lang w:val="en-US"/>
      </w:rPr>
      <w:t>Improving tax compliance: deductions for work-related expenses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7B3D3" w14:textId="77777777" w:rsidR="002A311D" w:rsidRPr="00773357" w:rsidRDefault="002A311D">
    <w:pPr>
      <w:pStyle w:val="Header"/>
      <w:rPr>
        <w:lang w:val="en-US"/>
      </w:rPr>
    </w:pPr>
    <w:r>
      <w:rPr>
        <w:lang w:val="en-US"/>
      </w:rPr>
      <w:t>Improving tax compliance: deductions for work-related expenses</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60E6C" w14:textId="77777777" w:rsidR="002A311D" w:rsidRPr="00F202CA" w:rsidRDefault="002A311D"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17F261B8"/>
    <w:multiLevelType w:val="multilevel"/>
    <w:tmpl w:val="6BA2A006"/>
    <w:lvl w:ilvl="0">
      <w:start w:val="1"/>
      <w:numFmt w:val="decimal"/>
      <w:pStyle w:val="AppendixHeading"/>
      <w:suff w:val="nothing"/>
      <w:lvlText w:val="Appendix %1 - "/>
      <w:lvlJc w:val="left"/>
      <w:pPr>
        <w:ind w:left="0" w:firstLine="0"/>
      </w:pPr>
      <w:rPr>
        <w:rFonts w:hint="default"/>
        <w:b/>
        <w:i w:val="0"/>
        <w:color w:val="117479" w:themeColor="accent3"/>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2069F"/>
    <w:multiLevelType w:val="multilevel"/>
    <w:tmpl w:val="28FC9A1E"/>
    <w:lvl w:ilvl="0">
      <w:start w:val="1"/>
      <w:numFmt w:val="bullet"/>
      <w:pStyle w:val="List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36A7891"/>
    <w:multiLevelType w:val="multilevel"/>
    <w:tmpl w:val="19CE5240"/>
    <w:lvl w:ilvl="0">
      <w:start w:val="1"/>
      <w:numFmt w:val="decimal"/>
      <w:pStyle w:val="FigureHeading"/>
      <w:suff w:val="space"/>
      <w:lvlText w:val="Figure %1:"/>
      <w:lvlJc w:val="left"/>
      <w:pPr>
        <w:ind w:left="720" w:hanging="72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num w:numId="1">
    <w:abstractNumId w:val="5"/>
  </w:num>
  <w:num w:numId="2">
    <w:abstractNumId w:val="7"/>
  </w:num>
  <w:num w:numId="3">
    <w:abstractNumId w:val="6"/>
  </w:num>
  <w:num w:numId="4">
    <w:abstractNumId w:val="4"/>
  </w:num>
  <w:num w:numId="5">
    <w:abstractNumId w:val="3"/>
  </w:num>
  <w:num w:numId="6">
    <w:abstractNumId w:val="2"/>
  </w:num>
  <w:num w:numId="7">
    <w:abstractNumId w:val="1"/>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removePersonalInformation/>
  <w:removeDateAndTime/>
  <w:doNotDisplayPageBoundaries/>
  <w:hideSpellingErrors/>
  <w:hideGrammaticalError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00A"/>
    <w:rsid w:val="00005785"/>
    <w:rsid w:val="00006876"/>
    <w:rsid w:val="000079AD"/>
    <w:rsid w:val="00007D1F"/>
    <w:rsid w:val="00010D84"/>
    <w:rsid w:val="00010F15"/>
    <w:rsid w:val="00011CE3"/>
    <w:rsid w:val="000131D0"/>
    <w:rsid w:val="000176B5"/>
    <w:rsid w:val="00022E9C"/>
    <w:rsid w:val="00024EF0"/>
    <w:rsid w:val="00025631"/>
    <w:rsid w:val="00027B26"/>
    <w:rsid w:val="00030705"/>
    <w:rsid w:val="00032861"/>
    <w:rsid w:val="00032B77"/>
    <w:rsid w:val="00037F3D"/>
    <w:rsid w:val="00042285"/>
    <w:rsid w:val="00043256"/>
    <w:rsid w:val="00045A89"/>
    <w:rsid w:val="00046F8E"/>
    <w:rsid w:val="00047261"/>
    <w:rsid w:val="00047524"/>
    <w:rsid w:val="0005040E"/>
    <w:rsid w:val="0005087D"/>
    <w:rsid w:val="00050F9E"/>
    <w:rsid w:val="000547EF"/>
    <w:rsid w:val="00056004"/>
    <w:rsid w:val="0006075A"/>
    <w:rsid w:val="00061C84"/>
    <w:rsid w:val="00062484"/>
    <w:rsid w:val="00063129"/>
    <w:rsid w:val="00064EE9"/>
    <w:rsid w:val="00065022"/>
    <w:rsid w:val="00065A5E"/>
    <w:rsid w:val="00070681"/>
    <w:rsid w:val="0007097B"/>
    <w:rsid w:val="00070F67"/>
    <w:rsid w:val="00072DA5"/>
    <w:rsid w:val="00080A09"/>
    <w:rsid w:val="00081366"/>
    <w:rsid w:val="00081CEB"/>
    <w:rsid w:val="00083082"/>
    <w:rsid w:val="00083F36"/>
    <w:rsid w:val="00085623"/>
    <w:rsid w:val="00086D9F"/>
    <w:rsid w:val="00087B2C"/>
    <w:rsid w:val="00087D4E"/>
    <w:rsid w:val="00087DBD"/>
    <w:rsid w:val="00090718"/>
    <w:rsid w:val="00091B4E"/>
    <w:rsid w:val="00091CD7"/>
    <w:rsid w:val="00093DD5"/>
    <w:rsid w:val="000A03DD"/>
    <w:rsid w:val="000A1A09"/>
    <w:rsid w:val="000A47A8"/>
    <w:rsid w:val="000A48B2"/>
    <w:rsid w:val="000A73FB"/>
    <w:rsid w:val="000B0129"/>
    <w:rsid w:val="000B218A"/>
    <w:rsid w:val="000C014D"/>
    <w:rsid w:val="000C29B4"/>
    <w:rsid w:val="000C5CD8"/>
    <w:rsid w:val="000C7A69"/>
    <w:rsid w:val="000D1158"/>
    <w:rsid w:val="000D4703"/>
    <w:rsid w:val="000E12D4"/>
    <w:rsid w:val="000E1510"/>
    <w:rsid w:val="000E39EF"/>
    <w:rsid w:val="000E51CE"/>
    <w:rsid w:val="000E620E"/>
    <w:rsid w:val="000F2063"/>
    <w:rsid w:val="000F3D28"/>
    <w:rsid w:val="000F63C4"/>
    <w:rsid w:val="000F7463"/>
    <w:rsid w:val="00100200"/>
    <w:rsid w:val="0010263D"/>
    <w:rsid w:val="00102824"/>
    <w:rsid w:val="0010300A"/>
    <w:rsid w:val="001131F0"/>
    <w:rsid w:val="001139C7"/>
    <w:rsid w:val="00114EBC"/>
    <w:rsid w:val="0012073F"/>
    <w:rsid w:val="00121489"/>
    <w:rsid w:val="001239B3"/>
    <w:rsid w:val="0012427E"/>
    <w:rsid w:val="001247E0"/>
    <w:rsid w:val="001252F6"/>
    <w:rsid w:val="00125B05"/>
    <w:rsid w:val="00126750"/>
    <w:rsid w:val="001271A1"/>
    <w:rsid w:val="00131C0F"/>
    <w:rsid w:val="001325BF"/>
    <w:rsid w:val="00132F0D"/>
    <w:rsid w:val="00133713"/>
    <w:rsid w:val="00135B7E"/>
    <w:rsid w:val="00137FDB"/>
    <w:rsid w:val="00140505"/>
    <w:rsid w:val="00140FC9"/>
    <w:rsid w:val="001413C5"/>
    <w:rsid w:val="0014231B"/>
    <w:rsid w:val="00142956"/>
    <w:rsid w:val="00142D10"/>
    <w:rsid w:val="001432B0"/>
    <w:rsid w:val="00144868"/>
    <w:rsid w:val="001452BC"/>
    <w:rsid w:val="00150D2A"/>
    <w:rsid w:val="00150E25"/>
    <w:rsid w:val="00150EA9"/>
    <w:rsid w:val="00151650"/>
    <w:rsid w:val="00155B98"/>
    <w:rsid w:val="00157001"/>
    <w:rsid w:val="00157709"/>
    <w:rsid w:val="00160B66"/>
    <w:rsid w:val="00160E91"/>
    <w:rsid w:val="00165626"/>
    <w:rsid w:val="00166272"/>
    <w:rsid w:val="001671D2"/>
    <w:rsid w:val="00167CF4"/>
    <w:rsid w:val="00170BE9"/>
    <w:rsid w:val="0017147C"/>
    <w:rsid w:val="0017194E"/>
    <w:rsid w:val="0017249B"/>
    <w:rsid w:val="001727A4"/>
    <w:rsid w:val="00177AD3"/>
    <w:rsid w:val="00177EC4"/>
    <w:rsid w:val="00181533"/>
    <w:rsid w:val="001824C8"/>
    <w:rsid w:val="00182698"/>
    <w:rsid w:val="001864FD"/>
    <w:rsid w:val="001936A7"/>
    <w:rsid w:val="001943DD"/>
    <w:rsid w:val="00196BAC"/>
    <w:rsid w:val="001A009A"/>
    <w:rsid w:val="001A0BF0"/>
    <w:rsid w:val="001A13F6"/>
    <w:rsid w:val="001A2D78"/>
    <w:rsid w:val="001A61C4"/>
    <w:rsid w:val="001A7249"/>
    <w:rsid w:val="001B385A"/>
    <w:rsid w:val="001B3904"/>
    <w:rsid w:val="001B3AEC"/>
    <w:rsid w:val="001B3E8D"/>
    <w:rsid w:val="001B5259"/>
    <w:rsid w:val="001B53B8"/>
    <w:rsid w:val="001B60D4"/>
    <w:rsid w:val="001B6F28"/>
    <w:rsid w:val="001C4F4F"/>
    <w:rsid w:val="001C6BA1"/>
    <w:rsid w:val="001C6F22"/>
    <w:rsid w:val="001D141C"/>
    <w:rsid w:val="001D2904"/>
    <w:rsid w:val="001D652D"/>
    <w:rsid w:val="001D693F"/>
    <w:rsid w:val="001D6EDF"/>
    <w:rsid w:val="001D6F9E"/>
    <w:rsid w:val="001E38FB"/>
    <w:rsid w:val="001E52C2"/>
    <w:rsid w:val="001E6A27"/>
    <w:rsid w:val="001F0BE1"/>
    <w:rsid w:val="001F101A"/>
    <w:rsid w:val="001F24EF"/>
    <w:rsid w:val="001F56C7"/>
    <w:rsid w:val="00200E55"/>
    <w:rsid w:val="00203039"/>
    <w:rsid w:val="00203A42"/>
    <w:rsid w:val="00204B17"/>
    <w:rsid w:val="002069D2"/>
    <w:rsid w:val="002111E1"/>
    <w:rsid w:val="00211DA2"/>
    <w:rsid w:val="00213693"/>
    <w:rsid w:val="00215137"/>
    <w:rsid w:val="00215479"/>
    <w:rsid w:val="00215CCB"/>
    <w:rsid w:val="00216CF5"/>
    <w:rsid w:val="0022037B"/>
    <w:rsid w:val="00222C8D"/>
    <w:rsid w:val="002256A8"/>
    <w:rsid w:val="00226D96"/>
    <w:rsid w:val="00230E6B"/>
    <w:rsid w:val="002320BC"/>
    <w:rsid w:val="00232B97"/>
    <w:rsid w:val="00233077"/>
    <w:rsid w:val="0023523A"/>
    <w:rsid w:val="0023757C"/>
    <w:rsid w:val="00237C47"/>
    <w:rsid w:val="002402E4"/>
    <w:rsid w:val="002421A0"/>
    <w:rsid w:val="00242B98"/>
    <w:rsid w:val="002445A1"/>
    <w:rsid w:val="00246FE6"/>
    <w:rsid w:val="002470E3"/>
    <w:rsid w:val="0025207D"/>
    <w:rsid w:val="002535AE"/>
    <w:rsid w:val="00254DE9"/>
    <w:rsid w:val="00257A66"/>
    <w:rsid w:val="002602FC"/>
    <w:rsid w:val="002615D3"/>
    <w:rsid w:val="0026268A"/>
    <w:rsid w:val="00262845"/>
    <w:rsid w:val="002672F1"/>
    <w:rsid w:val="00271414"/>
    <w:rsid w:val="00271922"/>
    <w:rsid w:val="00273412"/>
    <w:rsid w:val="0027373F"/>
    <w:rsid w:val="00274ACF"/>
    <w:rsid w:val="00277388"/>
    <w:rsid w:val="00277C8F"/>
    <w:rsid w:val="0028159B"/>
    <w:rsid w:val="00282671"/>
    <w:rsid w:val="00282861"/>
    <w:rsid w:val="002843E2"/>
    <w:rsid w:val="00287BAA"/>
    <w:rsid w:val="0029180D"/>
    <w:rsid w:val="00293489"/>
    <w:rsid w:val="00295B30"/>
    <w:rsid w:val="00296F5E"/>
    <w:rsid w:val="00297A8D"/>
    <w:rsid w:val="002A30F0"/>
    <w:rsid w:val="002A311D"/>
    <w:rsid w:val="002A38A4"/>
    <w:rsid w:val="002A6DF5"/>
    <w:rsid w:val="002B6406"/>
    <w:rsid w:val="002B6809"/>
    <w:rsid w:val="002C4231"/>
    <w:rsid w:val="002C7080"/>
    <w:rsid w:val="002D00B0"/>
    <w:rsid w:val="002D2364"/>
    <w:rsid w:val="002D2E16"/>
    <w:rsid w:val="002D6050"/>
    <w:rsid w:val="002D6E3E"/>
    <w:rsid w:val="002E21D6"/>
    <w:rsid w:val="002E45F0"/>
    <w:rsid w:val="002E7778"/>
    <w:rsid w:val="00304B3E"/>
    <w:rsid w:val="00304D97"/>
    <w:rsid w:val="00306D58"/>
    <w:rsid w:val="0031180A"/>
    <w:rsid w:val="003122C7"/>
    <w:rsid w:val="00313127"/>
    <w:rsid w:val="00313304"/>
    <w:rsid w:val="003155F4"/>
    <w:rsid w:val="00320309"/>
    <w:rsid w:val="00321D1E"/>
    <w:rsid w:val="0032530E"/>
    <w:rsid w:val="0032595F"/>
    <w:rsid w:val="00325A61"/>
    <w:rsid w:val="00326976"/>
    <w:rsid w:val="00326B01"/>
    <w:rsid w:val="003279E4"/>
    <w:rsid w:val="00327C3F"/>
    <w:rsid w:val="003311D7"/>
    <w:rsid w:val="00332B8B"/>
    <w:rsid w:val="0033521E"/>
    <w:rsid w:val="003364C7"/>
    <w:rsid w:val="00337CA2"/>
    <w:rsid w:val="003402FB"/>
    <w:rsid w:val="003404A4"/>
    <w:rsid w:val="003418E4"/>
    <w:rsid w:val="00346843"/>
    <w:rsid w:val="00347104"/>
    <w:rsid w:val="00350852"/>
    <w:rsid w:val="0035096E"/>
    <w:rsid w:val="0035129C"/>
    <w:rsid w:val="0035219F"/>
    <w:rsid w:val="00355D01"/>
    <w:rsid w:val="00360B81"/>
    <w:rsid w:val="00366283"/>
    <w:rsid w:val="0036777E"/>
    <w:rsid w:val="003701FA"/>
    <w:rsid w:val="00372A26"/>
    <w:rsid w:val="00372EC7"/>
    <w:rsid w:val="0037484C"/>
    <w:rsid w:val="003749CD"/>
    <w:rsid w:val="00374A6C"/>
    <w:rsid w:val="0038045A"/>
    <w:rsid w:val="00382718"/>
    <w:rsid w:val="00382B3B"/>
    <w:rsid w:val="00385ED2"/>
    <w:rsid w:val="003866D6"/>
    <w:rsid w:val="0038714A"/>
    <w:rsid w:val="00391F86"/>
    <w:rsid w:val="003923FB"/>
    <w:rsid w:val="003931C7"/>
    <w:rsid w:val="00393F00"/>
    <w:rsid w:val="003945C0"/>
    <w:rsid w:val="00395807"/>
    <w:rsid w:val="003A04CB"/>
    <w:rsid w:val="003A25A7"/>
    <w:rsid w:val="003B28CC"/>
    <w:rsid w:val="003B52CE"/>
    <w:rsid w:val="003B535C"/>
    <w:rsid w:val="003B5F0C"/>
    <w:rsid w:val="003C2120"/>
    <w:rsid w:val="003C47C0"/>
    <w:rsid w:val="003C4BB1"/>
    <w:rsid w:val="003C63A3"/>
    <w:rsid w:val="003D030E"/>
    <w:rsid w:val="003D040D"/>
    <w:rsid w:val="003D1F49"/>
    <w:rsid w:val="003D2061"/>
    <w:rsid w:val="003D4072"/>
    <w:rsid w:val="003D543B"/>
    <w:rsid w:val="003D6AE7"/>
    <w:rsid w:val="003D7E3D"/>
    <w:rsid w:val="003E02C5"/>
    <w:rsid w:val="003E1FE3"/>
    <w:rsid w:val="003E32A7"/>
    <w:rsid w:val="003E74AE"/>
    <w:rsid w:val="003F1A33"/>
    <w:rsid w:val="003F3072"/>
    <w:rsid w:val="003F31E6"/>
    <w:rsid w:val="00401057"/>
    <w:rsid w:val="0040207C"/>
    <w:rsid w:val="004024E4"/>
    <w:rsid w:val="004061B4"/>
    <w:rsid w:val="00406289"/>
    <w:rsid w:val="00406578"/>
    <w:rsid w:val="004074EF"/>
    <w:rsid w:val="004078CC"/>
    <w:rsid w:val="004102C3"/>
    <w:rsid w:val="0041307C"/>
    <w:rsid w:val="00413699"/>
    <w:rsid w:val="004167B4"/>
    <w:rsid w:val="004167BC"/>
    <w:rsid w:val="0042032D"/>
    <w:rsid w:val="004225DC"/>
    <w:rsid w:val="00423A41"/>
    <w:rsid w:val="00425FBA"/>
    <w:rsid w:val="00427C7D"/>
    <w:rsid w:val="00430D7E"/>
    <w:rsid w:val="00432332"/>
    <w:rsid w:val="00432368"/>
    <w:rsid w:val="00433B04"/>
    <w:rsid w:val="0043784D"/>
    <w:rsid w:val="00440256"/>
    <w:rsid w:val="00440E22"/>
    <w:rsid w:val="0044547D"/>
    <w:rsid w:val="00446F93"/>
    <w:rsid w:val="00451A74"/>
    <w:rsid w:val="004552AB"/>
    <w:rsid w:val="004553FF"/>
    <w:rsid w:val="0045622C"/>
    <w:rsid w:val="00464B51"/>
    <w:rsid w:val="00464FB1"/>
    <w:rsid w:val="0046543A"/>
    <w:rsid w:val="00466320"/>
    <w:rsid w:val="00467185"/>
    <w:rsid w:val="00467736"/>
    <w:rsid w:val="0047050C"/>
    <w:rsid w:val="00472272"/>
    <w:rsid w:val="00472A45"/>
    <w:rsid w:val="00473930"/>
    <w:rsid w:val="00474D25"/>
    <w:rsid w:val="004750DB"/>
    <w:rsid w:val="004750FB"/>
    <w:rsid w:val="00480F21"/>
    <w:rsid w:val="0048108E"/>
    <w:rsid w:val="004821BA"/>
    <w:rsid w:val="0048537F"/>
    <w:rsid w:val="004874E5"/>
    <w:rsid w:val="00487885"/>
    <w:rsid w:val="004909C3"/>
    <w:rsid w:val="00490A65"/>
    <w:rsid w:val="0049116C"/>
    <w:rsid w:val="00491968"/>
    <w:rsid w:val="004930C9"/>
    <w:rsid w:val="00493F62"/>
    <w:rsid w:val="00494832"/>
    <w:rsid w:val="004957C2"/>
    <w:rsid w:val="00495AF1"/>
    <w:rsid w:val="00497A89"/>
    <w:rsid w:val="004A4CED"/>
    <w:rsid w:val="004A4D74"/>
    <w:rsid w:val="004A6BE6"/>
    <w:rsid w:val="004A7258"/>
    <w:rsid w:val="004B047F"/>
    <w:rsid w:val="004B0828"/>
    <w:rsid w:val="004B3304"/>
    <w:rsid w:val="004B3DF1"/>
    <w:rsid w:val="004B4BC0"/>
    <w:rsid w:val="004B5555"/>
    <w:rsid w:val="004C0484"/>
    <w:rsid w:val="004C259B"/>
    <w:rsid w:val="004C777E"/>
    <w:rsid w:val="004D0C54"/>
    <w:rsid w:val="004D16A4"/>
    <w:rsid w:val="004E518B"/>
    <w:rsid w:val="004E6682"/>
    <w:rsid w:val="004E6D8A"/>
    <w:rsid w:val="004F0411"/>
    <w:rsid w:val="004F0781"/>
    <w:rsid w:val="004F15EF"/>
    <w:rsid w:val="004F22FE"/>
    <w:rsid w:val="004F774D"/>
    <w:rsid w:val="005002FC"/>
    <w:rsid w:val="005013B0"/>
    <w:rsid w:val="005015E4"/>
    <w:rsid w:val="005017A6"/>
    <w:rsid w:val="0050291D"/>
    <w:rsid w:val="005064CD"/>
    <w:rsid w:val="00506C00"/>
    <w:rsid w:val="00511016"/>
    <w:rsid w:val="005146FC"/>
    <w:rsid w:val="005159B3"/>
    <w:rsid w:val="00522958"/>
    <w:rsid w:val="00522C03"/>
    <w:rsid w:val="00523110"/>
    <w:rsid w:val="00525EA4"/>
    <w:rsid w:val="005276B7"/>
    <w:rsid w:val="0052791F"/>
    <w:rsid w:val="00532CFF"/>
    <w:rsid w:val="00534D3D"/>
    <w:rsid w:val="00536880"/>
    <w:rsid w:val="0053759C"/>
    <w:rsid w:val="00540AD0"/>
    <w:rsid w:val="0054357A"/>
    <w:rsid w:val="00543A76"/>
    <w:rsid w:val="00547738"/>
    <w:rsid w:val="005522F3"/>
    <w:rsid w:val="005523D1"/>
    <w:rsid w:val="00554A1D"/>
    <w:rsid w:val="0055532E"/>
    <w:rsid w:val="00555BC3"/>
    <w:rsid w:val="00557C8E"/>
    <w:rsid w:val="00561B2B"/>
    <w:rsid w:val="0056357E"/>
    <w:rsid w:val="00564952"/>
    <w:rsid w:val="0056645F"/>
    <w:rsid w:val="00571AB1"/>
    <w:rsid w:val="00577E1C"/>
    <w:rsid w:val="00580DB1"/>
    <w:rsid w:val="005814AC"/>
    <w:rsid w:val="00584676"/>
    <w:rsid w:val="00584923"/>
    <w:rsid w:val="005854B7"/>
    <w:rsid w:val="00585708"/>
    <w:rsid w:val="005860D7"/>
    <w:rsid w:val="00587AB1"/>
    <w:rsid w:val="0059070B"/>
    <w:rsid w:val="0059283C"/>
    <w:rsid w:val="00595082"/>
    <w:rsid w:val="005A0D95"/>
    <w:rsid w:val="005A224B"/>
    <w:rsid w:val="005A2741"/>
    <w:rsid w:val="005A5EAE"/>
    <w:rsid w:val="005B1225"/>
    <w:rsid w:val="005B17D8"/>
    <w:rsid w:val="005B1D82"/>
    <w:rsid w:val="005B4077"/>
    <w:rsid w:val="005B65E5"/>
    <w:rsid w:val="005C28B0"/>
    <w:rsid w:val="005C2F01"/>
    <w:rsid w:val="005C5F3C"/>
    <w:rsid w:val="005C642E"/>
    <w:rsid w:val="005C6CC7"/>
    <w:rsid w:val="005D01BE"/>
    <w:rsid w:val="005D1177"/>
    <w:rsid w:val="005D1D13"/>
    <w:rsid w:val="005D254A"/>
    <w:rsid w:val="005D5460"/>
    <w:rsid w:val="005E08CD"/>
    <w:rsid w:val="005E37E8"/>
    <w:rsid w:val="005E74C5"/>
    <w:rsid w:val="005F219D"/>
    <w:rsid w:val="005F2437"/>
    <w:rsid w:val="005F318A"/>
    <w:rsid w:val="005F7710"/>
    <w:rsid w:val="006004F7"/>
    <w:rsid w:val="00603261"/>
    <w:rsid w:val="00607597"/>
    <w:rsid w:val="00610F93"/>
    <w:rsid w:val="006127CC"/>
    <w:rsid w:val="00614661"/>
    <w:rsid w:val="00622705"/>
    <w:rsid w:val="006243C6"/>
    <w:rsid w:val="006273BC"/>
    <w:rsid w:val="00632009"/>
    <w:rsid w:val="00632D70"/>
    <w:rsid w:val="00633CF1"/>
    <w:rsid w:val="00635A6C"/>
    <w:rsid w:val="00637091"/>
    <w:rsid w:val="00642839"/>
    <w:rsid w:val="006457F8"/>
    <w:rsid w:val="00645CCB"/>
    <w:rsid w:val="0064700E"/>
    <w:rsid w:val="006472A3"/>
    <w:rsid w:val="006474E0"/>
    <w:rsid w:val="006478CB"/>
    <w:rsid w:val="006503DE"/>
    <w:rsid w:val="00650B88"/>
    <w:rsid w:val="00652C58"/>
    <w:rsid w:val="006530EF"/>
    <w:rsid w:val="006554DD"/>
    <w:rsid w:val="006557EC"/>
    <w:rsid w:val="00660951"/>
    <w:rsid w:val="006636E2"/>
    <w:rsid w:val="00664C4E"/>
    <w:rsid w:val="00666273"/>
    <w:rsid w:val="00667FA9"/>
    <w:rsid w:val="0067233D"/>
    <w:rsid w:val="00672B2E"/>
    <w:rsid w:val="006745AE"/>
    <w:rsid w:val="00676870"/>
    <w:rsid w:val="00676AF3"/>
    <w:rsid w:val="00677895"/>
    <w:rsid w:val="00677BEF"/>
    <w:rsid w:val="006814A3"/>
    <w:rsid w:val="0068200A"/>
    <w:rsid w:val="00682AFC"/>
    <w:rsid w:val="00683344"/>
    <w:rsid w:val="00684FC9"/>
    <w:rsid w:val="0069072B"/>
    <w:rsid w:val="0069174B"/>
    <w:rsid w:val="00693340"/>
    <w:rsid w:val="006A04C7"/>
    <w:rsid w:val="006A4287"/>
    <w:rsid w:val="006B05E3"/>
    <w:rsid w:val="006B09BC"/>
    <w:rsid w:val="006B2ACA"/>
    <w:rsid w:val="006B6D5D"/>
    <w:rsid w:val="006B7B5A"/>
    <w:rsid w:val="006C0801"/>
    <w:rsid w:val="006C0C2C"/>
    <w:rsid w:val="006C1EAA"/>
    <w:rsid w:val="006C216F"/>
    <w:rsid w:val="006C45D4"/>
    <w:rsid w:val="006D11BD"/>
    <w:rsid w:val="006D2042"/>
    <w:rsid w:val="006D66E3"/>
    <w:rsid w:val="006D75BA"/>
    <w:rsid w:val="006D7855"/>
    <w:rsid w:val="006E010C"/>
    <w:rsid w:val="006E1003"/>
    <w:rsid w:val="006E16BF"/>
    <w:rsid w:val="006E18F0"/>
    <w:rsid w:val="006E2C89"/>
    <w:rsid w:val="006E38AF"/>
    <w:rsid w:val="006E4F93"/>
    <w:rsid w:val="006E5016"/>
    <w:rsid w:val="006E7F4D"/>
    <w:rsid w:val="006F10FE"/>
    <w:rsid w:val="006F1174"/>
    <w:rsid w:val="006F7619"/>
    <w:rsid w:val="00700135"/>
    <w:rsid w:val="0070212F"/>
    <w:rsid w:val="007023AB"/>
    <w:rsid w:val="007034D5"/>
    <w:rsid w:val="00704C40"/>
    <w:rsid w:val="00705180"/>
    <w:rsid w:val="00705D90"/>
    <w:rsid w:val="00706917"/>
    <w:rsid w:val="00710A39"/>
    <w:rsid w:val="00711605"/>
    <w:rsid w:val="00711DF6"/>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0A69"/>
    <w:rsid w:val="00745C47"/>
    <w:rsid w:val="00745E49"/>
    <w:rsid w:val="0075003D"/>
    <w:rsid w:val="00751D97"/>
    <w:rsid w:val="00752C55"/>
    <w:rsid w:val="007562D4"/>
    <w:rsid w:val="007573FA"/>
    <w:rsid w:val="00757EF9"/>
    <w:rsid w:val="00761DBF"/>
    <w:rsid w:val="00761FCF"/>
    <w:rsid w:val="00762A0D"/>
    <w:rsid w:val="00765503"/>
    <w:rsid w:val="00766C93"/>
    <w:rsid w:val="00767B7E"/>
    <w:rsid w:val="007705E9"/>
    <w:rsid w:val="00771D7D"/>
    <w:rsid w:val="007727C4"/>
    <w:rsid w:val="00773357"/>
    <w:rsid w:val="007745B7"/>
    <w:rsid w:val="007750C8"/>
    <w:rsid w:val="00776538"/>
    <w:rsid w:val="007802BE"/>
    <w:rsid w:val="00780EEF"/>
    <w:rsid w:val="0078134C"/>
    <w:rsid w:val="00781C47"/>
    <w:rsid w:val="00782189"/>
    <w:rsid w:val="007837C7"/>
    <w:rsid w:val="00784B44"/>
    <w:rsid w:val="00785465"/>
    <w:rsid w:val="00787656"/>
    <w:rsid w:val="00791767"/>
    <w:rsid w:val="0079268A"/>
    <w:rsid w:val="00794859"/>
    <w:rsid w:val="00797C88"/>
    <w:rsid w:val="007A1013"/>
    <w:rsid w:val="007A235B"/>
    <w:rsid w:val="007A4CA9"/>
    <w:rsid w:val="007A60B4"/>
    <w:rsid w:val="007A7D19"/>
    <w:rsid w:val="007A7EC2"/>
    <w:rsid w:val="007B042D"/>
    <w:rsid w:val="007B05BB"/>
    <w:rsid w:val="007B6E0A"/>
    <w:rsid w:val="007B764C"/>
    <w:rsid w:val="007C118A"/>
    <w:rsid w:val="007C2007"/>
    <w:rsid w:val="007C636F"/>
    <w:rsid w:val="007D0FC7"/>
    <w:rsid w:val="007D39EB"/>
    <w:rsid w:val="007D4512"/>
    <w:rsid w:val="007D6DC5"/>
    <w:rsid w:val="007E7319"/>
    <w:rsid w:val="007E74E1"/>
    <w:rsid w:val="007E77A8"/>
    <w:rsid w:val="007F491C"/>
    <w:rsid w:val="00800D07"/>
    <w:rsid w:val="008025F3"/>
    <w:rsid w:val="00803BF8"/>
    <w:rsid w:val="008061C9"/>
    <w:rsid w:val="008066D8"/>
    <w:rsid w:val="008074BB"/>
    <w:rsid w:val="00810445"/>
    <w:rsid w:val="0081076C"/>
    <w:rsid w:val="00811A18"/>
    <w:rsid w:val="008121AF"/>
    <w:rsid w:val="00812E18"/>
    <w:rsid w:val="00813711"/>
    <w:rsid w:val="00821E64"/>
    <w:rsid w:val="008253C4"/>
    <w:rsid w:val="008263C2"/>
    <w:rsid w:val="008307DB"/>
    <w:rsid w:val="00831A7E"/>
    <w:rsid w:val="00833398"/>
    <w:rsid w:val="00835D9D"/>
    <w:rsid w:val="00835FC9"/>
    <w:rsid w:val="008368F8"/>
    <w:rsid w:val="008370E3"/>
    <w:rsid w:val="008418FA"/>
    <w:rsid w:val="00842959"/>
    <w:rsid w:val="00843390"/>
    <w:rsid w:val="0085235A"/>
    <w:rsid w:val="008533E3"/>
    <w:rsid w:val="00854138"/>
    <w:rsid w:val="00854410"/>
    <w:rsid w:val="008544DF"/>
    <w:rsid w:val="008602B6"/>
    <w:rsid w:val="00860AAD"/>
    <w:rsid w:val="00861AA6"/>
    <w:rsid w:val="008708F3"/>
    <w:rsid w:val="00871354"/>
    <w:rsid w:val="00873611"/>
    <w:rsid w:val="00873C8F"/>
    <w:rsid w:val="008745FE"/>
    <w:rsid w:val="00874FB3"/>
    <w:rsid w:val="00876012"/>
    <w:rsid w:val="00877F7C"/>
    <w:rsid w:val="00880BE3"/>
    <w:rsid w:val="00881359"/>
    <w:rsid w:val="00881F8D"/>
    <w:rsid w:val="00882093"/>
    <w:rsid w:val="00882588"/>
    <w:rsid w:val="00884ADE"/>
    <w:rsid w:val="008856CF"/>
    <w:rsid w:val="00885864"/>
    <w:rsid w:val="00890A1D"/>
    <w:rsid w:val="008936BA"/>
    <w:rsid w:val="0089383B"/>
    <w:rsid w:val="00893E2B"/>
    <w:rsid w:val="0089534B"/>
    <w:rsid w:val="0089616F"/>
    <w:rsid w:val="008A0232"/>
    <w:rsid w:val="008A7D2D"/>
    <w:rsid w:val="008B0470"/>
    <w:rsid w:val="008B05E7"/>
    <w:rsid w:val="008B06C5"/>
    <w:rsid w:val="008B164E"/>
    <w:rsid w:val="008B4F06"/>
    <w:rsid w:val="008B502A"/>
    <w:rsid w:val="008B57D8"/>
    <w:rsid w:val="008B65CF"/>
    <w:rsid w:val="008B7A65"/>
    <w:rsid w:val="008C1219"/>
    <w:rsid w:val="008C123E"/>
    <w:rsid w:val="008C137D"/>
    <w:rsid w:val="008C22DD"/>
    <w:rsid w:val="008C3DFD"/>
    <w:rsid w:val="008C3ED0"/>
    <w:rsid w:val="008C3FEB"/>
    <w:rsid w:val="008C5DA5"/>
    <w:rsid w:val="008C5E94"/>
    <w:rsid w:val="008D196A"/>
    <w:rsid w:val="008D27BC"/>
    <w:rsid w:val="008E3EF2"/>
    <w:rsid w:val="008E51C9"/>
    <w:rsid w:val="008E5BEB"/>
    <w:rsid w:val="008E6306"/>
    <w:rsid w:val="008F6355"/>
    <w:rsid w:val="008F68F7"/>
    <w:rsid w:val="009005A6"/>
    <w:rsid w:val="009006CF"/>
    <w:rsid w:val="00900C71"/>
    <w:rsid w:val="00902A1C"/>
    <w:rsid w:val="009037B6"/>
    <w:rsid w:val="00906CBE"/>
    <w:rsid w:val="00910024"/>
    <w:rsid w:val="00910384"/>
    <w:rsid w:val="0091643D"/>
    <w:rsid w:val="00916E33"/>
    <w:rsid w:val="0092093B"/>
    <w:rsid w:val="00926B35"/>
    <w:rsid w:val="00930669"/>
    <w:rsid w:val="00932C33"/>
    <w:rsid w:val="00937C63"/>
    <w:rsid w:val="009427A1"/>
    <w:rsid w:val="00942FFE"/>
    <w:rsid w:val="009551E0"/>
    <w:rsid w:val="0095654E"/>
    <w:rsid w:val="00956F3C"/>
    <w:rsid w:val="0096054C"/>
    <w:rsid w:val="00960CFB"/>
    <w:rsid w:val="00970678"/>
    <w:rsid w:val="00971C34"/>
    <w:rsid w:val="00972488"/>
    <w:rsid w:val="009726D0"/>
    <w:rsid w:val="00973B23"/>
    <w:rsid w:val="0097421D"/>
    <w:rsid w:val="00976117"/>
    <w:rsid w:val="00976A23"/>
    <w:rsid w:val="009800BC"/>
    <w:rsid w:val="00980575"/>
    <w:rsid w:val="009816F6"/>
    <w:rsid w:val="009843BA"/>
    <w:rsid w:val="009900F0"/>
    <w:rsid w:val="00990B9B"/>
    <w:rsid w:val="00991370"/>
    <w:rsid w:val="00991769"/>
    <w:rsid w:val="00991ACA"/>
    <w:rsid w:val="009928B5"/>
    <w:rsid w:val="00993236"/>
    <w:rsid w:val="00993D8C"/>
    <w:rsid w:val="00994E3D"/>
    <w:rsid w:val="009A297E"/>
    <w:rsid w:val="009A4872"/>
    <w:rsid w:val="009A6127"/>
    <w:rsid w:val="009B0CC1"/>
    <w:rsid w:val="009B2C7D"/>
    <w:rsid w:val="009B69F0"/>
    <w:rsid w:val="009B713C"/>
    <w:rsid w:val="009C0F18"/>
    <w:rsid w:val="009C12C6"/>
    <w:rsid w:val="009C19D4"/>
    <w:rsid w:val="009C2555"/>
    <w:rsid w:val="009C2DA6"/>
    <w:rsid w:val="009C705A"/>
    <w:rsid w:val="009C7778"/>
    <w:rsid w:val="009C7EE6"/>
    <w:rsid w:val="009D06AE"/>
    <w:rsid w:val="009D09E2"/>
    <w:rsid w:val="009D1E42"/>
    <w:rsid w:val="009D282B"/>
    <w:rsid w:val="009D7148"/>
    <w:rsid w:val="009E02FD"/>
    <w:rsid w:val="009E4C74"/>
    <w:rsid w:val="009E56CC"/>
    <w:rsid w:val="009E59F1"/>
    <w:rsid w:val="009E62B6"/>
    <w:rsid w:val="009F0A1A"/>
    <w:rsid w:val="009F26CA"/>
    <w:rsid w:val="009F35DA"/>
    <w:rsid w:val="009F4034"/>
    <w:rsid w:val="009F43D0"/>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552C"/>
    <w:rsid w:val="00A17466"/>
    <w:rsid w:val="00A204B3"/>
    <w:rsid w:val="00A20576"/>
    <w:rsid w:val="00A20F88"/>
    <w:rsid w:val="00A21593"/>
    <w:rsid w:val="00A221F7"/>
    <w:rsid w:val="00A2227F"/>
    <w:rsid w:val="00A22C21"/>
    <w:rsid w:val="00A25CA2"/>
    <w:rsid w:val="00A2604E"/>
    <w:rsid w:val="00A31CCE"/>
    <w:rsid w:val="00A33C95"/>
    <w:rsid w:val="00A34FF3"/>
    <w:rsid w:val="00A35351"/>
    <w:rsid w:val="00A361C7"/>
    <w:rsid w:val="00A36723"/>
    <w:rsid w:val="00A37023"/>
    <w:rsid w:val="00A43140"/>
    <w:rsid w:val="00A44C7B"/>
    <w:rsid w:val="00A46DF5"/>
    <w:rsid w:val="00A5149A"/>
    <w:rsid w:val="00A51A60"/>
    <w:rsid w:val="00A53650"/>
    <w:rsid w:val="00A53E51"/>
    <w:rsid w:val="00A57183"/>
    <w:rsid w:val="00A60693"/>
    <w:rsid w:val="00A6196D"/>
    <w:rsid w:val="00A619C0"/>
    <w:rsid w:val="00A61ADF"/>
    <w:rsid w:val="00A62012"/>
    <w:rsid w:val="00A624CB"/>
    <w:rsid w:val="00A62AC0"/>
    <w:rsid w:val="00A63163"/>
    <w:rsid w:val="00A75118"/>
    <w:rsid w:val="00A76BD2"/>
    <w:rsid w:val="00A8267D"/>
    <w:rsid w:val="00A82E14"/>
    <w:rsid w:val="00A8688E"/>
    <w:rsid w:val="00A8722B"/>
    <w:rsid w:val="00A901E9"/>
    <w:rsid w:val="00A917B6"/>
    <w:rsid w:val="00A91831"/>
    <w:rsid w:val="00A91B3B"/>
    <w:rsid w:val="00A93B4F"/>
    <w:rsid w:val="00A94F7A"/>
    <w:rsid w:val="00A95D3B"/>
    <w:rsid w:val="00A97341"/>
    <w:rsid w:val="00AA0081"/>
    <w:rsid w:val="00AA4E4D"/>
    <w:rsid w:val="00AA5E38"/>
    <w:rsid w:val="00AB09ED"/>
    <w:rsid w:val="00AB3DC0"/>
    <w:rsid w:val="00AB4CBB"/>
    <w:rsid w:val="00AC0A3C"/>
    <w:rsid w:val="00AC125E"/>
    <w:rsid w:val="00AC45DF"/>
    <w:rsid w:val="00AC474D"/>
    <w:rsid w:val="00AC4DFD"/>
    <w:rsid w:val="00AC4F47"/>
    <w:rsid w:val="00AC5663"/>
    <w:rsid w:val="00AC58FD"/>
    <w:rsid w:val="00AD0F6D"/>
    <w:rsid w:val="00AD1166"/>
    <w:rsid w:val="00AD19D2"/>
    <w:rsid w:val="00AD1A96"/>
    <w:rsid w:val="00AD1CAD"/>
    <w:rsid w:val="00AD3042"/>
    <w:rsid w:val="00AD793A"/>
    <w:rsid w:val="00AE0120"/>
    <w:rsid w:val="00AE3038"/>
    <w:rsid w:val="00AE3D4A"/>
    <w:rsid w:val="00AE5956"/>
    <w:rsid w:val="00AE619F"/>
    <w:rsid w:val="00AE7A88"/>
    <w:rsid w:val="00AF060F"/>
    <w:rsid w:val="00AF13D2"/>
    <w:rsid w:val="00AF2A56"/>
    <w:rsid w:val="00AF45B0"/>
    <w:rsid w:val="00AF51D1"/>
    <w:rsid w:val="00AF63AB"/>
    <w:rsid w:val="00B000ED"/>
    <w:rsid w:val="00B01784"/>
    <w:rsid w:val="00B0388B"/>
    <w:rsid w:val="00B03BEE"/>
    <w:rsid w:val="00B0517E"/>
    <w:rsid w:val="00B11314"/>
    <w:rsid w:val="00B113E3"/>
    <w:rsid w:val="00B1156A"/>
    <w:rsid w:val="00B138E3"/>
    <w:rsid w:val="00B13FB5"/>
    <w:rsid w:val="00B14898"/>
    <w:rsid w:val="00B178FA"/>
    <w:rsid w:val="00B17D8E"/>
    <w:rsid w:val="00B207C3"/>
    <w:rsid w:val="00B21443"/>
    <w:rsid w:val="00B22468"/>
    <w:rsid w:val="00B23267"/>
    <w:rsid w:val="00B23906"/>
    <w:rsid w:val="00B23F96"/>
    <w:rsid w:val="00B257BF"/>
    <w:rsid w:val="00B27149"/>
    <w:rsid w:val="00B30A74"/>
    <w:rsid w:val="00B30AB2"/>
    <w:rsid w:val="00B3279A"/>
    <w:rsid w:val="00B34BB7"/>
    <w:rsid w:val="00B35B4D"/>
    <w:rsid w:val="00B362F0"/>
    <w:rsid w:val="00B36652"/>
    <w:rsid w:val="00B425AB"/>
    <w:rsid w:val="00B43417"/>
    <w:rsid w:val="00B45279"/>
    <w:rsid w:val="00B47090"/>
    <w:rsid w:val="00B532D1"/>
    <w:rsid w:val="00B57925"/>
    <w:rsid w:val="00B601BB"/>
    <w:rsid w:val="00B602A5"/>
    <w:rsid w:val="00B61E3E"/>
    <w:rsid w:val="00B62953"/>
    <w:rsid w:val="00B6432A"/>
    <w:rsid w:val="00B67A79"/>
    <w:rsid w:val="00B72335"/>
    <w:rsid w:val="00B72D62"/>
    <w:rsid w:val="00B7301D"/>
    <w:rsid w:val="00B767AF"/>
    <w:rsid w:val="00B80511"/>
    <w:rsid w:val="00B80798"/>
    <w:rsid w:val="00B80876"/>
    <w:rsid w:val="00B82C3C"/>
    <w:rsid w:val="00B82DE6"/>
    <w:rsid w:val="00B831CD"/>
    <w:rsid w:val="00B846F6"/>
    <w:rsid w:val="00B85329"/>
    <w:rsid w:val="00B85446"/>
    <w:rsid w:val="00B91B73"/>
    <w:rsid w:val="00B91B9D"/>
    <w:rsid w:val="00B953AD"/>
    <w:rsid w:val="00B965B5"/>
    <w:rsid w:val="00BA1B71"/>
    <w:rsid w:val="00BA3176"/>
    <w:rsid w:val="00BA5E20"/>
    <w:rsid w:val="00BA607C"/>
    <w:rsid w:val="00BA656F"/>
    <w:rsid w:val="00BA6734"/>
    <w:rsid w:val="00BB3E2A"/>
    <w:rsid w:val="00BB48A7"/>
    <w:rsid w:val="00BB7121"/>
    <w:rsid w:val="00BC0479"/>
    <w:rsid w:val="00BC1651"/>
    <w:rsid w:val="00BC16F5"/>
    <w:rsid w:val="00BC18FF"/>
    <w:rsid w:val="00BC287D"/>
    <w:rsid w:val="00BC2A38"/>
    <w:rsid w:val="00BC46EB"/>
    <w:rsid w:val="00BC57FE"/>
    <w:rsid w:val="00BC643B"/>
    <w:rsid w:val="00BD2A41"/>
    <w:rsid w:val="00BD32E5"/>
    <w:rsid w:val="00BD36C4"/>
    <w:rsid w:val="00BD4BC6"/>
    <w:rsid w:val="00BD6E1A"/>
    <w:rsid w:val="00BD79DE"/>
    <w:rsid w:val="00BE1095"/>
    <w:rsid w:val="00BE150A"/>
    <w:rsid w:val="00BE6767"/>
    <w:rsid w:val="00BE686C"/>
    <w:rsid w:val="00BE78EC"/>
    <w:rsid w:val="00BF46EE"/>
    <w:rsid w:val="00BF646E"/>
    <w:rsid w:val="00C05333"/>
    <w:rsid w:val="00C0613C"/>
    <w:rsid w:val="00C10D05"/>
    <w:rsid w:val="00C13970"/>
    <w:rsid w:val="00C13DF9"/>
    <w:rsid w:val="00C14FBA"/>
    <w:rsid w:val="00C15484"/>
    <w:rsid w:val="00C15EA1"/>
    <w:rsid w:val="00C174DB"/>
    <w:rsid w:val="00C17A8E"/>
    <w:rsid w:val="00C2378F"/>
    <w:rsid w:val="00C24F70"/>
    <w:rsid w:val="00C25615"/>
    <w:rsid w:val="00C25DC2"/>
    <w:rsid w:val="00C26A06"/>
    <w:rsid w:val="00C33479"/>
    <w:rsid w:val="00C40ED2"/>
    <w:rsid w:val="00C41F10"/>
    <w:rsid w:val="00C432DD"/>
    <w:rsid w:val="00C4423A"/>
    <w:rsid w:val="00C501FE"/>
    <w:rsid w:val="00C56957"/>
    <w:rsid w:val="00C5784B"/>
    <w:rsid w:val="00C639FF"/>
    <w:rsid w:val="00C63CB4"/>
    <w:rsid w:val="00C6442A"/>
    <w:rsid w:val="00C64D15"/>
    <w:rsid w:val="00C66088"/>
    <w:rsid w:val="00C66F3C"/>
    <w:rsid w:val="00C67C4C"/>
    <w:rsid w:val="00C67F21"/>
    <w:rsid w:val="00C711A6"/>
    <w:rsid w:val="00C74B5D"/>
    <w:rsid w:val="00C74F74"/>
    <w:rsid w:val="00C7554B"/>
    <w:rsid w:val="00C75A4C"/>
    <w:rsid w:val="00C7615C"/>
    <w:rsid w:val="00C80951"/>
    <w:rsid w:val="00C8132E"/>
    <w:rsid w:val="00C8205E"/>
    <w:rsid w:val="00C8223A"/>
    <w:rsid w:val="00C82EB5"/>
    <w:rsid w:val="00C85D24"/>
    <w:rsid w:val="00C86D1E"/>
    <w:rsid w:val="00C87966"/>
    <w:rsid w:val="00C902DE"/>
    <w:rsid w:val="00C916AE"/>
    <w:rsid w:val="00C91C74"/>
    <w:rsid w:val="00C93AAA"/>
    <w:rsid w:val="00C95FCD"/>
    <w:rsid w:val="00C97188"/>
    <w:rsid w:val="00CA0639"/>
    <w:rsid w:val="00CA11D0"/>
    <w:rsid w:val="00CA2E02"/>
    <w:rsid w:val="00CA583A"/>
    <w:rsid w:val="00CA5EC6"/>
    <w:rsid w:val="00CA787C"/>
    <w:rsid w:val="00CB1E33"/>
    <w:rsid w:val="00CB1ED4"/>
    <w:rsid w:val="00CB3679"/>
    <w:rsid w:val="00CB4B78"/>
    <w:rsid w:val="00CB5744"/>
    <w:rsid w:val="00CB7022"/>
    <w:rsid w:val="00CB7BC5"/>
    <w:rsid w:val="00CC141E"/>
    <w:rsid w:val="00CC586D"/>
    <w:rsid w:val="00CC5CB9"/>
    <w:rsid w:val="00CC7DBC"/>
    <w:rsid w:val="00CD1BA3"/>
    <w:rsid w:val="00CD1D23"/>
    <w:rsid w:val="00CD3612"/>
    <w:rsid w:val="00CD3E69"/>
    <w:rsid w:val="00CD4224"/>
    <w:rsid w:val="00CD6B7D"/>
    <w:rsid w:val="00CD7CE8"/>
    <w:rsid w:val="00CD7D29"/>
    <w:rsid w:val="00CE0847"/>
    <w:rsid w:val="00CE0B6C"/>
    <w:rsid w:val="00CE11D0"/>
    <w:rsid w:val="00CE4708"/>
    <w:rsid w:val="00CE4C50"/>
    <w:rsid w:val="00CE6858"/>
    <w:rsid w:val="00CE7450"/>
    <w:rsid w:val="00CE770C"/>
    <w:rsid w:val="00CF50BE"/>
    <w:rsid w:val="00CF538C"/>
    <w:rsid w:val="00CF7625"/>
    <w:rsid w:val="00D00D91"/>
    <w:rsid w:val="00D0506A"/>
    <w:rsid w:val="00D10FA1"/>
    <w:rsid w:val="00D1289C"/>
    <w:rsid w:val="00D1666F"/>
    <w:rsid w:val="00D2071A"/>
    <w:rsid w:val="00D22F44"/>
    <w:rsid w:val="00D25177"/>
    <w:rsid w:val="00D30F73"/>
    <w:rsid w:val="00D30F97"/>
    <w:rsid w:val="00D313A0"/>
    <w:rsid w:val="00D36FE0"/>
    <w:rsid w:val="00D40799"/>
    <w:rsid w:val="00D41A06"/>
    <w:rsid w:val="00D42ABF"/>
    <w:rsid w:val="00D42F40"/>
    <w:rsid w:val="00D4320D"/>
    <w:rsid w:val="00D45B67"/>
    <w:rsid w:val="00D45C4D"/>
    <w:rsid w:val="00D5034A"/>
    <w:rsid w:val="00D51F49"/>
    <w:rsid w:val="00D55EE8"/>
    <w:rsid w:val="00D560D1"/>
    <w:rsid w:val="00D562CB"/>
    <w:rsid w:val="00D569D1"/>
    <w:rsid w:val="00D56AD8"/>
    <w:rsid w:val="00D56C05"/>
    <w:rsid w:val="00D5785A"/>
    <w:rsid w:val="00D62769"/>
    <w:rsid w:val="00D63293"/>
    <w:rsid w:val="00D6375F"/>
    <w:rsid w:val="00D64C48"/>
    <w:rsid w:val="00D6680B"/>
    <w:rsid w:val="00D72F4F"/>
    <w:rsid w:val="00D731C4"/>
    <w:rsid w:val="00D74EB4"/>
    <w:rsid w:val="00D801FC"/>
    <w:rsid w:val="00D85BE0"/>
    <w:rsid w:val="00D87FD7"/>
    <w:rsid w:val="00D91466"/>
    <w:rsid w:val="00D915ED"/>
    <w:rsid w:val="00D91DE4"/>
    <w:rsid w:val="00D92300"/>
    <w:rsid w:val="00D94AFC"/>
    <w:rsid w:val="00D950E6"/>
    <w:rsid w:val="00D95774"/>
    <w:rsid w:val="00D97047"/>
    <w:rsid w:val="00DA30F2"/>
    <w:rsid w:val="00DA3619"/>
    <w:rsid w:val="00DA7796"/>
    <w:rsid w:val="00DA7AE4"/>
    <w:rsid w:val="00DB0B88"/>
    <w:rsid w:val="00DB1652"/>
    <w:rsid w:val="00DB1A34"/>
    <w:rsid w:val="00DB5773"/>
    <w:rsid w:val="00DB58A6"/>
    <w:rsid w:val="00DB6B99"/>
    <w:rsid w:val="00DC001A"/>
    <w:rsid w:val="00DC5645"/>
    <w:rsid w:val="00DD16E0"/>
    <w:rsid w:val="00DD22BB"/>
    <w:rsid w:val="00DD2952"/>
    <w:rsid w:val="00DD4F44"/>
    <w:rsid w:val="00DD686C"/>
    <w:rsid w:val="00DD7E0C"/>
    <w:rsid w:val="00DE2AC3"/>
    <w:rsid w:val="00DE2E40"/>
    <w:rsid w:val="00DE3598"/>
    <w:rsid w:val="00DE3FBD"/>
    <w:rsid w:val="00DE43F5"/>
    <w:rsid w:val="00DE610F"/>
    <w:rsid w:val="00DE65FB"/>
    <w:rsid w:val="00DF234F"/>
    <w:rsid w:val="00DF3940"/>
    <w:rsid w:val="00DF420A"/>
    <w:rsid w:val="00DF52A2"/>
    <w:rsid w:val="00E02472"/>
    <w:rsid w:val="00E041F0"/>
    <w:rsid w:val="00E128D8"/>
    <w:rsid w:val="00E130C3"/>
    <w:rsid w:val="00E17EDF"/>
    <w:rsid w:val="00E2082D"/>
    <w:rsid w:val="00E221E2"/>
    <w:rsid w:val="00E2330D"/>
    <w:rsid w:val="00E24303"/>
    <w:rsid w:val="00E27A16"/>
    <w:rsid w:val="00E320C4"/>
    <w:rsid w:val="00E344B0"/>
    <w:rsid w:val="00E40F7B"/>
    <w:rsid w:val="00E43E48"/>
    <w:rsid w:val="00E46D60"/>
    <w:rsid w:val="00E47C33"/>
    <w:rsid w:val="00E47F58"/>
    <w:rsid w:val="00E54BFC"/>
    <w:rsid w:val="00E55248"/>
    <w:rsid w:val="00E56D9D"/>
    <w:rsid w:val="00E60E2E"/>
    <w:rsid w:val="00E71A2D"/>
    <w:rsid w:val="00E72FB3"/>
    <w:rsid w:val="00E74A73"/>
    <w:rsid w:val="00E814C1"/>
    <w:rsid w:val="00E823C1"/>
    <w:rsid w:val="00E82DB7"/>
    <w:rsid w:val="00E83C85"/>
    <w:rsid w:val="00E8579C"/>
    <w:rsid w:val="00E865FE"/>
    <w:rsid w:val="00E91408"/>
    <w:rsid w:val="00E91759"/>
    <w:rsid w:val="00E9654B"/>
    <w:rsid w:val="00EA13E4"/>
    <w:rsid w:val="00EA18DB"/>
    <w:rsid w:val="00EA200D"/>
    <w:rsid w:val="00EA2FBA"/>
    <w:rsid w:val="00EA4DC5"/>
    <w:rsid w:val="00EA5664"/>
    <w:rsid w:val="00EA66DF"/>
    <w:rsid w:val="00EA6ADC"/>
    <w:rsid w:val="00EB0609"/>
    <w:rsid w:val="00EB13A7"/>
    <w:rsid w:val="00EB14DF"/>
    <w:rsid w:val="00EB1A4D"/>
    <w:rsid w:val="00EB34EC"/>
    <w:rsid w:val="00EB3A07"/>
    <w:rsid w:val="00EB5539"/>
    <w:rsid w:val="00EC3F31"/>
    <w:rsid w:val="00EC52E7"/>
    <w:rsid w:val="00EC7E0E"/>
    <w:rsid w:val="00ED3698"/>
    <w:rsid w:val="00ED4794"/>
    <w:rsid w:val="00ED7B59"/>
    <w:rsid w:val="00EE265C"/>
    <w:rsid w:val="00EE5C63"/>
    <w:rsid w:val="00EF359C"/>
    <w:rsid w:val="00EF416F"/>
    <w:rsid w:val="00F00449"/>
    <w:rsid w:val="00F0095C"/>
    <w:rsid w:val="00F01129"/>
    <w:rsid w:val="00F01CCA"/>
    <w:rsid w:val="00F01F2C"/>
    <w:rsid w:val="00F02104"/>
    <w:rsid w:val="00F04EF6"/>
    <w:rsid w:val="00F06C17"/>
    <w:rsid w:val="00F121B2"/>
    <w:rsid w:val="00F138B4"/>
    <w:rsid w:val="00F13C82"/>
    <w:rsid w:val="00F1632B"/>
    <w:rsid w:val="00F202CA"/>
    <w:rsid w:val="00F223A7"/>
    <w:rsid w:val="00F236BA"/>
    <w:rsid w:val="00F26A64"/>
    <w:rsid w:val="00F334CB"/>
    <w:rsid w:val="00F3495A"/>
    <w:rsid w:val="00F34E2C"/>
    <w:rsid w:val="00F370BC"/>
    <w:rsid w:val="00F37143"/>
    <w:rsid w:val="00F430C2"/>
    <w:rsid w:val="00F50562"/>
    <w:rsid w:val="00F50A92"/>
    <w:rsid w:val="00F50B0B"/>
    <w:rsid w:val="00F50D01"/>
    <w:rsid w:val="00F56BC1"/>
    <w:rsid w:val="00F618C4"/>
    <w:rsid w:val="00F6544B"/>
    <w:rsid w:val="00F65774"/>
    <w:rsid w:val="00F65A34"/>
    <w:rsid w:val="00F65F4C"/>
    <w:rsid w:val="00F715E9"/>
    <w:rsid w:val="00F71A60"/>
    <w:rsid w:val="00F725DA"/>
    <w:rsid w:val="00F7536E"/>
    <w:rsid w:val="00F75652"/>
    <w:rsid w:val="00F76137"/>
    <w:rsid w:val="00F7782D"/>
    <w:rsid w:val="00F8168B"/>
    <w:rsid w:val="00F81CF2"/>
    <w:rsid w:val="00F81F93"/>
    <w:rsid w:val="00F857D1"/>
    <w:rsid w:val="00F86296"/>
    <w:rsid w:val="00F86FD9"/>
    <w:rsid w:val="00F873CE"/>
    <w:rsid w:val="00F91DCC"/>
    <w:rsid w:val="00F9323F"/>
    <w:rsid w:val="00F943FE"/>
    <w:rsid w:val="00F95814"/>
    <w:rsid w:val="00F95CE9"/>
    <w:rsid w:val="00F96BD2"/>
    <w:rsid w:val="00F97100"/>
    <w:rsid w:val="00FA01D9"/>
    <w:rsid w:val="00FB0401"/>
    <w:rsid w:val="00FC1DFB"/>
    <w:rsid w:val="00FC1EF2"/>
    <w:rsid w:val="00FC3343"/>
    <w:rsid w:val="00FC33BA"/>
    <w:rsid w:val="00FC35AB"/>
    <w:rsid w:val="00FC6134"/>
    <w:rsid w:val="00FC654D"/>
    <w:rsid w:val="00FC77CF"/>
    <w:rsid w:val="00FD0555"/>
    <w:rsid w:val="00FD06F5"/>
    <w:rsid w:val="00FD5961"/>
    <w:rsid w:val="00FE3EFA"/>
    <w:rsid w:val="00FE5C56"/>
    <w:rsid w:val="00FE5E20"/>
    <w:rsid w:val="00FE7AAC"/>
    <w:rsid w:val="00FE7B06"/>
    <w:rsid w:val="00FE7E98"/>
    <w:rsid w:val="00FF06BC"/>
    <w:rsid w:val="00FF06E2"/>
    <w:rsid w:val="00FF20AC"/>
    <w:rsid w:val="00FF3801"/>
    <w:rsid w:val="00FF3A27"/>
    <w:rsid w:val="00FF3B27"/>
    <w:rsid w:val="00FF4E39"/>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13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2" w:qFormat="1"/>
    <w:lsdException w:name="heading 3" w:qFormat="1"/>
    <w:lsdException w:name="heading 4" w:qFormat="1"/>
    <w:lsdException w:name="heading 6" w:semiHidden="1"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3" w:unhideWhenUsed="1" w:qFormat="1"/>
    <w:lsdException w:name="List Number" w:uiPriority="3"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1D0"/>
    <w:pPr>
      <w:spacing w:before="120" w:after="120" w:line="280" w:lineRule="atLeast"/>
    </w:pPr>
    <w:rPr>
      <w:rFonts w:asciiTheme="minorHAnsi" w:hAnsiTheme="minorHAnsi"/>
      <w:color w:val="3F3F3F" w:themeColor="text1"/>
      <w:szCs w:val="24"/>
    </w:rPr>
  </w:style>
  <w:style w:type="paragraph" w:styleId="Heading1">
    <w:name w:val="heading 1"/>
    <w:basedOn w:val="Normal"/>
    <w:next w:val="Normal"/>
    <w:uiPriority w:val="4"/>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4"/>
    <w:qFormat/>
    <w:rsid w:val="00EF359C"/>
    <w:pPr>
      <w:keepNext/>
      <w:keepLines/>
      <w:spacing w:before="240"/>
      <w:contextualSpacing/>
      <w:outlineLvl w:val="1"/>
    </w:pPr>
    <w:rPr>
      <w:rFonts w:asciiTheme="majorHAnsi" w:hAnsiTheme="majorHAnsi"/>
      <w:b/>
      <w:color w:val="117479" w:themeColor="accent3"/>
      <w:sz w:val="22"/>
      <w:szCs w:val="44"/>
    </w:rPr>
  </w:style>
  <w:style w:type="paragraph" w:styleId="Heading3">
    <w:name w:val="heading 3"/>
    <w:basedOn w:val="Normal"/>
    <w:next w:val="Normal"/>
    <w:link w:val="Heading3Char"/>
    <w:uiPriority w:val="4"/>
    <w:qFormat/>
    <w:rsid w:val="00CA787C"/>
    <w:pPr>
      <w:keepNext/>
      <w:keepLines/>
      <w:spacing w:before="240"/>
      <w:contextualSpacing/>
      <w:outlineLvl w:val="2"/>
    </w:pPr>
    <w:rPr>
      <w:rFonts w:asciiTheme="majorHAnsi" w:hAnsiTheme="majorHAnsi"/>
      <w:b/>
      <w:color w:val="auto"/>
      <w:sz w:val="22"/>
      <w:szCs w:val="28"/>
    </w:rPr>
  </w:style>
  <w:style w:type="paragraph" w:styleId="Heading4">
    <w:name w:val="heading 4"/>
    <w:basedOn w:val="Normal"/>
    <w:next w:val="Normal"/>
    <w:uiPriority w:val="4"/>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7023AB"/>
    <w:rPr>
      <w:color w:val="117479" w:themeColor="accent3"/>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aliases w:val="DPS 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rsid w:val="00010D84"/>
    <w:pPr>
      <w:ind w:left="720"/>
    </w:pPr>
  </w:style>
  <w:style w:type="character" w:customStyle="1" w:styleId="Heading2Char">
    <w:name w:val="Heading 2 Char"/>
    <w:basedOn w:val="DefaultParagraphFont"/>
    <w:link w:val="Heading2"/>
    <w:uiPriority w:val="4"/>
    <w:rsid w:val="00EF359C"/>
    <w:rPr>
      <w:rFonts w:asciiTheme="majorHAnsi" w:hAnsiTheme="majorHAnsi"/>
      <w:b/>
      <w:color w:val="117479" w:themeColor="accent3"/>
      <w:sz w:val="22"/>
      <w:szCs w:val="44"/>
    </w:rPr>
  </w:style>
  <w:style w:type="paragraph" w:styleId="TOC1">
    <w:name w:val="toc 1"/>
    <w:basedOn w:val="Normal"/>
    <w:next w:val="Normal"/>
    <w:autoRedefine/>
    <w:uiPriority w:val="39"/>
    <w:rsid w:val="002320BC"/>
    <w:pPr>
      <w:pBdr>
        <w:top w:val="single" w:sz="24" w:space="6" w:color="20B9A3" w:themeColor="background2"/>
        <w:between w:val="single" w:sz="24" w:space="6"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A1552C"/>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22"/>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1A61C4"/>
    <w:pPr>
      <w:spacing w:after="240" w:line="240" w:lineRule="auto"/>
      <w:contextualSpacing/>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3"/>
    <w:qFormat/>
    <w:rsid w:val="00CA787C"/>
    <w:pPr>
      <w:spacing w:before="240"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081366"/>
    <w:pPr>
      <w:spacing w:after="80" w:line="240" w:lineRule="auto"/>
    </w:pPr>
    <w:rPr>
      <w:color w:val="FFFFFF" w:themeColor="background1"/>
      <w:sz w:val="22"/>
    </w:rPr>
  </w:style>
  <w:style w:type="paragraph" w:customStyle="1" w:styleId="FigureHeading">
    <w:name w:val="Figure Heading"/>
    <w:basedOn w:val="Normal"/>
    <w:next w:val="Normal"/>
    <w:uiPriority w:val="48"/>
    <w:qFormat/>
    <w:rsid w:val="00BA656F"/>
    <w:pPr>
      <w:keepNext/>
      <w:keepLines/>
      <w:numPr>
        <w:numId w:val="3"/>
      </w:numPr>
      <w:tabs>
        <w:tab w:val="left" w:pos="907"/>
      </w:tabs>
      <w:spacing w:before="360"/>
      <w:contextualSpacing/>
    </w:pPr>
    <w:rPr>
      <w:b/>
      <w:color w:val="auto"/>
      <w:sz w:val="22"/>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7023AB"/>
    <w:pPr>
      <w:spacing w:before="240"/>
      <w:contextualSpacing/>
    </w:pPr>
    <w:rPr>
      <w:b/>
      <w:color w:val="117479" w:themeColor="accent3"/>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4909C3"/>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qFormat/>
    <w:rsid w:val="00140505"/>
    <w:pPr>
      <w:numPr>
        <w:numId w:val="4"/>
      </w:numPr>
      <w:spacing w:before="240"/>
      <w:contextualSpacing/>
    </w:pPr>
    <w:rPr>
      <w:b/>
      <w:color w:val="117479" w:themeColor="accent3"/>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NormalWeb">
    <w:name w:val="Normal (Web)"/>
    <w:basedOn w:val="Normal"/>
    <w:uiPriority w:val="99"/>
    <w:semiHidden/>
    <w:unhideWhenUsed/>
    <w:rsid w:val="00A51A60"/>
    <w:pPr>
      <w:spacing w:line="320" w:lineRule="atLeast"/>
    </w:pPr>
    <w:rPr>
      <w:rFonts w:ascii="Times New Roman" w:hAnsi="Times New Roman"/>
      <w:sz w:val="24"/>
    </w:rPr>
  </w:style>
  <w:style w:type="character" w:customStyle="1" w:styleId="Heading3Char">
    <w:name w:val="Heading 3 Char"/>
    <w:basedOn w:val="DefaultParagraphFont"/>
    <w:link w:val="Heading3"/>
    <w:uiPriority w:val="4"/>
    <w:rsid w:val="000E1510"/>
    <w:rPr>
      <w:rFonts w:asciiTheme="majorHAnsi" w:hAnsiTheme="majorHAnsi"/>
      <w:b/>
      <w:sz w:val="22"/>
      <w:szCs w:val="28"/>
    </w:rPr>
  </w:style>
  <w:style w:type="table" w:styleId="LightList-Accent2">
    <w:name w:val="Light List Accent 2"/>
    <w:basedOn w:val="TableNormal"/>
    <w:uiPriority w:val="61"/>
    <w:unhideWhenUsed/>
    <w:rsid w:val="003A04CB"/>
    <w:tblPr>
      <w:tblStyleRowBandSize w:val="1"/>
      <w:tblStyleColBandSize w:val="1"/>
      <w:tblBorders>
        <w:top w:val="single" w:sz="8" w:space="0" w:color="8D734A" w:themeColor="accent2"/>
        <w:left w:val="single" w:sz="8" w:space="0" w:color="8D734A" w:themeColor="accent2"/>
        <w:bottom w:val="single" w:sz="8" w:space="0" w:color="8D734A" w:themeColor="accent2"/>
        <w:right w:val="single" w:sz="8" w:space="0" w:color="8D734A" w:themeColor="accent2"/>
      </w:tblBorders>
    </w:tblPr>
    <w:tblStylePr w:type="firstRow">
      <w:pPr>
        <w:spacing w:before="0" w:after="0" w:line="240" w:lineRule="auto"/>
      </w:pPr>
      <w:rPr>
        <w:b/>
        <w:bCs/>
        <w:color w:val="FFFFFF" w:themeColor="background1"/>
      </w:rPr>
      <w:tblPr/>
      <w:tcPr>
        <w:shd w:val="clear" w:color="auto" w:fill="8D734A" w:themeFill="accent2"/>
      </w:tcPr>
    </w:tblStylePr>
    <w:tblStylePr w:type="lastRow">
      <w:pPr>
        <w:spacing w:before="0" w:after="0" w:line="240" w:lineRule="auto"/>
      </w:pPr>
      <w:rPr>
        <w:b/>
        <w:bCs/>
      </w:rPr>
      <w:tblPr/>
      <w:tcPr>
        <w:tcBorders>
          <w:top w:val="double" w:sz="6" w:space="0" w:color="8D734A" w:themeColor="accent2"/>
          <w:left w:val="single" w:sz="8" w:space="0" w:color="8D734A" w:themeColor="accent2"/>
          <w:bottom w:val="single" w:sz="8" w:space="0" w:color="8D734A" w:themeColor="accent2"/>
          <w:right w:val="single" w:sz="8" w:space="0" w:color="8D734A" w:themeColor="accent2"/>
        </w:tcBorders>
      </w:tcPr>
    </w:tblStylePr>
    <w:tblStylePr w:type="firstCol">
      <w:rPr>
        <w:b/>
        <w:bCs/>
      </w:rPr>
    </w:tblStylePr>
    <w:tblStylePr w:type="lastCol">
      <w:rPr>
        <w:b/>
        <w:bCs/>
      </w:rPr>
    </w:tblStylePr>
    <w:tblStylePr w:type="band1Vert">
      <w:tblPr/>
      <w:tcPr>
        <w:tcBorders>
          <w:top w:val="single" w:sz="8" w:space="0" w:color="8D734A" w:themeColor="accent2"/>
          <w:left w:val="single" w:sz="8" w:space="0" w:color="8D734A" w:themeColor="accent2"/>
          <w:bottom w:val="single" w:sz="8" w:space="0" w:color="8D734A" w:themeColor="accent2"/>
          <w:right w:val="single" w:sz="8" w:space="0" w:color="8D734A" w:themeColor="accent2"/>
        </w:tcBorders>
      </w:tcPr>
    </w:tblStylePr>
    <w:tblStylePr w:type="band1Horz">
      <w:tblPr/>
      <w:tcPr>
        <w:tcBorders>
          <w:top w:val="single" w:sz="8" w:space="0" w:color="8D734A" w:themeColor="accent2"/>
          <w:left w:val="single" w:sz="8" w:space="0" w:color="8D734A" w:themeColor="accent2"/>
          <w:bottom w:val="single" w:sz="8" w:space="0" w:color="8D734A" w:themeColor="accent2"/>
          <w:right w:val="single" w:sz="8" w:space="0" w:color="8D734A" w:themeColor="accent2"/>
        </w:tcBorders>
      </w:tcPr>
    </w:tblStylePr>
  </w:style>
  <w:style w:type="table" w:customStyle="1" w:styleId="LightList-Accent21">
    <w:name w:val="Light List - Accent 21"/>
    <w:basedOn w:val="TableNormal"/>
    <w:next w:val="LightList-Accent2"/>
    <w:uiPriority w:val="61"/>
    <w:rsid w:val="00F96BD2"/>
    <w:pPr>
      <w:spacing w:before="40"/>
    </w:pPr>
    <w:rPr>
      <w:rFonts w:asciiTheme="minorHAnsi" w:eastAsiaTheme="minorHAnsi" w:hAnsiTheme="minorHAnsi" w:cstheme="minorBidi"/>
      <w:color w:val="0A69B3"/>
      <w:lang w:val="en-US" w:eastAsia="ja-JP"/>
    </w:rPr>
    <w:tblPr>
      <w:tblStyleRowBandSize w:val="1"/>
      <w:tblStyleColBandSize w:val="1"/>
      <w:tblBorders>
        <w:top w:val="single" w:sz="8" w:space="0" w:color="8E734A"/>
        <w:left w:val="single" w:sz="8" w:space="0" w:color="8E734A"/>
        <w:bottom w:val="single" w:sz="8" w:space="0" w:color="8E734A"/>
        <w:right w:val="single" w:sz="8" w:space="0" w:color="8E734A"/>
      </w:tblBorders>
    </w:tblPr>
    <w:tblStylePr w:type="firstRow">
      <w:pPr>
        <w:spacing w:before="0" w:after="0" w:line="240" w:lineRule="auto"/>
      </w:pPr>
      <w:rPr>
        <w:b/>
        <w:bCs/>
        <w:color w:val="262626"/>
      </w:rPr>
      <w:tblPr/>
      <w:tcPr>
        <w:shd w:val="clear" w:color="auto" w:fill="8E734A"/>
      </w:tcPr>
    </w:tblStylePr>
    <w:tblStylePr w:type="lastRow">
      <w:pPr>
        <w:spacing w:before="0" w:after="0" w:line="240" w:lineRule="auto"/>
      </w:pPr>
      <w:rPr>
        <w:b/>
        <w:bCs/>
      </w:rPr>
      <w:tblPr/>
      <w:tcPr>
        <w:tcBorders>
          <w:top w:val="double" w:sz="6" w:space="0" w:color="8E734A"/>
          <w:left w:val="single" w:sz="8" w:space="0" w:color="8E734A"/>
          <w:bottom w:val="single" w:sz="8" w:space="0" w:color="8E734A"/>
          <w:right w:val="single" w:sz="8" w:space="0" w:color="8E734A"/>
        </w:tcBorders>
      </w:tcPr>
    </w:tblStylePr>
    <w:tblStylePr w:type="firstCol">
      <w:rPr>
        <w:b/>
        <w:bCs/>
      </w:rPr>
    </w:tblStylePr>
    <w:tblStylePr w:type="lastCol">
      <w:rPr>
        <w:b/>
        <w:bCs/>
      </w:rPr>
    </w:tblStylePr>
    <w:tblStylePr w:type="band1Vert">
      <w:tblPr/>
      <w:tcPr>
        <w:tcBorders>
          <w:top w:val="single" w:sz="8" w:space="0" w:color="8E734A"/>
          <w:left w:val="single" w:sz="8" w:space="0" w:color="8E734A"/>
          <w:bottom w:val="single" w:sz="8" w:space="0" w:color="8E734A"/>
          <w:right w:val="single" w:sz="8" w:space="0" w:color="8E734A"/>
        </w:tcBorders>
      </w:tcPr>
    </w:tblStylePr>
    <w:tblStylePr w:type="band1Horz">
      <w:tblPr/>
      <w:tcPr>
        <w:tcBorders>
          <w:top w:val="single" w:sz="8" w:space="0" w:color="8E734A"/>
          <w:left w:val="single" w:sz="8" w:space="0" w:color="8E734A"/>
          <w:bottom w:val="single" w:sz="8" w:space="0" w:color="8E734A"/>
          <w:right w:val="single" w:sz="8" w:space="0" w:color="8E734A"/>
        </w:tcBorders>
      </w:tcPr>
    </w:tblStylePr>
  </w:style>
  <w:style w:type="character" w:customStyle="1" w:styleId="HeaderChar">
    <w:name w:val="Header Char"/>
    <w:basedOn w:val="DefaultParagraphFont"/>
    <w:link w:val="Header"/>
    <w:uiPriority w:val="99"/>
    <w:rsid w:val="00F96BD2"/>
    <w:rPr>
      <w:rFonts w:asciiTheme="minorHAnsi" w:hAnsiTheme="minorHAnsi"/>
      <w:color w:val="3F3F3F" w:themeColor="text1"/>
      <w:sz w:val="14"/>
      <w:szCs w:val="24"/>
    </w:rPr>
  </w:style>
  <w:style w:type="paragraph" w:customStyle="1" w:styleId="h3">
    <w:name w:val="h3"/>
    <w:basedOn w:val="Heading2"/>
    <w:link w:val="h3Char"/>
    <w:qFormat/>
    <w:rsid w:val="002A311D"/>
    <w:pPr>
      <w:outlineLvl w:val="2"/>
    </w:pPr>
  </w:style>
  <w:style w:type="paragraph" w:customStyle="1" w:styleId="h4">
    <w:name w:val="h4"/>
    <w:basedOn w:val="Normal"/>
    <w:link w:val="h4Char"/>
    <w:qFormat/>
    <w:rsid w:val="00085623"/>
    <w:pPr>
      <w:outlineLvl w:val="3"/>
    </w:pPr>
    <w:rPr>
      <w:b/>
    </w:rPr>
  </w:style>
  <w:style w:type="character" w:customStyle="1" w:styleId="h3Char">
    <w:name w:val="h3 Char"/>
    <w:basedOn w:val="Heading2Char"/>
    <w:link w:val="h3"/>
    <w:rsid w:val="002A311D"/>
    <w:rPr>
      <w:rFonts w:asciiTheme="majorHAnsi" w:hAnsiTheme="majorHAnsi"/>
      <w:b/>
      <w:color w:val="117479" w:themeColor="accent3"/>
      <w:sz w:val="22"/>
      <w:szCs w:val="44"/>
    </w:rPr>
  </w:style>
  <w:style w:type="character" w:customStyle="1" w:styleId="h4Char">
    <w:name w:val="h4 Char"/>
    <w:basedOn w:val="DefaultParagraphFont"/>
    <w:link w:val="h4"/>
    <w:rsid w:val="00085623"/>
    <w:rPr>
      <w:rFonts w:asciiTheme="minorHAnsi" w:hAnsiTheme="minorHAnsi"/>
      <w:b/>
      <w:color w:val="3F3F3F" w:themeColor="text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hyperlink" Target="http://creativecommons.org/licensesby/4.0/deed.en" TargetMode="External"/><Relationship Id="rId39" Type="http://schemas.openxmlformats.org/officeDocument/2006/relationships/customXml" Target="../customXml/item5.xml"/><Relationship Id="rId21" Type="http://schemas.openxmlformats.org/officeDocument/2006/relationships/image" Target="media/image5.PNG"/><Relationship Id="rId34" Type="http://schemas.openxmlformats.org/officeDocument/2006/relationships/hyperlink" Target="http://www.pmc.gov.au/bet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hyperlink" Target="mailto:media@pmc.gov.au"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mailto:beta@pmc.gov.au"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ocialscienceregistry.org/trials/2132" TargetMode="External"/><Relationship Id="rId23" Type="http://schemas.openxmlformats.org/officeDocument/2006/relationships/image" Target="media/image7.PNG"/><Relationship Id="rId28" Type="http://schemas.openxmlformats.org/officeDocument/2006/relationships/hyperlink" Target="http://www.itsanhonour.gov.au/coat-arms"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mc.gov.au/domestic-policy/behavioural-economics/improving-tax-compliance-deductions-work-related-expenses-income-tax-returns-filed-through-tax-agent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footer" Target="footer3.xml"/><Relationship Id="rId35" Type="http://schemas.openxmlformats.org/officeDocument/2006/relationships/header" Target="head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share.internal.pmc.gov.au/teams/ed_beta/PolicyCoordination/ATO_WRE_Project/Final%20Report/180718_WREreport.dotx" TargetMode="External"/></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DOC18-292581</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PMCdoc-213507164-64391</_dlc_DocId>
    <_dlc_DocIdUrl xmlns="d0dfa800-9ef0-44cb-8a12-633e29de1e0b">
      <Url>https://pmc01.sharepoint.com/sites/pmc-ms-cb/_layouts/15/DocIdRedir.aspx?ID=PMCdoc-213507164-64391</Url>
      <Description>PMCdoc-213507164-64391</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C299DC7-E1DF-45DB-BFF6-C1BC8E44845B}"/>
</file>

<file path=customXml/itemProps2.xml><?xml version="1.0" encoding="utf-8"?>
<ds:datastoreItem xmlns:ds="http://schemas.openxmlformats.org/officeDocument/2006/customXml" ds:itemID="{A8957537-3999-4670-ADB9-B46643BFA34E}"/>
</file>

<file path=customXml/itemProps3.xml><?xml version="1.0" encoding="utf-8"?>
<ds:datastoreItem xmlns:ds="http://schemas.openxmlformats.org/officeDocument/2006/customXml" ds:itemID="{B0EAC2D3-F4AC-49FA-8105-8E61488534E3}"/>
</file>

<file path=customXml/itemProps4.xml><?xml version="1.0" encoding="utf-8"?>
<ds:datastoreItem xmlns:ds="http://schemas.openxmlformats.org/officeDocument/2006/customXml" ds:itemID="{EA368E36-EF3E-4042-8EBF-FAB99DCC42AD}"/>
</file>

<file path=customXml/itemProps5.xml><?xml version="1.0" encoding="utf-8"?>
<ds:datastoreItem xmlns:ds="http://schemas.openxmlformats.org/officeDocument/2006/customXml" ds:itemID="{AF26B069-D2A6-4153-B06C-36441D28B16A}"/>
</file>

<file path=docProps/app.xml><?xml version="1.0" encoding="utf-8"?>
<Properties xmlns="http://schemas.openxmlformats.org/officeDocument/2006/extended-properties" xmlns:vt="http://schemas.openxmlformats.org/officeDocument/2006/docPropsVTypes">
  <Template>180718_WREreport</Template>
  <TotalTime>0</TotalTime>
  <Pages>33</Pages>
  <Words>7787</Words>
  <Characters>44391</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Improving tax compliance: deductions for work-related expenses</vt:lpstr>
    </vt:vector>
  </TitlesOfParts>
  <Manager/>
  <Company/>
  <LinksUpToDate>false</LinksUpToDate>
  <CharactersWithSpaces>52074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tax compliance: deductions for work-related expenses</dc:title>
  <dc:creator/>
  <cp:lastModifiedBy/>
  <cp:revision>1</cp:revision>
  <dcterms:created xsi:type="dcterms:W3CDTF">2018-08-07T23:45:00Z</dcterms:created>
  <dcterms:modified xsi:type="dcterms:W3CDTF">2018-08-08T07:00:00Z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SecurityClassification">
    <vt:i4>1</vt:i4>
  </property>
  <property fmtid="{D5CDD505-2E9C-101B-9397-08002B2CF9AE}" pid="6" name="_dlc_DocIdItemGuid">
    <vt:lpwstr>d6372e2a-263e-4a00-9fe7-417ca24483b0</vt:lpwstr>
  </property>
</Properties>
</file>