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7777777" w:rsidR="00E77B59" w:rsidRDefault="00E77B59" w:rsidP="00C07DD1">
      <w:pPr>
        <w:spacing w:line="480" w:lineRule="auto"/>
      </w:pPr>
      <w:bookmarkStart w:id="0" w:name="_Toc432437392"/>
    </w:p>
    <w:p w14:paraId="4F2F5F70" w14:textId="293DD09E" w:rsidR="00E77B59" w:rsidRDefault="00E77B59" w:rsidP="00087D4E">
      <w:r>
        <w:rPr>
          <w:noProof/>
        </w:rPr>
        <w:drawing>
          <wp:anchor distT="0" distB="360045" distL="114300" distR="114300" simplePos="0" relativeHeight="251658242" behindDoc="1" locked="0" layoutInCell="1" allowOverlap="1" wp14:anchorId="209D3800" wp14:editId="321A6ABF">
            <wp:simplePos x="0" y="0"/>
            <wp:positionH relativeFrom="margin">
              <wp:posOffset>-26428</wp:posOffset>
            </wp:positionH>
            <wp:positionV relativeFrom="paragraph">
              <wp:posOffset>482600</wp:posOffset>
            </wp:positionV>
            <wp:extent cx="6645275" cy="4514850"/>
            <wp:effectExtent l="0" t="0" r="3175" b="0"/>
            <wp:wrapTopAndBottom/>
            <wp:docPr id="19" name="Picture 19" descr="The image is of an older woman sitting at a table in her garden. She has the phone to her ear and is writing down information into a notebook and smiling as she does so. " title="Title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Prep.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45275" cy="451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D3782" w14:textId="39432697" w:rsidR="00E77B59" w:rsidRPr="00BD0246" w:rsidRDefault="001B5403" w:rsidP="008C5EFF">
      <w:pPr>
        <w:pStyle w:val="Heading1"/>
        <w:ind w:left="4395"/>
        <w:rPr>
          <w:sz w:val="80"/>
          <w:szCs w:val="80"/>
        </w:rPr>
      </w:pPr>
      <w:r>
        <w:rPr>
          <w:sz w:val="80"/>
          <w:szCs w:val="80"/>
        </w:rPr>
        <w:t>Evaluating EVA</w:t>
      </w:r>
    </w:p>
    <w:p w14:paraId="63F75EAD" w14:textId="2561D34E" w:rsidR="00E77B59" w:rsidRPr="008C5EFF" w:rsidRDefault="001B5403"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 xml:space="preserve">Pursuing universal healthcare coverage with a </w:t>
      </w:r>
      <w:r w:rsidR="00156525">
        <w:rPr>
          <w:rFonts w:asciiTheme="majorHAnsi" w:hAnsiTheme="majorHAnsi" w:cstheme="majorHAnsi"/>
          <w:b/>
          <w:sz w:val="32"/>
          <w:szCs w:val="32"/>
        </w:rPr>
        <w:t xml:space="preserve">personalised </w:t>
      </w:r>
      <w:r>
        <w:rPr>
          <w:rFonts w:asciiTheme="majorHAnsi" w:hAnsiTheme="majorHAnsi" w:cstheme="majorHAnsi"/>
          <w:b/>
          <w:sz w:val="32"/>
          <w:szCs w:val="32"/>
        </w:rPr>
        <w:t>COVID-19 vaccine booking service</w:t>
      </w:r>
      <w:r w:rsidR="002476E4">
        <w:rPr>
          <w:rFonts w:asciiTheme="majorHAnsi" w:hAnsiTheme="majorHAnsi" w:cstheme="majorHAnsi"/>
          <w:b/>
          <w:sz w:val="32"/>
          <w:szCs w:val="32"/>
        </w:rPr>
        <w:t xml:space="preserve"> </w:t>
      </w:r>
    </w:p>
    <w:p w14:paraId="23F7F4A2" w14:textId="2F441A50" w:rsidR="00E77B59" w:rsidRPr="008C5EFF" w:rsidRDefault="001B5403" w:rsidP="008C5EFF">
      <w:pPr>
        <w:spacing w:before="240" w:after="40"/>
        <w:ind w:left="4395"/>
        <w:rPr>
          <w:rFonts w:asciiTheme="majorHAnsi" w:hAnsiTheme="majorHAnsi" w:cstheme="majorHAnsi"/>
          <w:b/>
          <w:color w:val="117479" w:themeColor="accent2"/>
          <w:sz w:val="24"/>
        </w:rPr>
        <w:sectPr w:rsidR="00E77B59"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September 2023</w:t>
      </w:r>
    </w:p>
    <w:p w14:paraId="7A709FE6"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bookmarkStart w:id="1" w:name="_GoBack"/>
      <w:bookmarkEnd w:id="1"/>
    </w:p>
    <w:p w14:paraId="59CE3719" w14:textId="1552E824" w:rsidR="001B5403" w:rsidRDefault="001B5403" w:rsidP="001B5403">
      <w:pPr>
        <w:rPr>
          <w:rStyle w:val="ui-provider"/>
        </w:rPr>
      </w:pPr>
      <w:r>
        <w:rPr>
          <w:rStyle w:val="ui-provider"/>
        </w:rPr>
        <w:t>Current and former staff who contributed to the report were: Annalese Bolton, Rachelle Damm, Andrea Willis, Andrew Pfeiffer,</w:t>
      </w:r>
      <w:r w:rsidR="0019158D">
        <w:rPr>
          <w:rStyle w:val="ui-provider"/>
        </w:rPr>
        <w:t xml:space="preserve"> Shae Ffrench,</w:t>
      </w:r>
      <w:r>
        <w:rPr>
          <w:rStyle w:val="ui-provider"/>
        </w:rPr>
        <w:t xml:space="preserve"> Bethany Jones, Nicholas Hilderson, and Scott Copley.</w:t>
      </w:r>
    </w:p>
    <w:p w14:paraId="6A2CC37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466ABA3F" w14:textId="77777777" w:rsidR="001B5403" w:rsidRDefault="001B5403" w:rsidP="001B5403">
      <w:pPr>
        <w:spacing w:before="120" w:after="120"/>
      </w:pPr>
      <w:r>
        <w:t>Thank you to the Department of Health and Aged Care’s (DoHAC) Digital and Service Design</w:t>
      </w:r>
      <w:r w:rsidRPr="009B51E4">
        <w:t xml:space="preserve"> COVID-19 Vaccine Taskforce</w:t>
      </w:r>
      <w:r>
        <w:t xml:space="preserve"> team and Healthdirect Australia for their support and valuable contribution in making this project happen. In particular, special thanks to Kate Deere and Adrian Turner, and their colleagues Ann Ronning, Janessa Catto, Tarna Komaric-Brooks, Denise Tan, Caoimhe Hanna, Dwi Handayani, and Sharina Raskob for their work on this project.</w:t>
      </w:r>
    </w:p>
    <w:p w14:paraId="21EAC6B6" w14:textId="2A443C72" w:rsidR="00B14898" w:rsidRDefault="00B14898" w:rsidP="00E72621">
      <w:pPr>
        <w:spacing w:before="120" w:after="120"/>
        <w:sectPr w:rsidR="00B14898" w:rsidSect="008253C4">
          <w:headerReference w:type="default" r:id="rId14"/>
          <w:footerReference w:type="default" r:id="rId15"/>
          <w:pgSz w:w="11906" w:h="16838" w:code="9"/>
          <w:pgMar w:top="2041" w:right="2381" w:bottom="1247" w:left="1247" w:header="720" w:footer="851" w:gutter="0"/>
          <w:cols w:space="708"/>
          <w:docGrid w:linePitch="360"/>
        </w:sectPr>
      </w:pPr>
    </w:p>
    <w:p w14:paraId="46D60B55" w14:textId="77777777" w:rsidR="004909C3" w:rsidRPr="003E6102" w:rsidRDefault="004909C3" w:rsidP="003E6102">
      <w:pPr>
        <w:pStyle w:val="TOCHeading"/>
        <w:pBdr>
          <w:bottom w:val="single" w:sz="24" w:space="21" w:color="20B9A3" w:themeColor="accent1"/>
        </w:pBdr>
      </w:pPr>
      <w:r w:rsidRPr="003E6102">
        <w:lastRenderedPageBreak/>
        <w:t>Who?</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70B37C72" w14:textId="5FF23264" w:rsidR="004909C3" w:rsidRPr="004909C3" w:rsidRDefault="004909C3" w:rsidP="0059352B">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77777777" w:rsidR="004909C3" w:rsidRPr="0097749C" w:rsidRDefault="004909C3" w:rsidP="003E6102">
          <w:pPr>
            <w:pStyle w:val="TOCHeading"/>
          </w:pPr>
          <w:r w:rsidRPr="0097749C">
            <w:t>Contents</w:t>
          </w:r>
        </w:p>
        <w:p w14:paraId="7018DF72" w14:textId="52518BC6" w:rsidR="00A13E65" w:rsidRDefault="003B499C">
          <w:pPr>
            <w:pStyle w:val="TOC1"/>
            <w:rPr>
              <w:rFonts w:eastAsiaTheme="minorEastAsia" w:cstheme="minorBidi"/>
              <w:b w:val="0"/>
              <w:color w:val="auto"/>
              <w:sz w:val="22"/>
              <w:szCs w:val="22"/>
            </w:rPr>
          </w:pPr>
          <w:r>
            <w:fldChar w:fldCharType="begin"/>
          </w:r>
          <w:r>
            <w:rPr>
              <w:b w:val="0"/>
            </w:rPr>
            <w:instrText xml:space="preserve"> TOC \h \z \t "Heading 2,1" </w:instrText>
          </w:r>
          <w:r>
            <w:fldChar w:fldCharType="separate"/>
          </w:r>
          <w:hyperlink w:anchor="_Toc145422532" w:history="1">
            <w:r w:rsidR="00A13E65" w:rsidRPr="005624C7">
              <w:rPr>
                <w:rStyle w:val="Hyperlink"/>
              </w:rPr>
              <w:t>Executive summary</w:t>
            </w:r>
            <w:r w:rsidR="00A13E65">
              <w:rPr>
                <w:webHidden/>
              </w:rPr>
              <w:tab/>
            </w:r>
            <w:r w:rsidR="00A13E65">
              <w:rPr>
                <w:webHidden/>
              </w:rPr>
              <w:fldChar w:fldCharType="begin"/>
            </w:r>
            <w:r w:rsidR="00A13E65">
              <w:rPr>
                <w:webHidden/>
              </w:rPr>
              <w:instrText xml:space="preserve"> PAGEREF _Toc145422532 \h </w:instrText>
            </w:r>
            <w:r w:rsidR="00A13E65">
              <w:rPr>
                <w:webHidden/>
              </w:rPr>
            </w:r>
            <w:r w:rsidR="00A13E65">
              <w:rPr>
                <w:webHidden/>
              </w:rPr>
              <w:fldChar w:fldCharType="separate"/>
            </w:r>
            <w:r w:rsidR="00A13E65">
              <w:rPr>
                <w:webHidden/>
              </w:rPr>
              <w:t>4</w:t>
            </w:r>
            <w:r w:rsidR="00A13E65">
              <w:rPr>
                <w:webHidden/>
              </w:rPr>
              <w:fldChar w:fldCharType="end"/>
            </w:r>
          </w:hyperlink>
        </w:p>
        <w:p w14:paraId="05410C08" w14:textId="711A7E42" w:rsidR="00A13E65" w:rsidRDefault="002E61C1">
          <w:pPr>
            <w:pStyle w:val="TOC1"/>
            <w:rPr>
              <w:rFonts w:eastAsiaTheme="minorEastAsia" w:cstheme="minorBidi"/>
              <w:b w:val="0"/>
              <w:color w:val="auto"/>
              <w:sz w:val="22"/>
              <w:szCs w:val="22"/>
            </w:rPr>
          </w:pPr>
          <w:hyperlink w:anchor="_Toc145422533" w:history="1">
            <w:r w:rsidR="00A13E65" w:rsidRPr="005624C7">
              <w:rPr>
                <w:rStyle w:val="Hyperlink"/>
              </w:rPr>
              <w:t>Why was EVA needed?</w:t>
            </w:r>
            <w:r w:rsidR="00A13E65">
              <w:rPr>
                <w:webHidden/>
              </w:rPr>
              <w:tab/>
            </w:r>
            <w:r w:rsidR="00A13E65">
              <w:rPr>
                <w:webHidden/>
              </w:rPr>
              <w:fldChar w:fldCharType="begin"/>
            </w:r>
            <w:r w:rsidR="00A13E65">
              <w:rPr>
                <w:webHidden/>
              </w:rPr>
              <w:instrText xml:space="preserve"> PAGEREF _Toc145422533 \h </w:instrText>
            </w:r>
            <w:r w:rsidR="00A13E65">
              <w:rPr>
                <w:webHidden/>
              </w:rPr>
            </w:r>
            <w:r w:rsidR="00A13E65">
              <w:rPr>
                <w:webHidden/>
              </w:rPr>
              <w:fldChar w:fldCharType="separate"/>
            </w:r>
            <w:r w:rsidR="00A13E65">
              <w:rPr>
                <w:webHidden/>
              </w:rPr>
              <w:t>5</w:t>
            </w:r>
            <w:r w:rsidR="00A13E65">
              <w:rPr>
                <w:webHidden/>
              </w:rPr>
              <w:fldChar w:fldCharType="end"/>
            </w:r>
          </w:hyperlink>
        </w:p>
        <w:p w14:paraId="2B774CE0" w14:textId="317D4521" w:rsidR="00A13E65" w:rsidRDefault="002E61C1">
          <w:pPr>
            <w:pStyle w:val="TOC1"/>
            <w:rPr>
              <w:rFonts w:eastAsiaTheme="minorEastAsia" w:cstheme="minorBidi"/>
              <w:b w:val="0"/>
              <w:color w:val="auto"/>
              <w:sz w:val="22"/>
              <w:szCs w:val="22"/>
            </w:rPr>
          </w:pPr>
          <w:hyperlink w:anchor="_Toc145422534" w:history="1">
            <w:r w:rsidR="00A13E65" w:rsidRPr="005624C7">
              <w:rPr>
                <w:rStyle w:val="Hyperlink"/>
              </w:rPr>
              <w:t>Why evaluate EVA?</w:t>
            </w:r>
            <w:r w:rsidR="00A13E65">
              <w:rPr>
                <w:webHidden/>
              </w:rPr>
              <w:tab/>
            </w:r>
            <w:r w:rsidR="00A13E65">
              <w:rPr>
                <w:webHidden/>
              </w:rPr>
              <w:fldChar w:fldCharType="begin"/>
            </w:r>
            <w:r w:rsidR="00A13E65">
              <w:rPr>
                <w:webHidden/>
              </w:rPr>
              <w:instrText xml:space="preserve"> PAGEREF _Toc145422534 \h </w:instrText>
            </w:r>
            <w:r w:rsidR="00A13E65">
              <w:rPr>
                <w:webHidden/>
              </w:rPr>
            </w:r>
            <w:r w:rsidR="00A13E65">
              <w:rPr>
                <w:webHidden/>
              </w:rPr>
              <w:fldChar w:fldCharType="separate"/>
            </w:r>
            <w:r w:rsidR="00A13E65">
              <w:rPr>
                <w:webHidden/>
              </w:rPr>
              <w:t>8</w:t>
            </w:r>
            <w:r w:rsidR="00A13E65">
              <w:rPr>
                <w:webHidden/>
              </w:rPr>
              <w:fldChar w:fldCharType="end"/>
            </w:r>
          </w:hyperlink>
        </w:p>
        <w:p w14:paraId="1ACCE92C" w14:textId="48AF9244" w:rsidR="00A13E65" w:rsidRDefault="002E61C1">
          <w:pPr>
            <w:pStyle w:val="TOC1"/>
            <w:rPr>
              <w:rFonts w:eastAsiaTheme="minorEastAsia" w:cstheme="minorBidi"/>
              <w:b w:val="0"/>
              <w:color w:val="auto"/>
              <w:sz w:val="22"/>
              <w:szCs w:val="22"/>
            </w:rPr>
          </w:pPr>
          <w:hyperlink w:anchor="_Toc145422535" w:history="1">
            <w:r w:rsidR="00A13E65" w:rsidRPr="005624C7">
              <w:rPr>
                <w:rStyle w:val="Hyperlink"/>
              </w:rPr>
              <w:t>What we did</w:t>
            </w:r>
            <w:r w:rsidR="00A13E65">
              <w:rPr>
                <w:webHidden/>
              </w:rPr>
              <w:tab/>
            </w:r>
            <w:r w:rsidR="00A13E65">
              <w:rPr>
                <w:webHidden/>
              </w:rPr>
              <w:fldChar w:fldCharType="begin"/>
            </w:r>
            <w:r w:rsidR="00A13E65">
              <w:rPr>
                <w:webHidden/>
              </w:rPr>
              <w:instrText xml:space="preserve"> PAGEREF _Toc145422535 \h </w:instrText>
            </w:r>
            <w:r w:rsidR="00A13E65">
              <w:rPr>
                <w:webHidden/>
              </w:rPr>
            </w:r>
            <w:r w:rsidR="00A13E65">
              <w:rPr>
                <w:webHidden/>
              </w:rPr>
              <w:fldChar w:fldCharType="separate"/>
            </w:r>
            <w:r w:rsidR="00A13E65">
              <w:rPr>
                <w:webHidden/>
              </w:rPr>
              <w:t>10</w:t>
            </w:r>
            <w:r w:rsidR="00A13E65">
              <w:rPr>
                <w:webHidden/>
              </w:rPr>
              <w:fldChar w:fldCharType="end"/>
            </w:r>
          </w:hyperlink>
        </w:p>
        <w:p w14:paraId="4219EE83" w14:textId="6D742F0F" w:rsidR="00A13E65" w:rsidRDefault="002E61C1">
          <w:pPr>
            <w:pStyle w:val="TOC1"/>
            <w:rPr>
              <w:rFonts w:eastAsiaTheme="minorEastAsia" w:cstheme="minorBidi"/>
              <w:b w:val="0"/>
              <w:color w:val="auto"/>
              <w:sz w:val="22"/>
              <w:szCs w:val="22"/>
            </w:rPr>
          </w:pPr>
          <w:hyperlink w:anchor="_Toc145422536" w:history="1">
            <w:r w:rsidR="00A13E65" w:rsidRPr="005624C7">
              <w:rPr>
                <w:rStyle w:val="Hyperlink"/>
              </w:rPr>
              <w:t>What we found</w:t>
            </w:r>
            <w:r w:rsidR="00A13E65">
              <w:rPr>
                <w:webHidden/>
              </w:rPr>
              <w:tab/>
            </w:r>
            <w:r w:rsidR="00A13E65">
              <w:rPr>
                <w:webHidden/>
              </w:rPr>
              <w:fldChar w:fldCharType="begin"/>
            </w:r>
            <w:r w:rsidR="00A13E65">
              <w:rPr>
                <w:webHidden/>
              </w:rPr>
              <w:instrText xml:space="preserve"> PAGEREF _Toc145422536 \h </w:instrText>
            </w:r>
            <w:r w:rsidR="00A13E65">
              <w:rPr>
                <w:webHidden/>
              </w:rPr>
            </w:r>
            <w:r w:rsidR="00A13E65">
              <w:rPr>
                <w:webHidden/>
              </w:rPr>
              <w:fldChar w:fldCharType="separate"/>
            </w:r>
            <w:r w:rsidR="00A13E65">
              <w:rPr>
                <w:webHidden/>
              </w:rPr>
              <w:t>12</w:t>
            </w:r>
            <w:r w:rsidR="00A13E65">
              <w:rPr>
                <w:webHidden/>
              </w:rPr>
              <w:fldChar w:fldCharType="end"/>
            </w:r>
          </w:hyperlink>
        </w:p>
        <w:p w14:paraId="77DFF3E6" w14:textId="73F9ED51" w:rsidR="00A13E65" w:rsidRDefault="002E61C1">
          <w:pPr>
            <w:pStyle w:val="TOC1"/>
            <w:rPr>
              <w:rFonts w:eastAsiaTheme="minorEastAsia" w:cstheme="minorBidi"/>
              <w:b w:val="0"/>
              <w:color w:val="auto"/>
              <w:sz w:val="22"/>
              <w:szCs w:val="22"/>
            </w:rPr>
          </w:pPr>
          <w:hyperlink w:anchor="_Toc145422537" w:history="1">
            <w:r w:rsidR="00A13E65" w:rsidRPr="005624C7">
              <w:rPr>
                <w:rStyle w:val="Hyperlink"/>
              </w:rPr>
              <w:t>Implications, limitations and conclusion</w:t>
            </w:r>
            <w:r w:rsidR="00A13E65">
              <w:rPr>
                <w:webHidden/>
              </w:rPr>
              <w:tab/>
            </w:r>
            <w:r w:rsidR="00A13E65">
              <w:rPr>
                <w:webHidden/>
              </w:rPr>
              <w:fldChar w:fldCharType="begin"/>
            </w:r>
            <w:r w:rsidR="00A13E65">
              <w:rPr>
                <w:webHidden/>
              </w:rPr>
              <w:instrText xml:space="preserve"> PAGEREF _Toc145422537 \h </w:instrText>
            </w:r>
            <w:r w:rsidR="00A13E65">
              <w:rPr>
                <w:webHidden/>
              </w:rPr>
            </w:r>
            <w:r w:rsidR="00A13E65">
              <w:rPr>
                <w:webHidden/>
              </w:rPr>
              <w:fldChar w:fldCharType="separate"/>
            </w:r>
            <w:r w:rsidR="00A13E65">
              <w:rPr>
                <w:webHidden/>
              </w:rPr>
              <w:t>19</w:t>
            </w:r>
            <w:r w:rsidR="00A13E65">
              <w:rPr>
                <w:webHidden/>
              </w:rPr>
              <w:fldChar w:fldCharType="end"/>
            </w:r>
          </w:hyperlink>
        </w:p>
        <w:p w14:paraId="659CB65D" w14:textId="69CAD3E7" w:rsidR="00A13E65" w:rsidRDefault="002E61C1">
          <w:pPr>
            <w:pStyle w:val="TOC1"/>
            <w:rPr>
              <w:rFonts w:eastAsiaTheme="minorEastAsia" w:cstheme="minorBidi"/>
              <w:b w:val="0"/>
              <w:color w:val="auto"/>
              <w:sz w:val="22"/>
              <w:szCs w:val="22"/>
            </w:rPr>
          </w:pPr>
          <w:hyperlink w:anchor="_Toc145422538" w:history="1">
            <w:r w:rsidR="00A13E65" w:rsidRPr="005624C7">
              <w:rPr>
                <w:rStyle w:val="Hyperlink"/>
              </w:rPr>
              <w:t>Appendices</w:t>
            </w:r>
            <w:r w:rsidR="00A13E65">
              <w:rPr>
                <w:webHidden/>
              </w:rPr>
              <w:tab/>
            </w:r>
            <w:r w:rsidR="00A13E65">
              <w:rPr>
                <w:webHidden/>
              </w:rPr>
              <w:fldChar w:fldCharType="begin"/>
            </w:r>
            <w:r w:rsidR="00A13E65">
              <w:rPr>
                <w:webHidden/>
              </w:rPr>
              <w:instrText xml:space="preserve"> PAGEREF _Toc145422538 \h </w:instrText>
            </w:r>
            <w:r w:rsidR="00A13E65">
              <w:rPr>
                <w:webHidden/>
              </w:rPr>
            </w:r>
            <w:r w:rsidR="00A13E65">
              <w:rPr>
                <w:webHidden/>
              </w:rPr>
              <w:fldChar w:fldCharType="separate"/>
            </w:r>
            <w:r w:rsidR="00A13E65">
              <w:rPr>
                <w:webHidden/>
              </w:rPr>
              <w:t>22</w:t>
            </w:r>
            <w:r w:rsidR="00A13E65">
              <w:rPr>
                <w:webHidden/>
              </w:rPr>
              <w:fldChar w:fldCharType="end"/>
            </w:r>
          </w:hyperlink>
        </w:p>
        <w:p w14:paraId="480CF8B5" w14:textId="40C23583" w:rsidR="00A13E65" w:rsidRDefault="002E61C1">
          <w:pPr>
            <w:pStyle w:val="TOC1"/>
            <w:rPr>
              <w:rFonts w:eastAsiaTheme="minorEastAsia" w:cstheme="minorBidi"/>
              <w:b w:val="0"/>
              <w:color w:val="auto"/>
              <w:sz w:val="22"/>
              <w:szCs w:val="22"/>
            </w:rPr>
          </w:pPr>
          <w:hyperlink w:anchor="_Toc145422539" w:history="1">
            <w:r w:rsidR="00A13E65" w:rsidRPr="005624C7">
              <w:rPr>
                <w:rStyle w:val="Hyperlink"/>
              </w:rPr>
              <w:t>References</w:t>
            </w:r>
            <w:r w:rsidR="00A13E65">
              <w:rPr>
                <w:webHidden/>
              </w:rPr>
              <w:tab/>
            </w:r>
            <w:r w:rsidR="00A13E65">
              <w:rPr>
                <w:webHidden/>
              </w:rPr>
              <w:fldChar w:fldCharType="begin"/>
            </w:r>
            <w:r w:rsidR="00A13E65">
              <w:rPr>
                <w:webHidden/>
              </w:rPr>
              <w:instrText xml:space="preserve"> PAGEREF _Toc145422539 \h </w:instrText>
            </w:r>
            <w:r w:rsidR="00A13E65">
              <w:rPr>
                <w:webHidden/>
              </w:rPr>
            </w:r>
            <w:r w:rsidR="00A13E65">
              <w:rPr>
                <w:webHidden/>
              </w:rPr>
              <w:fldChar w:fldCharType="separate"/>
            </w:r>
            <w:r w:rsidR="00A13E65">
              <w:rPr>
                <w:webHidden/>
              </w:rPr>
              <w:t>34</w:t>
            </w:r>
            <w:r w:rsidR="00A13E65">
              <w:rPr>
                <w:webHidden/>
              </w:rPr>
              <w:fldChar w:fldCharType="end"/>
            </w:r>
          </w:hyperlink>
        </w:p>
        <w:p w14:paraId="18912969" w14:textId="49E97053" w:rsidR="008253C4" w:rsidRDefault="003B499C" w:rsidP="00DC2749">
          <w:pPr>
            <w:spacing w:after="0" w:line="240" w:lineRule="auto"/>
            <w:rPr>
              <w:noProof/>
            </w:rPr>
          </w:pPr>
          <w:r>
            <w:rPr>
              <w:b/>
              <w:noProof/>
              <w:color w:val="FFFFFF" w:themeColor="background1"/>
              <w:sz w:val="28"/>
            </w:rPr>
            <w:fldChar w:fldCharType="end"/>
          </w:r>
        </w:p>
      </w:sdtContent>
    </w:sdt>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6"/>
          <w:footerReference w:type="default" r:id="rId17"/>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191A5D">
      <w:pPr>
        <w:pStyle w:val="Heading2"/>
      </w:pPr>
      <w:bookmarkStart w:id="2" w:name="_Toc145085923"/>
      <w:bookmarkStart w:id="3" w:name="_Toc145368200"/>
      <w:bookmarkStart w:id="4" w:name="_Toc145415475"/>
      <w:bookmarkStart w:id="5" w:name="_Toc145421675"/>
      <w:bookmarkStart w:id="6" w:name="_Toc145422532"/>
      <w:r w:rsidRPr="00F546B9">
        <w:lastRenderedPageBreak/>
        <w:t>Executive</w:t>
      </w:r>
      <w:r w:rsidR="007C6C73">
        <w:t xml:space="preserve"> </w:t>
      </w:r>
      <w:r w:rsidRPr="00F546B9">
        <w:t>summary</w:t>
      </w:r>
      <w:bookmarkEnd w:id="2"/>
      <w:bookmarkEnd w:id="3"/>
      <w:bookmarkEnd w:id="4"/>
      <w:bookmarkEnd w:id="5"/>
      <w:bookmarkEnd w:id="6"/>
    </w:p>
    <w:p w14:paraId="0CE1608A" w14:textId="6ABACF85" w:rsidR="001B5403" w:rsidRDefault="001B5403" w:rsidP="001B5403">
      <w:pPr>
        <w:rPr>
          <w:rFonts w:ascii="Helvetica" w:hAnsi="Helvetica"/>
        </w:rPr>
      </w:pPr>
      <w:r>
        <w:t>The Easy Vaccine Access service, known as EVA, was developed by the Department of Health and Aged Care (DoHAC) in partnership with Healthdirect Australia</w:t>
      </w:r>
      <w:r w:rsidR="00800231">
        <w:t xml:space="preserve">. The goal was </w:t>
      </w:r>
      <w:r>
        <w:t xml:space="preserve">to maximise uptake of COVID-19 vaccines across Australia, by considering </w:t>
      </w:r>
      <w:r w:rsidR="00800231">
        <w:t>vulnerable</w:t>
      </w:r>
      <w:r w:rsidR="005C03BE">
        <w:t xml:space="preserve"> </w:t>
      </w:r>
      <w:r w:rsidR="008E694C">
        <w:t xml:space="preserve">Australians </w:t>
      </w:r>
      <w:r>
        <w:t>at the core of its design.</w:t>
      </w:r>
      <w:r w:rsidR="00FF606E">
        <w:t xml:space="preserve"> EVA was operational from 28 March 2022 to </w:t>
      </w:r>
      <w:r w:rsidR="00FA6FA0">
        <w:t>4</w:t>
      </w:r>
      <w:r w:rsidR="00FF606E">
        <w:t xml:space="preserve"> </w:t>
      </w:r>
      <w:r w:rsidR="0013507E">
        <w:t>December</w:t>
      </w:r>
      <w:r w:rsidR="00FF606E">
        <w:t xml:space="preserve"> 2023.</w:t>
      </w:r>
      <w:r>
        <w:t xml:space="preserve"> </w:t>
      </w:r>
      <w:r w:rsidRPr="00F35E09">
        <w:rPr>
          <w:rFonts w:ascii="Helvetica" w:hAnsi="Helvetica"/>
        </w:rPr>
        <w:t xml:space="preserve">EVA </w:t>
      </w:r>
      <w:r w:rsidR="00853FDD">
        <w:rPr>
          <w:rFonts w:ascii="Helvetica" w:hAnsi="Helvetica"/>
        </w:rPr>
        <w:t xml:space="preserve">was </w:t>
      </w:r>
      <w:r w:rsidRPr="00F35E09">
        <w:rPr>
          <w:rFonts w:ascii="Helvetica" w:hAnsi="Helvetica"/>
        </w:rPr>
        <w:t xml:space="preserve">unique in that it </w:t>
      </w:r>
      <w:r w:rsidR="000D26F3">
        <w:rPr>
          <w:rFonts w:ascii="Helvetica" w:hAnsi="Helvetica"/>
        </w:rPr>
        <w:t>was</w:t>
      </w:r>
      <w:r w:rsidRPr="00F35E09">
        <w:rPr>
          <w:rFonts w:ascii="Helvetica" w:hAnsi="Helvetica"/>
        </w:rPr>
        <w:t xml:space="preserve"> a </w:t>
      </w:r>
      <w:r w:rsidR="00860474">
        <w:rPr>
          <w:rFonts w:ascii="Helvetica" w:hAnsi="Helvetica"/>
        </w:rPr>
        <w:t>personalised</w:t>
      </w:r>
      <w:r w:rsidR="00860474" w:rsidRPr="00F35E09">
        <w:rPr>
          <w:rFonts w:ascii="Helvetica" w:hAnsi="Helvetica"/>
        </w:rPr>
        <w:t xml:space="preserve"> </w:t>
      </w:r>
      <w:r w:rsidRPr="00F35E09">
        <w:rPr>
          <w:rFonts w:ascii="Helvetica" w:hAnsi="Helvetica"/>
        </w:rPr>
        <w:t xml:space="preserve">concierge call back service </w:t>
      </w:r>
      <w:r>
        <w:rPr>
          <w:rFonts w:ascii="Helvetica" w:hAnsi="Helvetica"/>
        </w:rPr>
        <w:t xml:space="preserve">that </w:t>
      </w:r>
      <w:r w:rsidRPr="00F35E09">
        <w:rPr>
          <w:rFonts w:ascii="Helvetica" w:hAnsi="Helvetica"/>
        </w:rPr>
        <w:t>aim</w:t>
      </w:r>
      <w:r w:rsidR="00FF606E">
        <w:rPr>
          <w:rFonts w:ascii="Helvetica" w:hAnsi="Helvetica"/>
        </w:rPr>
        <w:t>ed</w:t>
      </w:r>
      <w:r w:rsidRPr="00F35E09">
        <w:rPr>
          <w:rFonts w:ascii="Helvetica" w:hAnsi="Helvetica"/>
        </w:rPr>
        <w:t xml:space="preserve"> to minimise access barriers by providing a high level of tailored support to each customer to enable access to the right vaccination provider at </w:t>
      </w:r>
      <w:r w:rsidR="00CA246C">
        <w:rPr>
          <w:rFonts w:ascii="Helvetica" w:hAnsi="Helvetica"/>
        </w:rPr>
        <w:t>the right time</w:t>
      </w:r>
      <w:r>
        <w:rPr>
          <w:rFonts w:ascii="Helvetica" w:hAnsi="Helvetica"/>
        </w:rPr>
        <w:t xml:space="preserve">. Although designed with the vulnerable in mind, EVA </w:t>
      </w:r>
      <w:r w:rsidR="00853FDD">
        <w:rPr>
          <w:rFonts w:ascii="Helvetica" w:hAnsi="Helvetica"/>
        </w:rPr>
        <w:t>was available to all</w:t>
      </w:r>
      <w:r>
        <w:rPr>
          <w:rFonts w:ascii="Helvetica" w:hAnsi="Helvetica"/>
        </w:rPr>
        <w:t xml:space="preserve">. </w:t>
      </w:r>
      <w:r w:rsidRPr="00F35E09">
        <w:rPr>
          <w:rFonts w:ascii="Helvetica" w:hAnsi="Helvetica"/>
        </w:rPr>
        <w:t xml:space="preserve"> </w:t>
      </w:r>
    </w:p>
    <w:p w14:paraId="3D414DE6" w14:textId="4279D9A8" w:rsidR="001B5403" w:rsidRDefault="00D5119A" w:rsidP="001B5403">
      <w:r>
        <w:t xml:space="preserve">BETA was commissioned by </w:t>
      </w:r>
      <w:r w:rsidR="001B5403">
        <w:t xml:space="preserve">DoHAC and Healthdirect Australia to </w:t>
      </w:r>
      <w:r w:rsidR="00040630">
        <w:t>evaluate EVA</w:t>
      </w:r>
      <w:r w:rsidR="001B5403">
        <w:t xml:space="preserve"> by exploring who accessed EVA and why, and whether and how EVA was of help to its customers. </w:t>
      </w:r>
      <w:r>
        <w:t>BETA</w:t>
      </w:r>
      <w:r w:rsidR="001B5403">
        <w:t xml:space="preserve"> </w:t>
      </w:r>
      <w:r w:rsidR="00905190">
        <w:t>conducted two surveys with EVA customers (</w:t>
      </w:r>
      <w:r w:rsidR="00077165">
        <w:t>1,</w:t>
      </w:r>
      <w:r w:rsidR="00905190">
        <w:t xml:space="preserve">841 customers </w:t>
      </w:r>
      <w:r w:rsidR="008E110E">
        <w:t>completed</w:t>
      </w:r>
      <w:r w:rsidR="00905190">
        <w:t xml:space="preserve"> Survey 1 and 624 customers </w:t>
      </w:r>
      <w:r w:rsidR="008E110E">
        <w:t>completed</w:t>
      </w:r>
      <w:r w:rsidR="00905190">
        <w:t xml:space="preserve"> Survey 2) and </w:t>
      </w:r>
      <w:r w:rsidR="001B5403">
        <w:t>analysed data from EVA’s first year of operation</w:t>
      </w:r>
      <w:r w:rsidR="00905190">
        <w:t xml:space="preserve"> (13,877 customers)</w:t>
      </w:r>
      <w:r w:rsidR="001B5403">
        <w:t>.</w:t>
      </w:r>
    </w:p>
    <w:p w14:paraId="56A299D3" w14:textId="7E605DA8" w:rsidR="00F50F5E" w:rsidRPr="00F50F5E" w:rsidRDefault="00F50F5E" w:rsidP="001B5403">
      <w:pPr>
        <w:rPr>
          <w:b/>
        </w:rPr>
      </w:pPr>
      <w:r w:rsidRPr="00F50F5E">
        <w:rPr>
          <w:b/>
        </w:rPr>
        <w:t>EVA was</w:t>
      </w:r>
      <w:r>
        <w:rPr>
          <w:b/>
        </w:rPr>
        <w:t xml:space="preserve"> successful, with</w:t>
      </w:r>
      <w:r w:rsidRPr="00F50F5E">
        <w:rPr>
          <w:b/>
        </w:rPr>
        <w:t xml:space="preserve"> 89% </w:t>
      </w:r>
      <w:r>
        <w:rPr>
          <w:b/>
        </w:rPr>
        <w:t>of customers vaccinated</w:t>
      </w:r>
    </w:p>
    <w:p w14:paraId="2363D32F" w14:textId="2D439F0D" w:rsidR="001B5403" w:rsidRDefault="00A32FF5" w:rsidP="001B5403">
      <w:pPr>
        <w:rPr>
          <w:rFonts w:ascii="Helvetica" w:hAnsi="Helvetica"/>
        </w:rPr>
      </w:pPr>
      <w:r>
        <w:rPr>
          <w:rFonts w:ascii="Helvetica" w:hAnsi="Helvetica"/>
        </w:rPr>
        <w:t xml:space="preserve">We found that </w:t>
      </w:r>
      <w:r w:rsidR="001B5403">
        <w:rPr>
          <w:rFonts w:ascii="Helvetica" w:hAnsi="Helvetica"/>
        </w:rPr>
        <w:t xml:space="preserve">EVA </w:t>
      </w:r>
      <w:r w:rsidR="003E7D56">
        <w:rPr>
          <w:rFonts w:ascii="Helvetica" w:hAnsi="Helvetica"/>
        </w:rPr>
        <w:t>effective</w:t>
      </w:r>
      <w:r>
        <w:rPr>
          <w:rFonts w:ascii="Helvetica" w:hAnsi="Helvetica"/>
        </w:rPr>
        <w:t>ly</w:t>
      </w:r>
      <w:r w:rsidR="003E7D56">
        <w:rPr>
          <w:rFonts w:ascii="Helvetica" w:hAnsi="Helvetica"/>
        </w:rPr>
        <w:t xml:space="preserve"> </w:t>
      </w:r>
      <w:r w:rsidR="001B5403">
        <w:rPr>
          <w:rFonts w:ascii="Helvetica" w:hAnsi="Helvetica"/>
        </w:rPr>
        <w:t>creat</w:t>
      </w:r>
      <w:r>
        <w:rPr>
          <w:rFonts w:ascii="Helvetica" w:hAnsi="Helvetica"/>
        </w:rPr>
        <w:t>ed</w:t>
      </w:r>
      <w:r w:rsidR="001B5403">
        <w:rPr>
          <w:rFonts w:ascii="Helvetica" w:hAnsi="Helvetica"/>
        </w:rPr>
        <w:t xml:space="preserve"> an enabling environment to support vaccination uptake. </w:t>
      </w:r>
      <w:r>
        <w:rPr>
          <w:rFonts w:eastAsiaTheme="minorHAnsi"/>
          <w:lang w:eastAsia="en-US"/>
        </w:rPr>
        <w:t>Ninety three per cent</w:t>
      </w:r>
      <w:r w:rsidR="001B5403">
        <w:rPr>
          <w:rFonts w:eastAsiaTheme="minorHAnsi"/>
          <w:lang w:eastAsia="en-US"/>
        </w:rPr>
        <w:t xml:space="preserve"> of customers found EVA easy to use, with many reporting that staff were helpful, professional and responsive to their unique requests. </w:t>
      </w:r>
      <w:r w:rsidR="003E7D56">
        <w:rPr>
          <w:rFonts w:eastAsiaTheme="minorHAnsi"/>
          <w:lang w:eastAsia="en-US"/>
        </w:rPr>
        <w:t xml:space="preserve">Ninety one per cent </w:t>
      </w:r>
      <w:r w:rsidR="003E7D56">
        <w:t>indicated that EVA had matched them to a vaccination provider that was able to meet their needs, and</w:t>
      </w:r>
      <w:r w:rsidR="003E7D56">
        <w:rPr>
          <w:rFonts w:eastAsiaTheme="minorHAnsi"/>
          <w:lang w:eastAsia="en-US"/>
        </w:rPr>
        <w:t xml:space="preserve"> </w:t>
      </w:r>
      <w:r w:rsidR="00105DAD">
        <w:rPr>
          <w:rFonts w:eastAsiaTheme="minorHAnsi"/>
          <w:lang w:eastAsia="en-US"/>
        </w:rPr>
        <w:t>89% of</w:t>
      </w:r>
      <w:r w:rsidR="00C50CC4">
        <w:rPr>
          <w:rFonts w:eastAsiaTheme="minorHAnsi"/>
          <w:lang w:eastAsia="en-US"/>
        </w:rPr>
        <w:t xml:space="preserve"> respondents </w:t>
      </w:r>
      <w:r w:rsidR="001B5403" w:rsidRPr="00210289">
        <w:t>were vaccinated as arranged by EVA</w:t>
      </w:r>
      <w:r w:rsidR="001B5403">
        <w:t>.</w:t>
      </w:r>
      <w:r w:rsidR="001B5403" w:rsidRPr="0042580E">
        <w:rPr>
          <w:rFonts w:ascii="Helvetica" w:hAnsi="Helvetica"/>
        </w:rPr>
        <w:t xml:space="preserve"> </w:t>
      </w:r>
    </w:p>
    <w:p w14:paraId="0169FF88" w14:textId="7C71FF20" w:rsidR="00105DAD" w:rsidRPr="00105DAD" w:rsidRDefault="00105DAD" w:rsidP="00DC3A4F">
      <w:pPr>
        <w:rPr>
          <w:b/>
        </w:rPr>
      </w:pPr>
      <w:r w:rsidRPr="00105DAD">
        <w:rPr>
          <w:b/>
        </w:rPr>
        <w:t xml:space="preserve">EVA was easy to use and used </w:t>
      </w:r>
      <w:r w:rsidR="0013370E">
        <w:rPr>
          <w:b/>
        </w:rPr>
        <w:t xml:space="preserve">most </w:t>
      </w:r>
      <w:r w:rsidRPr="00105DAD">
        <w:rPr>
          <w:b/>
        </w:rPr>
        <w:t>by the elderly</w:t>
      </w:r>
    </w:p>
    <w:p w14:paraId="3D4F35D1" w14:textId="3D1C4AAF" w:rsidR="00DC3A4F" w:rsidRDefault="00356AE6" w:rsidP="00DC3A4F">
      <w:r>
        <w:t>O</w:t>
      </w:r>
      <w:r w:rsidR="001B5403">
        <w:t xml:space="preserve">ur results demonstrate that a </w:t>
      </w:r>
      <w:r w:rsidR="00BE5CAF">
        <w:t>personalised</w:t>
      </w:r>
      <w:r w:rsidR="001B5403">
        <w:t xml:space="preserve"> call booking service can indeed successfully remove barriers and support people to access services at a time right for them.</w:t>
      </w:r>
      <w:r w:rsidR="00DC3A4F">
        <w:t xml:space="preserve"> Prior to using EVA, 71% of customers unsuccessfully tried to obtain the vaccine or find information they needed before they contacted EVA. Many customers then found EVA online, or were directed to EVA by others. Customers reported that EVA appeared easy to use, and was an efficient use of their time. Customers also chose to use EVA because it was a government-run service with staff they felt would have the relevant specialist up-to-date knowledge. </w:t>
      </w:r>
    </w:p>
    <w:p w14:paraId="6482C02F" w14:textId="29E5679D" w:rsidR="00E406FC" w:rsidRDefault="008A7A68">
      <w:pPr>
        <w:rPr>
          <w:rFonts w:asciiTheme="majorHAnsi" w:hAnsiTheme="majorHAnsi"/>
        </w:rPr>
      </w:pPr>
      <w:r>
        <w:t>EVA</w:t>
      </w:r>
      <w:r w:rsidR="001B5403">
        <w:t xml:space="preserve"> </w:t>
      </w:r>
      <w:r w:rsidR="005824BA">
        <w:t xml:space="preserve">successfully </w:t>
      </w:r>
      <w:r w:rsidR="00874596">
        <w:t>reached</w:t>
      </w:r>
      <w:r w:rsidR="001B5403">
        <w:t xml:space="preserve"> some cohorts </w:t>
      </w:r>
      <w:r w:rsidR="005C03BE">
        <w:t>at risk of digital exclusion</w:t>
      </w:r>
      <w:r w:rsidR="005824BA">
        <w:t xml:space="preserve">, </w:t>
      </w:r>
      <w:r w:rsidR="00CE58D5">
        <w:t>in particular the elderly accessed EVA the most. H</w:t>
      </w:r>
      <w:r w:rsidR="005824BA">
        <w:t>owever</w:t>
      </w:r>
      <w:r w:rsidR="00CE58D5">
        <w:t>,</w:t>
      </w:r>
      <w:r w:rsidR="005824BA">
        <w:t xml:space="preserve"> EVA</w:t>
      </w:r>
      <w:r>
        <w:t xml:space="preserve"> could </w:t>
      </w:r>
      <w:r w:rsidR="005D4B78">
        <w:t xml:space="preserve">have </w:t>
      </w:r>
      <w:r>
        <w:t>be</w:t>
      </w:r>
      <w:r w:rsidR="005D4B78">
        <w:t>en</w:t>
      </w:r>
      <w:r>
        <w:t xml:space="preserve"> leveraged further</w:t>
      </w:r>
      <w:r w:rsidR="005824BA">
        <w:t xml:space="preserve"> with other cohorts</w:t>
      </w:r>
      <w:r w:rsidR="00CE58D5">
        <w:t xml:space="preserve"> including </w:t>
      </w:r>
      <w:r w:rsidR="001B5403">
        <w:t xml:space="preserve">those </w:t>
      </w:r>
      <w:r w:rsidR="005824BA">
        <w:t>with limited English</w:t>
      </w:r>
      <w:r w:rsidR="00CE58D5">
        <w:t xml:space="preserve"> who</w:t>
      </w:r>
      <w:r w:rsidR="005824BA">
        <w:t xml:space="preserve"> </w:t>
      </w:r>
      <w:r w:rsidR="001B5403">
        <w:t xml:space="preserve">accessed </w:t>
      </w:r>
      <w:r w:rsidR="001B5403" w:rsidRPr="00B167B3">
        <w:t xml:space="preserve">EVA </w:t>
      </w:r>
      <w:r w:rsidR="001B5403">
        <w:t xml:space="preserve">the least. </w:t>
      </w:r>
    </w:p>
    <w:p w14:paraId="6F9E5841" w14:textId="1AA96830" w:rsidR="00682B77" w:rsidRPr="00682B77" w:rsidRDefault="00682B77" w:rsidP="00021660">
      <w:pPr>
        <w:rPr>
          <w:rFonts w:asciiTheme="majorHAnsi" w:hAnsiTheme="majorHAnsi"/>
          <w:b/>
        </w:rPr>
      </w:pPr>
      <w:r>
        <w:rPr>
          <w:rFonts w:asciiTheme="majorHAnsi" w:hAnsiTheme="majorHAnsi"/>
          <w:b/>
        </w:rPr>
        <w:t>Multiple pathways assist in providing</w:t>
      </w:r>
      <w:r w:rsidRPr="00682B77">
        <w:rPr>
          <w:rFonts w:asciiTheme="majorHAnsi" w:hAnsiTheme="majorHAnsi"/>
          <w:b/>
        </w:rPr>
        <w:t xml:space="preserve"> equitable access to health services</w:t>
      </w:r>
    </w:p>
    <w:p w14:paraId="794BBFC9" w14:textId="23E3A785" w:rsidR="00FB56CC" w:rsidRDefault="00F64C8B" w:rsidP="00021660">
      <w:r>
        <w:rPr>
          <w:rFonts w:asciiTheme="majorHAnsi" w:hAnsiTheme="majorHAnsi"/>
        </w:rPr>
        <w:t>This evaluation raise</w:t>
      </w:r>
      <w:r w:rsidR="00DF396D">
        <w:rPr>
          <w:rFonts w:asciiTheme="majorHAnsi" w:hAnsiTheme="majorHAnsi"/>
        </w:rPr>
        <w:t>s</w:t>
      </w:r>
      <w:r>
        <w:rPr>
          <w:rFonts w:asciiTheme="majorHAnsi" w:hAnsiTheme="majorHAnsi"/>
        </w:rPr>
        <w:t xml:space="preserve"> a number of implications for broader services</w:t>
      </w:r>
      <w:r w:rsidR="0089282C">
        <w:rPr>
          <w:rFonts w:asciiTheme="majorHAnsi" w:hAnsiTheme="majorHAnsi"/>
        </w:rPr>
        <w:t>. For example, customers do not always find</w:t>
      </w:r>
      <w:r>
        <w:t xml:space="preserve"> health services as easy</w:t>
      </w:r>
      <w:r w:rsidR="0089282C">
        <w:t xml:space="preserve"> to find</w:t>
      </w:r>
      <w:r>
        <w:t xml:space="preserve"> as assumed</w:t>
      </w:r>
      <w:r w:rsidR="0089282C">
        <w:t>.</w:t>
      </w:r>
      <w:r>
        <w:t xml:space="preserve"> </w:t>
      </w:r>
      <w:r w:rsidR="009323E3">
        <w:t>To support equitable access, health services need to be accessible through multiple pathways,</w:t>
      </w:r>
      <w:r w:rsidR="007751A7">
        <w:t xml:space="preserve"> not just online</w:t>
      </w:r>
      <w:r w:rsidR="0089282C">
        <w:t>. C</w:t>
      </w:r>
      <w:r>
        <w:t>all booking services like EVA are particularly useful to the elderly</w:t>
      </w:r>
      <w:r w:rsidR="0089282C">
        <w:t>.</w:t>
      </w:r>
      <w:r>
        <w:t xml:space="preserve"> </w:t>
      </w:r>
      <w:r w:rsidR="0089282C">
        <w:t>Also,</w:t>
      </w:r>
      <w:r>
        <w:t xml:space="preserve"> </w:t>
      </w:r>
      <w:r w:rsidR="001719E9">
        <w:t xml:space="preserve">in addition to </w:t>
      </w:r>
      <w:r>
        <w:t xml:space="preserve">creating </w:t>
      </w:r>
      <w:r w:rsidR="001719E9">
        <w:t xml:space="preserve">supportive services, </w:t>
      </w:r>
      <w:r w:rsidR="00C7208A">
        <w:t xml:space="preserve">the </w:t>
      </w:r>
      <w:r>
        <w:t>vulnerable cohorts</w:t>
      </w:r>
      <w:r w:rsidR="0089282C">
        <w:t xml:space="preserve"> who may benefit most from the service</w:t>
      </w:r>
      <w:r w:rsidR="00C7208A">
        <w:t xml:space="preserve"> </w:t>
      </w:r>
      <w:r w:rsidR="001719E9">
        <w:t xml:space="preserve">require </w:t>
      </w:r>
      <w:r w:rsidR="00CD083D">
        <w:t>thoughtful</w:t>
      </w:r>
      <w:r w:rsidR="008B79C2">
        <w:t xml:space="preserve"> targeting to ensure they utilis</w:t>
      </w:r>
      <w:r w:rsidR="001719E9">
        <w:t xml:space="preserve">e the </w:t>
      </w:r>
      <w:r w:rsidR="0089282C">
        <w:t>service</w:t>
      </w:r>
      <w:r>
        <w:t>.</w:t>
      </w:r>
    </w:p>
    <w:p w14:paraId="2421AACD" w14:textId="41D67B51" w:rsidR="00973B23" w:rsidRDefault="00973B23">
      <w:pPr>
        <w:pStyle w:val="Heading2"/>
      </w:pPr>
      <w:bookmarkStart w:id="7" w:name="_Toc145085924"/>
      <w:bookmarkStart w:id="8" w:name="_Toc145368201"/>
      <w:bookmarkStart w:id="9" w:name="_Toc145415476"/>
      <w:bookmarkStart w:id="10" w:name="_Toc145421676"/>
      <w:bookmarkStart w:id="11" w:name="_Toc145422533"/>
      <w:r>
        <w:lastRenderedPageBreak/>
        <w:t>Why</w:t>
      </w:r>
      <w:r w:rsidR="00905190">
        <w:t xml:space="preserve"> </w:t>
      </w:r>
      <w:r w:rsidR="00963070">
        <w:t xml:space="preserve">was </w:t>
      </w:r>
      <w:r w:rsidR="00905190">
        <w:t>EVA</w:t>
      </w:r>
      <w:r w:rsidR="00963070">
        <w:t xml:space="preserve"> needed?</w:t>
      </w:r>
      <w:bookmarkEnd w:id="7"/>
      <w:bookmarkEnd w:id="8"/>
      <w:bookmarkEnd w:id="9"/>
      <w:bookmarkEnd w:id="10"/>
      <w:bookmarkEnd w:id="11"/>
    </w:p>
    <w:p w14:paraId="1B88E976" w14:textId="4AAC0D48" w:rsidR="000A1257" w:rsidRPr="001540CB" w:rsidRDefault="00A910B9" w:rsidP="000A1257">
      <w:pPr>
        <w:pStyle w:val="Heading3"/>
      </w:pPr>
      <w:r>
        <w:t>The goal</w:t>
      </w:r>
      <w:r w:rsidR="00E84ADB">
        <w:t xml:space="preserve"> of</w:t>
      </w:r>
      <w:r>
        <w:t xml:space="preserve"> </w:t>
      </w:r>
      <w:r w:rsidR="00E84ADB">
        <w:t>l</w:t>
      </w:r>
      <w:r>
        <w:t>eav</w:t>
      </w:r>
      <w:r w:rsidR="00E84ADB">
        <w:t>ing</w:t>
      </w:r>
      <w:r>
        <w:t xml:space="preserve"> no Australian behind</w:t>
      </w:r>
      <w:r w:rsidR="00E84ADB">
        <w:t xml:space="preserve"> was the driving force behind EVA</w:t>
      </w:r>
    </w:p>
    <w:p w14:paraId="4450938B" w14:textId="0E012A7B" w:rsidR="00B002B0" w:rsidRDefault="000A1257" w:rsidP="000A1257">
      <w:r w:rsidRPr="00A50FC5">
        <w:t xml:space="preserve">Enabling public access to the right </w:t>
      </w:r>
      <w:r>
        <w:t>healthcare</w:t>
      </w:r>
      <w:r w:rsidRPr="00A50FC5">
        <w:t xml:space="preserve"> at the right time is important for the prevention, treatment and management of diseases. However, barriers within health systems can prevent timely or appropriate access. </w:t>
      </w:r>
      <w:r>
        <w:t>A</w:t>
      </w:r>
      <w:r w:rsidRPr="00A50FC5">
        <w:t xml:space="preserve">ccess can be limited by </w:t>
      </w:r>
      <w:r>
        <w:t xml:space="preserve">a </w:t>
      </w:r>
      <w:r w:rsidR="003C30F0">
        <w:t>range of factors including a</w:t>
      </w:r>
      <w:r>
        <w:t xml:space="preserve"> person’s</w:t>
      </w:r>
      <w:r w:rsidRPr="00A50FC5">
        <w:t xml:space="preserve"> ability to find the service </w:t>
      </w:r>
      <w:r>
        <w:t>they need</w:t>
      </w:r>
      <w:r w:rsidRPr="00A50FC5">
        <w:t>, access to interpreter</w:t>
      </w:r>
      <w:r>
        <w:t>s</w:t>
      </w:r>
      <w:r w:rsidR="000338FA">
        <w:t>, long wait-lists and</w:t>
      </w:r>
      <w:r w:rsidRPr="00A50FC5">
        <w:t xml:space="preserve"> requirements to</w:t>
      </w:r>
      <w:r w:rsidR="000338FA">
        <w:t xml:space="preserve"> hold a Medicare card</w:t>
      </w:r>
      <w:r w:rsidRPr="00A50FC5">
        <w:t xml:space="preserve"> (</w:t>
      </w:r>
      <w:r>
        <w:t>e.g.</w:t>
      </w:r>
      <w:r w:rsidRPr="00A50FC5">
        <w:t xml:space="preserve"> AIHW 2020; Angeles et al. 2023;</w:t>
      </w:r>
      <w:r>
        <w:t xml:space="preserve"> Macri 2016; Calder et al. 2019</w:t>
      </w:r>
      <w:r w:rsidRPr="00A50FC5">
        <w:t xml:space="preserve">). </w:t>
      </w:r>
    </w:p>
    <w:p w14:paraId="75041963" w14:textId="04C9CA33" w:rsidR="00B002B0" w:rsidRDefault="000A1257" w:rsidP="000A1257">
      <w:r>
        <w:t>Access to and navigation of</w:t>
      </w:r>
      <w:r w:rsidRPr="00A50FC5">
        <w:t xml:space="preserve"> the Australian health system</w:t>
      </w:r>
      <w:r>
        <w:t xml:space="preserve"> increasingly require</w:t>
      </w:r>
      <w:r w:rsidR="003C30F0">
        <w:t>s</w:t>
      </w:r>
      <w:r>
        <w:t xml:space="preserve"> the use of</w:t>
      </w:r>
      <w:r w:rsidRPr="00A50FC5">
        <w:t xml:space="preserve"> digital technology. Healthcare digitisation accelerated during the </w:t>
      </w:r>
      <w:r>
        <w:t>COVID-19</w:t>
      </w:r>
      <w:r w:rsidRPr="00A50FC5">
        <w:t xml:space="preserve"> pandemic when healthcare rapidly moved online to accommodate lockdowns and concerns for vulnerable Australians (</w:t>
      </w:r>
      <w:r>
        <w:t>Good Things Foundation 2021</w:t>
      </w:r>
      <w:r w:rsidRPr="00A50FC5">
        <w:t xml:space="preserve">). </w:t>
      </w:r>
    </w:p>
    <w:p w14:paraId="6E71059E" w14:textId="3A9FAA3D" w:rsidR="000A1257" w:rsidRDefault="000A1257" w:rsidP="000A1257">
      <w:r w:rsidRPr="00A50FC5">
        <w:t xml:space="preserve">Although there are many benefits to healthcare digitisation, there is a risk that some Australians will not be able to access </w:t>
      </w:r>
      <w:r>
        <w:t>healthcare</w:t>
      </w:r>
      <w:r w:rsidRPr="00A50FC5">
        <w:t xml:space="preserve"> when needed (</w:t>
      </w:r>
      <w:r>
        <w:t>Good Things Foundation 2021</w:t>
      </w:r>
      <w:r w:rsidRPr="00A50FC5">
        <w:t xml:space="preserve">). While the rate of Australians who were not </w:t>
      </w:r>
      <w:r>
        <w:t>accessing the internet at all</w:t>
      </w:r>
      <w:r w:rsidRPr="00A50FC5">
        <w:t xml:space="preserve"> fell from 10% to 1% during the </w:t>
      </w:r>
      <w:r>
        <w:t>COVID-19</w:t>
      </w:r>
      <w:r w:rsidRPr="00A50FC5">
        <w:t xml:space="preserve"> pandemic, over 60% of Australians </w:t>
      </w:r>
      <w:r>
        <w:t>feel</w:t>
      </w:r>
      <w:r w:rsidRPr="00A50FC5">
        <w:t xml:space="preserve"> they</w:t>
      </w:r>
      <w:r>
        <w:t xml:space="preserve"> are</w:t>
      </w:r>
      <w:r w:rsidRPr="00A50FC5">
        <w:t xml:space="preserve"> unable to keep up with the rapid pace of changing technology in order to feel safe or confident online (</w:t>
      </w:r>
      <w:r>
        <w:t>Good Things Foundation 2021</w:t>
      </w:r>
      <w:r w:rsidRPr="00A50FC5">
        <w:t xml:space="preserve">). A lack of skills, confidence, and sense of </w:t>
      </w:r>
      <w:r>
        <w:t xml:space="preserve">unease </w:t>
      </w:r>
      <w:r w:rsidRPr="00A50FC5">
        <w:t xml:space="preserve">online </w:t>
      </w:r>
      <w:r>
        <w:t>puts</w:t>
      </w:r>
      <w:r w:rsidRPr="00A50FC5">
        <w:t xml:space="preserve"> certain people at risk of digital exclusion.</w:t>
      </w:r>
      <w:r w:rsidRPr="0068479D">
        <w:t xml:space="preserve"> </w:t>
      </w:r>
      <w:r w:rsidR="00B002B0">
        <w:t>Australian</w:t>
      </w:r>
      <w:r w:rsidR="00AF54E4">
        <w:t xml:space="preserve"> cohorts</w:t>
      </w:r>
      <w:r w:rsidR="00B002B0">
        <w:t xml:space="preserve"> at higher risk of digital exclusion include people aged over 65</w:t>
      </w:r>
      <w:r w:rsidR="00A45225">
        <w:t xml:space="preserve"> </w:t>
      </w:r>
      <w:r w:rsidR="00B002B0">
        <w:t>years, those living in rural and remote areas, those of low income,</w:t>
      </w:r>
      <w:r w:rsidR="00CE2037">
        <w:t xml:space="preserve"> First Nations people,</w:t>
      </w:r>
      <w:r w:rsidR="00B002B0">
        <w:t xml:space="preserve"> and new migrants and refugees </w:t>
      </w:r>
      <w:r w:rsidR="00B002B0" w:rsidRPr="00A50FC5">
        <w:t>(</w:t>
      </w:r>
      <w:r w:rsidR="00B002B0">
        <w:t>Good Things Foundation 2021</w:t>
      </w:r>
      <w:r w:rsidR="00B002B0" w:rsidRPr="00A50FC5">
        <w:t>)</w:t>
      </w:r>
      <w:r w:rsidR="00B002B0">
        <w:t>.</w:t>
      </w:r>
    </w:p>
    <w:p w14:paraId="00F16F9F" w14:textId="2D8DE265" w:rsidR="000A1257" w:rsidRDefault="000A1257" w:rsidP="000A1257">
      <w:r>
        <w:t xml:space="preserve">As a United Nation’s (UN) signatory, Australia has committed to leaving no Australian behind, and this involves achieving universal health coverage (goal 3.8; UN 2015). </w:t>
      </w:r>
      <w:r w:rsidR="005F0232">
        <w:t>The</w:t>
      </w:r>
      <w:r>
        <w:t xml:space="preserve"> 2020-25 National Health Reform Agreement (NHRA) states ‘</w:t>
      </w:r>
      <w:r w:rsidRPr="007D1638">
        <w:rPr>
          <w:i/>
        </w:rPr>
        <w:t xml:space="preserve">All Australians should have equitable access to high quality </w:t>
      </w:r>
      <w:r>
        <w:rPr>
          <w:i/>
        </w:rPr>
        <w:t>healthcare</w:t>
      </w:r>
      <w:r>
        <w:t>’ and that healthcare should be delivered ‘</w:t>
      </w:r>
      <w:r>
        <w:rPr>
          <w:i/>
        </w:rPr>
        <w:t xml:space="preserve">in the right place at the right time’ </w:t>
      </w:r>
      <w:r>
        <w:t>(NHRA 2020)</w:t>
      </w:r>
      <w:r>
        <w:rPr>
          <w:i/>
        </w:rPr>
        <w:t>.</w:t>
      </w:r>
      <w:r>
        <w:t xml:space="preserve"> However, the barriers that some Australians experience may impede such goals.</w:t>
      </w:r>
    </w:p>
    <w:p w14:paraId="6D558191" w14:textId="3BC3C911" w:rsidR="004D7B05" w:rsidRDefault="00CB7272" w:rsidP="001956ED">
      <w:pPr>
        <w:pStyle w:val="Heading3"/>
      </w:pPr>
      <w:r>
        <w:t xml:space="preserve">Call </w:t>
      </w:r>
      <w:r w:rsidR="00E478F2">
        <w:t>s</w:t>
      </w:r>
      <w:r>
        <w:t xml:space="preserve">ervices </w:t>
      </w:r>
      <w:r w:rsidR="00E478F2">
        <w:t>may</w:t>
      </w:r>
      <w:r>
        <w:t xml:space="preserve"> be a key mechanism for achieving equity of healthcare access</w:t>
      </w:r>
    </w:p>
    <w:p w14:paraId="00DBA21B" w14:textId="5B7D1BBA" w:rsidR="00E037EC" w:rsidRDefault="009D6646" w:rsidP="00A3783D">
      <w:r>
        <w:t>Call services</w:t>
      </w:r>
      <w:r w:rsidRPr="00F35E09">
        <w:t xml:space="preserve"> have been proposed as solutions to reduce access issues posed by digital exclusion. </w:t>
      </w:r>
      <w:r w:rsidR="00E478F2">
        <w:t>For instance, t</w:t>
      </w:r>
      <w:r w:rsidRPr="00F35E09">
        <w:t>he World Health Organisation</w:t>
      </w:r>
      <w:r w:rsidR="00E037EC">
        <w:t xml:space="preserve"> (WHO)</w:t>
      </w:r>
      <w:r w:rsidRPr="00F35E09">
        <w:t xml:space="preserve"> proposed that </w:t>
      </w:r>
      <w:r>
        <w:t>call services</w:t>
      </w:r>
      <w:r w:rsidRPr="00F35E09">
        <w:t xml:space="preserve"> could be a key mechanism for achieving universal healthcare coverage</w:t>
      </w:r>
      <w:r w:rsidR="00E037EC">
        <w:t>. The WHO argue that this is because</w:t>
      </w:r>
      <w:r w:rsidRPr="00F35E09">
        <w:t xml:space="preserve"> phone and mobile technologies have greater coverage than internet-based technologies, and are therefore more accessible to </w:t>
      </w:r>
      <w:r>
        <w:t xml:space="preserve">the </w:t>
      </w:r>
      <w:r w:rsidRPr="00F35E09">
        <w:t xml:space="preserve">wider public (WHO 2016). </w:t>
      </w:r>
      <w:r w:rsidR="00E478F2">
        <w:t>In addition, the</w:t>
      </w:r>
      <w:r w:rsidR="00E478F2" w:rsidRPr="00E478F2">
        <w:t xml:space="preserve"> 60% of Australians </w:t>
      </w:r>
      <w:r w:rsidR="00E478F2">
        <w:t>who do not</w:t>
      </w:r>
      <w:r w:rsidR="00E478F2" w:rsidRPr="00E478F2">
        <w:t xml:space="preserve"> feel safe or confident online (Good Things Foundation 2021</w:t>
      </w:r>
      <w:r w:rsidR="00E478F2">
        <w:t xml:space="preserve">) may feel more comfortable using phone technologies. </w:t>
      </w:r>
    </w:p>
    <w:p w14:paraId="7E27973D" w14:textId="699D96A5" w:rsidR="00E478F2" w:rsidRDefault="00E037EC" w:rsidP="009D6646">
      <w:pPr>
        <w:rPr>
          <w:rFonts w:ascii="Helvetica" w:hAnsi="Helvetica"/>
        </w:rPr>
      </w:pPr>
      <w:r>
        <w:rPr>
          <w:rFonts w:ascii="Helvetica" w:hAnsi="Helvetica"/>
        </w:rPr>
        <w:lastRenderedPageBreak/>
        <w:t>D</w:t>
      </w:r>
      <w:r w:rsidR="003B7372">
        <w:rPr>
          <w:rFonts w:ascii="Helvetica" w:hAnsi="Helvetica"/>
        </w:rPr>
        <w:t>espite many health services moving online, i</w:t>
      </w:r>
      <w:r w:rsidR="003B7372" w:rsidRPr="00F35E09">
        <w:rPr>
          <w:rFonts w:ascii="Helvetica" w:hAnsi="Helvetica"/>
        </w:rPr>
        <w:t xml:space="preserve">n a series of surveys, the WHO found an increase in the number of governments launching health-related </w:t>
      </w:r>
      <w:r w:rsidR="003B7372">
        <w:rPr>
          <w:rFonts w:ascii="Helvetica" w:hAnsi="Helvetica"/>
        </w:rPr>
        <w:t>call services</w:t>
      </w:r>
      <w:r w:rsidR="003B7372" w:rsidRPr="00F35E09">
        <w:rPr>
          <w:rFonts w:ascii="Helvetica" w:hAnsi="Helvetica"/>
        </w:rPr>
        <w:t xml:space="preserve"> (WHO 2016).</w:t>
      </w:r>
      <w:r w:rsidR="003B7372">
        <w:rPr>
          <w:rFonts w:ascii="Helvetica" w:hAnsi="Helvetica"/>
        </w:rPr>
        <w:t xml:space="preserve"> B</w:t>
      </w:r>
      <w:r w:rsidR="003B7372" w:rsidRPr="00F35E09">
        <w:rPr>
          <w:rFonts w:ascii="Helvetica" w:hAnsi="Helvetica"/>
        </w:rPr>
        <w:t xml:space="preserve">y 2015, </w:t>
      </w:r>
      <w:r w:rsidR="003B7372">
        <w:rPr>
          <w:rFonts w:ascii="Helvetica" w:hAnsi="Helvetica"/>
        </w:rPr>
        <w:t xml:space="preserve">of the </w:t>
      </w:r>
      <w:r w:rsidR="003B7372" w:rsidRPr="00F35E09">
        <w:rPr>
          <w:rFonts w:ascii="Helvetica" w:hAnsi="Helvetica"/>
        </w:rPr>
        <w:t xml:space="preserve">125 countries surveyed </w:t>
      </w:r>
      <w:r w:rsidR="003B7372">
        <w:rPr>
          <w:rFonts w:ascii="Helvetica" w:hAnsi="Helvetica"/>
        </w:rPr>
        <w:t xml:space="preserve">by the WHO, </w:t>
      </w:r>
      <w:r w:rsidR="003B7372" w:rsidRPr="00F35E09">
        <w:rPr>
          <w:rFonts w:ascii="Helvetica" w:hAnsi="Helvetica"/>
        </w:rPr>
        <w:t>72% of governments</w:t>
      </w:r>
      <w:r w:rsidR="003B7372">
        <w:rPr>
          <w:rFonts w:ascii="Helvetica" w:hAnsi="Helvetica"/>
        </w:rPr>
        <w:t xml:space="preserve"> </w:t>
      </w:r>
      <w:r w:rsidR="003B7372" w:rsidRPr="00F35E09">
        <w:rPr>
          <w:rFonts w:ascii="Helvetica" w:hAnsi="Helvetica"/>
        </w:rPr>
        <w:t xml:space="preserve">had launched a health-related </w:t>
      </w:r>
      <w:r w:rsidR="003B7372">
        <w:rPr>
          <w:rFonts w:ascii="Helvetica" w:hAnsi="Helvetica"/>
        </w:rPr>
        <w:t>call service.</w:t>
      </w:r>
    </w:p>
    <w:p w14:paraId="6EBD4F90" w14:textId="005F57A3" w:rsidR="00E478F2" w:rsidRDefault="00E478F2" w:rsidP="00E478F2">
      <w:pPr>
        <w:pStyle w:val="Heading3"/>
      </w:pPr>
      <w:r>
        <w:t xml:space="preserve">There </w:t>
      </w:r>
      <w:r w:rsidR="00DA5429">
        <w:t xml:space="preserve">is </w:t>
      </w:r>
      <w:r>
        <w:t>a need to support vulnerable</w:t>
      </w:r>
      <w:r w:rsidR="001A281E">
        <w:t xml:space="preserve"> Australians</w:t>
      </w:r>
      <w:r>
        <w:t xml:space="preserve"> to access</w:t>
      </w:r>
      <w:r w:rsidR="008479FB">
        <w:t xml:space="preserve"> </w:t>
      </w:r>
      <w:r>
        <w:t>COVID-19 vaccines</w:t>
      </w:r>
    </w:p>
    <w:p w14:paraId="6FA24530" w14:textId="32D869BC" w:rsidR="00E478F2" w:rsidRDefault="00E478F2" w:rsidP="00E478F2">
      <w:r>
        <w:t>The need to support equitable access to healthcare and limit detrimental effects of access barriers became particularly prominent during the COVID-19 vaccine roll-out. In 2020, the World Health Organisation (WHO) recommended that countries across the globe aim to achieve ‘herd immunity’ for COVID-19 through vaccination (WHO 2020a). Herd immunity refers to the indirect protection that occurs against an infectious disease when the amount of the virus that can be spread is limited (WHO 2020a). A key consideration for this recommendation was to protect those unable to be vaccinated (e.g. due to health conditions such as allergic reactions to the vaccine), and those particularly vulnerable to the virus. The exact proportion of the population that needed to be vaccinated to achieve herd immunity for COVID-19 was unclear, as thresholds vary by disease. For COVID-19, the WHO recommended that ‘</w:t>
      </w:r>
      <w:r>
        <w:rPr>
          <w:i/>
        </w:rPr>
        <w:t>a substantial proportion’</w:t>
      </w:r>
      <w:r>
        <w:t xml:space="preserve"> of the population be vaccinated (WHO 2020a). Within Australia, a target of greater than 80% vaccination was set (DHAC 2021).</w:t>
      </w:r>
    </w:p>
    <w:p w14:paraId="3F4548A2" w14:textId="755E9A8D" w:rsidR="00E478F2" w:rsidRDefault="00E478F2" w:rsidP="00E478F2">
      <w:r>
        <w:t>To reach th</w:t>
      </w:r>
      <w:r w:rsidR="00A44C03">
        <w:t>is</w:t>
      </w:r>
      <w:r>
        <w:t xml:space="preserve"> lofty target, global discussions focused on maximising acceptance and uptake of COVID-19 vaccines. The key driver for encouraging vaccine uptake was identified as </w:t>
      </w:r>
      <w:r w:rsidRPr="008A15EE">
        <w:t>creating an enabling environment</w:t>
      </w:r>
      <w:r>
        <w:t xml:space="preserve"> (e.g. Andreas et al. 2022; </w:t>
      </w:r>
      <w:r>
        <w:rPr>
          <w:rFonts w:asciiTheme="majorHAnsi" w:hAnsiTheme="majorHAnsi" w:cstheme="majorHAnsi"/>
        </w:rPr>
        <w:t xml:space="preserve">COSSI and NCIRS 2022; </w:t>
      </w:r>
      <w:r>
        <w:t>Dai et al. 2021; WHO 2020b</w:t>
      </w:r>
      <w:r>
        <w:rPr>
          <w:rFonts w:asciiTheme="majorHAnsi" w:hAnsiTheme="majorHAnsi" w:cstheme="majorHAnsi"/>
        </w:rPr>
        <w:t>)</w:t>
      </w:r>
      <w:r>
        <w:t xml:space="preserve">. </w:t>
      </w:r>
    </w:p>
    <w:p w14:paraId="600054FA" w14:textId="2CC0D88F" w:rsidR="00E478F2" w:rsidRDefault="00E478F2" w:rsidP="00E478F2">
      <w:r>
        <w:t xml:space="preserve">Creating </w:t>
      </w:r>
      <w:r w:rsidR="000174A3">
        <w:t>an enabling environment involved</w:t>
      </w:r>
      <w:r>
        <w:t xml:space="preserve"> reducing barriers and making it as easy as possible for people to engage in the desired behaviour (e.g. to access a vaccine). This meant ensuring that the process of finding, booking, travelling to, and receiving the vaccine was not too time-consuming or burdensome. Crucial elements of enabling environments also involve ensuring that people feel they are treated with kindness, understanding and respect, and that healthcare workers </w:t>
      </w:r>
      <w:r w:rsidR="000D26F3">
        <w:t>were</w:t>
      </w:r>
      <w:r>
        <w:t xml:space="preserve"> well-informed and </w:t>
      </w:r>
      <w:r w:rsidR="000D26F3">
        <w:t>could</w:t>
      </w:r>
      <w:r>
        <w:t xml:space="preserve"> accurately answer questions about COVID-19 and the vaccines.</w:t>
      </w:r>
    </w:p>
    <w:p w14:paraId="07C8EAC4" w14:textId="3D196016" w:rsidR="00E478F2" w:rsidRDefault="00E478F2" w:rsidP="00E478F2">
      <w:r>
        <w:t>The Australian Department of Health and Aged Care also identified the need to rapidly develop and implement a service that could cater for the needs of the vulnerable and those at risk of digital exclusion. This need was particularly prominent in 2022</w:t>
      </w:r>
      <w:r w:rsidR="00945EC5">
        <w:t>,</w:t>
      </w:r>
      <w:r>
        <w:t xml:space="preserve"> when large-scale government-run infrastructure, such as </w:t>
      </w:r>
      <w:r w:rsidR="005F0232">
        <w:t>mass</w:t>
      </w:r>
      <w:r w:rsidR="00945EC5">
        <w:t xml:space="preserve"> </w:t>
      </w:r>
      <w:r>
        <w:t xml:space="preserve">vaccination hubs, were no longer in operation. </w:t>
      </w:r>
    </w:p>
    <w:p w14:paraId="77087B0A" w14:textId="1295F55A" w:rsidR="000A1257" w:rsidRPr="00F35E09" w:rsidRDefault="000A1257" w:rsidP="000A1257">
      <w:pPr>
        <w:pStyle w:val="Heading3"/>
      </w:pPr>
      <w:r>
        <w:t>EVA</w:t>
      </w:r>
      <w:r w:rsidR="00A46319">
        <w:t xml:space="preserve"> was rapidly developed and implemented </w:t>
      </w:r>
    </w:p>
    <w:p w14:paraId="1B651D01" w14:textId="3557594E" w:rsidR="000A1257" w:rsidRDefault="000A1257" w:rsidP="000A1257">
      <w:pPr>
        <w:spacing w:before="160"/>
        <w:rPr>
          <w:rFonts w:ascii="Helvetica" w:hAnsi="Helvetica"/>
        </w:rPr>
      </w:pPr>
      <w:r w:rsidRPr="00F35E09">
        <w:rPr>
          <w:rFonts w:ascii="Helvetica" w:hAnsi="Helvetica"/>
        </w:rPr>
        <w:t xml:space="preserve">To support access to </w:t>
      </w:r>
      <w:r>
        <w:rPr>
          <w:rFonts w:ascii="Helvetica" w:hAnsi="Helvetica"/>
        </w:rPr>
        <w:t>COVID-19</w:t>
      </w:r>
      <w:r w:rsidRPr="00F35E09">
        <w:rPr>
          <w:rFonts w:ascii="Helvetica" w:hAnsi="Helvetica"/>
        </w:rPr>
        <w:t xml:space="preserve"> vaccines, </w:t>
      </w:r>
      <w:r>
        <w:rPr>
          <w:rFonts w:ascii="Helvetica" w:hAnsi="Helvetica"/>
        </w:rPr>
        <w:t>DoHAC</w:t>
      </w:r>
      <w:r w:rsidRPr="00F35E09">
        <w:rPr>
          <w:rFonts w:ascii="Helvetica" w:hAnsi="Helvetica"/>
        </w:rPr>
        <w:t xml:space="preserve"> in partnership with Healthdirect</w:t>
      </w:r>
      <w:r>
        <w:rPr>
          <w:rFonts w:ascii="Helvetica" w:hAnsi="Helvetica"/>
        </w:rPr>
        <w:t xml:space="preserve"> Australia</w:t>
      </w:r>
      <w:r w:rsidRPr="00F35E09">
        <w:rPr>
          <w:rFonts w:ascii="Helvetica" w:hAnsi="Helvetica"/>
        </w:rPr>
        <w:t xml:space="preserve">, </w:t>
      </w:r>
      <w:r w:rsidR="008D79F8">
        <w:rPr>
          <w:rFonts w:ascii="Helvetica" w:hAnsi="Helvetica"/>
        </w:rPr>
        <w:t xml:space="preserve">rapidly developed and </w:t>
      </w:r>
      <w:r w:rsidRPr="00F35E09">
        <w:rPr>
          <w:rFonts w:ascii="Helvetica" w:hAnsi="Helvetica"/>
        </w:rPr>
        <w:t xml:space="preserve">launched EVA on </w:t>
      </w:r>
      <w:r>
        <w:rPr>
          <w:rFonts w:ascii="Helvetica" w:hAnsi="Helvetica"/>
        </w:rPr>
        <w:t xml:space="preserve">the </w:t>
      </w:r>
      <w:r w:rsidRPr="00F35E09">
        <w:rPr>
          <w:rFonts w:ascii="Helvetica" w:hAnsi="Helvetica"/>
        </w:rPr>
        <w:t>28 March 2022.</w:t>
      </w:r>
      <w:r>
        <w:rPr>
          <w:rFonts w:ascii="Helvetica" w:hAnsi="Helvetica"/>
        </w:rPr>
        <w:t xml:space="preserve"> EVA </w:t>
      </w:r>
      <w:r w:rsidR="00417B87">
        <w:rPr>
          <w:rFonts w:ascii="Helvetica" w:hAnsi="Helvetica"/>
        </w:rPr>
        <w:t>was</w:t>
      </w:r>
      <w:r>
        <w:rPr>
          <w:rFonts w:ascii="Helvetica" w:hAnsi="Helvetica"/>
        </w:rPr>
        <w:t xml:space="preserve"> a specialised sub-service within the National Coronavirus Helpline contact centre</w:t>
      </w:r>
      <w:r w:rsidR="00FF0276">
        <w:rPr>
          <w:rFonts w:ascii="Helvetica" w:hAnsi="Helvetica"/>
        </w:rPr>
        <w:t xml:space="preserve"> (</w:t>
      </w:r>
      <w:r>
        <w:rPr>
          <w:rFonts w:ascii="Helvetica" w:hAnsi="Helvetica"/>
        </w:rPr>
        <w:t>NCH</w:t>
      </w:r>
      <w:r w:rsidR="00FF0276">
        <w:rPr>
          <w:rFonts w:ascii="Helvetica" w:hAnsi="Helvetica"/>
        </w:rPr>
        <w:t>)</w:t>
      </w:r>
      <w:r>
        <w:rPr>
          <w:rFonts w:ascii="Helvetica" w:hAnsi="Helvetica"/>
        </w:rPr>
        <w:t>.</w:t>
      </w:r>
    </w:p>
    <w:p w14:paraId="11167846" w14:textId="42FEF368" w:rsidR="000A1257" w:rsidRDefault="000A1257" w:rsidP="000A1257">
      <w:pPr>
        <w:spacing w:before="160"/>
        <w:rPr>
          <w:rFonts w:ascii="Helvetica" w:hAnsi="Helvetica"/>
        </w:rPr>
      </w:pPr>
      <w:r w:rsidRPr="000E1F2F">
        <w:rPr>
          <w:rFonts w:ascii="Helvetica" w:hAnsi="Helvetica"/>
        </w:rPr>
        <w:t>EVA</w:t>
      </w:r>
      <w:r>
        <w:rPr>
          <w:rFonts w:ascii="Helvetica" w:hAnsi="Helvetica"/>
        </w:rPr>
        <w:t>’</w:t>
      </w:r>
      <w:r w:rsidRPr="000E1F2F">
        <w:rPr>
          <w:rFonts w:ascii="Helvetica" w:hAnsi="Helvetica"/>
        </w:rPr>
        <w:t xml:space="preserve">s purpose </w:t>
      </w:r>
      <w:r w:rsidR="00C63C60">
        <w:rPr>
          <w:rFonts w:ascii="Helvetica" w:hAnsi="Helvetica"/>
        </w:rPr>
        <w:t>was</w:t>
      </w:r>
      <w:r w:rsidR="00C63C60" w:rsidRPr="000E1F2F">
        <w:rPr>
          <w:rFonts w:ascii="Helvetica" w:hAnsi="Helvetica"/>
        </w:rPr>
        <w:t xml:space="preserve"> </w:t>
      </w:r>
      <w:r w:rsidRPr="000E1F2F">
        <w:rPr>
          <w:rFonts w:ascii="Helvetica" w:hAnsi="Helvetica"/>
        </w:rPr>
        <w:t>to maximise uptake of COV</w:t>
      </w:r>
      <w:r>
        <w:rPr>
          <w:rFonts w:ascii="Helvetica" w:hAnsi="Helvetica"/>
        </w:rPr>
        <w:t xml:space="preserve">ID-19 vaccines across Australia. Although EVA </w:t>
      </w:r>
      <w:r w:rsidR="00C63C60">
        <w:rPr>
          <w:rFonts w:ascii="Helvetica" w:hAnsi="Helvetica"/>
        </w:rPr>
        <w:t xml:space="preserve">was </w:t>
      </w:r>
      <w:r>
        <w:rPr>
          <w:rFonts w:ascii="Helvetica" w:hAnsi="Helvetica"/>
        </w:rPr>
        <w:t xml:space="preserve">available to all, </w:t>
      </w:r>
      <w:r w:rsidRPr="000E1F2F">
        <w:rPr>
          <w:rFonts w:ascii="Helvetica" w:hAnsi="Helvetica"/>
        </w:rPr>
        <w:t xml:space="preserve">Australia’s vulnerable </w:t>
      </w:r>
      <w:r>
        <w:rPr>
          <w:rFonts w:ascii="Helvetica" w:hAnsi="Helvetica"/>
        </w:rPr>
        <w:t xml:space="preserve">were considered </w:t>
      </w:r>
      <w:r w:rsidRPr="000E1F2F">
        <w:rPr>
          <w:rFonts w:ascii="Helvetica" w:hAnsi="Helvetica"/>
        </w:rPr>
        <w:t>at the core of its design</w:t>
      </w:r>
      <w:r>
        <w:rPr>
          <w:rFonts w:ascii="Helvetica" w:hAnsi="Helvetica"/>
        </w:rPr>
        <w:t>.</w:t>
      </w:r>
      <w:r w:rsidR="00D65D47">
        <w:rPr>
          <w:rFonts w:ascii="Helvetica" w:hAnsi="Helvetica"/>
        </w:rPr>
        <w:t xml:space="preserve"> </w:t>
      </w:r>
      <w:r w:rsidR="00C174ED">
        <w:rPr>
          <w:rFonts w:ascii="Helvetica" w:hAnsi="Helvetica"/>
        </w:rPr>
        <w:t>C</w:t>
      </w:r>
      <w:r w:rsidRPr="00F35E09">
        <w:rPr>
          <w:rFonts w:ascii="Helvetica" w:hAnsi="Helvetica"/>
        </w:rPr>
        <w:t>reat</w:t>
      </w:r>
      <w:r>
        <w:rPr>
          <w:rFonts w:ascii="Helvetica" w:hAnsi="Helvetica"/>
        </w:rPr>
        <w:t>ing</w:t>
      </w:r>
      <w:r w:rsidRPr="00F35E09">
        <w:rPr>
          <w:rFonts w:ascii="Helvetica" w:hAnsi="Helvetica"/>
        </w:rPr>
        <w:t xml:space="preserve"> an enabling environment</w:t>
      </w:r>
      <w:r>
        <w:rPr>
          <w:rFonts w:ascii="Helvetica" w:hAnsi="Helvetica"/>
        </w:rPr>
        <w:t xml:space="preserve"> for</w:t>
      </w:r>
      <w:r w:rsidR="008D79F8">
        <w:rPr>
          <w:rFonts w:ascii="Helvetica" w:hAnsi="Helvetica"/>
        </w:rPr>
        <w:t xml:space="preserve"> </w:t>
      </w:r>
      <w:r>
        <w:rPr>
          <w:rFonts w:ascii="Helvetica" w:hAnsi="Helvetica"/>
        </w:rPr>
        <w:t xml:space="preserve">those at risk of </w:t>
      </w:r>
      <w:r w:rsidR="008D79F8">
        <w:rPr>
          <w:rFonts w:ascii="Helvetica" w:hAnsi="Helvetica"/>
        </w:rPr>
        <w:t>digital exclusion</w:t>
      </w:r>
      <w:r>
        <w:rPr>
          <w:rFonts w:ascii="Helvetica" w:hAnsi="Helvetica"/>
        </w:rPr>
        <w:t xml:space="preserve"> </w:t>
      </w:r>
      <w:r w:rsidR="00C63C60">
        <w:rPr>
          <w:rFonts w:ascii="Helvetica" w:hAnsi="Helvetica"/>
        </w:rPr>
        <w:t xml:space="preserve">was </w:t>
      </w:r>
      <w:r>
        <w:rPr>
          <w:rFonts w:ascii="Helvetica" w:hAnsi="Helvetica"/>
        </w:rPr>
        <w:t>central to EVA’s operation</w:t>
      </w:r>
      <w:r w:rsidRPr="00F35E09">
        <w:rPr>
          <w:rFonts w:ascii="Helvetica" w:hAnsi="Helvetica"/>
        </w:rPr>
        <w:t xml:space="preserve">. </w:t>
      </w:r>
    </w:p>
    <w:p w14:paraId="275C96B1" w14:textId="5334BC8C" w:rsidR="006D7BED" w:rsidRPr="006D7BED" w:rsidRDefault="000A1257" w:rsidP="006D7BED">
      <w:pPr>
        <w:spacing w:before="160" w:after="480"/>
        <w:rPr>
          <w:rFonts w:ascii="Helvetica" w:hAnsi="Helvetica"/>
        </w:rPr>
      </w:pPr>
      <w:r w:rsidRPr="00F35E09">
        <w:rPr>
          <w:rFonts w:ascii="Helvetica" w:hAnsi="Helvetica"/>
        </w:rPr>
        <w:lastRenderedPageBreak/>
        <w:t xml:space="preserve">EVA </w:t>
      </w:r>
      <w:r w:rsidR="00C63C60">
        <w:rPr>
          <w:rFonts w:ascii="Helvetica" w:hAnsi="Helvetica"/>
        </w:rPr>
        <w:t>was</w:t>
      </w:r>
      <w:r w:rsidR="00C63C60" w:rsidRPr="00F35E09">
        <w:rPr>
          <w:rFonts w:ascii="Helvetica" w:hAnsi="Helvetica"/>
        </w:rPr>
        <w:t xml:space="preserve"> </w:t>
      </w:r>
      <w:r>
        <w:rPr>
          <w:rFonts w:ascii="Helvetica" w:hAnsi="Helvetica"/>
        </w:rPr>
        <w:t xml:space="preserve">a </w:t>
      </w:r>
      <w:r w:rsidRPr="00F35E09">
        <w:rPr>
          <w:rFonts w:ascii="Helvetica" w:hAnsi="Helvetica"/>
        </w:rPr>
        <w:t xml:space="preserve">unique </w:t>
      </w:r>
      <w:r>
        <w:rPr>
          <w:rFonts w:ascii="Helvetica" w:hAnsi="Helvetica"/>
        </w:rPr>
        <w:t>s</w:t>
      </w:r>
      <w:r w:rsidRPr="00F35E09">
        <w:rPr>
          <w:rFonts w:ascii="Helvetica" w:hAnsi="Helvetica"/>
        </w:rPr>
        <w:t>ervice, in that it provid</w:t>
      </w:r>
      <w:r>
        <w:rPr>
          <w:rFonts w:ascii="Helvetica" w:hAnsi="Helvetica"/>
        </w:rPr>
        <w:t>e</w:t>
      </w:r>
      <w:r w:rsidR="00C63C60">
        <w:rPr>
          <w:rFonts w:ascii="Helvetica" w:hAnsi="Helvetica"/>
        </w:rPr>
        <w:t>d</w:t>
      </w:r>
      <w:r w:rsidRPr="00F35E09">
        <w:rPr>
          <w:rFonts w:ascii="Helvetica" w:hAnsi="Helvetica"/>
        </w:rPr>
        <w:t xml:space="preserve"> a high level of tailored support to each customer</w:t>
      </w:r>
      <w:r>
        <w:rPr>
          <w:rFonts w:ascii="Helvetica" w:hAnsi="Helvetica"/>
        </w:rPr>
        <w:t xml:space="preserve"> for </w:t>
      </w:r>
      <w:r w:rsidR="00A85279">
        <w:rPr>
          <w:rFonts w:ascii="Helvetica" w:hAnsi="Helvetica"/>
        </w:rPr>
        <w:t xml:space="preserve">finding and </w:t>
      </w:r>
      <w:r>
        <w:rPr>
          <w:rFonts w:ascii="Helvetica" w:hAnsi="Helvetica"/>
        </w:rPr>
        <w:t xml:space="preserve">booking health appointments. The idea was to </w:t>
      </w:r>
      <w:r w:rsidRPr="00F35E09">
        <w:rPr>
          <w:rFonts w:ascii="Helvetica" w:hAnsi="Helvetica"/>
        </w:rPr>
        <w:t>enable access to the right vaccination provider at a</w:t>
      </w:r>
      <w:r w:rsidR="00C63C60">
        <w:rPr>
          <w:rFonts w:ascii="Helvetica" w:hAnsi="Helvetica"/>
        </w:rPr>
        <w:t xml:space="preserve"> suitable</w:t>
      </w:r>
      <w:r w:rsidRPr="00F35E09">
        <w:rPr>
          <w:rFonts w:ascii="Helvetica" w:hAnsi="Helvetica"/>
        </w:rPr>
        <w:t xml:space="preserve"> time for the customer. EVA </w:t>
      </w:r>
      <w:r w:rsidR="00C63C60">
        <w:rPr>
          <w:rFonts w:ascii="Helvetica" w:hAnsi="Helvetica"/>
        </w:rPr>
        <w:t>was</w:t>
      </w:r>
      <w:r w:rsidR="00C63C60" w:rsidRPr="00F35E09">
        <w:rPr>
          <w:rFonts w:ascii="Helvetica" w:hAnsi="Helvetica"/>
        </w:rPr>
        <w:t xml:space="preserve"> </w:t>
      </w:r>
      <w:r w:rsidRPr="00F35E09">
        <w:rPr>
          <w:rFonts w:ascii="Helvetica" w:hAnsi="Helvetica"/>
        </w:rPr>
        <w:t xml:space="preserve">a </w:t>
      </w:r>
      <w:r w:rsidR="00BE5CAF">
        <w:rPr>
          <w:rFonts w:ascii="Helvetica" w:hAnsi="Helvetica"/>
        </w:rPr>
        <w:t>personalised</w:t>
      </w:r>
      <w:r w:rsidRPr="00F35E09">
        <w:rPr>
          <w:rFonts w:ascii="Helvetica" w:hAnsi="Helvetica"/>
        </w:rPr>
        <w:t xml:space="preserve"> concierge call back service that assist</w:t>
      </w:r>
      <w:r w:rsidR="00C63C60">
        <w:rPr>
          <w:rFonts w:ascii="Helvetica" w:hAnsi="Helvetica"/>
        </w:rPr>
        <w:t>ed</w:t>
      </w:r>
      <w:r w:rsidRPr="00F35E09">
        <w:rPr>
          <w:rFonts w:ascii="Helvetica" w:hAnsi="Helvetica"/>
        </w:rPr>
        <w:t xml:space="preserve"> the general public with </w:t>
      </w:r>
      <w:r>
        <w:rPr>
          <w:rFonts w:ascii="Helvetica" w:hAnsi="Helvetica"/>
        </w:rPr>
        <w:t>COVID-19</w:t>
      </w:r>
      <w:r w:rsidRPr="00F35E09">
        <w:rPr>
          <w:rFonts w:ascii="Helvetica" w:hAnsi="Helvetica"/>
        </w:rPr>
        <w:t xml:space="preserve"> </w:t>
      </w:r>
      <w:r w:rsidR="005871C1">
        <w:rPr>
          <w:rFonts w:ascii="Helvetica" w:hAnsi="Helvetica"/>
        </w:rPr>
        <w:t xml:space="preserve">vaccine </w:t>
      </w:r>
      <w:r w:rsidRPr="00F35E09">
        <w:rPr>
          <w:rFonts w:ascii="Helvetica" w:hAnsi="Helvetica"/>
        </w:rPr>
        <w:t>information</w:t>
      </w:r>
      <w:r>
        <w:rPr>
          <w:rFonts w:ascii="Helvetica" w:hAnsi="Helvetica"/>
        </w:rPr>
        <w:t>, find</w:t>
      </w:r>
      <w:r w:rsidR="00C63C60">
        <w:rPr>
          <w:rFonts w:ascii="Helvetica" w:hAnsi="Helvetica"/>
        </w:rPr>
        <w:t>ing</w:t>
      </w:r>
      <w:r w:rsidRPr="00F35E09">
        <w:rPr>
          <w:rFonts w:ascii="Helvetica" w:hAnsi="Helvetica"/>
        </w:rPr>
        <w:t xml:space="preserve"> a</w:t>
      </w:r>
      <w:r>
        <w:rPr>
          <w:rFonts w:ascii="Helvetica" w:hAnsi="Helvetica"/>
        </w:rPr>
        <w:t>n appropriate</w:t>
      </w:r>
      <w:r w:rsidRPr="00F35E09">
        <w:rPr>
          <w:rFonts w:ascii="Helvetica" w:hAnsi="Helvetica"/>
        </w:rPr>
        <w:t xml:space="preserve"> vaccination provider</w:t>
      </w:r>
      <w:r>
        <w:rPr>
          <w:rFonts w:ascii="Helvetica" w:hAnsi="Helvetica"/>
        </w:rPr>
        <w:t>, and book</w:t>
      </w:r>
      <w:r w:rsidR="00C63C60">
        <w:rPr>
          <w:rFonts w:ascii="Helvetica" w:hAnsi="Helvetica"/>
        </w:rPr>
        <w:t>ing</w:t>
      </w:r>
      <w:r>
        <w:rPr>
          <w:rFonts w:ascii="Helvetica" w:hAnsi="Helvetica"/>
        </w:rPr>
        <w:t xml:space="preserve"> a vaccination</w:t>
      </w:r>
      <w:r w:rsidRPr="00F35E09">
        <w:rPr>
          <w:rFonts w:ascii="Helvetica" w:hAnsi="Helvetica"/>
        </w:rPr>
        <w:t xml:space="preserve"> appointment for the customer. The EVA process and customer journey is outlined in Figure 1.</w:t>
      </w:r>
    </w:p>
    <w:p w14:paraId="7001B12A" w14:textId="2855202A" w:rsidR="006D7BED" w:rsidRDefault="006D7BED" w:rsidP="00BF7A5D">
      <w:pPr>
        <w:keepNext/>
        <w:spacing w:before="160"/>
      </w:pPr>
      <w:r w:rsidRPr="006D7BED">
        <w:rPr>
          <w:noProof/>
        </w:rPr>
        <w:drawing>
          <wp:inline distT="0" distB="0" distL="0" distR="0" wp14:anchorId="64BFC266" wp14:editId="5AA1223C">
            <wp:extent cx="5729936" cy="2100792"/>
            <wp:effectExtent l="0" t="0" r="4445" b="0"/>
            <wp:docPr id="8" name="Picture 8" descr="Figure 1 outlines the EVA customer journey. First, the customer sends a SMS to EVA saying “Hey EVA”. Second, EVA replies via SMS asking for the customers name, location, date/time for call back, and if a translator is required. The third box says 'customer sends a SMS to EVA with requested information'. The fourth and final box says 'EVA calls the customer to find information and/or a COVID-19 vaccine provider that meets the customers needs, books a vaccine appointment and sends a SMS with appointment details'.&#10;" title="Figure 1 - EVA custom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6371" cy="2103151"/>
                    </a:xfrm>
                    <a:prstGeom prst="rect">
                      <a:avLst/>
                    </a:prstGeom>
                  </pic:spPr>
                </pic:pic>
              </a:graphicData>
            </a:graphic>
          </wp:inline>
        </w:drawing>
      </w:r>
    </w:p>
    <w:p w14:paraId="69FFA918" w14:textId="78AF1E09" w:rsidR="007D33F6" w:rsidRDefault="00BF7A5D" w:rsidP="00BF7A5D">
      <w:pPr>
        <w:pStyle w:val="FigureHeading"/>
        <w:numPr>
          <w:ilvl w:val="0"/>
          <w:numId w:val="0"/>
        </w:numPr>
        <w:ind w:left="357" w:hanging="357"/>
      </w:pPr>
      <w:r>
        <w:t xml:space="preserve">Figure </w:t>
      </w:r>
      <w:r w:rsidR="002E61C1">
        <w:fldChar w:fldCharType="begin"/>
      </w:r>
      <w:r w:rsidR="002E61C1">
        <w:instrText xml:space="preserve"> SEQ Figure \* ARABIC </w:instrText>
      </w:r>
      <w:r w:rsidR="002E61C1">
        <w:fldChar w:fldCharType="separate"/>
      </w:r>
      <w:r>
        <w:rPr>
          <w:noProof/>
        </w:rPr>
        <w:t>1</w:t>
      </w:r>
      <w:r w:rsidR="002E61C1">
        <w:rPr>
          <w:noProof/>
        </w:rPr>
        <w:fldChar w:fldCharType="end"/>
      </w:r>
      <w:r>
        <w:t>. The EVA customer journey</w:t>
      </w:r>
    </w:p>
    <w:p w14:paraId="04D1D9D4" w14:textId="512CF823" w:rsidR="000A1257" w:rsidRPr="00F35E09" w:rsidRDefault="00994405" w:rsidP="00747EB2">
      <w:pPr>
        <w:pStyle w:val="ListBullet"/>
        <w:ind w:left="0" w:firstLine="0"/>
      </w:pPr>
      <w:r>
        <w:rPr>
          <w:rFonts w:ascii="Helvetica" w:hAnsi="Helvetica"/>
        </w:rPr>
        <w:t>A</w:t>
      </w:r>
      <w:r w:rsidR="00C869FB">
        <w:rPr>
          <w:rFonts w:ascii="Helvetica" w:hAnsi="Helvetica"/>
        </w:rPr>
        <w:t xml:space="preserve"> number of </w:t>
      </w:r>
      <w:r>
        <w:rPr>
          <w:rFonts w:ascii="Helvetica" w:hAnsi="Helvetica"/>
        </w:rPr>
        <w:t xml:space="preserve">EVA’s </w:t>
      </w:r>
      <w:r w:rsidR="00C869FB">
        <w:rPr>
          <w:rFonts w:ascii="Helvetica" w:hAnsi="Helvetica"/>
        </w:rPr>
        <w:t>key feature</w:t>
      </w:r>
      <w:r w:rsidR="002F6187">
        <w:rPr>
          <w:rFonts w:ascii="Helvetica" w:hAnsi="Helvetica"/>
        </w:rPr>
        <w:t xml:space="preserve">s </w:t>
      </w:r>
      <w:r>
        <w:rPr>
          <w:rFonts w:ascii="Helvetica" w:hAnsi="Helvetica"/>
        </w:rPr>
        <w:t xml:space="preserve">were </w:t>
      </w:r>
      <w:r w:rsidR="00C869FB">
        <w:rPr>
          <w:rFonts w:ascii="Helvetica" w:hAnsi="Helvetica"/>
        </w:rPr>
        <w:t xml:space="preserve">specifically designed to create an enabling environment for users. </w:t>
      </w:r>
      <w:r w:rsidR="00976CD3" w:rsidRPr="00E256D8">
        <w:t xml:space="preserve">Firstly, EVA call handlers </w:t>
      </w:r>
      <w:r w:rsidR="00C63C60">
        <w:t>had</w:t>
      </w:r>
      <w:r w:rsidR="00C63C60" w:rsidRPr="00E256D8">
        <w:t xml:space="preserve"> </w:t>
      </w:r>
      <w:r w:rsidR="00976CD3" w:rsidRPr="00E256D8">
        <w:t>relevant and up-to-date knowledge about COVID-19 vaccines</w:t>
      </w:r>
      <w:r w:rsidR="000174A3">
        <w:t>,</w:t>
      </w:r>
      <w:r w:rsidR="0002046A">
        <w:t xml:space="preserve"> and their role </w:t>
      </w:r>
      <w:r w:rsidR="00417B87">
        <w:t>was</w:t>
      </w:r>
      <w:r w:rsidR="0002046A">
        <w:t xml:space="preserve"> to identify </w:t>
      </w:r>
      <w:r w:rsidR="0002046A" w:rsidRPr="0002046A">
        <w:t>vaccine providers that meet unique needs</w:t>
      </w:r>
      <w:r w:rsidR="0002046A">
        <w:t xml:space="preserve"> the customer might have</w:t>
      </w:r>
      <w:r w:rsidR="0002046A" w:rsidRPr="0002046A">
        <w:t xml:space="preserve"> (e.g. a vaccination provider closest to the customers location, </w:t>
      </w:r>
      <w:r w:rsidR="0002046A">
        <w:t xml:space="preserve">a provider that does </w:t>
      </w:r>
      <w:r w:rsidR="0002046A" w:rsidRPr="0002046A">
        <w:t>no</w:t>
      </w:r>
      <w:r w:rsidR="0002046A">
        <w:t>t</w:t>
      </w:r>
      <w:r w:rsidR="0002046A" w:rsidRPr="0002046A">
        <w:t xml:space="preserve"> </w:t>
      </w:r>
      <w:r w:rsidR="007E4BD9">
        <w:t>require</w:t>
      </w:r>
      <w:r w:rsidR="0002046A" w:rsidRPr="0002046A">
        <w:t xml:space="preserve"> </w:t>
      </w:r>
      <w:r w:rsidR="00585B6F">
        <w:t xml:space="preserve">a </w:t>
      </w:r>
      <w:r w:rsidR="0002046A" w:rsidRPr="0002046A">
        <w:t xml:space="preserve">Medicare card, can handle group bookings, </w:t>
      </w:r>
      <w:r w:rsidR="00517E0A">
        <w:t xml:space="preserve">provides a </w:t>
      </w:r>
      <w:r w:rsidR="0002046A" w:rsidRPr="0002046A">
        <w:t>culturally sensitive service, experienced with providing children with vaccines, can meet the needs of those with a disability).</w:t>
      </w:r>
      <w:r w:rsidR="003C45B7">
        <w:t xml:space="preserve"> This </w:t>
      </w:r>
      <w:r w:rsidR="00417B87">
        <w:t>was</w:t>
      </w:r>
      <w:r w:rsidR="003C45B7">
        <w:t xml:space="preserve"> to take the burden off the customer in regards to finding the right vaccine provider and booking an appointment. </w:t>
      </w:r>
      <w:r w:rsidR="003C45B7">
        <w:rPr>
          <w:rFonts w:ascii="Helvetica" w:hAnsi="Helvetica"/>
        </w:rPr>
        <w:t xml:space="preserve">In addition, </w:t>
      </w:r>
      <w:r w:rsidR="00A27F08">
        <w:rPr>
          <w:rFonts w:ascii="Helvetica" w:hAnsi="Helvetica"/>
        </w:rPr>
        <w:t xml:space="preserve">EVA also </w:t>
      </w:r>
      <w:r w:rsidR="00C63C60">
        <w:rPr>
          <w:rFonts w:ascii="Helvetica" w:hAnsi="Helvetica"/>
        </w:rPr>
        <w:t xml:space="preserve">provided </w:t>
      </w:r>
      <w:r w:rsidR="00A27F08">
        <w:rPr>
          <w:rFonts w:ascii="Helvetica" w:hAnsi="Helvetica"/>
        </w:rPr>
        <w:t>a translation service for customers who need information in a language other than English.</w:t>
      </w:r>
      <w:r w:rsidR="00976CD3" w:rsidRPr="00E256D8">
        <w:t xml:space="preserve"> Customers </w:t>
      </w:r>
      <w:r w:rsidR="000174A3">
        <w:t>were</w:t>
      </w:r>
      <w:r w:rsidR="00976CD3" w:rsidRPr="00E256D8">
        <w:t xml:space="preserve"> able to ask questions at their own pace during the EVA call, and information </w:t>
      </w:r>
      <w:r w:rsidR="00C63C60">
        <w:t>was</w:t>
      </w:r>
      <w:r w:rsidR="00C63C60" w:rsidRPr="00E256D8">
        <w:t xml:space="preserve"> </w:t>
      </w:r>
      <w:r w:rsidR="00976CD3" w:rsidRPr="00E256D8">
        <w:t xml:space="preserve">provided in a flexible format (e.g. </w:t>
      </w:r>
      <w:r w:rsidR="00976CD3">
        <w:t>appointment information could be texted to the customer if requested)</w:t>
      </w:r>
      <w:r w:rsidR="00976CD3" w:rsidRPr="00E256D8">
        <w:t xml:space="preserve">. A critical feature of EVA </w:t>
      </w:r>
      <w:r w:rsidR="00383501">
        <w:t>was</w:t>
      </w:r>
      <w:r w:rsidR="00383501" w:rsidRPr="00E256D8">
        <w:t xml:space="preserve"> </w:t>
      </w:r>
      <w:r w:rsidR="00976CD3" w:rsidRPr="00E256D8">
        <w:t xml:space="preserve">that the information collected from the customer </w:t>
      </w:r>
      <w:r w:rsidR="00417B87">
        <w:t>was</w:t>
      </w:r>
      <w:r w:rsidR="00976CD3" w:rsidRPr="00E256D8">
        <w:t xml:space="preserve"> kept to a minimum, and </w:t>
      </w:r>
      <w:r w:rsidR="00383501">
        <w:t>was</w:t>
      </w:r>
      <w:r w:rsidR="00383501" w:rsidRPr="00E256D8">
        <w:t xml:space="preserve"> </w:t>
      </w:r>
      <w:r w:rsidR="00976CD3" w:rsidRPr="00E256D8">
        <w:t>only essential to the se</w:t>
      </w:r>
      <w:r w:rsidR="000174A3">
        <w:t>rvice being offered. This allowed</w:t>
      </w:r>
      <w:r w:rsidR="00976CD3" w:rsidRPr="00E256D8">
        <w:t xml:space="preserve"> customers to remain anonymous, and they </w:t>
      </w:r>
      <w:r w:rsidR="00383501">
        <w:t>were</w:t>
      </w:r>
      <w:r w:rsidR="00383501" w:rsidRPr="00E256D8">
        <w:t xml:space="preserve"> </w:t>
      </w:r>
      <w:r w:rsidR="00976CD3" w:rsidRPr="00E256D8">
        <w:t>able to decline to answer certain questions and still proceed with the service.</w:t>
      </w:r>
    </w:p>
    <w:p w14:paraId="6048C597" w14:textId="1B0A5021" w:rsidR="00963070" w:rsidRDefault="000A1257" w:rsidP="00214BF9">
      <w:pPr>
        <w:rPr>
          <w:rFonts w:asciiTheme="majorHAnsi" w:hAnsiTheme="majorHAnsi"/>
          <w:b/>
          <w:color w:val="117479" w:themeColor="accent2"/>
          <w:sz w:val="24"/>
          <w:szCs w:val="44"/>
        </w:rPr>
      </w:pPr>
      <w:r>
        <w:rPr>
          <w:rFonts w:ascii="Helvetica" w:hAnsi="Helvetica"/>
        </w:rPr>
        <w:t>Unlik</w:t>
      </w:r>
      <w:r w:rsidR="00AA6841">
        <w:rPr>
          <w:rFonts w:ascii="Helvetica" w:hAnsi="Helvetica"/>
        </w:rPr>
        <w:t>e most call services, EVA placed</w:t>
      </w:r>
      <w:r>
        <w:rPr>
          <w:rFonts w:ascii="Helvetica" w:hAnsi="Helvetica"/>
        </w:rPr>
        <w:t xml:space="preserve"> no time limit on </w:t>
      </w:r>
      <w:r w:rsidR="00E01B0D">
        <w:rPr>
          <w:rFonts w:ascii="Helvetica" w:hAnsi="Helvetica"/>
        </w:rPr>
        <w:t xml:space="preserve">a </w:t>
      </w:r>
      <w:r>
        <w:rPr>
          <w:rFonts w:ascii="Helvetica" w:hAnsi="Helvetica"/>
        </w:rPr>
        <w:t xml:space="preserve">call. Key performance indicators for EVA call handlers </w:t>
      </w:r>
      <w:r w:rsidR="00AA6841">
        <w:rPr>
          <w:rFonts w:ascii="Helvetica" w:hAnsi="Helvetica"/>
        </w:rPr>
        <w:t>did</w:t>
      </w:r>
      <w:r>
        <w:rPr>
          <w:rFonts w:ascii="Helvetica" w:hAnsi="Helvetica"/>
        </w:rPr>
        <w:t xml:space="preserve"> </w:t>
      </w:r>
      <w:r w:rsidRPr="00B022ED">
        <w:rPr>
          <w:rFonts w:ascii="Helvetica" w:hAnsi="Helvetica"/>
          <w:i/>
        </w:rPr>
        <w:t>not</w:t>
      </w:r>
      <w:r>
        <w:rPr>
          <w:rFonts w:ascii="Helvetica" w:hAnsi="Helvetica"/>
        </w:rPr>
        <w:t xml:space="preserve"> include expected boundaries for the number or length of calls. Instead, call handlers </w:t>
      </w:r>
      <w:r w:rsidR="00AA6841">
        <w:rPr>
          <w:rFonts w:ascii="Helvetica" w:hAnsi="Helvetica"/>
        </w:rPr>
        <w:t>were</w:t>
      </w:r>
      <w:r>
        <w:rPr>
          <w:rFonts w:ascii="Helvetica" w:hAnsi="Helvetica"/>
        </w:rPr>
        <w:t xml:space="preserve"> encouraged to take the time needed to respond to the customer’s enquiries and needs so that they </w:t>
      </w:r>
      <w:r w:rsidR="00AA6841">
        <w:rPr>
          <w:rFonts w:ascii="Helvetica" w:hAnsi="Helvetica"/>
        </w:rPr>
        <w:t>could</w:t>
      </w:r>
      <w:r>
        <w:rPr>
          <w:rFonts w:ascii="Helvetica" w:hAnsi="Helvetica"/>
        </w:rPr>
        <w:t xml:space="preserve"> identify a suitable vaccination provider and appointment time for the customer. The idea behind this was </w:t>
      </w:r>
      <w:r w:rsidR="0085673A">
        <w:rPr>
          <w:rFonts w:ascii="Helvetica" w:hAnsi="Helvetica"/>
        </w:rPr>
        <w:t>to support</w:t>
      </w:r>
      <w:r>
        <w:rPr>
          <w:rFonts w:ascii="Helvetica" w:hAnsi="Helvetica"/>
        </w:rPr>
        <w:t xml:space="preserve"> EVA to be customer focused</w:t>
      </w:r>
      <w:r w:rsidR="00EE7683">
        <w:rPr>
          <w:rFonts w:ascii="Helvetica" w:hAnsi="Helvetica"/>
        </w:rPr>
        <w:t>, in acknowledgement that customers have diverse and varied needs</w:t>
      </w:r>
      <w:r>
        <w:rPr>
          <w:rFonts w:ascii="Helvetica" w:hAnsi="Helvetica"/>
        </w:rPr>
        <w:t>.</w:t>
      </w:r>
    </w:p>
    <w:p w14:paraId="64AE54B9" w14:textId="6B402BFB" w:rsidR="00963070" w:rsidRDefault="00963070" w:rsidP="001956ED">
      <w:pPr>
        <w:pStyle w:val="Heading2"/>
      </w:pPr>
      <w:bookmarkStart w:id="12" w:name="_Toc145085925"/>
      <w:bookmarkStart w:id="13" w:name="_Toc145368202"/>
      <w:bookmarkStart w:id="14" w:name="_Toc145415477"/>
      <w:bookmarkStart w:id="15" w:name="_Toc145421677"/>
      <w:bookmarkStart w:id="16" w:name="_Toc145422534"/>
      <w:r>
        <w:lastRenderedPageBreak/>
        <w:t>Why evaluate EVA?</w:t>
      </w:r>
      <w:bookmarkEnd w:id="12"/>
      <w:bookmarkEnd w:id="13"/>
      <w:bookmarkEnd w:id="14"/>
      <w:bookmarkEnd w:id="15"/>
      <w:bookmarkEnd w:id="16"/>
    </w:p>
    <w:p w14:paraId="50FBF821" w14:textId="76C8BE09" w:rsidR="00A46319" w:rsidRDefault="00963070" w:rsidP="00A46319">
      <w:pPr>
        <w:pStyle w:val="Heading3"/>
      </w:pPr>
      <w:r>
        <w:t>T</w:t>
      </w:r>
      <w:r w:rsidR="00A46319">
        <w:t xml:space="preserve">here is a lack of evidence </w:t>
      </w:r>
      <w:r w:rsidR="00614056">
        <w:t xml:space="preserve">regarding </w:t>
      </w:r>
      <w:r w:rsidR="00A46319">
        <w:t>the effectiveness of call services</w:t>
      </w:r>
    </w:p>
    <w:p w14:paraId="51D4733A" w14:textId="6DC157D9" w:rsidR="000A1257" w:rsidRPr="00E50A3B" w:rsidRDefault="000A1257">
      <w:pPr>
        <w:pStyle w:val="NormalWhite"/>
        <w:rPr>
          <w:color w:val="auto"/>
        </w:rPr>
      </w:pPr>
      <w:r w:rsidRPr="0061628C">
        <w:rPr>
          <w:color w:val="auto"/>
        </w:rPr>
        <w:t xml:space="preserve">Although services such as EVA were designed to overcome access barriers, there is a lack of knowledge about the effectiveness of such initiatives, of what works well in this space, and what lessons </w:t>
      </w:r>
      <w:r w:rsidR="002A1D40">
        <w:rPr>
          <w:color w:val="auto"/>
        </w:rPr>
        <w:t xml:space="preserve">have been </w:t>
      </w:r>
      <w:r w:rsidRPr="0061628C">
        <w:rPr>
          <w:color w:val="auto"/>
        </w:rPr>
        <w:t xml:space="preserve">learned. </w:t>
      </w:r>
      <w:r w:rsidR="00875441">
        <w:rPr>
          <w:color w:val="auto"/>
        </w:rPr>
        <w:t>Of the 175</w:t>
      </w:r>
      <w:r w:rsidR="00875441" w:rsidRPr="0061628C">
        <w:rPr>
          <w:color w:val="auto"/>
        </w:rPr>
        <w:t xml:space="preserve"> </w:t>
      </w:r>
      <w:r w:rsidR="00056B9D">
        <w:rPr>
          <w:color w:val="auto"/>
        </w:rPr>
        <w:t>countries that had</w:t>
      </w:r>
      <w:r w:rsidR="003B7372" w:rsidRPr="0061628C">
        <w:rPr>
          <w:color w:val="auto"/>
        </w:rPr>
        <w:t xml:space="preserve"> launched a health-related call service</w:t>
      </w:r>
      <w:r w:rsidRPr="00747EB2">
        <w:rPr>
          <w:color w:val="auto"/>
        </w:rPr>
        <w:t xml:space="preserve">, only 14% </w:t>
      </w:r>
      <w:r w:rsidR="007D3025" w:rsidRPr="00747EB2">
        <w:rPr>
          <w:color w:val="auto"/>
        </w:rPr>
        <w:t xml:space="preserve">had </w:t>
      </w:r>
      <w:r w:rsidRPr="00747EB2">
        <w:rPr>
          <w:color w:val="auto"/>
        </w:rPr>
        <w:t>evaluated the initiative in any form</w:t>
      </w:r>
      <w:r w:rsidRPr="0061628C">
        <w:rPr>
          <w:color w:val="auto"/>
        </w:rPr>
        <w:t xml:space="preserve"> (WHO 2016). </w:t>
      </w:r>
    </w:p>
    <w:p w14:paraId="5E554B20" w14:textId="47369E15" w:rsidR="000A1257" w:rsidRPr="00E50A3B" w:rsidRDefault="000A1257" w:rsidP="00E50A3B">
      <w:pPr>
        <w:pStyle w:val="NormalWhite"/>
        <w:rPr>
          <w:color w:val="auto"/>
        </w:rPr>
      </w:pPr>
      <w:r w:rsidRPr="0061628C">
        <w:rPr>
          <w:color w:val="auto"/>
        </w:rPr>
        <w:t xml:space="preserve">Unanswered questions regarding services like EVA may have important implications for other health areas. </w:t>
      </w:r>
      <w:r w:rsidR="00974803">
        <w:rPr>
          <w:color w:val="auto"/>
        </w:rPr>
        <w:t>Key questions include</w:t>
      </w:r>
      <w:r w:rsidRPr="0061628C">
        <w:rPr>
          <w:color w:val="auto"/>
        </w:rPr>
        <w:t>:</w:t>
      </w:r>
    </w:p>
    <w:p w14:paraId="12F7D384" w14:textId="13AC0F96" w:rsidR="00A739B0" w:rsidRPr="00422931" w:rsidRDefault="00A739B0" w:rsidP="00183B83">
      <w:pPr>
        <w:pStyle w:val="ListNumber"/>
        <w:numPr>
          <w:ilvl w:val="0"/>
          <w:numId w:val="37"/>
        </w:numPr>
      </w:pPr>
      <w:r w:rsidRPr="00747EB2">
        <w:t>W</w:t>
      </w:r>
      <w:r w:rsidR="001A1957" w:rsidRPr="00422931">
        <w:t xml:space="preserve">hy do people use </w:t>
      </w:r>
      <w:r w:rsidRPr="00422931">
        <w:t>call health booking service</w:t>
      </w:r>
      <w:r w:rsidR="001A1957" w:rsidRPr="00422931">
        <w:t>s like EVA</w:t>
      </w:r>
      <w:r w:rsidRPr="00422931">
        <w:t>?</w:t>
      </w:r>
    </w:p>
    <w:p w14:paraId="123EE2A6" w14:textId="0AC823B2" w:rsidR="000A1257" w:rsidRPr="0028039E" w:rsidRDefault="000A1257" w:rsidP="00183B83">
      <w:pPr>
        <w:pStyle w:val="ListNumber"/>
        <w:numPr>
          <w:ilvl w:val="0"/>
          <w:numId w:val="37"/>
        </w:numPr>
      </w:pPr>
      <w:r w:rsidRPr="00CB502C">
        <w:t xml:space="preserve">Do services like EVA provide benefits over internet-based (or other) solutions in a post </w:t>
      </w:r>
      <w:r w:rsidRPr="0028039E">
        <w:t>COVID-19 world, when so many people are online?</w:t>
      </w:r>
    </w:p>
    <w:p w14:paraId="03A676FC" w14:textId="2AA8CF5B" w:rsidR="001A1957" w:rsidRPr="0028039E" w:rsidRDefault="001A1957" w:rsidP="00183B83">
      <w:pPr>
        <w:pStyle w:val="ListNumber"/>
        <w:numPr>
          <w:ilvl w:val="0"/>
          <w:numId w:val="37"/>
        </w:numPr>
      </w:pPr>
      <w:r w:rsidRPr="0028039E">
        <w:t xml:space="preserve">Did EVA successfully create an enabling environment? </w:t>
      </w:r>
    </w:p>
    <w:p w14:paraId="0AA798AB" w14:textId="0DC8F356" w:rsidR="001A1957" w:rsidRPr="00422931" w:rsidRDefault="001A1957" w:rsidP="00183B83">
      <w:pPr>
        <w:pStyle w:val="ListNumber"/>
        <w:numPr>
          <w:ilvl w:val="0"/>
          <w:numId w:val="37"/>
        </w:numPr>
      </w:pPr>
      <w:r w:rsidRPr="0028039E">
        <w:t xml:space="preserve">Did EVA reach </w:t>
      </w:r>
      <w:r w:rsidR="000E442B" w:rsidRPr="0028039E">
        <w:t xml:space="preserve">the </w:t>
      </w:r>
      <w:r w:rsidRPr="0028039E">
        <w:t>cohorts at risk of digital exclusion?</w:t>
      </w:r>
    </w:p>
    <w:p w14:paraId="4D2BFF3A" w14:textId="6B5AF220" w:rsidR="00973B23" w:rsidRDefault="000A1257" w:rsidP="000A1257">
      <w:r w:rsidRPr="00F35E09">
        <w:t xml:space="preserve">The need to evaluate policy initiatives is also highlighted within Australia’s 2020-25 National Health Reform Agreement (NHRA). Specifically, it states that reforms </w:t>
      </w:r>
      <w:r>
        <w:t>‘</w:t>
      </w:r>
      <w:r w:rsidRPr="00F35E09">
        <w:rPr>
          <w:i/>
        </w:rPr>
        <w:t>should be tested in a range of circumstances to</w:t>
      </w:r>
      <w:r w:rsidRPr="00F35E09">
        <w:t xml:space="preserve"> </w:t>
      </w:r>
      <w:r w:rsidRPr="00F35E09">
        <w:rPr>
          <w:i/>
        </w:rPr>
        <w:t>ensure they meet the needs of all Australians, including rural and remote areas, as well as vulnerable populations</w:t>
      </w:r>
      <w:r>
        <w:rPr>
          <w:i/>
        </w:rPr>
        <w:t>’</w:t>
      </w:r>
      <w:r w:rsidRPr="00F35E09">
        <w:rPr>
          <w:i/>
        </w:rPr>
        <w:t xml:space="preserve"> </w:t>
      </w:r>
      <w:r w:rsidRPr="00F35E09">
        <w:t>(NHRA 2020)</w:t>
      </w:r>
      <w:r w:rsidRPr="00F35E09">
        <w:rPr>
          <w:i/>
        </w:rPr>
        <w:t>.</w:t>
      </w:r>
      <w:r w:rsidR="00973B23">
        <w:br w:type="page"/>
      </w:r>
    </w:p>
    <w:p w14:paraId="2BEB42D1" w14:textId="77777777" w:rsidR="00191A5D" w:rsidRDefault="008A5FEA" w:rsidP="00191A5D">
      <w:pPr>
        <w:pStyle w:val="Heading2"/>
      </w:pPr>
      <w:bookmarkStart w:id="17" w:name="_Toc145085926"/>
      <w:bookmarkStart w:id="18" w:name="_Toc145368203"/>
      <w:bookmarkStart w:id="19" w:name="_Toc145415478"/>
      <w:bookmarkStart w:id="20" w:name="_Toc145421678"/>
      <w:bookmarkStart w:id="21" w:name="_Toc145422535"/>
      <w:r>
        <w:lastRenderedPageBreak/>
        <w:t>What we did</w:t>
      </w:r>
      <w:bookmarkEnd w:id="17"/>
      <w:bookmarkEnd w:id="18"/>
      <w:bookmarkEnd w:id="19"/>
      <w:bookmarkEnd w:id="20"/>
      <w:bookmarkEnd w:id="21"/>
    </w:p>
    <w:p w14:paraId="362DBCDD" w14:textId="76C2972C" w:rsidR="00E745A4" w:rsidRPr="009B4C9B" w:rsidRDefault="00E745A4" w:rsidP="0028039E">
      <w:pPr>
        <w:spacing w:after="0"/>
      </w:pPr>
      <w:r>
        <w:t xml:space="preserve">BETA was commissioned by DoHAC to </w:t>
      </w:r>
      <w:r w:rsidRPr="009B4C9B">
        <w:t xml:space="preserve">evaluate EVA </w:t>
      </w:r>
      <w:r>
        <w:t>to better</w:t>
      </w:r>
      <w:r w:rsidRPr="009B4C9B">
        <w:t xml:space="preserve"> understand</w:t>
      </w:r>
      <w:r w:rsidR="00C87A01">
        <w:t xml:space="preserve"> </w:t>
      </w:r>
      <w:bookmarkStart w:id="22" w:name="_Toc140241511"/>
      <w:r w:rsidR="008571BA">
        <w:t>w</w:t>
      </w:r>
      <w:r>
        <w:t>hy</w:t>
      </w:r>
      <w:r w:rsidRPr="009B4C9B">
        <w:t xml:space="preserve"> custome</w:t>
      </w:r>
      <w:r>
        <w:t>rs chose to use EVA</w:t>
      </w:r>
      <w:r w:rsidR="008571BA">
        <w:t>,</w:t>
      </w:r>
      <w:r>
        <w:t xml:space="preserve"> </w:t>
      </w:r>
      <w:r w:rsidR="00C87A01">
        <w:t xml:space="preserve">what the </w:t>
      </w:r>
      <w:bookmarkStart w:id="23" w:name="_Toc140241512"/>
      <w:bookmarkEnd w:id="22"/>
      <w:r w:rsidR="008571BA">
        <w:t>c</w:t>
      </w:r>
      <w:r w:rsidRPr="009B4C9B">
        <w:t>ustomer</w:t>
      </w:r>
      <w:r>
        <w:t xml:space="preserve"> experience of EVA</w:t>
      </w:r>
      <w:bookmarkEnd w:id="23"/>
      <w:r w:rsidR="00C87A01">
        <w:t xml:space="preserve"> </w:t>
      </w:r>
      <w:r w:rsidR="004F5789">
        <w:t>was</w:t>
      </w:r>
      <w:r w:rsidR="00C87A01">
        <w:t xml:space="preserve">, </w:t>
      </w:r>
      <w:bookmarkStart w:id="24" w:name="_Toc140241510"/>
      <w:r w:rsidR="008571BA">
        <w:t>w</w:t>
      </w:r>
      <w:r w:rsidRPr="009B4C9B">
        <w:t xml:space="preserve">ho </w:t>
      </w:r>
      <w:r>
        <w:t>EVA</w:t>
      </w:r>
      <w:bookmarkEnd w:id="24"/>
      <w:r w:rsidR="00C14265">
        <w:t xml:space="preserve"> reached</w:t>
      </w:r>
      <w:r>
        <w:t xml:space="preserve"> </w:t>
      </w:r>
      <w:r w:rsidR="00C87A01">
        <w:t>(</w:t>
      </w:r>
      <w:r>
        <w:t xml:space="preserve">with </w:t>
      </w:r>
      <w:r w:rsidR="00C87A01">
        <w:t>the</w:t>
      </w:r>
      <w:r>
        <w:t xml:space="preserve"> aim </w:t>
      </w:r>
      <w:r w:rsidR="00C87A01">
        <w:t xml:space="preserve">of </w:t>
      </w:r>
      <w:r>
        <w:t>highlight</w:t>
      </w:r>
      <w:r w:rsidR="00C87A01">
        <w:t>ing</w:t>
      </w:r>
      <w:r>
        <w:t xml:space="preserve"> cohorts at risk of digital exclusion</w:t>
      </w:r>
      <w:r w:rsidR="00C87A01">
        <w:t xml:space="preserve">), and finally, </w:t>
      </w:r>
      <w:bookmarkStart w:id="25" w:name="_Toc140241513"/>
      <w:r w:rsidRPr="009B4C9B">
        <w:t xml:space="preserve">EVA’s </w:t>
      </w:r>
      <w:r w:rsidR="00285CAD">
        <w:t>success rate</w:t>
      </w:r>
      <w:r>
        <w:t xml:space="preserve"> </w:t>
      </w:r>
      <w:r w:rsidRPr="009B4C9B">
        <w:t xml:space="preserve">for </w:t>
      </w:r>
      <w:bookmarkEnd w:id="25"/>
      <w:r w:rsidRPr="009B4C9B">
        <w:t xml:space="preserve">matching customers </w:t>
      </w:r>
      <w:r>
        <w:t>to</w:t>
      </w:r>
      <w:r w:rsidRPr="009B4C9B">
        <w:t xml:space="preserve"> the right provider</w:t>
      </w:r>
      <w:r w:rsidR="006909F1">
        <w:t xml:space="preserve"> and </w:t>
      </w:r>
      <w:r w:rsidR="006909F1" w:rsidRPr="009B4C9B">
        <w:t>enabling vaccination</w:t>
      </w:r>
      <w:r w:rsidRPr="009B4C9B">
        <w:t>.</w:t>
      </w:r>
    </w:p>
    <w:p w14:paraId="5BBFDA08" w14:textId="7512B499" w:rsidR="00E745A4" w:rsidRPr="00486630" w:rsidRDefault="00E745A4" w:rsidP="00E745A4">
      <w:pPr>
        <w:pStyle w:val="Heading3"/>
        <w:spacing w:before="360"/>
      </w:pPr>
      <w:bookmarkStart w:id="26" w:name="_Toc144134251"/>
      <w:r>
        <w:t xml:space="preserve">We surveyed EVA customers </w:t>
      </w:r>
      <w:bookmarkEnd w:id="26"/>
      <w:r>
        <w:t>and utilised existing data</w:t>
      </w:r>
    </w:p>
    <w:p w14:paraId="6A1C5E70" w14:textId="136CEC4F" w:rsidR="00E745A4" w:rsidRPr="006469CB" w:rsidRDefault="00927AC3" w:rsidP="00E745A4">
      <w:pPr>
        <w:rPr>
          <w:rFonts w:ascii="Helvetica" w:hAnsi="Helvetica"/>
        </w:rPr>
      </w:pPr>
      <w:r>
        <w:rPr>
          <w:rFonts w:ascii="Helvetica" w:hAnsi="Helvetica"/>
        </w:rPr>
        <w:t>We drew on two source of data to inform this evaluation</w:t>
      </w:r>
      <w:r w:rsidR="00E745A4">
        <w:rPr>
          <w:rFonts w:ascii="Helvetica" w:hAnsi="Helvetica"/>
        </w:rPr>
        <w:t>:</w:t>
      </w:r>
    </w:p>
    <w:p w14:paraId="2670A5F1" w14:textId="62923756" w:rsidR="00D105DD" w:rsidRPr="00D105DD" w:rsidRDefault="00D105DD" w:rsidP="00D105DD">
      <w:pPr>
        <w:pStyle w:val="ListNumber"/>
        <w:numPr>
          <w:ilvl w:val="0"/>
          <w:numId w:val="2"/>
        </w:numPr>
        <w:rPr>
          <w:b/>
        </w:rPr>
      </w:pPr>
      <w:r w:rsidRPr="00D105DD">
        <w:rPr>
          <w:b/>
        </w:rPr>
        <w:t>Survey</w:t>
      </w:r>
      <w:r w:rsidR="001D5BD9">
        <w:rPr>
          <w:b/>
        </w:rPr>
        <w:t xml:space="preserve"> </w:t>
      </w:r>
      <w:r w:rsidR="00927AC3">
        <w:rPr>
          <w:b/>
        </w:rPr>
        <w:t>of</w:t>
      </w:r>
      <w:r w:rsidRPr="00D105DD">
        <w:rPr>
          <w:b/>
        </w:rPr>
        <w:t xml:space="preserve"> EVA customers. </w:t>
      </w:r>
      <w:r w:rsidRPr="006469CB">
        <w:t xml:space="preserve">To investigate </w:t>
      </w:r>
      <w:r w:rsidRPr="00D105DD">
        <w:rPr>
          <w:i/>
        </w:rPr>
        <w:t>why</w:t>
      </w:r>
      <w:r w:rsidR="00285CAD">
        <w:t xml:space="preserve"> customers chose to use EVA</w:t>
      </w:r>
      <w:r w:rsidRPr="006469CB">
        <w:t xml:space="preserve">, their </w:t>
      </w:r>
      <w:r w:rsidRPr="00927D47">
        <w:rPr>
          <w:i/>
        </w:rPr>
        <w:t>experiences</w:t>
      </w:r>
      <w:r w:rsidRPr="006469CB">
        <w:t xml:space="preserve"> of EVA, and EVA’s </w:t>
      </w:r>
      <w:r w:rsidR="00285CAD" w:rsidRPr="00927D47">
        <w:rPr>
          <w:i/>
        </w:rPr>
        <w:t>success</w:t>
      </w:r>
      <w:r w:rsidR="00285CAD">
        <w:t xml:space="preserve"> rates</w:t>
      </w:r>
      <w:r w:rsidRPr="006469CB">
        <w:t>, w</w:t>
      </w:r>
      <w:r w:rsidR="0030384A">
        <w:t>e conducted two opt-in surveys with all EVA customers from 1 February to 14 May 2023</w:t>
      </w:r>
      <w:r w:rsidRPr="006469CB">
        <w:t xml:space="preserve"> at the time points in the customer journey as displayed in Figure </w:t>
      </w:r>
      <w:r w:rsidRPr="00EE4E4D">
        <w:t>2.</w:t>
      </w:r>
      <w:r>
        <w:t xml:space="preserve"> </w:t>
      </w:r>
      <w:r w:rsidR="004360BB">
        <w:t>Customer demographics during this period were similar to data from EVAs first year of operation.</w:t>
      </w:r>
      <w:r w:rsidR="0069483B">
        <w:rPr>
          <w:rStyle w:val="FootnoteReference"/>
        </w:rPr>
        <w:footnoteReference w:id="2"/>
      </w:r>
    </w:p>
    <w:p w14:paraId="003049A8" w14:textId="77777777" w:rsidR="00974803" w:rsidRDefault="0046765A" w:rsidP="004360BB">
      <w:pPr>
        <w:pStyle w:val="ListNumber"/>
        <w:ind w:firstLine="0"/>
      </w:pPr>
      <w:r>
        <w:t>Of the 2,131 customers asked to participate in Survey 1, 86% (</w:t>
      </w:r>
      <w:r w:rsidR="001C0248">
        <w:t xml:space="preserve">n= </w:t>
      </w:r>
      <w:r>
        <w:t>1,841</w:t>
      </w:r>
      <w:r w:rsidR="001C0248">
        <w:t xml:space="preserve"> customers</w:t>
      </w:r>
      <w:r>
        <w:t xml:space="preserve">) </w:t>
      </w:r>
      <w:r w:rsidR="0030384A">
        <w:t>consented and</w:t>
      </w:r>
      <w:r>
        <w:t xml:space="preserve"> participated.</w:t>
      </w:r>
      <w:r w:rsidR="008E1C82">
        <w:t xml:space="preserve"> Of the 1,301 eligible customers asked to participate in Survey 2, </w:t>
      </w:r>
      <w:r w:rsidR="0030384A">
        <w:t>83% (</w:t>
      </w:r>
      <w:r w:rsidR="001C0248">
        <w:t xml:space="preserve">n= </w:t>
      </w:r>
      <w:r w:rsidR="008E1C82">
        <w:t>1,077</w:t>
      </w:r>
      <w:r w:rsidR="001C0248">
        <w:t xml:space="preserve"> customers</w:t>
      </w:r>
      <w:r w:rsidR="0030384A">
        <w:t>)</w:t>
      </w:r>
      <w:r w:rsidR="008E1C82">
        <w:t xml:space="preserve"> consented, although only </w:t>
      </w:r>
      <w:r w:rsidR="0030384A">
        <w:t>48% of those asked (</w:t>
      </w:r>
      <w:r w:rsidR="001C0248">
        <w:t xml:space="preserve">n = </w:t>
      </w:r>
      <w:r w:rsidR="0030384A">
        <w:t>624</w:t>
      </w:r>
      <w:r w:rsidR="001C0248">
        <w:t xml:space="preserve"> customers</w:t>
      </w:r>
      <w:r w:rsidR="0030384A">
        <w:t>) were successfully contacted</w:t>
      </w:r>
      <w:r w:rsidR="004360BB">
        <w:t>.</w:t>
      </w:r>
    </w:p>
    <w:p w14:paraId="79FFEF49" w14:textId="77777777" w:rsidR="007D33F6" w:rsidRDefault="00A32896" w:rsidP="007D33F6">
      <w:pPr>
        <w:keepNext/>
        <w:spacing w:before="120" w:after="0" w:line="240" w:lineRule="auto"/>
      </w:pPr>
      <w:r>
        <w:rPr>
          <w:rFonts w:ascii="Helvetica" w:hAnsi="Helvetica"/>
          <w:noProof/>
        </w:rPr>
        <w:drawing>
          <wp:inline distT="0" distB="0" distL="0" distR="0" wp14:anchorId="6273D29F" wp14:editId="4056C424">
            <wp:extent cx="5274978" cy="2273201"/>
            <wp:effectExtent l="0" t="0" r="1905" b="0"/>
            <wp:docPr id="6" name="Picture 6" descr="When the survey is completed as part of a call, this diagram represents the pathway that the calls took. The diagram is four boxes placed horizontally and connected by an arrow going through them. The first box is labelled 3 and reads 'Customer responds to EVA via SMS'. The second box is labelled 4 and is split into two sections. Section 1 reads 'Customers speak with an EVA call handler' and section 2 reads 'Survey 1 - Customers opt-in to survey 1 which occurred at the end of the EVA call'. The third box is labelled 5 and reads 'Customer gets vaccinated'. The fourth and final box is labelled 6 and  reads 'Survey 2 - Customers opt-in to phone call or online survey after vaccination." title="Figure 2 - Survey additions to the EVA custom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771" cy="2278283"/>
                    </a:xfrm>
                    <a:prstGeom prst="rect">
                      <a:avLst/>
                    </a:prstGeom>
                    <a:noFill/>
                  </pic:spPr>
                </pic:pic>
              </a:graphicData>
            </a:graphic>
          </wp:inline>
        </w:drawing>
      </w:r>
    </w:p>
    <w:p w14:paraId="621096BB" w14:textId="16FC6E6F" w:rsidR="00974803" w:rsidRPr="00174571" w:rsidRDefault="007D33F6" w:rsidP="00174571">
      <w:pPr>
        <w:pStyle w:val="Caption"/>
        <w:rPr>
          <w:rFonts w:ascii="Helvetica" w:hAnsi="Helvetica"/>
          <w:b/>
          <w:i w:val="0"/>
          <w:sz w:val="20"/>
          <w:szCs w:val="20"/>
        </w:rPr>
      </w:pPr>
      <w:r w:rsidRPr="00174571">
        <w:rPr>
          <w:b/>
          <w:i w:val="0"/>
          <w:sz w:val="20"/>
          <w:szCs w:val="20"/>
        </w:rPr>
        <w:t>Figure 2. Survey additions to the EVA customer journey</w:t>
      </w:r>
    </w:p>
    <w:p w14:paraId="4B3671D8" w14:textId="028C058B" w:rsidR="00F3520C" w:rsidRDefault="00927AC3" w:rsidP="002C46B9">
      <w:pPr>
        <w:pStyle w:val="ListNumber"/>
        <w:numPr>
          <w:ilvl w:val="0"/>
          <w:numId w:val="32"/>
        </w:numPr>
      </w:pPr>
      <w:r>
        <w:rPr>
          <w:b/>
        </w:rPr>
        <w:t>D</w:t>
      </w:r>
      <w:r w:rsidR="00285CAD" w:rsidRPr="00927AC3">
        <w:rPr>
          <w:b/>
        </w:rPr>
        <w:t>ata</w:t>
      </w:r>
      <w:r w:rsidR="00285CAD" w:rsidRPr="00214BF9">
        <w:rPr>
          <w:b/>
        </w:rPr>
        <w:t xml:space="preserve"> from EVA’s first year of operation</w:t>
      </w:r>
      <w:r w:rsidR="00285CAD" w:rsidRPr="002C46B9">
        <w:rPr>
          <w:b/>
        </w:rPr>
        <w:t>.</w:t>
      </w:r>
      <w:r w:rsidR="00285CAD" w:rsidRPr="00214BF9">
        <w:t xml:space="preserve"> </w:t>
      </w:r>
      <w:r w:rsidR="00E745A4" w:rsidRPr="00214BF9">
        <w:t xml:space="preserve">To investigate </w:t>
      </w:r>
      <w:r w:rsidR="00E745A4" w:rsidRPr="002C46B9">
        <w:rPr>
          <w:i/>
        </w:rPr>
        <w:t>who</w:t>
      </w:r>
      <w:r w:rsidR="00E745A4" w:rsidRPr="006469CB">
        <w:t xml:space="preserve"> </w:t>
      </w:r>
      <w:r w:rsidR="00E745A4">
        <w:t xml:space="preserve">was utilising </w:t>
      </w:r>
      <w:r w:rsidR="00E745A4" w:rsidRPr="006469CB">
        <w:t xml:space="preserve">EVA, we </w:t>
      </w:r>
      <w:r w:rsidR="00C5665C">
        <w:t>examined</w:t>
      </w:r>
      <w:r>
        <w:t xml:space="preserve"> and analysed</w:t>
      </w:r>
      <w:r w:rsidR="00C5665C">
        <w:t xml:space="preserve"> </w:t>
      </w:r>
      <w:r w:rsidR="00E745A4" w:rsidRPr="006469CB">
        <w:t>demographic data</w:t>
      </w:r>
      <w:r w:rsidR="00C5665C">
        <w:t xml:space="preserve"> for the 13,877 customers for whom an EVA call was scheduled during</w:t>
      </w:r>
      <w:r w:rsidR="00E745A4" w:rsidRPr="006469CB">
        <w:t xml:space="preserve"> EVA</w:t>
      </w:r>
      <w:r w:rsidR="00E745A4">
        <w:t>’</w:t>
      </w:r>
      <w:r w:rsidR="00E745A4" w:rsidRPr="006469CB">
        <w:t>s first year of operation (28 March 2022 to 28 March 2023)</w:t>
      </w:r>
      <w:r w:rsidR="00C5665C">
        <w:t xml:space="preserve">. </w:t>
      </w:r>
    </w:p>
    <w:p w14:paraId="115AFCEB" w14:textId="4F730597" w:rsidR="00A70992" w:rsidRDefault="002C46B9" w:rsidP="00C46950">
      <w:pPr>
        <w:pStyle w:val="ListNumber"/>
        <w:ind w:left="357" w:firstLine="0"/>
      </w:pPr>
      <w:r>
        <w:t>In particular, we examined data of</w:t>
      </w:r>
      <w:r w:rsidR="00A70992">
        <w:t xml:space="preserve"> cohorts </w:t>
      </w:r>
      <w:r w:rsidR="0046765A">
        <w:t xml:space="preserve">who were identifiable from existing EVA data </w:t>
      </w:r>
      <w:r w:rsidR="0046765A" w:rsidRPr="0046765A">
        <w:rPr>
          <w:i/>
        </w:rPr>
        <w:t>and</w:t>
      </w:r>
      <w:r w:rsidR="0046765A">
        <w:t xml:space="preserve"> who were </w:t>
      </w:r>
      <w:r w:rsidR="00A70992">
        <w:t xml:space="preserve">at risk of digital exclusion, such as the elderly, those living in rural and </w:t>
      </w:r>
      <w:r w:rsidR="00A70992">
        <w:lastRenderedPageBreak/>
        <w:t xml:space="preserve">remote areas, those of low income, and </w:t>
      </w:r>
      <w:r w:rsidR="006604AD">
        <w:t>migrant/refugees</w:t>
      </w:r>
      <w:r w:rsidR="00A70992">
        <w:t xml:space="preserve"> </w:t>
      </w:r>
      <w:r w:rsidR="00A70992" w:rsidRPr="00A50FC5">
        <w:t>(</w:t>
      </w:r>
      <w:r w:rsidR="00A70992">
        <w:t>Good Things Foundation 2021</w:t>
      </w:r>
      <w:r w:rsidR="00A70992" w:rsidRPr="00A50FC5">
        <w:t>)</w:t>
      </w:r>
      <w:r w:rsidR="00A70992">
        <w:t>.</w:t>
      </w:r>
      <w:r>
        <w:t xml:space="preserve"> </w:t>
      </w:r>
      <w:r w:rsidR="009F4641">
        <w:t>Captured within EVA data were</w:t>
      </w:r>
      <w:r w:rsidR="00CF2AC7">
        <w:t xml:space="preserve"> customers</w:t>
      </w:r>
      <w:r>
        <w:t xml:space="preserve"> a</w:t>
      </w:r>
      <w:r w:rsidR="006604AD">
        <w:t>ge</w:t>
      </w:r>
      <w:r>
        <w:t>, t</w:t>
      </w:r>
      <w:r w:rsidR="00CF2AC7">
        <w:t>ranslation service use</w:t>
      </w:r>
      <w:r>
        <w:t xml:space="preserve"> (u</w:t>
      </w:r>
      <w:r w:rsidR="00F3520C">
        <w:t>sed to identify those with limited</w:t>
      </w:r>
      <w:r w:rsidR="00CF2AC7">
        <w:t xml:space="preserve"> or no</w:t>
      </w:r>
      <w:r w:rsidR="00F3520C">
        <w:t xml:space="preserve"> English</w:t>
      </w:r>
      <w:r w:rsidR="00CF2AC7">
        <w:t xml:space="preserve"> skills</w:t>
      </w:r>
      <w:r>
        <w:t>)</w:t>
      </w:r>
      <w:r w:rsidR="00662420">
        <w:t>,</w:t>
      </w:r>
      <w:r>
        <w:t xml:space="preserve"> and customer p</w:t>
      </w:r>
      <w:r w:rsidR="00CF2AC7">
        <w:t>ostcodes</w:t>
      </w:r>
      <w:r>
        <w:t>. Customer postcodes were matched with the A</w:t>
      </w:r>
      <w:r w:rsidR="008E6F55" w:rsidRPr="008E6F55">
        <w:t>BS remoteness by postcode data (ABS 2018)</w:t>
      </w:r>
      <w:r>
        <w:t xml:space="preserve"> and the </w:t>
      </w:r>
      <w:r w:rsidR="00A70992" w:rsidRPr="00A70992">
        <w:t>ABS Index of Relative Socio-economic Advantage and Disadvantage (</w:t>
      </w:r>
      <w:hyperlink r:id="rId20" w:history="1">
        <w:r w:rsidR="00A70992" w:rsidRPr="00A70992">
          <w:rPr>
            <w:rStyle w:val="Hyperlink"/>
          </w:rPr>
          <w:t>IRSAD</w:t>
        </w:r>
      </w:hyperlink>
      <w:r w:rsidR="00662420">
        <w:t xml:space="preserve">; </w:t>
      </w:r>
      <w:r w:rsidR="00A70992" w:rsidRPr="00A70992">
        <w:t xml:space="preserve">ABS 2023b). </w:t>
      </w:r>
    </w:p>
    <w:p w14:paraId="5D5FE05A" w14:textId="0703683B" w:rsidR="00E745A4" w:rsidRDefault="00D61652" w:rsidP="00A70992">
      <w:pPr>
        <w:pStyle w:val="ListBullet"/>
        <w:ind w:left="357" w:firstLine="0"/>
      </w:pPr>
      <w:r>
        <w:t>Where possible, w</w:t>
      </w:r>
      <w:r w:rsidR="00A84E85">
        <w:t xml:space="preserve">e </w:t>
      </w:r>
      <w:r w:rsidR="00F3520C">
        <w:t xml:space="preserve">then </w:t>
      </w:r>
      <w:r w:rsidR="00A84E85">
        <w:t>used 2021 ABS Census data to</w:t>
      </w:r>
      <w:r w:rsidR="00E745A4" w:rsidRPr="006469CB">
        <w:t xml:space="preserve"> </w:t>
      </w:r>
      <w:r w:rsidR="00A84E85">
        <w:t>identify the size of the cohorts of interest within Australia</w:t>
      </w:r>
      <w:r w:rsidR="008059CA">
        <w:t xml:space="preserve"> (</w:t>
      </w:r>
      <w:r w:rsidR="00F24E24">
        <w:t>ABS 2022a; ABS 2022b; AIHW 2022a</w:t>
      </w:r>
      <w:r w:rsidR="008059CA">
        <w:t>)</w:t>
      </w:r>
      <w:r w:rsidR="0076424B">
        <w:t xml:space="preserve">, and </w:t>
      </w:r>
      <w:r w:rsidR="00A84E85">
        <w:t>calculated the rate of EVA c</w:t>
      </w:r>
      <w:r w:rsidR="000310DC">
        <w:t>ustomers</w:t>
      </w:r>
      <w:r w:rsidR="00A84E85">
        <w:t xml:space="preserve"> per 100,000 </w:t>
      </w:r>
      <w:r w:rsidR="0076424B">
        <w:t>persons</w:t>
      </w:r>
      <w:r w:rsidR="00A84E85">
        <w:t xml:space="preserve"> within each cohort</w:t>
      </w:r>
      <w:r w:rsidR="003308B0">
        <w:t>.</w:t>
      </w:r>
      <w:r w:rsidR="00927AC3">
        <w:t xml:space="preserve"> This provided a useful point of reference to understand the proportion of the total population of various cohorts who were using EVA.</w:t>
      </w:r>
    </w:p>
    <w:p w14:paraId="0965A84B" w14:textId="77777777" w:rsidR="0046211F" w:rsidRDefault="0046211F" w:rsidP="00A70992">
      <w:pPr>
        <w:pStyle w:val="ListBullet"/>
        <w:ind w:left="357" w:firstLine="0"/>
      </w:pPr>
    </w:p>
    <w:p w14:paraId="74380CBA" w14:textId="058AA705" w:rsidR="00477EC1" w:rsidRDefault="0046211F" w:rsidP="00844374">
      <w:pPr>
        <w:pStyle w:val="ListBullet"/>
        <w:ind w:left="357" w:firstLine="0"/>
        <w:rPr>
          <w:rFonts w:asciiTheme="majorHAnsi" w:hAnsiTheme="majorHAnsi"/>
          <w:b/>
          <w:sz w:val="72"/>
          <w:szCs w:val="44"/>
        </w:rPr>
      </w:pPr>
      <w:r>
        <w:t>The data used for this analyses was based on administrative data designed to enable the delivery of EVA. This means</w:t>
      </w:r>
      <w:r w:rsidR="00AA57EC">
        <w:t xml:space="preserve"> the data was not collected </w:t>
      </w:r>
      <w:r w:rsidR="0092185E">
        <w:t>for</w:t>
      </w:r>
      <w:r w:rsidR="00AA57EC">
        <w:t xml:space="preserve"> the purpose of evaluation and as a result,</w:t>
      </w:r>
      <w:r>
        <w:t xml:space="preserve"> there was ambiguity in some fields, and some data could not be reliably matched to customers. We used decision rules to define the dataset, and all results should be understood as estim</w:t>
      </w:r>
      <w:r w:rsidR="000F32F2">
        <w:t>ates rather than precise counts</w:t>
      </w:r>
      <w:r>
        <w:t>.</w:t>
      </w:r>
      <w:r w:rsidR="00AD2AFB">
        <w:rPr>
          <w:rStyle w:val="FootnoteReference"/>
        </w:rPr>
        <w:footnoteReference w:id="3"/>
      </w:r>
      <w:r>
        <w:t xml:space="preserve"> </w:t>
      </w:r>
      <w:r w:rsidR="00822A77">
        <w:t>While this presented significant challenges in terms of identifying</w:t>
      </w:r>
      <w:r w:rsidR="002367FA">
        <w:t xml:space="preserve"> the characteristics of EVA customers</w:t>
      </w:r>
      <w:r w:rsidR="00822A77">
        <w:t xml:space="preserve"> and linking the complete EVA customer journey</w:t>
      </w:r>
      <w:r w:rsidR="002367FA">
        <w:t xml:space="preserve"> from an evaluation perspective, operationally (for the customer)</w:t>
      </w:r>
      <w:r w:rsidR="00822A77">
        <w:t xml:space="preserve"> this wasn’t a limitation</w:t>
      </w:r>
      <w:r w:rsidR="002367FA">
        <w:t>.</w:t>
      </w:r>
      <w:r w:rsidR="00822A77">
        <w:t xml:space="preserve"> </w:t>
      </w:r>
      <w:r w:rsidR="00477EC1">
        <w:br w:type="page"/>
      </w:r>
    </w:p>
    <w:p w14:paraId="16CA27E8" w14:textId="6459D308" w:rsidR="00081366" w:rsidRPr="0073375B" w:rsidRDefault="00930A46" w:rsidP="00191A5D">
      <w:pPr>
        <w:pStyle w:val="Heading2"/>
      </w:pPr>
      <w:bookmarkStart w:id="27" w:name="_Toc145368204"/>
      <w:bookmarkStart w:id="28" w:name="_Toc145415479"/>
      <w:bookmarkStart w:id="29" w:name="_Toc145421679"/>
      <w:bookmarkStart w:id="30" w:name="_Toc145422536"/>
      <w:r>
        <w:lastRenderedPageBreak/>
        <w:t>What we found</w:t>
      </w:r>
      <w:bookmarkEnd w:id="27"/>
      <w:bookmarkEnd w:id="28"/>
      <w:bookmarkEnd w:id="29"/>
      <w:bookmarkEnd w:id="30"/>
    </w:p>
    <w:p w14:paraId="4A7E3B98" w14:textId="16B0230B" w:rsidR="00AB1901" w:rsidRDefault="00CB7336" w:rsidP="00AB1901">
      <w:pPr>
        <w:pStyle w:val="Heading3"/>
      </w:pPr>
      <w:r>
        <w:t>EVA was successful at creating an enabling environment</w:t>
      </w:r>
    </w:p>
    <w:p w14:paraId="222EA5A6" w14:textId="215864DC" w:rsidR="00AB1901" w:rsidRPr="00251FB1" w:rsidRDefault="00AB1901" w:rsidP="00AB1901">
      <w:pPr>
        <w:pStyle w:val="Heading4"/>
        <w:spacing w:before="240" w:after="160"/>
      </w:pPr>
      <w:r>
        <w:t>Consistent with</w:t>
      </w:r>
      <w:r w:rsidRPr="00251FB1">
        <w:t xml:space="preserve"> EVA</w:t>
      </w:r>
      <w:r>
        <w:t>’</w:t>
      </w:r>
      <w:r w:rsidRPr="00251FB1">
        <w:t>s design</w:t>
      </w:r>
      <w:r>
        <w:t xml:space="preserve"> intention, </w:t>
      </w:r>
      <w:r w:rsidR="00A13B11">
        <w:t xml:space="preserve">most </w:t>
      </w:r>
      <w:r>
        <w:t>customers</w:t>
      </w:r>
      <w:r w:rsidRPr="00251FB1">
        <w:t xml:space="preserve"> found EVA easy to use</w:t>
      </w:r>
    </w:p>
    <w:p w14:paraId="6390D805" w14:textId="2B8A11E6" w:rsidR="00D42424" w:rsidRDefault="00E20EB7" w:rsidP="00D42424">
      <w:pPr>
        <w:rPr>
          <w:rFonts w:cstheme="minorHAnsi"/>
          <w:szCs w:val="20"/>
        </w:rPr>
      </w:pPr>
      <w:r>
        <w:rPr>
          <w:rFonts w:cstheme="minorHAnsi"/>
          <w:color w:val="000000" w:themeColor="text1"/>
          <w:szCs w:val="20"/>
        </w:rPr>
        <w:t>Ninety three per cent</w:t>
      </w:r>
      <w:r w:rsidR="00AB1901" w:rsidRPr="00210289">
        <w:rPr>
          <w:rFonts w:cstheme="minorHAnsi"/>
          <w:color w:val="000000" w:themeColor="text1"/>
          <w:szCs w:val="20"/>
        </w:rPr>
        <w:t xml:space="preserve"> of </w:t>
      </w:r>
      <w:r w:rsidR="00AB1901" w:rsidRPr="00210289">
        <w:rPr>
          <w:rFonts w:cstheme="minorHAnsi"/>
          <w:szCs w:val="20"/>
        </w:rPr>
        <w:t xml:space="preserve">customers who participated in Survey 1 found EVA </w:t>
      </w:r>
      <w:r w:rsidR="00AB1901">
        <w:rPr>
          <w:rFonts w:cstheme="minorHAnsi"/>
          <w:szCs w:val="20"/>
        </w:rPr>
        <w:t>‘</w:t>
      </w:r>
      <w:r w:rsidR="00F73D2E">
        <w:rPr>
          <w:rFonts w:cstheme="minorHAnsi"/>
          <w:szCs w:val="20"/>
        </w:rPr>
        <w:t>e</w:t>
      </w:r>
      <w:r w:rsidR="00AB1901" w:rsidRPr="00210289">
        <w:rPr>
          <w:rFonts w:cstheme="minorHAnsi"/>
          <w:szCs w:val="20"/>
        </w:rPr>
        <w:t>asy</w:t>
      </w:r>
      <w:r w:rsidR="00AB1901">
        <w:rPr>
          <w:rFonts w:cstheme="minorHAnsi"/>
          <w:szCs w:val="20"/>
        </w:rPr>
        <w:t>’</w:t>
      </w:r>
      <w:r w:rsidR="00AB1901" w:rsidRPr="00210289">
        <w:rPr>
          <w:rFonts w:cstheme="minorHAnsi"/>
          <w:szCs w:val="20"/>
        </w:rPr>
        <w:t xml:space="preserve"> or </w:t>
      </w:r>
      <w:r w:rsidR="00AB1901">
        <w:rPr>
          <w:rFonts w:cstheme="minorHAnsi"/>
          <w:szCs w:val="20"/>
        </w:rPr>
        <w:t>‘</w:t>
      </w:r>
      <w:r w:rsidR="00F73D2E">
        <w:rPr>
          <w:rFonts w:cstheme="minorHAnsi"/>
          <w:szCs w:val="20"/>
        </w:rPr>
        <w:t>v</w:t>
      </w:r>
      <w:r w:rsidR="00AB1901" w:rsidRPr="00210289">
        <w:rPr>
          <w:rFonts w:cstheme="minorHAnsi"/>
          <w:szCs w:val="20"/>
        </w:rPr>
        <w:t>ery easy</w:t>
      </w:r>
      <w:r w:rsidR="00AB1901">
        <w:rPr>
          <w:rFonts w:cstheme="minorHAnsi"/>
          <w:szCs w:val="20"/>
        </w:rPr>
        <w:t>’</w:t>
      </w:r>
      <w:r w:rsidR="00AB1901" w:rsidRPr="00210289">
        <w:rPr>
          <w:rFonts w:cstheme="minorHAnsi"/>
          <w:szCs w:val="20"/>
        </w:rPr>
        <w:t xml:space="preserve"> to use</w:t>
      </w:r>
      <w:r w:rsidR="00F2253A">
        <w:rPr>
          <w:rFonts w:cstheme="minorHAnsi"/>
          <w:szCs w:val="20"/>
        </w:rPr>
        <w:t xml:space="preserve"> (</w:t>
      </w:r>
      <w:r w:rsidR="00A37197">
        <w:rPr>
          <w:rFonts w:cstheme="minorHAnsi"/>
          <w:szCs w:val="20"/>
        </w:rPr>
        <w:t xml:space="preserve">or n= </w:t>
      </w:r>
      <w:r w:rsidR="00A37197">
        <w:rPr>
          <w:rFonts w:cstheme="minorHAnsi"/>
          <w:color w:val="000000" w:themeColor="text1"/>
          <w:szCs w:val="20"/>
        </w:rPr>
        <w:t xml:space="preserve">1,688 customers, </w:t>
      </w:r>
      <w:r w:rsidR="00F2253A">
        <w:rPr>
          <w:rFonts w:cstheme="minorHAnsi"/>
          <w:szCs w:val="20"/>
        </w:rPr>
        <w:t>see Figure 3</w:t>
      </w:r>
      <w:r w:rsidR="00AB1901">
        <w:rPr>
          <w:rFonts w:cstheme="minorHAnsi"/>
          <w:szCs w:val="20"/>
        </w:rPr>
        <w:t>)</w:t>
      </w:r>
      <w:r w:rsidR="00AB1901" w:rsidRPr="00210289">
        <w:rPr>
          <w:rFonts w:cstheme="minorHAnsi"/>
          <w:szCs w:val="20"/>
        </w:rPr>
        <w:t xml:space="preserve">. </w:t>
      </w:r>
      <w:r w:rsidR="00AB1901">
        <w:rPr>
          <w:rFonts w:cstheme="minorHAnsi"/>
          <w:szCs w:val="20"/>
        </w:rPr>
        <w:t xml:space="preserve">These customers elaborated that EVA was easy to use because EVA staff were helpful, professional and responsive to requests, the service was convenient and timesaving, and the text prompts were simple and easy to follow, even for first time users. In addition, customers valued </w:t>
      </w:r>
      <w:r>
        <w:rPr>
          <w:rFonts w:cstheme="minorHAnsi"/>
          <w:szCs w:val="20"/>
        </w:rPr>
        <w:t>the ability</w:t>
      </w:r>
      <w:r w:rsidR="00AB1901">
        <w:rPr>
          <w:rFonts w:cstheme="minorHAnsi"/>
          <w:szCs w:val="20"/>
        </w:rPr>
        <w:t xml:space="preserve"> to talk to </w:t>
      </w:r>
      <w:r>
        <w:rPr>
          <w:rFonts w:cstheme="minorHAnsi"/>
          <w:szCs w:val="20"/>
        </w:rPr>
        <w:t xml:space="preserve">a </w:t>
      </w:r>
      <w:r w:rsidR="00AB1901">
        <w:rPr>
          <w:rFonts w:cstheme="minorHAnsi"/>
          <w:szCs w:val="20"/>
        </w:rPr>
        <w:t>person rather than deal with an automated message system</w:t>
      </w:r>
      <w:r>
        <w:rPr>
          <w:rFonts w:cstheme="minorHAnsi"/>
          <w:szCs w:val="20"/>
        </w:rPr>
        <w:t>. Some customers</w:t>
      </w:r>
      <w:r w:rsidR="00524C88">
        <w:rPr>
          <w:rFonts w:cstheme="minorHAnsi"/>
          <w:szCs w:val="20"/>
        </w:rPr>
        <w:t xml:space="preserve"> </w:t>
      </w:r>
      <w:r w:rsidR="00AB1901">
        <w:rPr>
          <w:rFonts w:cstheme="minorHAnsi"/>
          <w:szCs w:val="20"/>
        </w:rPr>
        <w:t xml:space="preserve">offered that they appreciated EVA as they </w:t>
      </w:r>
      <w:r>
        <w:rPr>
          <w:rFonts w:cstheme="minorHAnsi"/>
          <w:szCs w:val="20"/>
        </w:rPr>
        <w:t xml:space="preserve">lacked the necessary </w:t>
      </w:r>
      <w:r w:rsidR="00AB1901">
        <w:rPr>
          <w:rFonts w:cstheme="minorHAnsi"/>
          <w:szCs w:val="20"/>
        </w:rPr>
        <w:t xml:space="preserve">skills to navigate online environments. </w:t>
      </w:r>
    </w:p>
    <w:p w14:paraId="6344E6C1" w14:textId="77777777" w:rsidR="00FE4035" w:rsidRDefault="00FE4035" w:rsidP="00FE4035">
      <w:pPr>
        <w:keepNext/>
      </w:pPr>
      <w:r>
        <w:rPr>
          <w:rFonts w:cstheme="minorHAnsi"/>
          <w:noProof/>
          <w:szCs w:val="20"/>
        </w:rPr>
        <w:drawing>
          <wp:inline distT="0" distB="0" distL="0" distR="0" wp14:anchorId="0BB1F727" wp14:editId="2367B933">
            <wp:extent cx="2949117" cy="3149057"/>
            <wp:effectExtent l="0" t="0" r="3810" b="0"/>
            <wp:docPr id="5" name="Picture 5" descr="1821 EVA customers rated how easy it was to use EVA. Of these, 54% found EVA very easy to use, 38% found EVA easy, 4% found EVA to be neutral, 3% found EVA hard, and 1% found EVA very hard." title="Figure 3, a graph of customer ease ratings: Using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 EVA.png"/>
                    <pic:cNvPicPr/>
                  </pic:nvPicPr>
                  <pic:blipFill>
                    <a:blip r:embed="rId21">
                      <a:extLst>
                        <a:ext uri="{28A0092B-C50C-407E-A947-70E740481C1C}">
                          <a14:useLocalDpi xmlns:a14="http://schemas.microsoft.com/office/drawing/2010/main" val="0"/>
                        </a:ext>
                      </a:extLst>
                    </a:blip>
                    <a:stretch>
                      <a:fillRect/>
                    </a:stretch>
                  </pic:blipFill>
                  <pic:spPr>
                    <a:xfrm>
                      <a:off x="0" y="0"/>
                      <a:ext cx="2956066" cy="3156478"/>
                    </a:xfrm>
                    <a:prstGeom prst="rect">
                      <a:avLst/>
                    </a:prstGeom>
                  </pic:spPr>
                </pic:pic>
              </a:graphicData>
            </a:graphic>
          </wp:inline>
        </w:drawing>
      </w:r>
    </w:p>
    <w:p w14:paraId="0A82F286" w14:textId="20DDB965" w:rsidR="00FE4035" w:rsidRPr="00174571" w:rsidRDefault="00FE4035" w:rsidP="00174571">
      <w:pPr>
        <w:pStyle w:val="Caption"/>
        <w:rPr>
          <w:rFonts w:cstheme="minorHAnsi"/>
          <w:b/>
          <w:i w:val="0"/>
          <w:sz w:val="20"/>
          <w:szCs w:val="20"/>
        </w:rPr>
      </w:pPr>
      <w:r w:rsidRPr="00174571">
        <w:rPr>
          <w:b/>
          <w:i w:val="0"/>
          <w:sz w:val="20"/>
          <w:szCs w:val="20"/>
        </w:rPr>
        <w:t>Figure 3. Customer ease ratings: Using EVA</w:t>
      </w:r>
    </w:p>
    <w:p w14:paraId="6E9D8C9C" w14:textId="66232D09" w:rsidR="00AB1901" w:rsidRPr="006164B6" w:rsidRDefault="00F73D2E" w:rsidP="00AB1901">
      <w:pPr>
        <w:rPr>
          <w:rFonts w:cstheme="minorHAnsi"/>
          <w:color w:val="000000" w:themeColor="text1"/>
          <w:szCs w:val="20"/>
        </w:rPr>
      </w:pPr>
      <w:r>
        <w:rPr>
          <w:rFonts w:cstheme="minorHAnsi"/>
          <w:color w:val="000000" w:themeColor="text1"/>
          <w:szCs w:val="20"/>
        </w:rPr>
        <w:t>We note that</w:t>
      </w:r>
      <w:r w:rsidR="00AB1901" w:rsidRPr="00880424">
        <w:rPr>
          <w:rFonts w:cstheme="minorHAnsi"/>
          <w:color w:val="000000" w:themeColor="text1"/>
          <w:szCs w:val="20"/>
        </w:rPr>
        <w:t xml:space="preserve"> customers may have been biased towards more readily complimenting EVA staff given that the call handlers who provided the EVA service also asked the survey questions</w:t>
      </w:r>
      <w:r>
        <w:rPr>
          <w:rFonts w:cstheme="minorHAnsi"/>
          <w:color w:val="000000" w:themeColor="text1"/>
          <w:szCs w:val="20"/>
        </w:rPr>
        <w:t>. However,</w:t>
      </w:r>
      <w:r w:rsidR="00AB1901" w:rsidRPr="00880424">
        <w:rPr>
          <w:rFonts w:cstheme="minorHAnsi"/>
          <w:color w:val="000000" w:themeColor="text1"/>
          <w:szCs w:val="20"/>
        </w:rPr>
        <w:t xml:space="preserve"> the </w:t>
      </w:r>
      <w:r w:rsidR="00A13B11">
        <w:rPr>
          <w:rFonts w:cstheme="minorHAnsi"/>
          <w:color w:val="000000" w:themeColor="text1"/>
          <w:szCs w:val="20"/>
        </w:rPr>
        <w:t>level of detail and specificity provided in the feedback</w:t>
      </w:r>
      <w:r w:rsidR="00AB1901" w:rsidRPr="00880424">
        <w:rPr>
          <w:rFonts w:cstheme="minorHAnsi"/>
          <w:color w:val="000000" w:themeColor="text1"/>
          <w:szCs w:val="20"/>
        </w:rPr>
        <w:t xml:space="preserve"> suggests that customers were </w:t>
      </w:r>
      <w:r w:rsidR="00A13B11">
        <w:rPr>
          <w:rFonts w:cstheme="minorHAnsi"/>
          <w:color w:val="000000" w:themeColor="text1"/>
          <w:szCs w:val="20"/>
        </w:rPr>
        <w:t>genuinely</w:t>
      </w:r>
      <w:r w:rsidR="00A13B11" w:rsidRPr="00880424">
        <w:rPr>
          <w:rFonts w:cstheme="minorHAnsi"/>
          <w:color w:val="000000" w:themeColor="text1"/>
          <w:szCs w:val="20"/>
        </w:rPr>
        <w:t xml:space="preserve"> </w:t>
      </w:r>
      <w:r w:rsidR="00AB1901" w:rsidRPr="00880424">
        <w:rPr>
          <w:rFonts w:cstheme="minorHAnsi"/>
          <w:color w:val="000000" w:themeColor="text1"/>
          <w:szCs w:val="20"/>
        </w:rPr>
        <w:t>happy with the service provided b</w:t>
      </w:r>
      <w:r w:rsidR="00AB1901" w:rsidRPr="00877EB7">
        <w:rPr>
          <w:rFonts w:cstheme="minorHAnsi"/>
          <w:color w:val="000000" w:themeColor="text1"/>
          <w:szCs w:val="20"/>
        </w:rPr>
        <w:t>y EVA call</w:t>
      </w:r>
      <w:r w:rsidR="00AB1901" w:rsidRPr="00C773C5">
        <w:rPr>
          <w:rFonts w:cstheme="minorHAnsi"/>
          <w:color w:val="000000" w:themeColor="text1"/>
          <w:szCs w:val="20"/>
        </w:rPr>
        <w:t xml:space="preserve"> handlers</w:t>
      </w:r>
      <w:r w:rsidR="00AB1901" w:rsidRPr="00077FB8">
        <w:rPr>
          <w:rFonts w:cstheme="minorHAnsi"/>
          <w:color w:val="000000" w:themeColor="text1"/>
          <w:szCs w:val="20"/>
        </w:rPr>
        <w:t>.</w:t>
      </w:r>
      <w:r w:rsidR="00AB1901">
        <w:rPr>
          <w:rFonts w:cstheme="minorHAnsi"/>
          <w:color w:val="000000" w:themeColor="text1"/>
          <w:szCs w:val="20"/>
        </w:rPr>
        <w:t xml:space="preserve"> </w:t>
      </w:r>
      <w:r w:rsidR="00AB1901" w:rsidRPr="006164B6">
        <w:rPr>
          <w:rFonts w:cstheme="minorHAnsi"/>
          <w:color w:val="000000" w:themeColor="text1"/>
          <w:szCs w:val="20"/>
        </w:rPr>
        <w:t xml:space="preserve">For example, </w:t>
      </w:r>
      <w:r w:rsidR="00AB1901">
        <w:rPr>
          <w:rFonts w:cstheme="minorHAnsi"/>
          <w:color w:val="000000" w:themeColor="text1"/>
          <w:szCs w:val="20"/>
        </w:rPr>
        <w:t>one customer, who completed Survey 2 via the online survey option,</w:t>
      </w:r>
      <w:r w:rsidR="00AB1901" w:rsidRPr="006164B6">
        <w:rPr>
          <w:rFonts w:cstheme="minorHAnsi"/>
          <w:color w:val="000000" w:themeColor="text1"/>
          <w:szCs w:val="20"/>
        </w:rPr>
        <w:t xml:space="preserve"> </w:t>
      </w:r>
      <w:r w:rsidR="00AB1901">
        <w:rPr>
          <w:rFonts w:cstheme="minorHAnsi"/>
          <w:color w:val="000000" w:themeColor="text1"/>
          <w:szCs w:val="20"/>
        </w:rPr>
        <w:t>wrote:</w:t>
      </w:r>
    </w:p>
    <w:p w14:paraId="2D282101" w14:textId="230FAC90" w:rsidR="00AB1901" w:rsidRDefault="00AB1901" w:rsidP="00AB1901">
      <w:pPr>
        <w:pStyle w:val="QuoteBody"/>
        <w:spacing w:before="120"/>
        <w:ind w:left="567" w:right="567"/>
        <w:contextualSpacing w:val="0"/>
      </w:pPr>
      <w:r>
        <w:t>‘… your customer service officer who answered my call did a very good job and I did mention that to her supervisor and participated in the survey after the call.’ – EVA customer</w:t>
      </w:r>
    </w:p>
    <w:p w14:paraId="0543CD0B" w14:textId="1A98C937" w:rsidR="00AB1901" w:rsidRDefault="00AB1901" w:rsidP="00D42424">
      <w:pPr>
        <w:spacing w:after="240"/>
      </w:pPr>
      <w:r>
        <w:rPr>
          <w:rFonts w:ascii="Helvetica" w:hAnsi="Helvetica" w:cs="Helvetica"/>
          <w:color w:val="000000"/>
          <w:szCs w:val="20"/>
        </w:rPr>
        <w:lastRenderedPageBreak/>
        <w:t>The 4%</w:t>
      </w:r>
      <w:r w:rsidRPr="009D5494">
        <w:rPr>
          <w:rFonts w:ascii="Helvetica" w:hAnsi="Helvetica" w:cs="Helvetica"/>
          <w:color w:val="000000"/>
          <w:szCs w:val="20"/>
        </w:rPr>
        <w:t xml:space="preserve"> of E</w:t>
      </w:r>
      <w:r>
        <w:rPr>
          <w:rFonts w:ascii="Helvetica" w:hAnsi="Helvetica" w:cs="Helvetica"/>
          <w:color w:val="000000"/>
          <w:szCs w:val="20"/>
        </w:rPr>
        <w:t>VA customers who found EVA</w:t>
      </w:r>
      <w:r w:rsidRPr="009D5494">
        <w:rPr>
          <w:rFonts w:ascii="Helvetica" w:hAnsi="Helvetica" w:cs="Helvetica"/>
          <w:color w:val="000000"/>
          <w:szCs w:val="20"/>
        </w:rPr>
        <w:t xml:space="preserve"> ‘</w:t>
      </w:r>
      <w:r w:rsidR="00F73D2E">
        <w:rPr>
          <w:rFonts w:ascii="Helvetica" w:hAnsi="Helvetica" w:cs="Helvetica"/>
          <w:color w:val="000000"/>
          <w:szCs w:val="20"/>
        </w:rPr>
        <w:t>v</w:t>
      </w:r>
      <w:r w:rsidRPr="009D5494">
        <w:rPr>
          <w:rFonts w:ascii="Helvetica" w:hAnsi="Helvetica" w:cs="Helvetica"/>
          <w:color w:val="000000"/>
          <w:szCs w:val="20"/>
        </w:rPr>
        <w:t>ery hard’ o</w:t>
      </w:r>
      <w:r>
        <w:rPr>
          <w:rFonts w:ascii="Helvetica" w:hAnsi="Helvetica" w:cs="Helvetica"/>
          <w:color w:val="000000"/>
          <w:szCs w:val="20"/>
        </w:rPr>
        <w:t>r ‘</w:t>
      </w:r>
      <w:r w:rsidR="00D876C5">
        <w:rPr>
          <w:rFonts w:ascii="Helvetica" w:hAnsi="Helvetica" w:cs="Helvetica"/>
          <w:color w:val="000000"/>
          <w:szCs w:val="20"/>
        </w:rPr>
        <w:t xml:space="preserve">hard’ </w:t>
      </w:r>
      <w:r>
        <w:rPr>
          <w:rFonts w:ascii="Helvetica" w:hAnsi="Helvetica" w:cs="Helvetica"/>
          <w:color w:val="000000"/>
          <w:szCs w:val="20"/>
        </w:rPr>
        <w:t xml:space="preserve">to use, did so </w:t>
      </w:r>
      <w:r w:rsidRPr="00982635">
        <w:rPr>
          <w:rFonts w:ascii="Helvetica" w:hAnsi="Helvetica" w:cs="Helvetica"/>
          <w:color w:val="000000"/>
          <w:szCs w:val="20"/>
        </w:rPr>
        <w:t xml:space="preserve">because </w:t>
      </w:r>
      <w:r>
        <w:rPr>
          <w:rFonts w:ascii="Helvetica" w:hAnsi="Helvetica" w:cs="Helvetica"/>
          <w:color w:val="000000"/>
          <w:szCs w:val="20"/>
        </w:rPr>
        <w:t xml:space="preserve">they found it difficult to find </w:t>
      </w:r>
      <w:r w:rsidR="00D876C5">
        <w:rPr>
          <w:rFonts w:ascii="Helvetica" w:hAnsi="Helvetica" w:cs="Helvetica"/>
          <w:color w:val="000000"/>
          <w:szCs w:val="20"/>
        </w:rPr>
        <w:t xml:space="preserve">the </w:t>
      </w:r>
      <w:r>
        <w:rPr>
          <w:rFonts w:ascii="Helvetica" w:hAnsi="Helvetica" w:cs="Helvetica"/>
          <w:color w:val="000000"/>
          <w:szCs w:val="20"/>
        </w:rPr>
        <w:t>EVA</w:t>
      </w:r>
      <w:r w:rsidR="00D876C5">
        <w:rPr>
          <w:rFonts w:ascii="Helvetica" w:hAnsi="Helvetica" w:cs="Helvetica"/>
          <w:color w:val="000000"/>
          <w:szCs w:val="20"/>
        </w:rPr>
        <w:t xml:space="preserve"> service in the first place</w:t>
      </w:r>
      <w:r>
        <w:rPr>
          <w:rFonts w:ascii="Helvetica" w:hAnsi="Helvetica" w:cs="Helvetica"/>
          <w:color w:val="000000"/>
          <w:szCs w:val="20"/>
        </w:rPr>
        <w:t>, had difficulty with the text prompts, or experienced phone connectivity issues</w:t>
      </w:r>
      <w:r w:rsidRPr="00982635">
        <w:rPr>
          <w:rFonts w:ascii="Helvetica" w:hAnsi="Helvetica" w:cs="Helvetica"/>
          <w:color w:val="000000"/>
          <w:szCs w:val="20"/>
        </w:rPr>
        <w:t>.</w:t>
      </w:r>
    </w:p>
    <w:p w14:paraId="151DD612" w14:textId="006D2BDC" w:rsidR="00AB1901" w:rsidRPr="00662279" w:rsidRDefault="00AB1901" w:rsidP="00AB1901">
      <w:pPr>
        <w:pStyle w:val="Heading4"/>
        <w:spacing w:before="360" w:after="160"/>
      </w:pPr>
      <w:r w:rsidRPr="00662279">
        <w:t>EVA prevented customers from giving up trying to find a vaccine</w:t>
      </w:r>
    </w:p>
    <w:p w14:paraId="62493A4E" w14:textId="5500F1D2" w:rsidR="00482CAF" w:rsidRDefault="00D876C5" w:rsidP="00AB1901">
      <w:pPr>
        <w:rPr>
          <w:rFonts w:cstheme="minorHAnsi"/>
          <w:szCs w:val="20"/>
        </w:rPr>
      </w:pPr>
      <w:r>
        <w:rPr>
          <w:rFonts w:cstheme="minorHAnsi"/>
          <w:szCs w:val="20"/>
        </w:rPr>
        <w:t xml:space="preserve">In Survey 1, we asked customers what they would have done if EVA was not available to them. While some would have persisted in trying to get a vaccine by other means, others </w:t>
      </w:r>
      <w:r w:rsidR="00F96D04">
        <w:rPr>
          <w:rFonts w:cstheme="minorHAnsi"/>
          <w:szCs w:val="20"/>
        </w:rPr>
        <w:t xml:space="preserve">told us they </w:t>
      </w:r>
      <w:r>
        <w:rPr>
          <w:rFonts w:cstheme="minorHAnsi"/>
          <w:szCs w:val="20"/>
        </w:rPr>
        <w:t>would simply have given up. Thematic coding of c</w:t>
      </w:r>
      <w:r w:rsidR="00AB1901" w:rsidRPr="00210289">
        <w:rPr>
          <w:rFonts w:cstheme="minorHAnsi"/>
          <w:szCs w:val="20"/>
        </w:rPr>
        <w:t xml:space="preserve">ustomers’ responses to </w:t>
      </w:r>
      <w:r>
        <w:rPr>
          <w:rFonts w:cstheme="minorHAnsi"/>
          <w:szCs w:val="20"/>
        </w:rPr>
        <w:t xml:space="preserve">this question </w:t>
      </w:r>
      <w:r w:rsidR="00AB1901" w:rsidRPr="00210289">
        <w:rPr>
          <w:rFonts w:cstheme="minorHAnsi"/>
          <w:szCs w:val="20"/>
        </w:rPr>
        <w:t>revealed three types of EVA customers based on the r</w:t>
      </w:r>
      <w:r w:rsidR="00AB1901">
        <w:rPr>
          <w:rFonts w:cstheme="minorHAnsi"/>
          <w:szCs w:val="20"/>
        </w:rPr>
        <w:t xml:space="preserve">eported action they would take: </w:t>
      </w:r>
    </w:p>
    <w:p w14:paraId="011CFDA2" w14:textId="2B4CF3C4" w:rsidR="00AB1901" w:rsidRPr="00767327" w:rsidRDefault="00AB1901" w:rsidP="00C07F61">
      <w:r w:rsidRPr="00C07F61">
        <w:rPr>
          <w:b/>
        </w:rPr>
        <w:t xml:space="preserve">Those who would </w:t>
      </w:r>
      <w:r w:rsidR="00D71A66">
        <w:rPr>
          <w:b/>
        </w:rPr>
        <w:t>have k</w:t>
      </w:r>
      <w:r w:rsidRPr="00C07F61">
        <w:rPr>
          <w:b/>
        </w:rPr>
        <w:t>ep</w:t>
      </w:r>
      <w:r w:rsidR="00D71A66">
        <w:rPr>
          <w:b/>
        </w:rPr>
        <w:t>t</w:t>
      </w:r>
      <w:r w:rsidRPr="00C07F61">
        <w:rPr>
          <w:b/>
        </w:rPr>
        <w:t xml:space="preserve"> trying to get the vaccine.</w:t>
      </w:r>
      <w:r w:rsidRPr="00767327">
        <w:t xml:space="preserve"> For example, one customer commented:</w:t>
      </w:r>
    </w:p>
    <w:p w14:paraId="503AE9B2" w14:textId="77777777" w:rsidR="00AB1901" w:rsidRPr="00DD59BB" w:rsidRDefault="00AB1901" w:rsidP="00C07F61">
      <w:pPr>
        <w:pStyle w:val="QuoteBody"/>
        <w:spacing w:before="120" w:after="160" w:line="280" w:lineRule="atLeast"/>
        <w:ind w:left="720" w:right="567"/>
        <w:contextualSpacing w:val="0"/>
      </w:pPr>
      <w:r>
        <w:t>‘Probably said a couple of rude words and probably gone back to the GP or something. Started to get very frustrated.’ – EVA customer</w:t>
      </w:r>
    </w:p>
    <w:p w14:paraId="7F243431" w14:textId="77777777" w:rsidR="00AB1901" w:rsidRPr="00767327" w:rsidRDefault="00AB1901" w:rsidP="00C07F61">
      <w:r w:rsidRPr="00C07F61">
        <w:rPr>
          <w:b/>
        </w:rPr>
        <w:t>Those at risk of not getting the vaccine</w:t>
      </w:r>
      <w:r w:rsidRPr="00C07F61">
        <w:t>, because they either had to wait too long or had paralysis in deciding how to proceed.</w:t>
      </w:r>
      <w:r>
        <w:t xml:space="preserve"> </w:t>
      </w:r>
      <w:r w:rsidRPr="00767327">
        <w:t>For example, one customer commented:</w:t>
      </w:r>
    </w:p>
    <w:p w14:paraId="2AF34200" w14:textId="77777777" w:rsidR="00AB1901" w:rsidRPr="00210289" w:rsidRDefault="00AB1901" w:rsidP="00C07F61">
      <w:pPr>
        <w:pStyle w:val="QuoteBody"/>
        <w:spacing w:before="120" w:after="160" w:line="280" w:lineRule="atLeast"/>
        <w:ind w:left="720" w:right="567"/>
        <w:contextualSpacing w:val="0"/>
      </w:pPr>
      <w:r>
        <w:t>‘Got really annoyed, I would have put it off and forgot about it.’ – EVA customer</w:t>
      </w:r>
    </w:p>
    <w:p w14:paraId="5137B9C3" w14:textId="77777777" w:rsidR="00AB1901" w:rsidRPr="00BC559D" w:rsidRDefault="00AB1901" w:rsidP="00C07F61">
      <w:r w:rsidRPr="00C07F61">
        <w:rPr>
          <w:rFonts w:eastAsiaTheme="minorHAnsi"/>
          <w:b/>
        </w:rPr>
        <w:t>Those who would give up</w:t>
      </w:r>
      <w:r w:rsidRPr="00C07F61">
        <w:rPr>
          <w:b/>
        </w:rPr>
        <w:t>.</w:t>
      </w:r>
      <w:r w:rsidRPr="00BC559D">
        <w:t xml:space="preserve"> For example, one customer commented:</w:t>
      </w:r>
    </w:p>
    <w:p w14:paraId="61DE5DC8" w14:textId="77777777" w:rsidR="00AB1901" w:rsidRDefault="00AB1901" w:rsidP="00C07F61">
      <w:pPr>
        <w:pStyle w:val="QuoteBody"/>
        <w:spacing w:after="160" w:line="280" w:lineRule="atLeast"/>
        <w:ind w:left="720" w:right="567"/>
        <w:contextualSpacing w:val="0"/>
      </w:pPr>
      <w:r>
        <w:t>‘[I] would have had to fly off un-boosted I guess on an urgent trip, which I would have been nervous about.’ – EVA customer</w:t>
      </w:r>
    </w:p>
    <w:p w14:paraId="2AC0A9BC" w14:textId="77777777" w:rsidR="00AB1901" w:rsidRPr="00210289" w:rsidRDefault="00AB1901" w:rsidP="00AB1901">
      <w:pPr>
        <w:rPr>
          <w:rFonts w:cstheme="minorHAnsi"/>
          <w:szCs w:val="20"/>
        </w:rPr>
      </w:pPr>
      <w:r>
        <w:rPr>
          <w:rFonts w:cstheme="minorHAnsi"/>
          <w:szCs w:val="20"/>
        </w:rPr>
        <w:t xml:space="preserve">Many </w:t>
      </w:r>
      <w:r w:rsidRPr="00210289">
        <w:rPr>
          <w:rFonts w:cstheme="minorHAnsi"/>
          <w:szCs w:val="20"/>
        </w:rPr>
        <w:t>customers</w:t>
      </w:r>
      <w:r>
        <w:rPr>
          <w:rFonts w:cstheme="minorHAnsi"/>
          <w:szCs w:val="20"/>
        </w:rPr>
        <w:t xml:space="preserve"> responded with strong emotional language, indicating that without EVA, they felt they would likely continue to experience </w:t>
      </w:r>
      <w:r w:rsidRPr="00210289">
        <w:rPr>
          <w:rFonts w:cstheme="minorHAnsi"/>
          <w:szCs w:val="20"/>
        </w:rPr>
        <w:t xml:space="preserve">barriers. </w:t>
      </w:r>
      <w:r>
        <w:rPr>
          <w:rFonts w:cstheme="minorHAnsi"/>
          <w:szCs w:val="20"/>
        </w:rPr>
        <w:t>For example, one customer commented:</w:t>
      </w:r>
    </w:p>
    <w:p w14:paraId="3C3C503D" w14:textId="77777777" w:rsidR="00AB1901" w:rsidRDefault="00AB1901" w:rsidP="00AB1901">
      <w:pPr>
        <w:pStyle w:val="QuoteBody"/>
        <w:spacing w:after="160" w:line="280" w:lineRule="atLeast"/>
        <w:ind w:left="567" w:right="567"/>
        <w:contextualSpacing w:val="0"/>
      </w:pPr>
      <w:r>
        <w:rPr>
          <w:rFonts w:cstheme="minorHAnsi"/>
          <w:szCs w:val="20"/>
        </w:rPr>
        <w:t xml:space="preserve"> ‘</w:t>
      </w:r>
      <w:r>
        <w:t>Thrown phone against wall, jump up and down, and ask[ed] partner to find [an] appointment.’ – EVA customer</w:t>
      </w:r>
    </w:p>
    <w:p w14:paraId="70DEFDD0" w14:textId="025C4E1E" w:rsidR="00AB1901" w:rsidRPr="00ED1C17" w:rsidRDefault="00AB1901" w:rsidP="00AB1901">
      <w:pPr>
        <w:pStyle w:val="QuoteBody"/>
        <w:spacing w:after="160" w:line="280" w:lineRule="atLeast"/>
        <w:ind w:left="0"/>
        <w:contextualSpacing w:val="0"/>
        <w:rPr>
          <w:rFonts w:eastAsiaTheme="minorHAnsi" w:cstheme="minorHAnsi"/>
          <w:b w:val="0"/>
          <w:i w:val="0"/>
          <w:color w:val="auto"/>
          <w:szCs w:val="20"/>
          <w:lang w:eastAsia="en-US"/>
        </w:rPr>
      </w:pPr>
      <w:r w:rsidRPr="00ED1C17">
        <w:rPr>
          <w:rFonts w:cstheme="minorHAnsi"/>
          <w:b w:val="0"/>
          <w:i w:val="0"/>
          <w:color w:val="auto"/>
          <w:szCs w:val="20"/>
        </w:rPr>
        <w:t xml:space="preserve">Some customers even </w:t>
      </w:r>
      <w:r w:rsidR="00F96D04">
        <w:rPr>
          <w:rFonts w:cstheme="minorHAnsi"/>
          <w:b w:val="0"/>
          <w:i w:val="0"/>
          <w:color w:val="auto"/>
          <w:szCs w:val="20"/>
        </w:rPr>
        <w:t>told us</w:t>
      </w:r>
      <w:r w:rsidRPr="00ED1C17">
        <w:rPr>
          <w:rFonts w:cstheme="minorHAnsi"/>
          <w:b w:val="0"/>
          <w:i w:val="0"/>
          <w:color w:val="auto"/>
          <w:szCs w:val="20"/>
        </w:rPr>
        <w:t xml:space="preserve"> that they would write to their local </w:t>
      </w:r>
      <w:r w:rsidR="00F96D04" w:rsidRPr="00ED1C17">
        <w:rPr>
          <w:rFonts w:cstheme="minorHAnsi"/>
          <w:b w:val="0"/>
          <w:i w:val="0"/>
          <w:color w:val="auto"/>
          <w:szCs w:val="20"/>
        </w:rPr>
        <w:t>M</w:t>
      </w:r>
      <w:r w:rsidR="00F96D04">
        <w:rPr>
          <w:rFonts w:cstheme="minorHAnsi"/>
          <w:b w:val="0"/>
          <w:i w:val="0"/>
          <w:color w:val="auto"/>
          <w:szCs w:val="20"/>
        </w:rPr>
        <w:t xml:space="preserve">ember of Parliament if </w:t>
      </w:r>
      <w:r w:rsidR="00750747">
        <w:rPr>
          <w:rFonts w:cstheme="minorHAnsi"/>
          <w:b w:val="0"/>
          <w:i w:val="0"/>
          <w:color w:val="auto"/>
          <w:szCs w:val="20"/>
        </w:rPr>
        <w:t>they could not find a vaccine</w:t>
      </w:r>
      <w:r w:rsidR="00717A40">
        <w:rPr>
          <w:rFonts w:cstheme="minorHAnsi"/>
          <w:b w:val="0"/>
          <w:i w:val="0"/>
          <w:color w:val="auto"/>
          <w:szCs w:val="20"/>
        </w:rPr>
        <w:t xml:space="preserve"> provider</w:t>
      </w:r>
      <w:r w:rsidRPr="00ED1C17">
        <w:rPr>
          <w:rFonts w:cstheme="minorHAnsi"/>
          <w:b w:val="0"/>
          <w:i w:val="0"/>
          <w:color w:val="auto"/>
          <w:szCs w:val="20"/>
        </w:rPr>
        <w:t>, showing their level of frustration</w:t>
      </w:r>
      <w:r w:rsidR="00F96D04">
        <w:rPr>
          <w:rFonts w:cstheme="minorHAnsi"/>
          <w:b w:val="0"/>
          <w:i w:val="0"/>
          <w:color w:val="auto"/>
          <w:szCs w:val="20"/>
        </w:rPr>
        <w:t xml:space="preserve"> with </w:t>
      </w:r>
      <w:r w:rsidR="00F12454">
        <w:rPr>
          <w:rFonts w:cstheme="minorHAnsi"/>
          <w:b w:val="0"/>
          <w:i w:val="0"/>
          <w:color w:val="auto"/>
          <w:szCs w:val="20"/>
        </w:rPr>
        <w:t>the barriers they had faced</w:t>
      </w:r>
      <w:r w:rsidR="00F96D04">
        <w:rPr>
          <w:rFonts w:cstheme="minorHAnsi"/>
          <w:b w:val="0"/>
          <w:i w:val="0"/>
          <w:color w:val="auto"/>
          <w:szCs w:val="20"/>
        </w:rPr>
        <w:t xml:space="preserve">. </w:t>
      </w:r>
    </w:p>
    <w:p w14:paraId="35BC039B" w14:textId="667FD31E" w:rsidR="00AB1901" w:rsidRDefault="00AB1901" w:rsidP="00AB1901">
      <w:pPr>
        <w:pStyle w:val="QuoteBody"/>
        <w:spacing w:after="160" w:line="280" w:lineRule="atLeast"/>
        <w:ind w:left="0"/>
        <w:contextualSpacing w:val="0"/>
        <w:rPr>
          <w:rFonts w:eastAsiaTheme="minorHAnsi" w:cstheme="minorHAnsi"/>
          <w:b w:val="0"/>
          <w:i w:val="0"/>
          <w:color w:val="auto"/>
          <w:szCs w:val="20"/>
          <w:lang w:eastAsia="en-US"/>
        </w:rPr>
      </w:pPr>
      <w:r>
        <w:rPr>
          <w:rFonts w:eastAsiaTheme="minorHAnsi" w:cstheme="minorHAnsi"/>
          <w:b w:val="0"/>
          <w:i w:val="0"/>
          <w:color w:val="auto"/>
          <w:szCs w:val="20"/>
          <w:lang w:eastAsia="en-US"/>
        </w:rPr>
        <w:t xml:space="preserve">In </w:t>
      </w:r>
      <w:r w:rsidR="00EA1A7C">
        <w:rPr>
          <w:rFonts w:eastAsiaTheme="minorHAnsi" w:cstheme="minorHAnsi"/>
          <w:b w:val="0"/>
          <w:i w:val="0"/>
          <w:color w:val="auto"/>
          <w:szCs w:val="20"/>
          <w:lang w:eastAsia="en-US"/>
        </w:rPr>
        <w:t>summary</w:t>
      </w:r>
      <w:r>
        <w:rPr>
          <w:rFonts w:eastAsiaTheme="minorHAnsi" w:cstheme="minorHAnsi"/>
          <w:b w:val="0"/>
          <w:i w:val="0"/>
          <w:color w:val="auto"/>
          <w:szCs w:val="20"/>
          <w:lang w:eastAsia="en-US"/>
        </w:rPr>
        <w:t>,</w:t>
      </w:r>
      <w:r w:rsidR="00D22485">
        <w:rPr>
          <w:rFonts w:eastAsiaTheme="minorHAnsi" w:cstheme="minorHAnsi"/>
          <w:b w:val="0"/>
          <w:i w:val="0"/>
          <w:color w:val="auto"/>
          <w:szCs w:val="20"/>
          <w:lang w:eastAsia="en-US"/>
        </w:rPr>
        <w:t xml:space="preserve"> the survey revealed that</w:t>
      </w:r>
      <w:r>
        <w:rPr>
          <w:rFonts w:eastAsiaTheme="minorHAnsi" w:cstheme="minorHAnsi"/>
          <w:b w:val="0"/>
          <w:i w:val="0"/>
          <w:color w:val="auto"/>
          <w:szCs w:val="20"/>
          <w:lang w:eastAsia="en-US"/>
        </w:rPr>
        <w:t xml:space="preserve"> </w:t>
      </w:r>
      <w:r w:rsidRPr="00ED1C17">
        <w:rPr>
          <w:rFonts w:eastAsiaTheme="minorHAnsi" w:cstheme="minorHAnsi"/>
          <w:b w:val="0"/>
          <w:i w:val="0"/>
          <w:color w:val="auto"/>
          <w:szCs w:val="20"/>
          <w:lang w:eastAsia="en-US"/>
        </w:rPr>
        <w:t xml:space="preserve">EVA </w:t>
      </w:r>
      <w:r>
        <w:rPr>
          <w:rFonts w:eastAsiaTheme="minorHAnsi" w:cstheme="minorHAnsi"/>
          <w:b w:val="0"/>
          <w:i w:val="0"/>
          <w:color w:val="auto"/>
          <w:szCs w:val="20"/>
          <w:lang w:eastAsia="en-US"/>
        </w:rPr>
        <w:t>prevent</w:t>
      </w:r>
      <w:r w:rsidR="00D22485">
        <w:rPr>
          <w:rFonts w:eastAsiaTheme="minorHAnsi" w:cstheme="minorHAnsi"/>
          <w:b w:val="0"/>
          <w:i w:val="0"/>
          <w:color w:val="auto"/>
          <w:szCs w:val="20"/>
          <w:lang w:eastAsia="en-US"/>
        </w:rPr>
        <w:t>ed</w:t>
      </w:r>
      <w:r w:rsidRPr="00ED1C17">
        <w:rPr>
          <w:rFonts w:eastAsiaTheme="minorHAnsi" w:cstheme="minorHAnsi"/>
          <w:b w:val="0"/>
          <w:i w:val="0"/>
          <w:color w:val="auto"/>
          <w:szCs w:val="20"/>
          <w:lang w:eastAsia="en-US"/>
        </w:rPr>
        <w:t xml:space="preserve"> customers from wasting time, feeling fu</w:t>
      </w:r>
      <w:r>
        <w:rPr>
          <w:rFonts w:eastAsiaTheme="minorHAnsi" w:cstheme="minorHAnsi"/>
          <w:b w:val="0"/>
          <w:i w:val="0"/>
          <w:color w:val="auto"/>
          <w:szCs w:val="20"/>
          <w:lang w:eastAsia="en-US"/>
        </w:rPr>
        <w:t>rther frustration, and</w:t>
      </w:r>
      <w:r w:rsidRPr="00ED1C17">
        <w:rPr>
          <w:rFonts w:eastAsiaTheme="minorHAnsi" w:cstheme="minorHAnsi"/>
          <w:b w:val="0"/>
          <w:i w:val="0"/>
          <w:color w:val="auto"/>
          <w:szCs w:val="20"/>
          <w:lang w:eastAsia="en-US"/>
        </w:rPr>
        <w:t xml:space="preserve"> giving up trying to find a vaccine. </w:t>
      </w:r>
    </w:p>
    <w:p w14:paraId="6AF6EFC6" w14:textId="523078E1" w:rsidR="00CB7336" w:rsidRPr="00250A15" w:rsidRDefault="00EA1A7C" w:rsidP="00CB7336">
      <w:pPr>
        <w:pStyle w:val="Heading4"/>
      </w:pPr>
      <w:r>
        <w:t>Most</w:t>
      </w:r>
      <w:r w:rsidR="00CB7336" w:rsidRPr="00250A15" w:rsidDel="001A4E3C">
        <w:t xml:space="preserve"> </w:t>
      </w:r>
      <w:r w:rsidR="00302C34">
        <w:t xml:space="preserve">survey </w:t>
      </w:r>
      <w:r w:rsidR="001A4E3C">
        <w:t>respondents</w:t>
      </w:r>
      <w:r w:rsidR="001A4E3C" w:rsidRPr="00250A15">
        <w:t xml:space="preserve"> </w:t>
      </w:r>
      <w:r w:rsidR="00CB7336" w:rsidRPr="00250A15">
        <w:t>were vaccinated as arranged by EVA</w:t>
      </w:r>
    </w:p>
    <w:p w14:paraId="5B945C67" w14:textId="2AE65B2F" w:rsidR="00F96D04" w:rsidRDefault="00CB7336" w:rsidP="00CB7336">
      <w:pPr>
        <w:spacing w:after="240"/>
        <w:rPr>
          <w:rFonts w:cstheme="minorHAnsi"/>
          <w:szCs w:val="20"/>
        </w:rPr>
      </w:pPr>
      <w:r w:rsidRPr="00210289">
        <w:rPr>
          <w:rFonts w:cstheme="minorHAnsi"/>
          <w:szCs w:val="20"/>
        </w:rPr>
        <w:t>Of the customers who par</w:t>
      </w:r>
      <w:r>
        <w:rPr>
          <w:rFonts w:cstheme="minorHAnsi"/>
          <w:szCs w:val="20"/>
        </w:rPr>
        <w:t>ticipated in Survey 2, 89%</w:t>
      </w:r>
      <w:r w:rsidRPr="00210289">
        <w:rPr>
          <w:rFonts w:cstheme="minorHAnsi"/>
          <w:szCs w:val="20"/>
        </w:rPr>
        <w:t xml:space="preserve"> were vaccinated as arrange</w:t>
      </w:r>
      <w:r>
        <w:rPr>
          <w:rFonts w:cstheme="minorHAnsi"/>
          <w:szCs w:val="20"/>
        </w:rPr>
        <w:t>d</w:t>
      </w:r>
      <w:r w:rsidRPr="00210289">
        <w:rPr>
          <w:rFonts w:cstheme="minorHAnsi"/>
          <w:szCs w:val="20"/>
        </w:rPr>
        <w:t xml:space="preserve">. </w:t>
      </w:r>
      <w:r w:rsidR="00F96D04">
        <w:rPr>
          <w:rFonts w:cstheme="minorHAnsi"/>
          <w:szCs w:val="20"/>
        </w:rPr>
        <w:t xml:space="preserve">This indicates the EVA service </w:t>
      </w:r>
      <w:r w:rsidR="003F415B">
        <w:rPr>
          <w:rFonts w:cstheme="minorHAnsi"/>
          <w:szCs w:val="20"/>
        </w:rPr>
        <w:t>had</w:t>
      </w:r>
      <w:r w:rsidR="00F96D04">
        <w:rPr>
          <w:rFonts w:cstheme="minorHAnsi"/>
          <w:szCs w:val="20"/>
        </w:rPr>
        <w:t xml:space="preserve"> been successful at </w:t>
      </w:r>
      <w:r w:rsidR="008409B8">
        <w:rPr>
          <w:rFonts w:cstheme="minorHAnsi"/>
          <w:szCs w:val="20"/>
        </w:rPr>
        <w:t>supporting people to find suitable vaccine appointments</w:t>
      </w:r>
      <w:r w:rsidR="00F96D04">
        <w:rPr>
          <w:rFonts w:cstheme="minorHAnsi"/>
          <w:szCs w:val="20"/>
        </w:rPr>
        <w:t xml:space="preserve">, both overall and </w:t>
      </w:r>
      <w:r w:rsidR="005759CE">
        <w:rPr>
          <w:rFonts w:cstheme="minorHAnsi"/>
          <w:szCs w:val="20"/>
        </w:rPr>
        <w:t>among</w:t>
      </w:r>
      <w:r w:rsidR="00F96D04">
        <w:rPr>
          <w:rFonts w:cstheme="minorHAnsi"/>
          <w:szCs w:val="20"/>
        </w:rPr>
        <w:t xml:space="preserve"> vulnerable </w:t>
      </w:r>
      <w:r w:rsidR="00016A91">
        <w:rPr>
          <w:rFonts w:cstheme="minorHAnsi"/>
          <w:szCs w:val="20"/>
        </w:rPr>
        <w:t>cohorts</w:t>
      </w:r>
      <w:r w:rsidR="00F96D04">
        <w:rPr>
          <w:rFonts w:cstheme="minorHAnsi"/>
          <w:szCs w:val="20"/>
        </w:rPr>
        <w:t xml:space="preserve">. </w:t>
      </w:r>
    </w:p>
    <w:p w14:paraId="1E595D6B" w14:textId="7DA075CE" w:rsidR="00CB7336" w:rsidRPr="00210289" w:rsidRDefault="00CB7336" w:rsidP="00CB7336">
      <w:pPr>
        <w:spacing w:after="240"/>
        <w:rPr>
          <w:rFonts w:cstheme="minorHAnsi"/>
          <w:szCs w:val="20"/>
        </w:rPr>
      </w:pPr>
      <w:r>
        <w:rPr>
          <w:rFonts w:cstheme="minorHAnsi"/>
          <w:szCs w:val="20"/>
        </w:rPr>
        <w:t xml:space="preserve">Although positive, this may represent a biased sample as those who got vaccinated </w:t>
      </w:r>
      <w:r w:rsidR="00F96D04">
        <w:rPr>
          <w:rFonts w:cstheme="minorHAnsi"/>
          <w:szCs w:val="20"/>
        </w:rPr>
        <w:t xml:space="preserve">may have been </w:t>
      </w:r>
      <w:r>
        <w:rPr>
          <w:rFonts w:cstheme="minorHAnsi"/>
          <w:szCs w:val="20"/>
        </w:rPr>
        <w:t>more likely to participate in Survey 2. A more reliable estimate of vaccination follow through could be obtained by linking EVA customer data with the Australian Immunisation Register (AIR) data.</w:t>
      </w:r>
    </w:p>
    <w:p w14:paraId="6561874B" w14:textId="357CF928" w:rsidR="00CB7336" w:rsidRPr="00BF1744" w:rsidRDefault="00CB7336" w:rsidP="00CB7336">
      <w:pPr>
        <w:spacing w:after="240"/>
        <w:rPr>
          <w:rFonts w:cstheme="minorHAnsi"/>
          <w:szCs w:val="20"/>
        </w:rPr>
      </w:pPr>
      <w:r>
        <w:rPr>
          <w:rFonts w:cstheme="minorHAnsi"/>
          <w:szCs w:val="20"/>
        </w:rPr>
        <w:lastRenderedPageBreak/>
        <w:t>The 11% of</w:t>
      </w:r>
      <w:r w:rsidRPr="00210289">
        <w:rPr>
          <w:rFonts w:cstheme="minorHAnsi"/>
          <w:szCs w:val="20"/>
        </w:rPr>
        <w:t xml:space="preserve"> customers </w:t>
      </w:r>
      <w:r>
        <w:rPr>
          <w:rFonts w:cstheme="minorHAnsi"/>
          <w:szCs w:val="20"/>
        </w:rPr>
        <w:t xml:space="preserve">who reported that they </w:t>
      </w:r>
      <w:r w:rsidRPr="00210289">
        <w:rPr>
          <w:rFonts w:cstheme="minorHAnsi"/>
          <w:szCs w:val="20"/>
        </w:rPr>
        <w:t xml:space="preserve">did </w:t>
      </w:r>
      <w:r>
        <w:rPr>
          <w:rFonts w:cstheme="minorHAnsi"/>
          <w:szCs w:val="20"/>
        </w:rPr>
        <w:t xml:space="preserve">not get vaccinated indicated that this was </w:t>
      </w:r>
      <w:r w:rsidRPr="00210289">
        <w:rPr>
          <w:rFonts w:cstheme="minorHAnsi"/>
          <w:szCs w:val="20"/>
        </w:rPr>
        <w:t>because of</w:t>
      </w:r>
      <w:r>
        <w:rPr>
          <w:rFonts w:cstheme="minorHAnsi"/>
          <w:szCs w:val="20"/>
        </w:rPr>
        <w:t xml:space="preserve"> either personal reasons (e.g. changes in personal schedules), issues associated with the vaccination provider (e.g. booking errors), or subsequent advice from medical professionals. </w:t>
      </w:r>
      <w:r w:rsidRPr="00BF1744">
        <w:rPr>
          <w:rFonts w:cstheme="minorHAnsi"/>
          <w:szCs w:val="20"/>
        </w:rPr>
        <w:t xml:space="preserve"> </w:t>
      </w:r>
    </w:p>
    <w:p w14:paraId="699035A4" w14:textId="3C794D1A" w:rsidR="00CB7336" w:rsidRPr="00210289" w:rsidRDefault="000C521F" w:rsidP="00CB7336">
      <w:pPr>
        <w:pStyle w:val="Heading4"/>
        <w:rPr>
          <w:rFonts w:asciiTheme="minorHAnsi" w:hAnsiTheme="minorHAnsi"/>
        </w:rPr>
      </w:pPr>
      <w:r>
        <w:t>Most</w:t>
      </w:r>
      <w:r w:rsidR="00CB7336" w:rsidRPr="005E1E48" w:rsidDel="001A4E3C">
        <w:t xml:space="preserve"> </w:t>
      </w:r>
      <w:r w:rsidR="00302C34">
        <w:t xml:space="preserve">survey </w:t>
      </w:r>
      <w:r w:rsidR="001A4E3C">
        <w:t>respondents</w:t>
      </w:r>
      <w:r w:rsidR="001A4E3C" w:rsidRPr="005E1E48">
        <w:t xml:space="preserve"> </w:t>
      </w:r>
      <w:r w:rsidR="00CB7336" w:rsidRPr="005E1E48">
        <w:t xml:space="preserve">felt the vaccine </w:t>
      </w:r>
      <w:r w:rsidR="00CB7336">
        <w:t>provider</w:t>
      </w:r>
      <w:r w:rsidR="00CB7336" w:rsidRPr="005E1E48">
        <w:t xml:space="preserve"> EVA booked for them met their</w:t>
      </w:r>
      <w:r w:rsidR="00CB7336" w:rsidRPr="00210289">
        <w:rPr>
          <w:rFonts w:asciiTheme="minorHAnsi" w:hAnsiTheme="minorHAnsi"/>
          <w:color w:val="7030A0"/>
        </w:rPr>
        <w:t xml:space="preserve"> </w:t>
      </w:r>
      <w:r w:rsidR="00CB7336" w:rsidRPr="005E1E48">
        <w:t>needs</w:t>
      </w:r>
    </w:p>
    <w:p w14:paraId="5C66B5E9" w14:textId="5DCE359B" w:rsidR="00CB7336" w:rsidRPr="00210289" w:rsidRDefault="00CB7336" w:rsidP="00CB7336">
      <w:pPr>
        <w:spacing w:after="0"/>
        <w:rPr>
          <w:rFonts w:cstheme="minorHAnsi"/>
          <w:szCs w:val="20"/>
        </w:rPr>
      </w:pPr>
      <w:r>
        <w:rPr>
          <w:rFonts w:cstheme="minorHAnsi"/>
          <w:szCs w:val="20"/>
        </w:rPr>
        <w:t xml:space="preserve">Ninety one per cent </w:t>
      </w:r>
      <w:r w:rsidRPr="00210289">
        <w:rPr>
          <w:rFonts w:cstheme="minorHAnsi"/>
          <w:szCs w:val="20"/>
        </w:rPr>
        <w:t xml:space="preserve">of customers who participated in Survey 2 reported that the vaccination </w:t>
      </w:r>
      <w:r>
        <w:rPr>
          <w:rFonts w:cstheme="minorHAnsi"/>
          <w:szCs w:val="20"/>
        </w:rPr>
        <w:t>provider that</w:t>
      </w:r>
      <w:r w:rsidRPr="00210289">
        <w:rPr>
          <w:rFonts w:cstheme="minorHAnsi"/>
          <w:szCs w:val="20"/>
        </w:rPr>
        <w:t xml:space="preserve"> EVA had booked for them met their needs.</w:t>
      </w:r>
      <w:r>
        <w:rPr>
          <w:rFonts w:cstheme="minorHAnsi"/>
          <w:szCs w:val="20"/>
        </w:rPr>
        <w:t xml:space="preserve"> The few customers who felt their </w:t>
      </w:r>
      <w:r w:rsidRPr="00210289">
        <w:rPr>
          <w:rFonts w:cstheme="minorHAnsi"/>
          <w:szCs w:val="20"/>
        </w:rPr>
        <w:t>needs were not met</w:t>
      </w:r>
      <w:r>
        <w:rPr>
          <w:rFonts w:cstheme="minorHAnsi"/>
          <w:szCs w:val="20"/>
        </w:rPr>
        <w:t xml:space="preserve"> indicated that this was because the specific vaccine they wanted was not available or there were issues at the provider site (e.g. the service was disorgani</w:t>
      </w:r>
      <w:r w:rsidR="001B4966">
        <w:rPr>
          <w:rFonts w:cstheme="minorHAnsi"/>
          <w:szCs w:val="20"/>
        </w:rPr>
        <w:t>s</w:t>
      </w:r>
      <w:r>
        <w:rPr>
          <w:rFonts w:cstheme="minorHAnsi"/>
          <w:szCs w:val="20"/>
        </w:rPr>
        <w:t>ed).</w:t>
      </w:r>
    </w:p>
    <w:p w14:paraId="6B5D839C" w14:textId="527ACE6F" w:rsidR="00CB7336" w:rsidRPr="005E1E48" w:rsidRDefault="008409B8" w:rsidP="00CB7336">
      <w:pPr>
        <w:pStyle w:val="Heading4"/>
      </w:pPr>
      <w:r>
        <w:t>Most</w:t>
      </w:r>
      <w:r w:rsidR="00CB7336" w:rsidRPr="005E1E48" w:rsidDel="001A4E3C">
        <w:t xml:space="preserve"> </w:t>
      </w:r>
      <w:r w:rsidR="00302C34">
        <w:t xml:space="preserve">survey </w:t>
      </w:r>
      <w:r w:rsidR="001A4E3C">
        <w:t>respondents</w:t>
      </w:r>
      <w:r w:rsidR="001A4E3C" w:rsidRPr="005E1E48">
        <w:t xml:space="preserve"> </w:t>
      </w:r>
      <w:r>
        <w:t xml:space="preserve">felt there was nothing EVA could </w:t>
      </w:r>
      <w:r w:rsidR="00383501">
        <w:t xml:space="preserve">have </w:t>
      </w:r>
      <w:r>
        <w:t>improve</w:t>
      </w:r>
      <w:r w:rsidR="00435CAB">
        <w:t>d</w:t>
      </w:r>
      <w:r>
        <w:t xml:space="preserve"> on </w:t>
      </w:r>
    </w:p>
    <w:p w14:paraId="7D8EDAF3" w14:textId="32E4B51D" w:rsidR="00CB7336" w:rsidRPr="00210289" w:rsidRDefault="00CB7336" w:rsidP="00CB7336">
      <w:pPr>
        <w:rPr>
          <w:rFonts w:cstheme="minorHAnsi"/>
          <w:szCs w:val="20"/>
        </w:rPr>
      </w:pPr>
      <w:r>
        <w:rPr>
          <w:rFonts w:cstheme="minorHAnsi"/>
          <w:szCs w:val="20"/>
        </w:rPr>
        <w:t xml:space="preserve">Seventy six per cent </w:t>
      </w:r>
      <w:r w:rsidRPr="00210289">
        <w:rPr>
          <w:rFonts w:cstheme="minorHAnsi"/>
          <w:szCs w:val="20"/>
        </w:rPr>
        <w:t>of customers who participated in Survey 2 indicated that there was nothing EVA could do to make the process easier or better for them, with many speaking very highly of EVA:</w:t>
      </w:r>
    </w:p>
    <w:p w14:paraId="6C72900A" w14:textId="77777777" w:rsidR="00CB7336" w:rsidRDefault="00CB7336" w:rsidP="00CB7336">
      <w:pPr>
        <w:pStyle w:val="QuoteBody"/>
        <w:spacing w:before="120"/>
        <w:ind w:left="567" w:right="567"/>
        <w:contextualSpacing w:val="0"/>
      </w:pPr>
      <w:r>
        <w:t xml:space="preserve"> ‘EVA was extremely helpful and courteous and respectful. The service was exceptional and the vaccination provider was also exceptional. I could not have asked for better assistance. Many thanks.’</w:t>
      </w:r>
      <w:r w:rsidRPr="00626803">
        <w:t xml:space="preserve"> </w:t>
      </w:r>
      <w:r>
        <w:t>– EVA customer</w:t>
      </w:r>
    </w:p>
    <w:p w14:paraId="020CC1E7" w14:textId="77777777" w:rsidR="00CB7336" w:rsidRDefault="00CB7336" w:rsidP="00CB7336">
      <w:pPr>
        <w:ind w:left="567"/>
        <w:rPr>
          <w:rFonts w:cstheme="minorHAnsi"/>
          <w:b/>
          <w:i/>
          <w:color w:val="142E3B" w:themeColor="accent6"/>
          <w:szCs w:val="20"/>
        </w:rPr>
      </w:pPr>
      <w:r w:rsidRPr="006164B6">
        <w:rPr>
          <w:rFonts w:cstheme="minorHAnsi"/>
          <w:b/>
          <w:i/>
          <w:color w:val="142E3B" w:themeColor="accent6"/>
          <w:szCs w:val="20"/>
        </w:rPr>
        <w:t>‘[EVA] was pretty effective, I rang up and 20 minutes later I was jabbed, so I don’t think you can improve too much on that.’ – EVA customer</w:t>
      </w:r>
    </w:p>
    <w:p w14:paraId="3E776E8B" w14:textId="77777777" w:rsidR="00CB7336" w:rsidRDefault="00CB7336" w:rsidP="00CB7336">
      <w:pPr>
        <w:ind w:left="567"/>
        <w:rPr>
          <w:rFonts w:cstheme="minorHAnsi"/>
          <w:szCs w:val="20"/>
        </w:rPr>
      </w:pPr>
      <w:r w:rsidRPr="006164B6">
        <w:rPr>
          <w:rFonts w:cstheme="minorHAnsi"/>
          <w:b/>
          <w:i/>
          <w:color w:val="142E3B" w:themeColor="accent6"/>
          <w:szCs w:val="20"/>
        </w:rPr>
        <w:t>‘EVA staff very helpful, and staff went beyond to find information which was very helpful. Overall I am happy with the service that has been provided by EVA.’ – EVA customer</w:t>
      </w:r>
    </w:p>
    <w:p w14:paraId="08FA2800" w14:textId="5827BDF5" w:rsidR="006260AC" w:rsidRPr="002E55D6" w:rsidRDefault="006260AC" w:rsidP="00A83770">
      <w:pPr>
        <w:pStyle w:val="Heading4"/>
      </w:pPr>
      <w:r>
        <w:t xml:space="preserve">Customers suggested EVA should be expanded </w:t>
      </w:r>
    </w:p>
    <w:p w14:paraId="55626B80" w14:textId="0173954E" w:rsidR="006260AC" w:rsidRDefault="00FD7B9E" w:rsidP="00CB7336">
      <w:pPr>
        <w:rPr>
          <w:rFonts w:cstheme="minorHAnsi"/>
          <w:szCs w:val="20"/>
        </w:rPr>
      </w:pPr>
      <w:r>
        <w:rPr>
          <w:rFonts w:cstheme="minorHAnsi"/>
          <w:szCs w:val="20"/>
        </w:rPr>
        <w:t>Some customers suggested</w:t>
      </w:r>
      <w:r w:rsidR="006260AC">
        <w:rPr>
          <w:rFonts w:cstheme="minorHAnsi"/>
          <w:szCs w:val="20"/>
        </w:rPr>
        <w:t xml:space="preserve"> EVA</w:t>
      </w:r>
      <w:r>
        <w:rPr>
          <w:rFonts w:cstheme="minorHAnsi"/>
          <w:szCs w:val="20"/>
        </w:rPr>
        <w:t xml:space="preserve"> should be more</w:t>
      </w:r>
      <w:r w:rsidR="006260AC">
        <w:rPr>
          <w:rFonts w:cstheme="minorHAnsi"/>
          <w:szCs w:val="20"/>
        </w:rPr>
        <w:t xml:space="preserve"> widely available, including:</w:t>
      </w:r>
    </w:p>
    <w:p w14:paraId="430C45F2" w14:textId="7F737CCA" w:rsidR="006260AC" w:rsidRDefault="006260AC" w:rsidP="002E55D6">
      <w:pPr>
        <w:pStyle w:val="ListBullet"/>
      </w:pPr>
      <w:r>
        <w:t xml:space="preserve">Advertising EVA more widely, so more people </w:t>
      </w:r>
      <w:r w:rsidR="001A50A2">
        <w:t>were</w:t>
      </w:r>
      <w:r>
        <w:t xml:space="preserve"> aware of the service</w:t>
      </w:r>
      <w:r w:rsidR="002F6CF0">
        <w:t>. For example, one customer said:</w:t>
      </w:r>
    </w:p>
    <w:p w14:paraId="7E5C7D74" w14:textId="49FBE13E" w:rsidR="002753CD" w:rsidRDefault="005278F0" w:rsidP="002F6CF0">
      <w:pPr>
        <w:pStyle w:val="QuoteBody"/>
        <w:ind w:left="720"/>
      </w:pPr>
      <w:r>
        <w:t>‘10/10</w:t>
      </w:r>
      <w:r w:rsidR="002F6CF0">
        <w:t>,</w:t>
      </w:r>
      <w:r>
        <w:t xml:space="preserve"> very</w:t>
      </w:r>
      <w:r w:rsidR="002F6CF0">
        <w:t>,</w:t>
      </w:r>
      <w:r>
        <w:t xml:space="preserve"> very happy. Only thing I can say, is to make it easier to find EVA…” – EVA customer</w:t>
      </w:r>
    </w:p>
    <w:p w14:paraId="3BFCC41D" w14:textId="77777777" w:rsidR="002F6CF0" w:rsidRDefault="006260AC" w:rsidP="002F6CF0">
      <w:pPr>
        <w:pStyle w:val="ListBullet"/>
      </w:pPr>
      <w:r>
        <w:rPr>
          <w:rFonts w:cstheme="minorHAnsi"/>
          <w:szCs w:val="20"/>
        </w:rPr>
        <w:t xml:space="preserve">Expanding EVA for other </w:t>
      </w:r>
      <w:r w:rsidR="00FD7B9E">
        <w:rPr>
          <w:rFonts w:cstheme="minorHAnsi"/>
          <w:szCs w:val="20"/>
        </w:rPr>
        <w:t>types</w:t>
      </w:r>
      <w:r>
        <w:rPr>
          <w:rFonts w:cstheme="minorHAnsi"/>
          <w:szCs w:val="20"/>
        </w:rPr>
        <w:t xml:space="preserve"> </w:t>
      </w:r>
      <w:r w:rsidR="00FD7B9E">
        <w:rPr>
          <w:rFonts w:cstheme="minorHAnsi"/>
          <w:szCs w:val="20"/>
        </w:rPr>
        <w:t xml:space="preserve">of vaccinations, </w:t>
      </w:r>
      <w:r>
        <w:rPr>
          <w:rFonts w:cstheme="minorHAnsi"/>
          <w:szCs w:val="20"/>
        </w:rPr>
        <w:t xml:space="preserve">medical appointments or </w:t>
      </w:r>
      <w:r w:rsidRPr="00F6268F">
        <w:rPr>
          <w:rFonts w:cstheme="minorHAnsi"/>
          <w:szCs w:val="20"/>
        </w:rPr>
        <w:t xml:space="preserve">health </w:t>
      </w:r>
      <w:r w:rsidRPr="002F6CF0">
        <w:rPr>
          <w:rFonts w:cstheme="minorHAnsi"/>
          <w:szCs w:val="20"/>
        </w:rPr>
        <w:t>services</w:t>
      </w:r>
      <w:r w:rsidR="002F6CF0">
        <w:rPr>
          <w:rFonts w:cstheme="minorHAnsi"/>
          <w:szCs w:val="20"/>
        </w:rPr>
        <w:t xml:space="preserve">. </w:t>
      </w:r>
      <w:r w:rsidR="002F6CF0">
        <w:t>For example, one customer said:</w:t>
      </w:r>
    </w:p>
    <w:p w14:paraId="34A75DD5" w14:textId="623CF286" w:rsidR="006260AC" w:rsidRDefault="006260AC" w:rsidP="002F6CF0">
      <w:pPr>
        <w:ind w:left="567" w:firstLine="153"/>
      </w:pPr>
      <w:r w:rsidRPr="002F6CF0">
        <w:rPr>
          <w:rFonts w:cstheme="minorHAnsi"/>
          <w:b/>
          <w:i/>
          <w:color w:val="142E3B" w:themeColor="accent6"/>
          <w:szCs w:val="20"/>
        </w:rPr>
        <w:t>‘</w:t>
      </w:r>
      <w:r w:rsidR="00B133C2">
        <w:rPr>
          <w:rFonts w:cstheme="minorHAnsi"/>
          <w:b/>
          <w:i/>
          <w:color w:val="142E3B" w:themeColor="accent6"/>
          <w:szCs w:val="20"/>
        </w:rPr>
        <w:t>…One thing that did cross my mind, it has only one service available. That was it. I would like more options to be honest</w:t>
      </w:r>
      <w:r w:rsidRPr="002F6CF0">
        <w:rPr>
          <w:rFonts w:cstheme="minorHAnsi"/>
          <w:b/>
          <w:i/>
          <w:color w:val="142E3B" w:themeColor="accent6"/>
          <w:szCs w:val="20"/>
        </w:rPr>
        <w:t>’ –</w:t>
      </w:r>
      <w:r w:rsidRPr="006164B6">
        <w:rPr>
          <w:rFonts w:cstheme="minorHAnsi"/>
          <w:b/>
          <w:i/>
          <w:color w:val="142E3B" w:themeColor="accent6"/>
          <w:szCs w:val="20"/>
        </w:rPr>
        <w:t xml:space="preserve"> EVA customer</w:t>
      </w:r>
    </w:p>
    <w:p w14:paraId="7E93BA11" w14:textId="0CD9D14C" w:rsidR="00CB7336" w:rsidRPr="00CB7336" w:rsidRDefault="00FD7B9E" w:rsidP="001A4E3C">
      <w:pPr>
        <w:rPr>
          <w:rFonts w:eastAsiaTheme="minorHAnsi"/>
          <w:lang w:eastAsia="en-US"/>
        </w:rPr>
      </w:pPr>
      <w:r>
        <w:rPr>
          <w:rFonts w:cstheme="minorHAnsi"/>
          <w:szCs w:val="20"/>
        </w:rPr>
        <w:t xml:space="preserve">While most </w:t>
      </w:r>
      <w:r w:rsidR="00302C34">
        <w:rPr>
          <w:rFonts w:cstheme="minorHAnsi"/>
          <w:szCs w:val="20"/>
        </w:rPr>
        <w:t xml:space="preserve">survey </w:t>
      </w:r>
      <w:r w:rsidR="001A4E3C">
        <w:rPr>
          <w:rFonts w:cstheme="minorHAnsi"/>
          <w:szCs w:val="20"/>
        </w:rPr>
        <w:t xml:space="preserve">respondents </w:t>
      </w:r>
      <w:r>
        <w:rPr>
          <w:rFonts w:cstheme="minorHAnsi"/>
          <w:szCs w:val="20"/>
        </w:rPr>
        <w:t>could not think of any improvements to</w:t>
      </w:r>
      <w:r w:rsidR="002E55D6">
        <w:rPr>
          <w:rFonts w:cstheme="minorHAnsi"/>
          <w:szCs w:val="20"/>
        </w:rPr>
        <w:t xml:space="preserve"> the</w:t>
      </w:r>
      <w:r>
        <w:rPr>
          <w:rFonts w:cstheme="minorHAnsi"/>
          <w:szCs w:val="20"/>
        </w:rPr>
        <w:t xml:space="preserve"> EVA’s service, a small number of customers made suggestions including</w:t>
      </w:r>
      <w:r w:rsidR="001D5BD9">
        <w:rPr>
          <w:rFonts w:cstheme="minorHAnsi"/>
          <w:szCs w:val="20"/>
        </w:rPr>
        <w:t xml:space="preserve"> s</w:t>
      </w:r>
      <w:r w:rsidR="00CB7336">
        <w:rPr>
          <w:rFonts w:cstheme="minorHAnsi"/>
          <w:szCs w:val="20"/>
        </w:rPr>
        <w:t xml:space="preserve">treamlining the administrative process so they did not have to provide the vaccination provider with the same information that they </w:t>
      </w:r>
      <w:r w:rsidR="00FD144B">
        <w:rPr>
          <w:rFonts w:cstheme="minorHAnsi"/>
          <w:szCs w:val="20"/>
        </w:rPr>
        <w:t xml:space="preserve">had </w:t>
      </w:r>
      <w:r w:rsidR="00CB7336">
        <w:rPr>
          <w:rFonts w:cstheme="minorHAnsi"/>
          <w:szCs w:val="20"/>
        </w:rPr>
        <w:t>provided to EVA</w:t>
      </w:r>
      <w:r>
        <w:t>.</w:t>
      </w:r>
      <w:r w:rsidR="001D5BD9">
        <w:t xml:space="preserve"> Other suggestions included b</w:t>
      </w:r>
      <w:r w:rsidR="00CB7336">
        <w:rPr>
          <w:rFonts w:cstheme="minorHAnsi"/>
          <w:szCs w:val="20"/>
        </w:rPr>
        <w:t>uilding appointment reminders into the service</w:t>
      </w:r>
      <w:r w:rsidR="001D5BD9">
        <w:t xml:space="preserve"> and h</w:t>
      </w:r>
      <w:r w:rsidR="00CB7336">
        <w:rPr>
          <w:rFonts w:cstheme="minorHAnsi"/>
          <w:szCs w:val="20"/>
        </w:rPr>
        <w:t xml:space="preserve">aving an option to call EVA directly without having to first </w:t>
      </w:r>
      <w:r w:rsidR="00767327">
        <w:rPr>
          <w:rFonts w:cstheme="minorHAnsi"/>
          <w:szCs w:val="20"/>
        </w:rPr>
        <w:t xml:space="preserve">send a </w:t>
      </w:r>
      <w:r w:rsidR="00CB7336">
        <w:rPr>
          <w:rFonts w:cstheme="minorHAnsi"/>
          <w:szCs w:val="20"/>
        </w:rPr>
        <w:t>text</w:t>
      </w:r>
      <w:r w:rsidR="00767327">
        <w:rPr>
          <w:rFonts w:cstheme="minorHAnsi"/>
          <w:szCs w:val="20"/>
        </w:rPr>
        <w:t>.</w:t>
      </w:r>
      <w:r w:rsidR="00CB7336">
        <w:rPr>
          <w:rFonts w:cstheme="minorHAnsi"/>
          <w:szCs w:val="20"/>
        </w:rPr>
        <w:t xml:space="preserve"> </w:t>
      </w:r>
    </w:p>
    <w:p w14:paraId="50551A2E" w14:textId="6626EF25" w:rsidR="000A0579" w:rsidRDefault="000A0579" w:rsidP="000A0579">
      <w:pPr>
        <w:pStyle w:val="Heading3"/>
        <w:contextualSpacing w:val="0"/>
      </w:pPr>
      <w:r>
        <w:lastRenderedPageBreak/>
        <w:t xml:space="preserve">Customers </w:t>
      </w:r>
      <w:r w:rsidR="00383501">
        <w:t xml:space="preserve">had </w:t>
      </w:r>
      <w:r>
        <w:t>used EVA for multiple reasons</w:t>
      </w:r>
    </w:p>
    <w:p w14:paraId="6BDA29CE" w14:textId="77777777" w:rsidR="000A0579" w:rsidRPr="003C6723" w:rsidRDefault="000A0579" w:rsidP="000A0579">
      <w:pPr>
        <w:pStyle w:val="Heading4"/>
        <w:spacing w:before="120" w:after="160"/>
      </w:pPr>
      <w:r>
        <w:t>Before contacting EVA, 71</w:t>
      </w:r>
      <w:r w:rsidRPr="003C6723">
        <w:t xml:space="preserve">% </w:t>
      </w:r>
      <w:r>
        <w:t xml:space="preserve">of customers </w:t>
      </w:r>
      <w:r w:rsidRPr="003C6723">
        <w:t>had unsuccessfully tried alternative avenues</w:t>
      </w:r>
    </w:p>
    <w:p w14:paraId="2B82AE89" w14:textId="388AA732" w:rsidR="000A0579" w:rsidRPr="00210289" w:rsidRDefault="000A0579" w:rsidP="000A0579">
      <w:pPr>
        <w:rPr>
          <w:rFonts w:cstheme="minorHAnsi"/>
          <w:i/>
          <w:szCs w:val="20"/>
        </w:rPr>
      </w:pPr>
      <w:r>
        <w:rPr>
          <w:rFonts w:cstheme="minorHAnsi"/>
          <w:szCs w:val="20"/>
        </w:rPr>
        <w:t xml:space="preserve">Prior to contacting EVA, </w:t>
      </w:r>
      <w:r w:rsidRPr="00210289">
        <w:rPr>
          <w:rFonts w:cstheme="minorHAnsi"/>
          <w:szCs w:val="20"/>
        </w:rPr>
        <w:t xml:space="preserve">71% of </w:t>
      </w:r>
      <w:r>
        <w:rPr>
          <w:rFonts w:cstheme="minorHAnsi"/>
          <w:szCs w:val="20"/>
        </w:rPr>
        <w:t xml:space="preserve">EVA </w:t>
      </w:r>
      <w:r w:rsidRPr="00210289">
        <w:rPr>
          <w:rFonts w:cstheme="minorHAnsi"/>
          <w:szCs w:val="20"/>
        </w:rPr>
        <w:t>customers had unsuccessf</w:t>
      </w:r>
      <w:r>
        <w:rPr>
          <w:rFonts w:cstheme="minorHAnsi"/>
          <w:szCs w:val="20"/>
        </w:rPr>
        <w:t xml:space="preserve">ully tried alternative avenues </w:t>
      </w:r>
      <w:r w:rsidRPr="00210289">
        <w:rPr>
          <w:rFonts w:cstheme="minorHAnsi"/>
          <w:szCs w:val="20"/>
        </w:rPr>
        <w:t>to get the information they needed or to book a vaccination appointment</w:t>
      </w:r>
      <w:r>
        <w:rPr>
          <w:rFonts w:cstheme="minorHAnsi"/>
          <w:szCs w:val="20"/>
        </w:rPr>
        <w:t xml:space="preserve"> </w:t>
      </w:r>
      <w:r w:rsidRPr="00210289">
        <w:rPr>
          <w:rFonts w:cstheme="minorHAnsi"/>
          <w:szCs w:val="20"/>
        </w:rPr>
        <w:t>(</w:t>
      </w:r>
      <w:r>
        <w:rPr>
          <w:rFonts w:cstheme="minorHAnsi"/>
          <w:szCs w:val="20"/>
        </w:rPr>
        <w:t xml:space="preserve">n= </w:t>
      </w:r>
      <w:r w:rsidRPr="00210289">
        <w:rPr>
          <w:rFonts w:cstheme="minorHAnsi"/>
          <w:szCs w:val="20"/>
        </w:rPr>
        <w:t>1,279</w:t>
      </w:r>
      <w:r>
        <w:rPr>
          <w:rFonts w:cstheme="minorHAnsi"/>
          <w:szCs w:val="20"/>
        </w:rPr>
        <w:t xml:space="preserve"> customers</w:t>
      </w:r>
      <w:r w:rsidRPr="00210289">
        <w:rPr>
          <w:rFonts w:cstheme="minorHAnsi"/>
          <w:szCs w:val="20"/>
        </w:rPr>
        <w:t xml:space="preserve">). </w:t>
      </w:r>
      <w:r>
        <w:rPr>
          <w:rFonts w:cstheme="minorHAnsi"/>
          <w:szCs w:val="20"/>
        </w:rPr>
        <w:t>This included contacting health services (e.g. Medical centres, GPs, pharmacies, hospitals) either by phone or by visiting the premises. Customers also noted they had conducted online searches, contacted government services or departments (both state and federal), called the NCH</w:t>
      </w:r>
      <w:r w:rsidR="00BC62D8">
        <w:rPr>
          <w:rFonts w:cstheme="minorHAnsi"/>
          <w:szCs w:val="20"/>
        </w:rPr>
        <w:t>,</w:t>
      </w:r>
      <w:r>
        <w:rPr>
          <w:rFonts w:cstheme="minorHAnsi"/>
          <w:szCs w:val="20"/>
        </w:rPr>
        <w:t xml:space="preserve"> and asked their social networks. Feedback from customers included:</w:t>
      </w:r>
    </w:p>
    <w:p w14:paraId="4F6E8A6C" w14:textId="77777777" w:rsidR="000A0579" w:rsidRDefault="000A0579" w:rsidP="000A0579">
      <w:pPr>
        <w:pStyle w:val="QuoteBody"/>
        <w:spacing w:after="160" w:line="280" w:lineRule="atLeast"/>
        <w:contextualSpacing w:val="0"/>
      </w:pPr>
      <w:r>
        <w:t>‘Rang the doctors, they hadn’t heard anything, didn’t know if they were getting it or not, rang 3 different chemists, rang the head offices and branches and they all said ‘we don’t know, we are waiting [for a] call back, [which] won’t be till March, call back then. And this happened with the third booster dose.’ – EVA customer</w:t>
      </w:r>
    </w:p>
    <w:p w14:paraId="5EC1241A" w14:textId="77777777" w:rsidR="000A0579" w:rsidRDefault="000A0579" w:rsidP="000A0579">
      <w:pPr>
        <w:pStyle w:val="QuoteBody"/>
        <w:spacing w:after="160" w:line="280" w:lineRule="atLeast"/>
        <w:contextualSpacing w:val="0"/>
      </w:pPr>
      <w:r>
        <w:t>‘This battle has been going [on] for a couple of days. I have been calling around to all the surgeries and places for the last couple of days, … as a health professional it’s been hard for me, I can’t imagine how hard it has been for other people.’ – EVA customer</w:t>
      </w:r>
    </w:p>
    <w:p w14:paraId="3292F59A" w14:textId="77777777" w:rsidR="000A0579" w:rsidRDefault="000A0579" w:rsidP="000A0579">
      <w:pPr>
        <w:pStyle w:val="QuoteBody"/>
        <w:spacing w:after="160" w:line="280" w:lineRule="atLeast"/>
        <w:contextualSpacing w:val="0"/>
      </w:pPr>
      <w:r>
        <w:t>‘GP[‘s] are not bulk billing, then went to the pharmacy and they are not doing it anymore, and then I tried looking for [a] vaccination hub and then EVA. Most people would have given up.’ – EVA customer</w:t>
      </w:r>
    </w:p>
    <w:p w14:paraId="4AE4EDF6" w14:textId="254563BF" w:rsidR="000A0579" w:rsidRPr="00210289" w:rsidRDefault="000A0579" w:rsidP="000A0579">
      <w:pPr>
        <w:rPr>
          <w:rFonts w:cstheme="minorHAnsi"/>
          <w:szCs w:val="20"/>
        </w:rPr>
      </w:pPr>
      <w:r>
        <w:rPr>
          <w:rFonts w:cstheme="minorHAnsi"/>
          <w:szCs w:val="20"/>
        </w:rPr>
        <w:t>Customers identified that the a</w:t>
      </w:r>
      <w:r w:rsidRPr="00210289">
        <w:rPr>
          <w:rFonts w:cstheme="minorHAnsi"/>
          <w:szCs w:val="20"/>
        </w:rPr>
        <w:t xml:space="preserve">lternative avenues were ultimately unsuccessful </w:t>
      </w:r>
      <w:r>
        <w:rPr>
          <w:rFonts w:cstheme="minorHAnsi"/>
          <w:szCs w:val="20"/>
        </w:rPr>
        <w:t>b</w:t>
      </w:r>
      <w:r w:rsidRPr="00210289">
        <w:rPr>
          <w:rFonts w:cstheme="minorHAnsi"/>
          <w:szCs w:val="20"/>
        </w:rPr>
        <w:t>ecause</w:t>
      </w:r>
      <w:r>
        <w:rPr>
          <w:rFonts w:cstheme="minorHAnsi"/>
          <w:szCs w:val="20"/>
        </w:rPr>
        <w:t xml:space="preserve"> their local services were not offering the vaccine, their healthcare providers did not have the required information, they found navigating online platforms difficult, </w:t>
      </w:r>
      <w:r w:rsidRPr="00176C42">
        <w:rPr>
          <w:rFonts w:cstheme="minorHAnsi"/>
          <w:szCs w:val="20"/>
        </w:rPr>
        <w:t>information on websites was not detailed enough, wrong, or outdated</w:t>
      </w:r>
      <w:r>
        <w:rPr>
          <w:rFonts w:cstheme="minorHAnsi"/>
          <w:szCs w:val="20"/>
        </w:rPr>
        <w:t xml:space="preserve">, and there were inconsistencies across information sources. </w:t>
      </w:r>
      <w:r w:rsidRPr="00210289">
        <w:rPr>
          <w:rFonts w:cstheme="minorHAnsi"/>
          <w:szCs w:val="20"/>
        </w:rPr>
        <w:t xml:space="preserve">Adding to the confusion was that Vaccination Hubs, where many had received their previous </w:t>
      </w:r>
      <w:r>
        <w:rPr>
          <w:rFonts w:cstheme="minorHAnsi"/>
          <w:szCs w:val="20"/>
        </w:rPr>
        <w:t>COVID-19</w:t>
      </w:r>
      <w:r w:rsidRPr="00210289">
        <w:rPr>
          <w:rFonts w:cstheme="minorHAnsi"/>
          <w:szCs w:val="20"/>
        </w:rPr>
        <w:t xml:space="preserve"> vaccines, were no longer an option. </w:t>
      </w:r>
      <w:r>
        <w:rPr>
          <w:rFonts w:cstheme="minorHAnsi"/>
          <w:szCs w:val="20"/>
        </w:rPr>
        <w:t>For example, one customer commented:</w:t>
      </w:r>
    </w:p>
    <w:p w14:paraId="4B89C81D" w14:textId="77777777" w:rsidR="000A0579" w:rsidRDefault="000A0579" w:rsidP="000A0579">
      <w:pPr>
        <w:pStyle w:val="QuoteBody"/>
        <w:spacing w:after="160" w:line="280" w:lineRule="atLeast"/>
        <w:contextualSpacing w:val="0"/>
      </w:pPr>
      <w:r>
        <w:t>‘</w:t>
      </w:r>
      <w:r w:rsidRPr="006331F3">
        <w:t>Last vaccine is done in Hornsby vaccine centre, and then I was told it is closed now, then I tried Olympic Park,</w:t>
      </w:r>
      <w:r>
        <w:t xml:space="preserve"> </w:t>
      </w:r>
      <w:r w:rsidRPr="006331F3">
        <w:t>… it</w:t>
      </w:r>
      <w:r>
        <w:t>’</w:t>
      </w:r>
      <w:r w:rsidRPr="006331F3">
        <w:t>s also [closed], then I called NCH and they asked me to call EVA.</w:t>
      </w:r>
      <w:r>
        <w:t>’ – EVA customer</w:t>
      </w:r>
    </w:p>
    <w:p w14:paraId="7FCEE0E4" w14:textId="77777777" w:rsidR="000A0579" w:rsidRPr="009C5AC9" w:rsidRDefault="000A0579" w:rsidP="000A0579">
      <w:pPr>
        <w:rPr>
          <w:rFonts w:cstheme="minorHAnsi"/>
          <w:szCs w:val="20"/>
        </w:rPr>
      </w:pPr>
      <w:r>
        <w:rPr>
          <w:rFonts w:cstheme="minorHAnsi"/>
          <w:szCs w:val="20"/>
        </w:rPr>
        <w:t xml:space="preserve">Customers reported that they chose EVA (after </w:t>
      </w:r>
      <w:r w:rsidRPr="009C5AC9">
        <w:rPr>
          <w:rFonts w:cstheme="minorHAnsi"/>
          <w:szCs w:val="20"/>
        </w:rPr>
        <w:t>unsuccessfully tr</w:t>
      </w:r>
      <w:r>
        <w:rPr>
          <w:rFonts w:cstheme="minorHAnsi"/>
          <w:szCs w:val="20"/>
        </w:rPr>
        <w:t>ying</w:t>
      </w:r>
      <w:r w:rsidRPr="009C5AC9">
        <w:rPr>
          <w:rFonts w:cstheme="minorHAnsi"/>
          <w:szCs w:val="20"/>
        </w:rPr>
        <w:t xml:space="preserve"> alternative </w:t>
      </w:r>
      <w:r>
        <w:rPr>
          <w:rFonts w:cstheme="minorHAnsi"/>
          <w:szCs w:val="20"/>
        </w:rPr>
        <w:t xml:space="preserve">avenues) because EVA had either been recommended to them or they had found it online, and EVA appeared as an </w:t>
      </w:r>
      <w:r w:rsidRPr="009C5AC9">
        <w:rPr>
          <w:rFonts w:cstheme="minorHAnsi"/>
          <w:szCs w:val="20"/>
        </w:rPr>
        <w:t>easy and efficient use of their time</w:t>
      </w:r>
      <w:r>
        <w:rPr>
          <w:rFonts w:cstheme="minorHAnsi"/>
          <w:szCs w:val="20"/>
        </w:rPr>
        <w:t xml:space="preserve">. Customers noted that EVA was a government service with staff who they felt would likely </w:t>
      </w:r>
      <w:r w:rsidRPr="009C5AC9">
        <w:rPr>
          <w:rFonts w:cstheme="minorHAnsi"/>
          <w:szCs w:val="20"/>
        </w:rPr>
        <w:t>have the most relevant up-to-date specialist knowledge about the COVID-19</w:t>
      </w:r>
      <w:r>
        <w:rPr>
          <w:rFonts w:cstheme="minorHAnsi"/>
          <w:szCs w:val="20"/>
        </w:rPr>
        <w:t xml:space="preserve"> vaccine. The ability to speak directly to a ‘real person’ also held strong appeal for customers who struggled to access information online. </w:t>
      </w:r>
    </w:p>
    <w:p w14:paraId="30E39759" w14:textId="360F47A8" w:rsidR="001D0962" w:rsidRDefault="001D0962" w:rsidP="001D0962">
      <w:pPr>
        <w:pStyle w:val="Heading3"/>
        <w:contextualSpacing w:val="0"/>
      </w:pPr>
      <w:r>
        <w:lastRenderedPageBreak/>
        <w:t>EVA</w:t>
      </w:r>
      <w:r w:rsidR="002C15B5">
        <w:t xml:space="preserve"> was used at higher rates by the elderly and by those who </w:t>
      </w:r>
      <w:r w:rsidR="002331EF">
        <w:t>found</w:t>
      </w:r>
      <w:r w:rsidR="002C15B5">
        <w:t xml:space="preserve"> the health system difficult to navigate</w:t>
      </w:r>
    </w:p>
    <w:p w14:paraId="40379183" w14:textId="699C1FA5" w:rsidR="002C15B5" w:rsidRPr="00251FB1" w:rsidRDefault="00767327" w:rsidP="002C15B5">
      <w:pPr>
        <w:pStyle w:val="Heading4"/>
        <w:spacing w:before="240"/>
      </w:pPr>
      <w:r>
        <w:t>T</w:t>
      </w:r>
      <w:r w:rsidR="002C15B5" w:rsidRPr="00251FB1">
        <w:t xml:space="preserve">hose who </w:t>
      </w:r>
      <w:r w:rsidR="002331EF">
        <w:t>found</w:t>
      </w:r>
      <w:r w:rsidR="002C15B5" w:rsidRPr="00251FB1">
        <w:t xml:space="preserve"> it difficult to navigate the Australian health system </w:t>
      </w:r>
      <w:r>
        <w:t>utilised EVA</w:t>
      </w:r>
    </w:p>
    <w:p w14:paraId="727B0903" w14:textId="693C3B30" w:rsidR="00336DD6" w:rsidRPr="00210289" w:rsidRDefault="00336DD6" w:rsidP="00336DD6">
      <w:pPr>
        <w:rPr>
          <w:rFonts w:cstheme="minorHAnsi"/>
          <w:szCs w:val="20"/>
        </w:rPr>
      </w:pPr>
      <w:r w:rsidRPr="00210289">
        <w:rPr>
          <w:rFonts w:cstheme="minorHAnsi"/>
          <w:szCs w:val="20"/>
        </w:rPr>
        <w:t xml:space="preserve">We </w:t>
      </w:r>
      <w:r>
        <w:rPr>
          <w:rFonts w:cstheme="minorHAnsi"/>
          <w:szCs w:val="20"/>
        </w:rPr>
        <w:t>hypothesised</w:t>
      </w:r>
      <w:r w:rsidRPr="00210289">
        <w:rPr>
          <w:rFonts w:cstheme="minorHAnsi"/>
          <w:szCs w:val="20"/>
        </w:rPr>
        <w:t xml:space="preserve"> that </w:t>
      </w:r>
      <w:r>
        <w:rPr>
          <w:rFonts w:cstheme="minorHAnsi"/>
          <w:szCs w:val="20"/>
        </w:rPr>
        <w:t xml:space="preserve">the subset of </w:t>
      </w:r>
      <w:r w:rsidRPr="00210289">
        <w:rPr>
          <w:rFonts w:cstheme="minorHAnsi"/>
          <w:szCs w:val="20"/>
        </w:rPr>
        <w:t>Australian</w:t>
      </w:r>
      <w:r>
        <w:rPr>
          <w:rFonts w:cstheme="minorHAnsi"/>
          <w:szCs w:val="20"/>
        </w:rPr>
        <w:t xml:space="preserve">s who </w:t>
      </w:r>
      <w:r w:rsidR="00C3649A">
        <w:rPr>
          <w:rFonts w:cstheme="minorHAnsi"/>
          <w:szCs w:val="20"/>
        </w:rPr>
        <w:t>found</w:t>
      </w:r>
      <w:r>
        <w:rPr>
          <w:rFonts w:cstheme="minorHAnsi"/>
          <w:szCs w:val="20"/>
        </w:rPr>
        <w:t xml:space="preserve"> the</w:t>
      </w:r>
      <w:r w:rsidRPr="00210289">
        <w:rPr>
          <w:rFonts w:cstheme="minorHAnsi"/>
          <w:szCs w:val="20"/>
        </w:rPr>
        <w:t xml:space="preserve"> heal</w:t>
      </w:r>
      <w:r>
        <w:rPr>
          <w:rFonts w:cstheme="minorHAnsi"/>
          <w:szCs w:val="20"/>
        </w:rPr>
        <w:t xml:space="preserve">th system difficult to navigate </w:t>
      </w:r>
      <w:r w:rsidR="00C3649A">
        <w:rPr>
          <w:rFonts w:cstheme="minorHAnsi"/>
          <w:szCs w:val="20"/>
        </w:rPr>
        <w:t>may have</w:t>
      </w:r>
      <w:r>
        <w:rPr>
          <w:rFonts w:cstheme="minorHAnsi"/>
          <w:szCs w:val="20"/>
        </w:rPr>
        <w:t xml:space="preserve"> be</w:t>
      </w:r>
      <w:r w:rsidR="00C3649A">
        <w:rPr>
          <w:rFonts w:cstheme="minorHAnsi"/>
          <w:szCs w:val="20"/>
        </w:rPr>
        <w:t>en</w:t>
      </w:r>
      <w:r>
        <w:rPr>
          <w:rFonts w:cstheme="minorHAnsi"/>
          <w:szCs w:val="20"/>
        </w:rPr>
        <w:t xml:space="preserve"> attracted to </w:t>
      </w:r>
      <w:r w:rsidRPr="00210289">
        <w:rPr>
          <w:rFonts w:cstheme="minorHAnsi"/>
          <w:szCs w:val="20"/>
        </w:rPr>
        <w:t>EVA</w:t>
      </w:r>
      <w:r>
        <w:rPr>
          <w:rFonts w:cstheme="minorHAnsi"/>
          <w:szCs w:val="20"/>
        </w:rPr>
        <w:t>. T</w:t>
      </w:r>
      <w:r w:rsidRPr="00210289">
        <w:rPr>
          <w:rFonts w:cstheme="minorHAnsi"/>
          <w:szCs w:val="20"/>
        </w:rPr>
        <w:t>he Australian Bureau of Statistic</w:t>
      </w:r>
      <w:r w:rsidR="0067289A">
        <w:rPr>
          <w:rFonts w:cstheme="minorHAnsi"/>
          <w:szCs w:val="20"/>
        </w:rPr>
        <w:t>’</w:t>
      </w:r>
      <w:r w:rsidRPr="00210289">
        <w:rPr>
          <w:rFonts w:cstheme="minorHAnsi"/>
          <w:szCs w:val="20"/>
        </w:rPr>
        <w:t xml:space="preserve">s </w:t>
      </w:r>
      <w:r>
        <w:rPr>
          <w:rFonts w:cstheme="minorHAnsi"/>
          <w:szCs w:val="20"/>
        </w:rPr>
        <w:t>2018</w:t>
      </w:r>
      <w:r w:rsidRPr="00210289">
        <w:rPr>
          <w:rFonts w:cstheme="minorHAnsi"/>
          <w:szCs w:val="20"/>
        </w:rPr>
        <w:t xml:space="preserve"> National Health Literacy Survey of 5</w:t>
      </w:r>
      <w:r>
        <w:rPr>
          <w:rFonts w:cstheme="minorHAnsi"/>
          <w:szCs w:val="20"/>
        </w:rPr>
        <w:t>,790 adults</w:t>
      </w:r>
      <w:r w:rsidRPr="00210289">
        <w:rPr>
          <w:rFonts w:cstheme="minorHAnsi"/>
          <w:szCs w:val="20"/>
        </w:rPr>
        <w:t xml:space="preserve"> revealed </w:t>
      </w:r>
      <w:r>
        <w:rPr>
          <w:rFonts w:cstheme="minorHAnsi"/>
          <w:szCs w:val="20"/>
        </w:rPr>
        <w:t xml:space="preserve">that </w:t>
      </w:r>
      <w:r w:rsidRPr="00210289">
        <w:rPr>
          <w:rFonts w:cstheme="minorHAnsi"/>
          <w:szCs w:val="20"/>
        </w:rPr>
        <w:t>14%</w:t>
      </w:r>
      <w:r>
        <w:rPr>
          <w:rFonts w:cstheme="minorHAnsi"/>
          <w:szCs w:val="20"/>
        </w:rPr>
        <w:t xml:space="preserve"> of Australians - though only 8</w:t>
      </w:r>
      <w:r w:rsidRPr="00210289">
        <w:rPr>
          <w:rFonts w:cstheme="minorHAnsi"/>
          <w:szCs w:val="20"/>
        </w:rPr>
        <w:t xml:space="preserve">% of those aged over 65 years - found the Australian healthcare system difficult to navigate (ABS </w:t>
      </w:r>
      <w:r>
        <w:rPr>
          <w:rFonts w:cstheme="minorHAnsi"/>
          <w:szCs w:val="20"/>
        </w:rPr>
        <w:t>2019</w:t>
      </w:r>
      <w:r w:rsidRPr="00210289">
        <w:rPr>
          <w:rFonts w:cstheme="minorHAnsi"/>
          <w:szCs w:val="20"/>
        </w:rPr>
        <w:t xml:space="preserve">). </w:t>
      </w:r>
      <w:r>
        <w:rPr>
          <w:rFonts w:cstheme="minorHAnsi"/>
          <w:szCs w:val="20"/>
        </w:rPr>
        <w:t>We predicted that a greater proportion of EVA users would report difficulties compared to this national average.</w:t>
      </w:r>
    </w:p>
    <w:p w14:paraId="67C3022D" w14:textId="4D94F2FF" w:rsidR="002C15B5" w:rsidRDefault="005A3A77" w:rsidP="002C15B5">
      <w:pPr>
        <w:spacing w:after="600"/>
        <w:rPr>
          <w:rFonts w:cstheme="minorHAnsi"/>
          <w:szCs w:val="20"/>
        </w:rPr>
      </w:pPr>
      <w:r>
        <w:rPr>
          <w:rFonts w:cstheme="minorHAnsi"/>
          <w:szCs w:val="20"/>
        </w:rPr>
        <w:t>In</w:t>
      </w:r>
      <w:r w:rsidR="002C15B5">
        <w:rPr>
          <w:rFonts w:cstheme="minorHAnsi"/>
          <w:szCs w:val="20"/>
        </w:rPr>
        <w:t xml:space="preserve"> Survey 1, we </w:t>
      </w:r>
      <w:r>
        <w:rPr>
          <w:rFonts w:cstheme="minorHAnsi"/>
          <w:szCs w:val="20"/>
        </w:rPr>
        <w:t>asked</w:t>
      </w:r>
      <w:r w:rsidR="002C15B5">
        <w:rPr>
          <w:rFonts w:cstheme="minorHAnsi"/>
          <w:szCs w:val="20"/>
        </w:rPr>
        <w:t xml:space="preserve"> customers </w:t>
      </w:r>
      <w:r>
        <w:rPr>
          <w:rFonts w:cstheme="minorHAnsi"/>
          <w:szCs w:val="20"/>
        </w:rPr>
        <w:t xml:space="preserve">about their </w:t>
      </w:r>
      <w:r w:rsidR="002C15B5">
        <w:rPr>
          <w:rFonts w:cstheme="minorHAnsi"/>
          <w:szCs w:val="20"/>
        </w:rPr>
        <w:t>experience navigating the Australian health system</w:t>
      </w:r>
      <w:r>
        <w:rPr>
          <w:rFonts w:cstheme="minorHAnsi"/>
          <w:szCs w:val="20"/>
        </w:rPr>
        <w:t xml:space="preserve"> in general</w:t>
      </w:r>
      <w:r w:rsidR="002C15B5">
        <w:rPr>
          <w:rFonts w:cstheme="minorHAnsi"/>
          <w:szCs w:val="20"/>
        </w:rPr>
        <w:t xml:space="preserve">. As </w:t>
      </w:r>
      <w:r w:rsidR="00E95A8E">
        <w:rPr>
          <w:rFonts w:cstheme="minorHAnsi"/>
          <w:szCs w:val="20"/>
        </w:rPr>
        <w:t>predicted</w:t>
      </w:r>
      <w:r w:rsidR="002C15B5">
        <w:rPr>
          <w:rFonts w:cstheme="minorHAnsi"/>
          <w:szCs w:val="20"/>
        </w:rPr>
        <w:t>, w</w:t>
      </w:r>
      <w:r w:rsidR="002C15B5" w:rsidRPr="00210289">
        <w:rPr>
          <w:rFonts w:cstheme="minorHAnsi"/>
          <w:szCs w:val="20"/>
        </w:rPr>
        <w:t>e found that 20% of EVA customers had difficulty navigating the Australian healthcare system</w:t>
      </w:r>
      <w:r w:rsidR="002C15B5">
        <w:rPr>
          <w:rFonts w:cstheme="minorHAnsi"/>
          <w:szCs w:val="20"/>
        </w:rPr>
        <w:t xml:space="preserve"> (see</w:t>
      </w:r>
      <w:r w:rsidR="002C15B5" w:rsidRPr="00210289">
        <w:rPr>
          <w:rFonts w:cstheme="minorHAnsi"/>
          <w:szCs w:val="20"/>
        </w:rPr>
        <w:t xml:space="preserve"> </w:t>
      </w:r>
      <w:r w:rsidR="002C15B5">
        <w:rPr>
          <w:rFonts w:cstheme="minorHAnsi"/>
          <w:szCs w:val="20"/>
        </w:rPr>
        <w:t xml:space="preserve">Figure 4), </w:t>
      </w:r>
      <w:r w:rsidR="006F6D11">
        <w:rPr>
          <w:rFonts w:cstheme="minorHAnsi"/>
          <w:szCs w:val="20"/>
        </w:rPr>
        <w:t xml:space="preserve">notably </w:t>
      </w:r>
      <w:r>
        <w:rPr>
          <w:rFonts w:cstheme="minorHAnsi"/>
          <w:szCs w:val="20"/>
        </w:rPr>
        <w:t>higher than the national average.</w:t>
      </w:r>
    </w:p>
    <w:p w14:paraId="2E3526A3" w14:textId="2843763D" w:rsidR="00E01356" w:rsidRDefault="00E01356" w:rsidP="002C15B5">
      <w:pPr>
        <w:spacing w:after="600"/>
        <w:rPr>
          <w:rFonts w:cstheme="minorHAnsi"/>
          <w:szCs w:val="20"/>
        </w:rPr>
      </w:pPr>
    </w:p>
    <w:p w14:paraId="0A26B71B" w14:textId="77777777" w:rsidR="00E01356" w:rsidRDefault="00E01356" w:rsidP="00E01356">
      <w:pPr>
        <w:keepNext/>
        <w:spacing w:after="600"/>
      </w:pPr>
      <w:r>
        <w:rPr>
          <w:rFonts w:cstheme="minorHAnsi"/>
          <w:noProof/>
          <w:szCs w:val="20"/>
        </w:rPr>
        <w:drawing>
          <wp:inline distT="0" distB="0" distL="0" distR="0" wp14:anchorId="62B9ABA6" wp14:editId="1DF67360">
            <wp:extent cx="2655689" cy="2567166"/>
            <wp:effectExtent l="0" t="0" r="0" b="5080"/>
            <wp:docPr id="7" name="Picture 7" descr="1473 EVA customers rated how easy it was for them to find the right health service when needed. 28% found it very easy, 40% found it easy, 11% were neutral, 14% found it hard, and 6% found it very hard. " title="Figure 3, A graph of customer ease ratings: Finding the right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 EVA.png"/>
                    <pic:cNvPicPr/>
                  </pic:nvPicPr>
                  <pic:blipFill>
                    <a:blip r:embed="rId22">
                      <a:extLst>
                        <a:ext uri="{28A0092B-C50C-407E-A947-70E740481C1C}">
                          <a14:useLocalDpi xmlns:a14="http://schemas.microsoft.com/office/drawing/2010/main" val="0"/>
                        </a:ext>
                      </a:extLst>
                    </a:blip>
                    <a:stretch>
                      <a:fillRect/>
                    </a:stretch>
                  </pic:blipFill>
                  <pic:spPr>
                    <a:xfrm>
                      <a:off x="0" y="0"/>
                      <a:ext cx="2659606" cy="2570953"/>
                    </a:xfrm>
                    <a:prstGeom prst="rect">
                      <a:avLst/>
                    </a:prstGeom>
                  </pic:spPr>
                </pic:pic>
              </a:graphicData>
            </a:graphic>
          </wp:inline>
        </w:drawing>
      </w:r>
    </w:p>
    <w:p w14:paraId="3F1BBBDB" w14:textId="2BB58C92" w:rsidR="00E01356" w:rsidRPr="00174571" w:rsidRDefault="00BF7A5D" w:rsidP="00174571">
      <w:pPr>
        <w:pStyle w:val="Caption"/>
        <w:rPr>
          <w:b/>
          <w:i w:val="0"/>
          <w:sz w:val="20"/>
          <w:szCs w:val="20"/>
        </w:rPr>
      </w:pPr>
      <w:r w:rsidRPr="00174571">
        <w:rPr>
          <w:b/>
          <w:i w:val="0"/>
          <w:sz w:val="20"/>
          <w:szCs w:val="20"/>
        </w:rPr>
        <w:t>Figure 4</w:t>
      </w:r>
      <w:r w:rsidR="00E01356" w:rsidRPr="00174571">
        <w:rPr>
          <w:b/>
          <w:i w:val="0"/>
          <w:sz w:val="20"/>
          <w:szCs w:val="20"/>
        </w:rPr>
        <w:t>. Customer ease ratings: Finding the right health service</w:t>
      </w:r>
    </w:p>
    <w:p w14:paraId="3F3761D9" w14:textId="77777777" w:rsidR="002C15B5" w:rsidRPr="00CC393D" w:rsidRDefault="002C15B5" w:rsidP="00A83770">
      <w:pPr>
        <w:spacing w:before="240"/>
        <w:ind w:right="1701"/>
        <w:rPr>
          <w:rFonts w:cstheme="minorHAnsi"/>
          <w:szCs w:val="20"/>
        </w:rPr>
      </w:pPr>
      <w:r>
        <w:rPr>
          <w:rFonts w:cstheme="minorHAnsi"/>
          <w:b/>
          <w:color w:val="000000"/>
          <w:szCs w:val="20"/>
        </w:rPr>
        <w:t>*</w:t>
      </w:r>
      <w:r>
        <w:rPr>
          <w:rFonts w:cstheme="minorHAnsi"/>
          <w:i/>
          <w:sz w:val="18"/>
          <w:szCs w:val="18"/>
        </w:rPr>
        <w:t xml:space="preserve"> </w:t>
      </w:r>
      <w:r w:rsidRPr="004230C3">
        <w:rPr>
          <w:rFonts w:cstheme="minorHAnsi"/>
          <w:i/>
          <w:sz w:val="18"/>
          <w:szCs w:val="18"/>
        </w:rPr>
        <w:t>See the technical appendix for further details</w:t>
      </w:r>
      <w:r>
        <w:rPr>
          <w:rFonts w:cstheme="minorHAnsi"/>
          <w:i/>
          <w:sz w:val="18"/>
          <w:szCs w:val="18"/>
        </w:rPr>
        <w:t>.</w:t>
      </w:r>
      <w:r w:rsidRPr="004230C3">
        <w:rPr>
          <w:rFonts w:cstheme="minorHAnsi"/>
          <w:i/>
          <w:sz w:val="18"/>
          <w:szCs w:val="18"/>
        </w:rPr>
        <w:t xml:space="preserve"> </w:t>
      </w:r>
    </w:p>
    <w:p w14:paraId="193DF7B6" w14:textId="18113F71" w:rsidR="002C15B5" w:rsidRPr="00127BE3" w:rsidRDefault="002C15B5" w:rsidP="002C15B5">
      <w:pPr>
        <w:spacing w:before="240" w:after="240"/>
        <w:rPr>
          <w:rFonts w:cstheme="minorHAnsi"/>
          <w:color w:val="000000" w:themeColor="text1"/>
          <w:szCs w:val="20"/>
        </w:rPr>
      </w:pPr>
      <w:r>
        <w:rPr>
          <w:rFonts w:cstheme="minorHAnsi"/>
          <w:color w:val="000000" w:themeColor="text1"/>
          <w:szCs w:val="20"/>
        </w:rPr>
        <w:t xml:space="preserve">EVA </w:t>
      </w:r>
      <w:r w:rsidRPr="00210289">
        <w:rPr>
          <w:rFonts w:cstheme="minorHAnsi"/>
          <w:color w:val="000000" w:themeColor="text1"/>
          <w:szCs w:val="20"/>
        </w:rPr>
        <w:t xml:space="preserve">customers who </w:t>
      </w:r>
      <w:r w:rsidR="005A3A77">
        <w:rPr>
          <w:rFonts w:cstheme="minorHAnsi"/>
          <w:color w:val="000000" w:themeColor="text1"/>
          <w:szCs w:val="20"/>
        </w:rPr>
        <w:t>generally</w:t>
      </w:r>
      <w:r w:rsidRPr="00210289">
        <w:rPr>
          <w:rFonts w:cstheme="minorHAnsi"/>
          <w:color w:val="000000" w:themeColor="text1"/>
          <w:szCs w:val="20"/>
        </w:rPr>
        <w:t xml:space="preserve"> </w:t>
      </w:r>
      <w:r>
        <w:rPr>
          <w:rFonts w:cstheme="minorHAnsi"/>
          <w:color w:val="000000" w:themeColor="text1"/>
          <w:szCs w:val="20"/>
        </w:rPr>
        <w:t xml:space="preserve">found the </w:t>
      </w:r>
      <w:r w:rsidRPr="00210289">
        <w:rPr>
          <w:rFonts w:cstheme="minorHAnsi"/>
          <w:color w:val="000000" w:themeColor="text1"/>
          <w:szCs w:val="20"/>
        </w:rPr>
        <w:t>Australian health system ‘</w:t>
      </w:r>
      <w:r w:rsidR="005A3A77">
        <w:rPr>
          <w:rFonts w:cstheme="minorHAnsi"/>
          <w:color w:val="000000" w:themeColor="text1"/>
          <w:szCs w:val="20"/>
        </w:rPr>
        <w:t>v</w:t>
      </w:r>
      <w:r w:rsidR="005A3A77" w:rsidRPr="00210289">
        <w:rPr>
          <w:rFonts w:cstheme="minorHAnsi"/>
          <w:color w:val="000000" w:themeColor="text1"/>
          <w:szCs w:val="20"/>
        </w:rPr>
        <w:t xml:space="preserve">ery </w:t>
      </w:r>
      <w:r w:rsidRPr="00210289">
        <w:rPr>
          <w:rFonts w:cstheme="minorHAnsi"/>
          <w:color w:val="000000" w:themeColor="text1"/>
          <w:szCs w:val="20"/>
        </w:rPr>
        <w:t>ha</w:t>
      </w:r>
      <w:r>
        <w:rPr>
          <w:rFonts w:cstheme="minorHAnsi"/>
          <w:color w:val="000000" w:themeColor="text1"/>
          <w:szCs w:val="20"/>
        </w:rPr>
        <w:t>rd’ or ‘</w:t>
      </w:r>
      <w:r w:rsidR="005A3A77">
        <w:rPr>
          <w:rFonts w:cstheme="minorHAnsi"/>
          <w:color w:val="000000" w:themeColor="text1"/>
          <w:szCs w:val="20"/>
        </w:rPr>
        <w:t>hard’</w:t>
      </w:r>
      <w:r>
        <w:rPr>
          <w:rFonts w:cstheme="minorHAnsi"/>
          <w:color w:val="000000" w:themeColor="text1"/>
          <w:szCs w:val="20"/>
        </w:rPr>
        <w:t xml:space="preserve"> to navigate, reported that this was</w:t>
      </w:r>
      <w:r w:rsidRPr="00210289">
        <w:rPr>
          <w:rFonts w:cstheme="minorHAnsi"/>
          <w:color w:val="000000" w:themeColor="text1"/>
          <w:szCs w:val="20"/>
        </w:rPr>
        <w:t xml:space="preserve"> because</w:t>
      </w:r>
      <w:r>
        <w:rPr>
          <w:rFonts w:cstheme="minorHAnsi"/>
          <w:color w:val="000000" w:themeColor="text1"/>
          <w:szCs w:val="20"/>
        </w:rPr>
        <w:t xml:space="preserve"> </w:t>
      </w:r>
      <w:r w:rsidRPr="00127BE3">
        <w:rPr>
          <w:rFonts w:cstheme="minorHAnsi"/>
          <w:color w:val="000000" w:themeColor="text1"/>
          <w:szCs w:val="20"/>
        </w:rPr>
        <w:t>there were limited services available to them</w:t>
      </w:r>
      <w:r w:rsidR="00580964">
        <w:rPr>
          <w:rFonts w:cstheme="minorHAnsi"/>
          <w:color w:val="000000" w:themeColor="text1"/>
          <w:szCs w:val="20"/>
        </w:rPr>
        <w:t>,</w:t>
      </w:r>
      <w:r w:rsidRPr="00127BE3">
        <w:rPr>
          <w:rFonts w:cstheme="minorHAnsi"/>
          <w:color w:val="000000" w:themeColor="text1"/>
          <w:szCs w:val="20"/>
        </w:rPr>
        <w:t xml:space="preserve"> </w:t>
      </w:r>
      <w:r>
        <w:rPr>
          <w:rFonts w:cstheme="minorHAnsi"/>
          <w:color w:val="000000" w:themeColor="text1"/>
          <w:szCs w:val="20"/>
        </w:rPr>
        <w:t xml:space="preserve">or that </w:t>
      </w:r>
      <w:r w:rsidRPr="00127BE3">
        <w:rPr>
          <w:rFonts w:cstheme="minorHAnsi"/>
          <w:color w:val="000000" w:themeColor="text1"/>
          <w:szCs w:val="20"/>
        </w:rPr>
        <w:t>bulk-billing services were difficult t</w:t>
      </w:r>
      <w:r>
        <w:rPr>
          <w:rFonts w:cstheme="minorHAnsi"/>
          <w:color w:val="000000" w:themeColor="text1"/>
          <w:szCs w:val="20"/>
        </w:rPr>
        <w:t>o find</w:t>
      </w:r>
      <w:r w:rsidRPr="00127BE3">
        <w:rPr>
          <w:rFonts w:cstheme="minorHAnsi"/>
          <w:color w:val="000000" w:themeColor="text1"/>
          <w:szCs w:val="20"/>
        </w:rPr>
        <w:t xml:space="preserve">, </w:t>
      </w:r>
      <w:r>
        <w:rPr>
          <w:rFonts w:cstheme="minorHAnsi"/>
          <w:color w:val="000000" w:themeColor="text1"/>
          <w:szCs w:val="20"/>
        </w:rPr>
        <w:t xml:space="preserve">they had </w:t>
      </w:r>
      <w:r w:rsidRPr="00127BE3">
        <w:rPr>
          <w:rFonts w:cstheme="minorHAnsi"/>
          <w:color w:val="000000" w:themeColor="text1"/>
          <w:szCs w:val="20"/>
        </w:rPr>
        <w:t>limited ski</w:t>
      </w:r>
      <w:r>
        <w:rPr>
          <w:rFonts w:cstheme="minorHAnsi"/>
          <w:color w:val="000000" w:themeColor="text1"/>
          <w:szCs w:val="20"/>
        </w:rPr>
        <w:t xml:space="preserve">lls or trust in technology, </w:t>
      </w:r>
      <w:r w:rsidRPr="00127BE3">
        <w:rPr>
          <w:rFonts w:cstheme="minorHAnsi"/>
          <w:color w:val="000000" w:themeColor="text1"/>
          <w:szCs w:val="20"/>
        </w:rPr>
        <w:t>were unfamiliar with the healthcare system</w:t>
      </w:r>
      <w:r>
        <w:rPr>
          <w:rFonts w:cstheme="minorHAnsi"/>
          <w:color w:val="000000" w:themeColor="text1"/>
          <w:szCs w:val="20"/>
        </w:rPr>
        <w:t xml:space="preserve"> and services in their area</w:t>
      </w:r>
      <w:r w:rsidRPr="00127BE3">
        <w:rPr>
          <w:rFonts w:cstheme="minorHAnsi"/>
          <w:color w:val="000000" w:themeColor="text1"/>
          <w:szCs w:val="20"/>
        </w:rPr>
        <w:t>, or had limited English</w:t>
      </w:r>
      <w:r>
        <w:rPr>
          <w:rFonts w:cstheme="minorHAnsi"/>
          <w:color w:val="000000" w:themeColor="text1"/>
          <w:szCs w:val="20"/>
        </w:rPr>
        <w:t xml:space="preserve"> skills</w:t>
      </w:r>
      <w:r w:rsidRPr="00127BE3">
        <w:rPr>
          <w:rFonts w:cstheme="minorHAnsi"/>
          <w:color w:val="000000" w:themeColor="text1"/>
          <w:szCs w:val="20"/>
        </w:rPr>
        <w:t xml:space="preserve">. </w:t>
      </w:r>
    </w:p>
    <w:p w14:paraId="26872C8B" w14:textId="4C54262E" w:rsidR="00367F7D" w:rsidRDefault="0032501D" w:rsidP="00367F7D">
      <w:pPr>
        <w:pStyle w:val="Heading4"/>
      </w:pPr>
      <w:r>
        <w:lastRenderedPageBreak/>
        <w:t>T</w:t>
      </w:r>
      <w:r w:rsidR="00D971DF">
        <w:t>he elderly</w:t>
      </w:r>
      <w:r w:rsidR="00BC559D">
        <w:t xml:space="preserve"> </w:t>
      </w:r>
      <w:r w:rsidR="00A04E27">
        <w:t>used</w:t>
      </w:r>
      <w:r w:rsidR="00367F7D">
        <w:t xml:space="preserve"> EVA at higher rat</w:t>
      </w:r>
      <w:r w:rsidR="00F1615D">
        <w:t>es</w:t>
      </w:r>
    </w:p>
    <w:p w14:paraId="1E79A8C1" w14:textId="16827670" w:rsidR="00276A9D" w:rsidRDefault="00367F7D" w:rsidP="00367F7D">
      <w:pPr>
        <w:rPr>
          <w:rFonts w:asciiTheme="majorHAnsi" w:hAnsiTheme="majorHAnsi"/>
        </w:rPr>
      </w:pPr>
      <w:r>
        <w:rPr>
          <w:rFonts w:ascii="Helvetica" w:hAnsi="Helvetica"/>
        </w:rPr>
        <w:t>During EVA</w:t>
      </w:r>
      <w:r w:rsidR="00E76EF6">
        <w:rPr>
          <w:rFonts w:ascii="Helvetica" w:hAnsi="Helvetica"/>
        </w:rPr>
        <w:t>’</w:t>
      </w:r>
      <w:r>
        <w:rPr>
          <w:rFonts w:ascii="Helvetica" w:hAnsi="Helvetica"/>
        </w:rPr>
        <w:t>s first year of operation, an EVA call was scheduled for an estimated 55 out of every 100,000 persons living in Australia.</w:t>
      </w:r>
      <w:r w:rsidR="000E1287">
        <w:rPr>
          <w:rFonts w:ascii="Helvetica" w:hAnsi="Helvetica"/>
        </w:rPr>
        <w:t xml:space="preserve"> </w:t>
      </w:r>
      <w:r w:rsidR="00C80158">
        <w:rPr>
          <w:rFonts w:ascii="Helvetica" w:hAnsi="Helvetica"/>
        </w:rPr>
        <w:t xml:space="preserve">However, </w:t>
      </w:r>
      <w:r>
        <w:rPr>
          <w:rFonts w:asciiTheme="majorHAnsi" w:hAnsiTheme="majorHAnsi"/>
        </w:rPr>
        <w:t>the rate of scheduled EVA ca</w:t>
      </w:r>
      <w:r w:rsidR="00B52ABC">
        <w:rPr>
          <w:rFonts w:asciiTheme="majorHAnsi" w:hAnsiTheme="majorHAnsi"/>
        </w:rPr>
        <w:t>lls was</w:t>
      </w:r>
      <w:r w:rsidR="00C80158">
        <w:rPr>
          <w:rFonts w:asciiTheme="majorHAnsi" w:hAnsiTheme="majorHAnsi"/>
        </w:rPr>
        <w:t xml:space="preserve"> much</w:t>
      </w:r>
      <w:r w:rsidR="00B52ABC">
        <w:rPr>
          <w:rFonts w:asciiTheme="majorHAnsi" w:hAnsiTheme="majorHAnsi"/>
        </w:rPr>
        <w:t xml:space="preserve"> high</w:t>
      </w:r>
      <w:r w:rsidR="00C80158">
        <w:rPr>
          <w:rFonts w:asciiTheme="majorHAnsi" w:hAnsiTheme="majorHAnsi"/>
        </w:rPr>
        <w:t>er</w:t>
      </w:r>
      <w:r w:rsidR="00B52ABC">
        <w:rPr>
          <w:rFonts w:asciiTheme="majorHAnsi" w:hAnsiTheme="majorHAnsi"/>
        </w:rPr>
        <w:t xml:space="preserve"> among </w:t>
      </w:r>
      <w:r w:rsidR="00DF2AE1">
        <w:rPr>
          <w:rFonts w:asciiTheme="majorHAnsi" w:hAnsiTheme="majorHAnsi"/>
        </w:rPr>
        <w:t>those aged over 6</w:t>
      </w:r>
      <w:r w:rsidR="00B71E9A">
        <w:rPr>
          <w:rFonts w:asciiTheme="majorHAnsi" w:hAnsiTheme="majorHAnsi"/>
        </w:rPr>
        <w:t>0 years</w:t>
      </w:r>
      <w:r>
        <w:rPr>
          <w:rFonts w:asciiTheme="majorHAnsi" w:hAnsiTheme="majorHAnsi"/>
        </w:rPr>
        <w:t xml:space="preserve">. In fact, the rate of scheduled EVA calls for persons aged 70 to 79 years was over double the national rate, with </w:t>
      </w:r>
      <w:r w:rsidR="00A30D8C">
        <w:rPr>
          <w:rFonts w:asciiTheme="majorHAnsi" w:hAnsiTheme="majorHAnsi"/>
        </w:rPr>
        <w:t xml:space="preserve">an EVA call scheduled for </w:t>
      </w:r>
      <w:r>
        <w:rPr>
          <w:rFonts w:asciiTheme="majorHAnsi" w:hAnsiTheme="majorHAnsi"/>
        </w:rPr>
        <w:t xml:space="preserve">118 out of every 100,000 </w:t>
      </w:r>
      <w:r w:rsidR="002016DE">
        <w:rPr>
          <w:rFonts w:asciiTheme="majorHAnsi" w:hAnsiTheme="majorHAnsi"/>
        </w:rPr>
        <w:t>persons</w:t>
      </w:r>
      <w:r>
        <w:rPr>
          <w:rFonts w:asciiTheme="majorHAnsi" w:hAnsiTheme="majorHAnsi"/>
        </w:rPr>
        <w:t xml:space="preserve"> aged 70-79 years</w:t>
      </w:r>
      <w:r w:rsidR="000E1287">
        <w:rPr>
          <w:rFonts w:asciiTheme="majorHAnsi" w:hAnsiTheme="majorHAnsi"/>
        </w:rPr>
        <w:t>.</w:t>
      </w:r>
      <w:r>
        <w:rPr>
          <w:rFonts w:asciiTheme="majorHAnsi" w:hAnsiTheme="majorHAnsi"/>
        </w:rPr>
        <w:t xml:space="preserve"> </w:t>
      </w:r>
      <w:r w:rsidR="00B52ABC">
        <w:rPr>
          <w:rFonts w:asciiTheme="majorHAnsi" w:hAnsiTheme="majorHAnsi"/>
        </w:rPr>
        <w:t xml:space="preserve"> </w:t>
      </w:r>
    </w:p>
    <w:p w14:paraId="45DCBD32" w14:textId="52AA88D9" w:rsidR="00F1615D" w:rsidRDefault="00F1615D" w:rsidP="00F1615D">
      <w:pPr>
        <w:pStyle w:val="Heading4"/>
      </w:pPr>
      <w:r>
        <w:t>EVA</w:t>
      </w:r>
      <w:r w:rsidR="0059112F">
        <w:t>,</w:t>
      </w:r>
      <w:r>
        <w:t xml:space="preserve"> </w:t>
      </w:r>
      <w:r w:rsidR="00417B87">
        <w:t>or an EVA-like service</w:t>
      </w:r>
      <w:r w:rsidR="0059112F">
        <w:t>,</w:t>
      </w:r>
      <w:r>
        <w:t xml:space="preserve"> could be leveraged further with other cohorts at risk of digital exclusion</w:t>
      </w:r>
    </w:p>
    <w:p w14:paraId="734D3251" w14:textId="3667DA9B" w:rsidR="00E76EF6" w:rsidRDefault="00FD5303" w:rsidP="00367F7D">
      <w:pPr>
        <w:rPr>
          <w:rFonts w:asciiTheme="majorHAnsi" w:hAnsiTheme="majorHAnsi"/>
        </w:rPr>
      </w:pPr>
      <w:r>
        <w:rPr>
          <w:rFonts w:asciiTheme="majorHAnsi" w:hAnsiTheme="majorHAnsi"/>
        </w:rPr>
        <w:t xml:space="preserve">More could </w:t>
      </w:r>
      <w:r w:rsidR="00A227BB">
        <w:rPr>
          <w:rFonts w:asciiTheme="majorHAnsi" w:hAnsiTheme="majorHAnsi"/>
        </w:rPr>
        <w:t xml:space="preserve">have </w:t>
      </w:r>
      <w:r>
        <w:rPr>
          <w:rFonts w:asciiTheme="majorHAnsi" w:hAnsiTheme="majorHAnsi"/>
        </w:rPr>
        <w:t>be</w:t>
      </w:r>
      <w:r w:rsidR="00A227BB">
        <w:rPr>
          <w:rFonts w:asciiTheme="majorHAnsi" w:hAnsiTheme="majorHAnsi"/>
        </w:rPr>
        <w:t>en</w:t>
      </w:r>
      <w:r>
        <w:rPr>
          <w:rFonts w:asciiTheme="majorHAnsi" w:hAnsiTheme="majorHAnsi"/>
        </w:rPr>
        <w:t xml:space="preserve"> done to ensure cohorts </w:t>
      </w:r>
      <w:r w:rsidR="00950CAF">
        <w:rPr>
          <w:rFonts w:asciiTheme="majorHAnsi" w:hAnsiTheme="majorHAnsi"/>
        </w:rPr>
        <w:t xml:space="preserve">at risk of digital exclusion </w:t>
      </w:r>
      <w:r w:rsidR="00A227BB">
        <w:rPr>
          <w:rFonts w:asciiTheme="majorHAnsi" w:hAnsiTheme="majorHAnsi"/>
        </w:rPr>
        <w:t>were</w:t>
      </w:r>
      <w:r>
        <w:rPr>
          <w:rFonts w:asciiTheme="majorHAnsi" w:hAnsiTheme="majorHAnsi"/>
        </w:rPr>
        <w:t xml:space="preserve"> aware of and </w:t>
      </w:r>
      <w:r w:rsidR="00A227BB">
        <w:rPr>
          <w:rFonts w:asciiTheme="majorHAnsi" w:hAnsiTheme="majorHAnsi"/>
        </w:rPr>
        <w:t>took advantage of EVA</w:t>
      </w:r>
      <w:r w:rsidR="00417B87">
        <w:rPr>
          <w:rFonts w:asciiTheme="majorHAnsi" w:hAnsiTheme="majorHAnsi"/>
        </w:rPr>
        <w:t>, or an EVA-like,</w:t>
      </w:r>
      <w:r>
        <w:rPr>
          <w:rFonts w:asciiTheme="majorHAnsi" w:hAnsiTheme="majorHAnsi"/>
        </w:rPr>
        <w:t xml:space="preserve"> service. </w:t>
      </w:r>
      <w:r w:rsidR="00E76EF6">
        <w:rPr>
          <w:rFonts w:asciiTheme="majorHAnsi" w:hAnsiTheme="majorHAnsi"/>
        </w:rPr>
        <w:t xml:space="preserve">While EVA </w:t>
      </w:r>
      <w:r w:rsidR="00417B87">
        <w:rPr>
          <w:rFonts w:asciiTheme="majorHAnsi" w:hAnsiTheme="majorHAnsi"/>
        </w:rPr>
        <w:t>was</w:t>
      </w:r>
      <w:r w:rsidR="00E76EF6">
        <w:rPr>
          <w:rFonts w:asciiTheme="majorHAnsi" w:hAnsiTheme="majorHAnsi"/>
        </w:rPr>
        <w:t xml:space="preserve"> reaching the elderly and people who find the health system difficult to navigate, </w:t>
      </w:r>
      <w:r w:rsidR="000768A2">
        <w:rPr>
          <w:rFonts w:asciiTheme="majorHAnsi" w:hAnsiTheme="majorHAnsi"/>
        </w:rPr>
        <w:t xml:space="preserve">other </w:t>
      </w:r>
      <w:r w:rsidR="00016A91">
        <w:rPr>
          <w:rFonts w:asciiTheme="majorHAnsi" w:hAnsiTheme="majorHAnsi"/>
        </w:rPr>
        <w:t>cohorts</w:t>
      </w:r>
      <w:r w:rsidR="00E76EF6">
        <w:rPr>
          <w:rFonts w:asciiTheme="majorHAnsi" w:hAnsiTheme="majorHAnsi"/>
        </w:rPr>
        <w:t xml:space="preserve"> </w:t>
      </w:r>
      <w:r w:rsidR="000768A2">
        <w:rPr>
          <w:rFonts w:asciiTheme="majorHAnsi" w:hAnsiTheme="majorHAnsi"/>
        </w:rPr>
        <w:t>who may</w:t>
      </w:r>
      <w:r w:rsidR="00A227BB">
        <w:rPr>
          <w:rFonts w:asciiTheme="majorHAnsi" w:hAnsiTheme="majorHAnsi"/>
        </w:rPr>
        <w:t xml:space="preserve"> have benefited </w:t>
      </w:r>
      <w:r w:rsidR="000768A2">
        <w:rPr>
          <w:rFonts w:asciiTheme="majorHAnsi" w:hAnsiTheme="majorHAnsi"/>
        </w:rPr>
        <w:t xml:space="preserve">are </w:t>
      </w:r>
      <w:r w:rsidR="00E76EF6">
        <w:rPr>
          <w:rFonts w:asciiTheme="majorHAnsi" w:hAnsiTheme="majorHAnsi"/>
        </w:rPr>
        <w:t>underutilising EVA</w:t>
      </w:r>
      <w:r w:rsidR="000768A2">
        <w:rPr>
          <w:rFonts w:asciiTheme="majorHAnsi" w:hAnsiTheme="majorHAnsi"/>
        </w:rPr>
        <w:t>. For instance</w:t>
      </w:r>
      <w:r w:rsidR="00E76EF6">
        <w:rPr>
          <w:rFonts w:asciiTheme="majorHAnsi" w:hAnsiTheme="majorHAnsi"/>
        </w:rPr>
        <w:t>:</w:t>
      </w:r>
    </w:p>
    <w:p w14:paraId="223F133E" w14:textId="77777777" w:rsidR="001A4E3C" w:rsidRDefault="00E76EF6" w:rsidP="000A0579">
      <w:pPr>
        <w:pStyle w:val="ListBullet"/>
        <w:ind w:left="360"/>
        <w:contextualSpacing w:val="0"/>
        <w:rPr>
          <w:rFonts w:cstheme="minorHAnsi"/>
          <w:szCs w:val="20"/>
        </w:rPr>
      </w:pPr>
      <w:r w:rsidRPr="00ED726D">
        <w:rPr>
          <w:rFonts w:cstheme="minorHAnsi"/>
          <w:b/>
          <w:szCs w:val="20"/>
        </w:rPr>
        <w:t>People with limited English.</w:t>
      </w:r>
      <w:r w:rsidRPr="00ED726D">
        <w:rPr>
          <w:rFonts w:cstheme="minorHAnsi"/>
          <w:szCs w:val="20"/>
        </w:rPr>
        <w:t xml:space="preserve"> </w:t>
      </w:r>
    </w:p>
    <w:p w14:paraId="00AEC3F5" w14:textId="0D4B711D" w:rsidR="00E76EF6" w:rsidRPr="00ED726D" w:rsidRDefault="008C53D1" w:rsidP="000A0579">
      <w:r w:rsidRPr="001A4E3C">
        <w:t>D</w:t>
      </w:r>
      <w:r w:rsidR="00367F7D" w:rsidRPr="001A4E3C">
        <w:t>espite EVA</w:t>
      </w:r>
      <w:r w:rsidRPr="001A4E3C">
        <w:t>’s</w:t>
      </w:r>
      <w:r w:rsidR="00367F7D" w:rsidRPr="001A4E3C">
        <w:t xml:space="preserve"> translation service, </w:t>
      </w:r>
      <w:r w:rsidRPr="001A4E3C">
        <w:t xml:space="preserve">only 8 </w:t>
      </w:r>
      <w:r w:rsidR="00BD57D3" w:rsidRPr="001A4E3C">
        <w:t>out of every</w:t>
      </w:r>
      <w:r w:rsidRPr="001A4E3C">
        <w:t xml:space="preserve"> 100,000 </w:t>
      </w:r>
      <w:r w:rsidR="006E5BFD" w:rsidRPr="001A4E3C">
        <w:t>persons</w:t>
      </w:r>
      <w:r w:rsidR="00367F7D" w:rsidRPr="001A4E3C">
        <w:t xml:space="preserve"> with limited</w:t>
      </w:r>
      <w:r w:rsidR="00BD57D3" w:rsidRPr="001A4E3C">
        <w:t xml:space="preserve"> or no</w:t>
      </w:r>
      <w:r w:rsidR="00367F7D" w:rsidRPr="001A4E3C">
        <w:t xml:space="preserve"> English</w:t>
      </w:r>
      <w:r w:rsidR="006E5BFD" w:rsidRPr="001A4E3C">
        <w:t xml:space="preserve"> skills </w:t>
      </w:r>
      <w:r w:rsidR="00BD57D3" w:rsidRPr="001A4E3C">
        <w:t>had a scheduled EVA call</w:t>
      </w:r>
      <w:r w:rsidR="00367F7D" w:rsidRPr="001A4E3C">
        <w:t xml:space="preserve">. It remains unknown why EVA was used less by this cohort. Those with limited English may not have been aware that EVA had a translation service, or potentially, the text-message component of EVA, which was only in English, may have been a barrier. </w:t>
      </w:r>
    </w:p>
    <w:p w14:paraId="469D5D5D" w14:textId="77777777" w:rsidR="001A4E3C" w:rsidRDefault="00E76EF6" w:rsidP="000A0579">
      <w:pPr>
        <w:pStyle w:val="ListBullet"/>
        <w:ind w:left="360"/>
        <w:contextualSpacing w:val="0"/>
        <w:rPr>
          <w:rFonts w:cstheme="minorHAnsi"/>
          <w:szCs w:val="20"/>
        </w:rPr>
      </w:pPr>
      <w:r w:rsidRPr="00ED726D">
        <w:rPr>
          <w:rFonts w:cstheme="minorHAnsi"/>
          <w:b/>
          <w:szCs w:val="20"/>
        </w:rPr>
        <w:t>People living in very remote areas.</w:t>
      </w:r>
      <w:r w:rsidRPr="00ED726D">
        <w:rPr>
          <w:rFonts w:cstheme="minorHAnsi"/>
          <w:szCs w:val="20"/>
        </w:rPr>
        <w:t xml:space="preserve"> </w:t>
      </w:r>
    </w:p>
    <w:p w14:paraId="653F9B8E" w14:textId="4A03199A" w:rsidR="00E76EF6" w:rsidRPr="00ED726D" w:rsidRDefault="00E76EF6" w:rsidP="000A0579">
      <w:pPr>
        <w:pStyle w:val="ListBullet"/>
        <w:ind w:left="0" w:firstLine="0"/>
        <w:contextualSpacing w:val="0"/>
        <w:rPr>
          <w:rFonts w:cstheme="minorHAnsi"/>
          <w:szCs w:val="20"/>
        </w:rPr>
      </w:pPr>
      <w:r w:rsidRPr="00ED726D">
        <w:rPr>
          <w:rFonts w:cstheme="minorHAnsi"/>
          <w:szCs w:val="20"/>
        </w:rPr>
        <w:t>The number of EVA customers per 100,000 was lower for those living in very remote</w:t>
      </w:r>
      <w:r w:rsidR="001A4E3C">
        <w:rPr>
          <w:rFonts w:cstheme="minorHAnsi"/>
          <w:szCs w:val="20"/>
        </w:rPr>
        <w:t xml:space="preserve"> </w:t>
      </w:r>
      <w:r w:rsidRPr="00ED726D">
        <w:rPr>
          <w:rFonts w:cstheme="minorHAnsi"/>
          <w:szCs w:val="20"/>
        </w:rPr>
        <w:t xml:space="preserve">areas (26 per 100,000) and outer regional areas (39 per 100,000). This </w:t>
      </w:r>
      <w:r w:rsidR="0002742D">
        <w:rPr>
          <w:rFonts w:cstheme="minorHAnsi"/>
          <w:szCs w:val="20"/>
        </w:rPr>
        <w:t>was</w:t>
      </w:r>
      <w:r w:rsidRPr="00ED726D">
        <w:rPr>
          <w:rFonts w:cstheme="minorHAnsi"/>
          <w:szCs w:val="20"/>
        </w:rPr>
        <w:t xml:space="preserve"> despite the fact that these cohorts often face additional healthcare access barriers associated with the challenges of geographic spread, limited infrastructure due to low population density, and a higher cost of rural and remote healthcare delivery (AIHW 2022c).</w:t>
      </w:r>
    </w:p>
    <w:p w14:paraId="200499CD" w14:textId="77777777" w:rsidR="001A4E3C" w:rsidRDefault="00276A9D" w:rsidP="000A0579">
      <w:pPr>
        <w:pStyle w:val="ListBullet"/>
        <w:ind w:left="360"/>
        <w:contextualSpacing w:val="0"/>
        <w:rPr>
          <w:rFonts w:cstheme="minorHAnsi"/>
          <w:szCs w:val="20"/>
        </w:rPr>
      </w:pPr>
      <w:r w:rsidRPr="00ED726D">
        <w:rPr>
          <w:rFonts w:cstheme="minorHAnsi"/>
          <w:b/>
          <w:szCs w:val="20"/>
        </w:rPr>
        <w:t>First Nations people.</w:t>
      </w:r>
      <w:r w:rsidRPr="001A4E3C">
        <w:rPr>
          <w:rFonts w:cstheme="minorHAnsi"/>
          <w:szCs w:val="20"/>
        </w:rPr>
        <w:t xml:space="preserve"> </w:t>
      </w:r>
    </w:p>
    <w:p w14:paraId="377BB8C3" w14:textId="5197B661" w:rsidR="00276A9D" w:rsidRPr="00ED726D" w:rsidRDefault="00276A9D" w:rsidP="000A0579">
      <w:pPr>
        <w:pStyle w:val="ListBullet"/>
        <w:ind w:left="0" w:firstLine="0"/>
        <w:contextualSpacing w:val="0"/>
        <w:rPr>
          <w:rFonts w:cstheme="minorHAnsi"/>
          <w:szCs w:val="20"/>
        </w:rPr>
      </w:pPr>
      <w:r w:rsidRPr="00ED726D">
        <w:rPr>
          <w:rFonts w:cstheme="minorHAnsi"/>
          <w:szCs w:val="20"/>
        </w:rPr>
        <w:t>EVA successfully reached a number of First Nation peoples</w:t>
      </w:r>
      <w:r w:rsidR="00033E95">
        <w:rPr>
          <w:rFonts w:cstheme="minorHAnsi"/>
          <w:szCs w:val="20"/>
        </w:rPr>
        <w:t xml:space="preserve"> </w:t>
      </w:r>
      <w:r w:rsidR="00033E95" w:rsidRPr="00ED726D">
        <w:rPr>
          <w:rFonts w:cstheme="minorHAnsi"/>
          <w:szCs w:val="20"/>
        </w:rPr>
        <w:t>wi</w:t>
      </w:r>
      <w:r w:rsidR="005B570F">
        <w:rPr>
          <w:rFonts w:cstheme="minorHAnsi"/>
          <w:szCs w:val="20"/>
        </w:rPr>
        <w:t xml:space="preserve">th 41 per 100,000 First Nation persons </w:t>
      </w:r>
      <w:r w:rsidR="00033E95" w:rsidRPr="00ED726D">
        <w:rPr>
          <w:rFonts w:cstheme="minorHAnsi"/>
          <w:szCs w:val="20"/>
        </w:rPr>
        <w:t>using EVA</w:t>
      </w:r>
      <w:r w:rsidR="005B570F">
        <w:rPr>
          <w:rFonts w:cstheme="minorHAnsi"/>
          <w:szCs w:val="20"/>
        </w:rPr>
        <w:t>. However, consistent with the broader pattern of First Nation peoples</w:t>
      </w:r>
      <w:r w:rsidR="00C93C24">
        <w:rPr>
          <w:rFonts w:cstheme="minorHAnsi"/>
          <w:szCs w:val="20"/>
        </w:rPr>
        <w:t xml:space="preserve">’ </w:t>
      </w:r>
      <w:r w:rsidR="005B570F">
        <w:rPr>
          <w:rFonts w:cstheme="minorHAnsi"/>
          <w:szCs w:val="20"/>
        </w:rPr>
        <w:t>access to preventative healthcare (AIHW 2023)</w:t>
      </w:r>
      <w:r w:rsidR="00C93C24">
        <w:rPr>
          <w:rFonts w:cstheme="minorHAnsi"/>
          <w:szCs w:val="20"/>
        </w:rPr>
        <w:t>,</w:t>
      </w:r>
      <w:r w:rsidRPr="00ED726D">
        <w:rPr>
          <w:rFonts w:cstheme="minorHAnsi"/>
          <w:szCs w:val="20"/>
        </w:rPr>
        <w:t xml:space="preserve"> </w:t>
      </w:r>
      <w:r w:rsidR="00033E95">
        <w:rPr>
          <w:rFonts w:cstheme="minorHAnsi"/>
          <w:szCs w:val="20"/>
        </w:rPr>
        <w:t>th</w:t>
      </w:r>
      <w:r w:rsidR="005B570F">
        <w:rPr>
          <w:rFonts w:cstheme="minorHAnsi"/>
          <w:szCs w:val="20"/>
        </w:rPr>
        <w:t>e</w:t>
      </w:r>
      <w:r w:rsidR="00033E95">
        <w:rPr>
          <w:rFonts w:cstheme="minorHAnsi"/>
          <w:szCs w:val="20"/>
        </w:rPr>
        <w:t xml:space="preserve"> rate</w:t>
      </w:r>
      <w:r w:rsidR="005B570F">
        <w:rPr>
          <w:rFonts w:cstheme="minorHAnsi"/>
          <w:szCs w:val="20"/>
        </w:rPr>
        <w:t xml:space="preserve"> of EVA use</w:t>
      </w:r>
      <w:r w:rsidRPr="00ED726D">
        <w:rPr>
          <w:rFonts w:cstheme="minorHAnsi"/>
          <w:szCs w:val="20"/>
        </w:rPr>
        <w:t xml:space="preserve"> was still below the national rate</w:t>
      </w:r>
      <w:r w:rsidR="00033E95">
        <w:rPr>
          <w:rFonts w:cstheme="minorHAnsi"/>
          <w:szCs w:val="20"/>
        </w:rPr>
        <w:t xml:space="preserve"> </w:t>
      </w:r>
      <w:r w:rsidR="005B570F">
        <w:rPr>
          <w:rFonts w:cstheme="minorHAnsi"/>
          <w:szCs w:val="20"/>
        </w:rPr>
        <w:t>of 55 out of 100,000 persons</w:t>
      </w:r>
      <w:r w:rsidRPr="00ED726D">
        <w:rPr>
          <w:rFonts w:cstheme="minorHAnsi"/>
          <w:szCs w:val="20"/>
        </w:rPr>
        <w:t>.</w:t>
      </w:r>
    </w:p>
    <w:p w14:paraId="1A5F4AFB" w14:textId="77777777" w:rsidR="001A4E3C" w:rsidRDefault="00FD5303" w:rsidP="000A0579">
      <w:pPr>
        <w:pStyle w:val="ListBullet"/>
        <w:ind w:left="360"/>
        <w:contextualSpacing w:val="0"/>
        <w:rPr>
          <w:rFonts w:cstheme="minorHAnsi"/>
          <w:szCs w:val="20"/>
        </w:rPr>
      </w:pPr>
      <w:r w:rsidRPr="00ED726D">
        <w:rPr>
          <w:rFonts w:cstheme="minorHAnsi"/>
          <w:b/>
          <w:szCs w:val="20"/>
        </w:rPr>
        <w:t>People living in areas of greatest socio-economic disadvantage.</w:t>
      </w:r>
      <w:r w:rsidRPr="00ED726D">
        <w:rPr>
          <w:rFonts w:cstheme="minorHAnsi"/>
          <w:szCs w:val="20"/>
        </w:rPr>
        <w:t xml:space="preserve"> </w:t>
      </w:r>
    </w:p>
    <w:p w14:paraId="02FCC8EA" w14:textId="6FA6B75A" w:rsidR="00FD5303" w:rsidRPr="005B4427" w:rsidRDefault="00FD5303" w:rsidP="000A0579">
      <w:pPr>
        <w:pStyle w:val="ListBullet"/>
        <w:ind w:left="0" w:firstLine="0"/>
        <w:contextualSpacing w:val="0"/>
        <w:rPr>
          <w:rFonts w:cstheme="minorHAnsi"/>
          <w:szCs w:val="20"/>
        </w:rPr>
      </w:pPr>
      <w:r w:rsidRPr="00ED726D">
        <w:rPr>
          <w:rFonts w:cstheme="minorHAnsi"/>
          <w:szCs w:val="20"/>
        </w:rPr>
        <w:t>Those living in</w:t>
      </w:r>
      <w:r w:rsidR="00B75571">
        <w:rPr>
          <w:rFonts w:cstheme="minorHAnsi"/>
          <w:szCs w:val="20"/>
        </w:rPr>
        <w:t xml:space="preserve"> </w:t>
      </w:r>
      <w:r w:rsidRPr="00ED726D">
        <w:rPr>
          <w:rFonts w:cstheme="minorHAnsi"/>
          <w:szCs w:val="20"/>
        </w:rPr>
        <w:t>areas of greater socio-economic disadvantage (IRSAD decile</w:t>
      </w:r>
      <w:r w:rsidR="00750277">
        <w:rPr>
          <w:rStyle w:val="FootnoteReference"/>
          <w:rFonts w:cstheme="minorHAnsi"/>
          <w:szCs w:val="20"/>
        </w:rPr>
        <w:footnoteReference w:id="4"/>
      </w:r>
      <w:r w:rsidRPr="00ED726D">
        <w:rPr>
          <w:rFonts w:cstheme="minorHAnsi"/>
          <w:szCs w:val="20"/>
        </w:rPr>
        <w:t xml:space="preserve"> &lt;= 5) </w:t>
      </w:r>
      <w:r w:rsidR="00635CBE">
        <w:rPr>
          <w:rFonts w:cstheme="minorHAnsi"/>
          <w:szCs w:val="20"/>
        </w:rPr>
        <w:t xml:space="preserve">had </w:t>
      </w:r>
      <w:r w:rsidRPr="00ED726D">
        <w:rPr>
          <w:rFonts w:cstheme="minorHAnsi"/>
          <w:szCs w:val="20"/>
        </w:rPr>
        <w:t>used</w:t>
      </w:r>
      <w:r w:rsidR="00B75571">
        <w:rPr>
          <w:rFonts w:cstheme="minorHAnsi"/>
          <w:szCs w:val="20"/>
        </w:rPr>
        <w:t xml:space="preserve"> </w:t>
      </w:r>
      <w:r w:rsidRPr="00ED726D">
        <w:rPr>
          <w:rFonts w:cstheme="minorHAnsi"/>
          <w:szCs w:val="20"/>
        </w:rPr>
        <w:t xml:space="preserve">EVA less than those living in areas of greater socio-economic advantage (IRSAD deciles 9 and 10). For example while only 5% of EVA customers lived in areas of the greatest disadvantage (e.g. IRSAD decile = 1), 15% of EVA customers lived in areas of the greatest advantage (i.e. IRSAD decile = 10). This </w:t>
      </w:r>
      <w:r w:rsidR="0002742D">
        <w:rPr>
          <w:rFonts w:cstheme="minorHAnsi"/>
          <w:szCs w:val="20"/>
        </w:rPr>
        <w:t>was</w:t>
      </w:r>
      <w:r w:rsidR="00F13AD0">
        <w:rPr>
          <w:rFonts w:cstheme="minorHAnsi"/>
          <w:szCs w:val="20"/>
        </w:rPr>
        <w:t xml:space="preserve"> despite the fact that those</w:t>
      </w:r>
      <w:r w:rsidRPr="00ED726D">
        <w:rPr>
          <w:rFonts w:cstheme="minorHAnsi"/>
          <w:szCs w:val="20"/>
        </w:rPr>
        <w:t xml:space="preserve"> living with greater socio-economic disadvantage have additional barriers for accessing healthcare (e.g. </w:t>
      </w:r>
      <w:r w:rsidRPr="00ED726D">
        <w:rPr>
          <w:rFonts w:cstheme="minorHAnsi"/>
          <w:szCs w:val="20"/>
        </w:rPr>
        <w:lastRenderedPageBreak/>
        <w:t>McMaugh</w:t>
      </w:r>
      <w:r w:rsidRPr="005B4427">
        <w:rPr>
          <w:rFonts w:cstheme="minorHAnsi"/>
          <w:szCs w:val="20"/>
        </w:rPr>
        <w:t xml:space="preserve">an 2020) and are at greater risk of poor health, have higher rates of illness, disability and death, </w:t>
      </w:r>
      <w:r w:rsidR="00E95A8E" w:rsidRPr="005B4427">
        <w:rPr>
          <w:rFonts w:cstheme="minorHAnsi"/>
          <w:szCs w:val="20"/>
        </w:rPr>
        <w:t xml:space="preserve">and </w:t>
      </w:r>
      <w:r w:rsidRPr="005B4427">
        <w:rPr>
          <w:rFonts w:cstheme="minorHAnsi"/>
          <w:szCs w:val="20"/>
        </w:rPr>
        <w:t>live shorter lives (AIHW 2022b).</w:t>
      </w:r>
    </w:p>
    <w:p w14:paraId="516E96F3" w14:textId="37EF9991" w:rsidR="00367F7D" w:rsidRPr="007A7A66" w:rsidRDefault="00367F7D" w:rsidP="00367F7D">
      <w:pPr>
        <w:rPr>
          <w:rFonts w:asciiTheme="majorHAnsi" w:hAnsiTheme="majorHAnsi"/>
        </w:rPr>
      </w:pPr>
      <w:r>
        <w:rPr>
          <w:rFonts w:asciiTheme="majorHAnsi" w:hAnsiTheme="majorHAnsi"/>
        </w:rPr>
        <w:t xml:space="preserve">That those living in areas of the greatest disadvantage </w:t>
      </w:r>
      <w:r w:rsidR="00635CBE">
        <w:rPr>
          <w:rFonts w:asciiTheme="majorHAnsi" w:hAnsiTheme="majorHAnsi"/>
        </w:rPr>
        <w:t xml:space="preserve">were </w:t>
      </w:r>
      <w:r w:rsidR="00D81532">
        <w:rPr>
          <w:rFonts w:asciiTheme="majorHAnsi" w:hAnsiTheme="majorHAnsi"/>
        </w:rPr>
        <w:t xml:space="preserve">using EVA at a reduced rate </w:t>
      </w:r>
      <w:r>
        <w:rPr>
          <w:rFonts w:asciiTheme="majorHAnsi" w:hAnsiTheme="majorHAnsi"/>
        </w:rPr>
        <w:t>is consistent with what appears to be broader patterns within the Australian healthcare system. For example, a</w:t>
      </w:r>
      <w:r w:rsidRPr="001516DF">
        <w:rPr>
          <w:rFonts w:asciiTheme="majorHAnsi" w:hAnsiTheme="majorHAnsi"/>
        </w:rPr>
        <w:t xml:space="preserve">lthough the Extended Medicare Safety Net (EMSN) reduces out-of-pocket costs for Medicare-eligible non-hospital services, this scheme </w:t>
      </w:r>
      <w:r w:rsidR="00D81532">
        <w:rPr>
          <w:rFonts w:asciiTheme="majorHAnsi" w:hAnsiTheme="majorHAnsi"/>
        </w:rPr>
        <w:t xml:space="preserve">appears to </w:t>
      </w:r>
      <w:r w:rsidRPr="001516DF">
        <w:rPr>
          <w:rFonts w:asciiTheme="majorHAnsi" w:hAnsiTheme="majorHAnsi"/>
        </w:rPr>
        <w:t>primarily be</w:t>
      </w:r>
      <w:r w:rsidR="00D81532">
        <w:rPr>
          <w:rFonts w:asciiTheme="majorHAnsi" w:hAnsiTheme="majorHAnsi"/>
        </w:rPr>
        <w:t>nefit</w:t>
      </w:r>
      <w:r w:rsidRPr="001516DF">
        <w:rPr>
          <w:rFonts w:asciiTheme="majorHAnsi" w:hAnsiTheme="majorHAnsi"/>
        </w:rPr>
        <w:t xml:space="preserve"> those in wealthier metropolitan areas and does not </w:t>
      </w:r>
      <w:r w:rsidR="00D81532">
        <w:rPr>
          <w:rFonts w:asciiTheme="majorHAnsi" w:hAnsiTheme="majorHAnsi"/>
        </w:rPr>
        <w:t xml:space="preserve">necessarily </w:t>
      </w:r>
      <w:r w:rsidRPr="001516DF">
        <w:rPr>
          <w:rFonts w:asciiTheme="majorHAnsi" w:hAnsiTheme="majorHAnsi"/>
        </w:rPr>
        <w:t xml:space="preserve">reduce the financial burden on people living with socio-economic disadvantage (Angeles et al. 2023). Less than 4% of benefits from the EMSN are given to the poorest 20% of areas, yet the </w:t>
      </w:r>
      <w:r w:rsidR="003A65D4">
        <w:rPr>
          <w:rFonts w:asciiTheme="majorHAnsi" w:hAnsiTheme="majorHAnsi"/>
        </w:rPr>
        <w:t>wealthiest</w:t>
      </w:r>
      <w:r w:rsidRPr="001516DF">
        <w:rPr>
          <w:rFonts w:asciiTheme="majorHAnsi" w:hAnsiTheme="majorHAnsi"/>
        </w:rPr>
        <w:t xml:space="preserve"> 20% of Australians receive more than 50% of benefits (Calder et al. 2019).  </w:t>
      </w:r>
    </w:p>
    <w:p w14:paraId="4F9985AF" w14:textId="13BAE7ED" w:rsidR="001956ED" w:rsidRDefault="00367F7D" w:rsidP="00B75571">
      <w:pPr>
        <w:rPr>
          <w:rFonts w:asciiTheme="majorHAnsi" w:hAnsiTheme="majorHAnsi"/>
          <w:b/>
          <w:sz w:val="72"/>
          <w:szCs w:val="44"/>
        </w:rPr>
      </w:pPr>
      <w:r>
        <w:rPr>
          <w:rFonts w:asciiTheme="majorHAnsi" w:hAnsiTheme="majorHAnsi"/>
        </w:rPr>
        <w:t xml:space="preserve">Why certain </w:t>
      </w:r>
      <w:r w:rsidR="003F5EC6">
        <w:rPr>
          <w:rFonts w:asciiTheme="majorHAnsi" w:hAnsiTheme="majorHAnsi"/>
        </w:rPr>
        <w:t>vulnerable</w:t>
      </w:r>
      <w:r>
        <w:rPr>
          <w:rFonts w:asciiTheme="majorHAnsi" w:hAnsiTheme="majorHAnsi"/>
        </w:rPr>
        <w:t xml:space="preserve"> cohorts </w:t>
      </w:r>
      <w:r w:rsidR="00F528BE">
        <w:rPr>
          <w:rFonts w:asciiTheme="majorHAnsi" w:hAnsiTheme="majorHAnsi"/>
        </w:rPr>
        <w:t xml:space="preserve">at risk of digital exclusion used EVA </w:t>
      </w:r>
      <w:r w:rsidR="00191DCA">
        <w:rPr>
          <w:rFonts w:asciiTheme="majorHAnsi" w:hAnsiTheme="majorHAnsi"/>
        </w:rPr>
        <w:t>at</w:t>
      </w:r>
      <w:r w:rsidR="00F528BE">
        <w:rPr>
          <w:rFonts w:asciiTheme="majorHAnsi" w:hAnsiTheme="majorHAnsi"/>
        </w:rPr>
        <w:t xml:space="preserve"> lower rates </w:t>
      </w:r>
      <w:r>
        <w:rPr>
          <w:rFonts w:asciiTheme="majorHAnsi" w:hAnsiTheme="majorHAnsi"/>
        </w:rPr>
        <w:t>rema</w:t>
      </w:r>
      <w:r w:rsidR="00F528BE">
        <w:rPr>
          <w:rFonts w:asciiTheme="majorHAnsi" w:hAnsiTheme="majorHAnsi"/>
        </w:rPr>
        <w:t>ins unknown. Further exploring</w:t>
      </w:r>
      <w:r>
        <w:rPr>
          <w:rFonts w:asciiTheme="majorHAnsi" w:hAnsiTheme="majorHAnsi"/>
        </w:rPr>
        <w:t xml:space="preserve"> the barriers and enablers </w:t>
      </w:r>
      <w:r w:rsidR="00F528BE">
        <w:rPr>
          <w:rFonts w:asciiTheme="majorHAnsi" w:hAnsiTheme="majorHAnsi"/>
        </w:rPr>
        <w:t>that these</w:t>
      </w:r>
      <w:r>
        <w:rPr>
          <w:rFonts w:asciiTheme="majorHAnsi" w:hAnsiTheme="majorHAnsi"/>
        </w:rPr>
        <w:t xml:space="preserve"> cohorts experience in terms of using EVA (or like service) may aid in decisions about how best to support these cohorts</w:t>
      </w:r>
      <w:r w:rsidR="00B75571">
        <w:t>.</w:t>
      </w:r>
    </w:p>
    <w:p w14:paraId="23A4EF79" w14:textId="77777777" w:rsidR="000A0579" w:rsidRDefault="000A0579">
      <w:pPr>
        <w:spacing w:after="0" w:line="240" w:lineRule="auto"/>
        <w:rPr>
          <w:rFonts w:asciiTheme="majorHAnsi" w:hAnsiTheme="majorHAnsi"/>
          <w:b/>
          <w:sz w:val="72"/>
          <w:szCs w:val="44"/>
        </w:rPr>
      </w:pPr>
      <w:bookmarkStart w:id="31" w:name="_Toc145085928"/>
      <w:bookmarkStart w:id="32" w:name="_Toc145368205"/>
      <w:bookmarkStart w:id="33" w:name="_Toc145415480"/>
      <w:bookmarkStart w:id="34" w:name="_Toc145421680"/>
      <w:bookmarkStart w:id="35" w:name="_Toc145422537"/>
      <w:r>
        <w:br w:type="page"/>
      </w:r>
    </w:p>
    <w:p w14:paraId="0F49FBAC" w14:textId="510ABA96" w:rsidR="00B85446" w:rsidRPr="0050783B" w:rsidRDefault="0019600C" w:rsidP="00191A5D">
      <w:pPr>
        <w:pStyle w:val="Heading2"/>
      </w:pPr>
      <w:r>
        <w:lastRenderedPageBreak/>
        <w:t>Implications</w:t>
      </w:r>
      <w:r w:rsidR="0044273D">
        <w:t>, limitations</w:t>
      </w:r>
      <w:r w:rsidR="00B85446" w:rsidRPr="0050783B">
        <w:t xml:space="preserve"> and conclusion</w:t>
      </w:r>
      <w:bookmarkEnd w:id="31"/>
      <w:bookmarkEnd w:id="32"/>
      <w:bookmarkEnd w:id="33"/>
      <w:bookmarkEnd w:id="34"/>
      <w:bookmarkEnd w:id="35"/>
    </w:p>
    <w:p w14:paraId="67CE6A91" w14:textId="5A9C384C" w:rsidR="00D97FA2" w:rsidRDefault="00D97FA2" w:rsidP="002A6377">
      <w:pPr>
        <w:rPr>
          <w:rFonts w:ascii="Helvetica" w:hAnsi="Helvetica"/>
        </w:rPr>
      </w:pPr>
      <w:r w:rsidRPr="008F2FC4">
        <w:rPr>
          <w:rFonts w:ascii="Helvetica" w:hAnsi="Helvetica"/>
        </w:rPr>
        <w:t>In evaluating EVA, we sought to answer the following questions:</w:t>
      </w:r>
    </w:p>
    <w:p w14:paraId="56859F76" w14:textId="5077726A" w:rsidR="00A40BA0" w:rsidRDefault="00A40BA0" w:rsidP="00A40BA0">
      <w:pPr>
        <w:pStyle w:val="ListBullet"/>
        <w:numPr>
          <w:ilvl w:val="0"/>
          <w:numId w:val="39"/>
        </w:numPr>
      </w:pPr>
      <w:r>
        <w:t>Did EVA create an enabling environment?</w:t>
      </w:r>
    </w:p>
    <w:p w14:paraId="1FAB2765" w14:textId="5F4433D7" w:rsidR="006E3993" w:rsidRDefault="006E3993" w:rsidP="00F0485D">
      <w:pPr>
        <w:pStyle w:val="ListBullet"/>
        <w:numPr>
          <w:ilvl w:val="0"/>
          <w:numId w:val="39"/>
        </w:numPr>
      </w:pPr>
      <w:r>
        <w:t>Why do people use call health booking services like EVA?</w:t>
      </w:r>
    </w:p>
    <w:p w14:paraId="0C5D88D4" w14:textId="238EB23C" w:rsidR="00907A90" w:rsidRDefault="00635CBE" w:rsidP="00F0485D">
      <w:pPr>
        <w:pStyle w:val="ListBullet"/>
        <w:numPr>
          <w:ilvl w:val="0"/>
          <w:numId w:val="39"/>
        </w:numPr>
      </w:pPr>
      <w:r>
        <w:t>Did</w:t>
      </w:r>
      <w:r w:rsidR="00907A90">
        <w:t xml:space="preserve"> EVA </w:t>
      </w:r>
      <w:r>
        <w:t>reach</w:t>
      </w:r>
      <w:r w:rsidR="00907A90">
        <w:t xml:space="preserve"> vulnerable cohorts?</w:t>
      </w:r>
    </w:p>
    <w:p w14:paraId="59A0EDE7" w14:textId="15AA479E" w:rsidR="00F0485D" w:rsidRDefault="00F0485D" w:rsidP="00F0485D">
      <w:pPr>
        <w:pStyle w:val="Heading3"/>
      </w:pPr>
      <w:r>
        <w:t xml:space="preserve">EVA </w:t>
      </w:r>
      <w:r w:rsidR="00635CBE">
        <w:t>delivered</w:t>
      </w:r>
      <w:r>
        <w:t xml:space="preserve"> on its aim to create an enabling environment</w:t>
      </w:r>
    </w:p>
    <w:p w14:paraId="0DD39482" w14:textId="77777777" w:rsidR="00F0485D" w:rsidRPr="00F66C8C" w:rsidRDefault="00F0485D" w:rsidP="00F0485D">
      <w:r>
        <w:t>Customers appreciated the ability to explain their circumstance to a ‘real person’ rather than an automated system, and felt that</w:t>
      </w:r>
      <w:r w:rsidRPr="006D6D34">
        <w:rPr>
          <w:color w:val="C00000"/>
        </w:rPr>
        <w:t xml:space="preserve"> </w:t>
      </w:r>
      <w:r w:rsidRPr="00F66C8C">
        <w:t xml:space="preserve">they were treated with kindness, understanding and respect, and that call handlers were well-informed and could address their </w:t>
      </w:r>
      <w:r>
        <w:t>unique</w:t>
      </w:r>
      <w:r w:rsidRPr="00F66C8C">
        <w:t xml:space="preserve"> needs.</w:t>
      </w:r>
    </w:p>
    <w:p w14:paraId="08F4EDB0" w14:textId="1EA31A54" w:rsidR="00F0485D" w:rsidRDefault="00F0485D" w:rsidP="00F0485D">
      <w:r>
        <w:t>C</w:t>
      </w:r>
      <w:r w:rsidRPr="002A64EC">
        <w:t xml:space="preserve">ustomers indicated that EVA </w:t>
      </w:r>
      <w:r w:rsidR="00635CBE">
        <w:t xml:space="preserve">had </w:t>
      </w:r>
      <w:r w:rsidRPr="002A64EC">
        <w:t>reduced</w:t>
      </w:r>
      <w:r>
        <w:t>:</w:t>
      </w:r>
    </w:p>
    <w:p w14:paraId="374F1DBA" w14:textId="77777777" w:rsidR="00F0485D" w:rsidRDefault="00F0485D" w:rsidP="00F0485D">
      <w:pPr>
        <w:pStyle w:val="ListBullet"/>
        <w:numPr>
          <w:ilvl w:val="0"/>
          <w:numId w:val="41"/>
        </w:numPr>
      </w:pPr>
      <w:r w:rsidRPr="00461E30">
        <w:rPr>
          <w:b/>
        </w:rPr>
        <w:t>Barriers</w:t>
      </w:r>
      <w:r>
        <w:t>. EVA reduced t</w:t>
      </w:r>
      <w:r w:rsidRPr="002A64EC">
        <w:t xml:space="preserve">he barriers </w:t>
      </w:r>
      <w:r>
        <w:t>customers</w:t>
      </w:r>
      <w:r w:rsidRPr="002A64EC">
        <w:t xml:space="preserve"> faced</w:t>
      </w:r>
      <w:r>
        <w:t>,</w:t>
      </w:r>
      <w:r w:rsidRPr="002A64EC">
        <w:t xml:space="preserve"> making it as easy as possible for </w:t>
      </w:r>
      <w:r>
        <w:t>them</w:t>
      </w:r>
      <w:r w:rsidRPr="002A64EC">
        <w:t xml:space="preserve"> to access a vaccine.</w:t>
      </w:r>
    </w:p>
    <w:p w14:paraId="71344986" w14:textId="622FBBFE" w:rsidR="00F0485D" w:rsidRDefault="00F0485D" w:rsidP="00F0485D">
      <w:pPr>
        <w:pStyle w:val="ListBullet"/>
        <w:numPr>
          <w:ilvl w:val="0"/>
          <w:numId w:val="41"/>
        </w:numPr>
      </w:pPr>
      <w:r w:rsidRPr="00461E30">
        <w:rPr>
          <w:b/>
        </w:rPr>
        <w:t>Burdens</w:t>
      </w:r>
      <w:r>
        <w:t xml:space="preserve">. EVA reduced customer time and effort </w:t>
      </w:r>
      <w:r w:rsidRPr="002A64EC">
        <w:t xml:space="preserve">burdens associated with finding </w:t>
      </w:r>
      <w:r>
        <w:t>relevant up-to-date information</w:t>
      </w:r>
      <w:r w:rsidRPr="002A64EC">
        <w:t xml:space="preserve"> </w:t>
      </w:r>
      <w:r>
        <w:t>and vaccinati</w:t>
      </w:r>
      <w:r w:rsidR="002009B1">
        <w:t>on providers that best meet</w:t>
      </w:r>
      <w:r>
        <w:t xml:space="preserve"> their needs</w:t>
      </w:r>
      <w:r w:rsidRPr="002A64EC">
        <w:t>.</w:t>
      </w:r>
    </w:p>
    <w:p w14:paraId="7DF59B87" w14:textId="77777777" w:rsidR="00F0485D" w:rsidRDefault="00F0485D" w:rsidP="00F0485D">
      <w:pPr>
        <w:pStyle w:val="ListBullet"/>
        <w:numPr>
          <w:ilvl w:val="0"/>
          <w:numId w:val="41"/>
        </w:numPr>
      </w:pPr>
      <w:r w:rsidRPr="00461E30">
        <w:rPr>
          <w:b/>
        </w:rPr>
        <w:t>Frustration</w:t>
      </w:r>
      <w:r>
        <w:t>. EVA reduced c</w:t>
      </w:r>
      <w:r w:rsidRPr="002A64EC">
        <w:t>ustomer frustration</w:t>
      </w:r>
      <w:r>
        <w:t xml:space="preserve"> caused by the barriers they had faced trying to find a vaccine. </w:t>
      </w:r>
    </w:p>
    <w:p w14:paraId="525C8201" w14:textId="77777777" w:rsidR="00F0485D" w:rsidRDefault="00F0485D" w:rsidP="00F0485D">
      <w:pPr>
        <w:pStyle w:val="ListBullet"/>
        <w:numPr>
          <w:ilvl w:val="0"/>
          <w:numId w:val="41"/>
        </w:numPr>
      </w:pPr>
      <w:r>
        <w:rPr>
          <w:b/>
        </w:rPr>
        <w:t>Defeat</w:t>
      </w:r>
      <w:r w:rsidRPr="00461E30">
        <w:t>.</w:t>
      </w:r>
      <w:r>
        <w:t xml:space="preserve"> Customer comments indicated that EVA</w:t>
      </w:r>
      <w:r w:rsidRPr="002A64EC">
        <w:t xml:space="preserve"> </w:t>
      </w:r>
      <w:r>
        <w:t xml:space="preserve">prevented them from giving up trying to access a vaccine. </w:t>
      </w:r>
    </w:p>
    <w:p w14:paraId="41F432DC" w14:textId="77777777" w:rsidR="00F0485D" w:rsidRDefault="00F0485D" w:rsidP="00F0485D">
      <w:r>
        <w:t xml:space="preserve">EVA successfully resulted in customers receiving </w:t>
      </w:r>
      <w:r w:rsidRPr="00B75571">
        <w:t>the right service at the right time with</w:t>
      </w:r>
      <w:r>
        <w:rPr>
          <w:b/>
        </w:rPr>
        <w:t xml:space="preserve"> </w:t>
      </w:r>
      <w:r>
        <w:t>91% of respondents matched to providers that met their needs, and 89% receiving a vaccine.</w:t>
      </w:r>
    </w:p>
    <w:p w14:paraId="2121C8CF" w14:textId="6E45EEB6" w:rsidR="006A7CFE" w:rsidRDefault="006A7CFE" w:rsidP="00461E30">
      <w:pPr>
        <w:pStyle w:val="Heading3"/>
      </w:pPr>
      <w:r>
        <w:t xml:space="preserve">People used </w:t>
      </w:r>
      <w:r w:rsidR="004A6EAB">
        <w:t>EVA</w:t>
      </w:r>
      <w:r>
        <w:t xml:space="preserve"> for multiple reasons</w:t>
      </w:r>
    </w:p>
    <w:p w14:paraId="58B0CE1F" w14:textId="1FD25E07" w:rsidR="006A7CFE" w:rsidRDefault="00F0485D" w:rsidP="00F0485D">
      <w:pPr>
        <w:pStyle w:val="ListBullet"/>
        <w:ind w:left="0" w:firstLine="0"/>
      </w:pPr>
      <w:r>
        <w:t>There were a range of reasons c</w:t>
      </w:r>
      <w:r w:rsidR="002F4AAD">
        <w:t>ustomers reported usi</w:t>
      </w:r>
      <w:r w:rsidR="0096408E">
        <w:t>ng EVA</w:t>
      </w:r>
      <w:r>
        <w:t>. For many, finding and booking the right service at the right time was not always easy, and EVA helped ease the complexity of locating the right service. Many customers were referred to EVA</w:t>
      </w:r>
      <w:r w:rsidRPr="00F0485D">
        <w:t xml:space="preserve"> </w:t>
      </w:r>
      <w:r>
        <w:t>after alternative avenues had failed, and overall</w:t>
      </w:r>
      <w:r w:rsidR="00822AF8">
        <w:t>,</w:t>
      </w:r>
      <w:r>
        <w:t xml:space="preserve"> customers found EVA </w:t>
      </w:r>
      <w:r w:rsidR="0002742D">
        <w:t>was</w:t>
      </w:r>
      <w:r>
        <w:t xml:space="preserve"> easy to use and found it an efficient and effective use of their time. EVA staff were seen to have relevant specialist and up-to-date knowledge which was reassuring to customers. Finally, for those who lacked confidence in their ability to navigate online platforms effectively, EVA provided an accessible way to obtain information about the vaccine and book and appointment.</w:t>
      </w:r>
    </w:p>
    <w:p w14:paraId="62E915BE" w14:textId="6D8E7FC8" w:rsidR="0044273D" w:rsidRDefault="0044273D" w:rsidP="00461E30">
      <w:pPr>
        <w:pStyle w:val="Heading3"/>
        <w:rPr>
          <w:rFonts w:ascii="Helvetica" w:hAnsi="Helvetica"/>
        </w:rPr>
      </w:pPr>
      <w:r>
        <w:t xml:space="preserve">There is room to leverage </w:t>
      </w:r>
      <w:r w:rsidR="002C43A5">
        <w:t xml:space="preserve">a program like </w:t>
      </w:r>
      <w:r>
        <w:t xml:space="preserve">EVA further with cohorts at risk of digital exclusion. </w:t>
      </w:r>
    </w:p>
    <w:p w14:paraId="1E2A7202" w14:textId="1221D855" w:rsidR="0044273D" w:rsidRDefault="002A6377" w:rsidP="00A85146">
      <w:r>
        <w:rPr>
          <w:rFonts w:ascii="Helvetica" w:hAnsi="Helvetica"/>
        </w:rPr>
        <w:t xml:space="preserve">While </w:t>
      </w:r>
      <w:r w:rsidRPr="00896F3C">
        <w:rPr>
          <w:rFonts w:ascii="Helvetica" w:hAnsi="Helvetica"/>
        </w:rPr>
        <w:t xml:space="preserve">EVA </w:t>
      </w:r>
      <w:r>
        <w:rPr>
          <w:rFonts w:ascii="Helvetica" w:hAnsi="Helvetica"/>
        </w:rPr>
        <w:t>was accessed by</w:t>
      </w:r>
      <w:r w:rsidRPr="00896F3C">
        <w:rPr>
          <w:rFonts w:ascii="Helvetica" w:hAnsi="Helvetica"/>
        </w:rPr>
        <w:t xml:space="preserve"> </w:t>
      </w:r>
      <w:r w:rsidR="005973B4">
        <w:rPr>
          <w:rFonts w:ascii="Helvetica" w:hAnsi="Helvetica"/>
        </w:rPr>
        <w:t>the elderly and those who find it difficult to navigate the Australian health system,</w:t>
      </w:r>
      <w:r w:rsidRPr="00896F3C">
        <w:rPr>
          <w:rFonts w:ascii="Helvetica" w:hAnsi="Helvetica"/>
        </w:rPr>
        <w:t xml:space="preserve"> </w:t>
      </w:r>
      <w:r>
        <w:rPr>
          <w:rFonts w:ascii="Helvetica" w:hAnsi="Helvetica"/>
        </w:rPr>
        <w:t xml:space="preserve">EVA was </w:t>
      </w:r>
      <w:r w:rsidR="00F27D87">
        <w:rPr>
          <w:rFonts w:ascii="Helvetica" w:hAnsi="Helvetica"/>
        </w:rPr>
        <w:t xml:space="preserve">underutilised </w:t>
      </w:r>
      <w:r>
        <w:rPr>
          <w:rFonts w:ascii="Helvetica" w:hAnsi="Helvetica"/>
        </w:rPr>
        <w:t xml:space="preserve">by </w:t>
      </w:r>
      <w:r w:rsidR="005973B4">
        <w:rPr>
          <w:rFonts w:ascii="Helvetica" w:hAnsi="Helvetica"/>
        </w:rPr>
        <w:t>those</w:t>
      </w:r>
      <w:r w:rsidR="00A85146">
        <w:rPr>
          <w:rFonts w:ascii="Helvetica" w:hAnsi="Helvetica"/>
        </w:rPr>
        <w:t xml:space="preserve"> </w:t>
      </w:r>
      <w:r w:rsidR="00FC30C9">
        <w:t>w</w:t>
      </w:r>
      <w:r w:rsidR="005973B4">
        <w:t xml:space="preserve">ith limited English (despite EVA </w:t>
      </w:r>
      <w:r w:rsidR="005973B4">
        <w:lastRenderedPageBreak/>
        <w:t>having a translation service)</w:t>
      </w:r>
      <w:r w:rsidR="00A85146">
        <w:t xml:space="preserve">, </w:t>
      </w:r>
      <w:r w:rsidR="00FC30C9">
        <w:t>l</w:t>
      </w:r>
      <w:r w:rsidR="005973B4">
        <w:t>iving in very remote areas</w:t>
      </w:r>
      <w:r w:rsidR="00A85146">
        <w:t xml:space="preserve">, </w:t>
      </w:r>
      <w:r w:rsidR="00FC30C9">
        <w:t>l</w:t>
      </w:r>
      <w:r w:rsidR="005973B4">
        <w:t>iving in areas of greater socio-economic disadvantage</w:t>
      </w:r>
      <w:r w:rsidRPr="00896F3C">
        <w:t xml:space="preserve">. </w:t>
      </w:r>
    </w:p>
    <w:p w14:paraId="7E82AABF" w14:textId="1DA63138" w:rsidR="00F71EF9" w:rsidRPr="00A85146" w:rsidRDefault="00A85146" w:rsidP="00A85146">
      <w:pPr>
        <w:pStyle w:val="NormalWhite"/>
        <w:rPr>
          <w:color w:val="000000" w:themeColor="text1"/>
        </w:rPr>
      </w:pPr>
      <w:r>
        <w:rPr>
          <w:color w:val="auto"/>
        </w:rPr>
        <w:t>T</w:t>
      </w:r>
      <w:r w:rsidR="0044273D" w:rsidRPr="005F295C">
        <w:rPr>
          <w:color w:val="auto"/>
        </w:rPr>
        <w:t xml:space="preserve">here are other cohorts at risk of digital exclusion that we were unable to </w:t>
      </w:r>
      <w:r w:rsidR="0084315F" w:rsidRPr="005F295C">
        <w:rPr>
          <w:color w:val="auto"/>
        </w:rPr>
        <w:t xml:space="preserve">examine their uptake of EVA </w:t>
      </w:r>
      <w:r w:rsidR="00C81813" w:rsidRPr="00BD25F6">
        <w:rPr>
          <w:color w:val="auto"/>
        </w:rPr>
        <w:t>(Good Things Foundation 2021)</w:t>
      </w:r>
      <w:r w:rsidR="0084315F" w:rsidRPr="005125E0">
        <w:rPr>
          <w:color w:val="auto"/>
        </w:rPr>
        <w:t>. These cohorts include those</w:t>
      </w:r>
      <w:r>
        <w:rPr>
          <w:color w:val="auto"/>
        </w:rPr>
        <w:t xml:space="preserve"> </w:t>
      </w:r>
      <w:r>
        <w:rPr>
          <w:color w:val="000000" w:themeColor="text1"/>
        </w:rPr>
        <w:t>wi</w:t>
      </w:r>
      <w:r w:rsidR="0084315F" w:rsidRPr="00A85146">
        <w:rPr>
          <w:color w:val="000000" w:themeColor="text1"/>
        </w:rPr>
        <w:t>th a disability</w:t>
      </w:r>
      <w:r>
        <w:rPr>
          <w:color w:val="000000" w:themeColor="text1"/>
        </w:rPr>
        <w:t>, w</w:t>
      </w:r>
      <w:r w:rsidR="0084315F" w:rsidRPr="00A85146">
        <w:rPr>
          <w:color w:val="000000" w:themeColor="text1"/>
        </w:rPr>
        <w:t xml:space="preserve">ith mobile-only </w:t>
      </w:r>
      <w:r>
        <w:rPr>
          <w:color w:val="000000" w:themeColor="text1"/>
        </w:rPr>
        <w:t xml:space="preserve">connection, who </w:t>
      </w:r>
      <w:r w:rsidRPr="00A85146">
        <w:rPr>
          <w:color w:val="000000" w:themeColor="text1"/>
        </w:rPr>
        <w:t xml:space="preserve">are </w:t>
      </w:r>
      <w:r>
        <w:rPr>
          <w:color w:val="000000" w:themeColor="text1"/>
        </w:rPr>
        <w:t>n</w:t>
      </w:r>
      <w:r w:rsidR="0084315F" w:rsidRPr="00A85146">
        <w:rPr>
          <w:color w:val="000000" w:themeColor="text1"/>
        </w:rPr>
        <w:t>ot in the labour force</w:t>
      </w:r>
      <w:r>
        <w:rPr>
          <w:color w:val="000000" w:themeColor="text1"/>
        </w:rPr>
        <w:t xml:space="preserve">, and those </w:t>
      </w:r>
      <w:r w:rsidR="00F71EF9" w:rsidRPr="00A85146">
        <w:rPr>
          <w:color w:val="000000" w:themeColor="text1"/>
        </w:rPr>
        <w:t>experiencing or at risk of family and domestic violence.</w:t>
      </w:r>
    </w:p>
    <w:p w14:paraId="6DCBA92F" w14:textId="5E8674E5" w:rsidR="002A6377" w:rsidRDefault="002A6377" w:rsidP="002A6377">
      <w:r>
        <w:t xml:space="preserve">Given EVA’s many strengths, </w:t>
      </w:r>
      <w:r w:rsidR="00CA32D9">
        <w:t>its</w:t>
      </w:r>
      <w:r>
        <w:t xml:space="preserve"> service delivery and capabilities could </w:t>
      </w:r>
      <w:r w:rsidR="00635CBE">
        <w:t>have been</w:t>
      </w:r>
      <w:r>
        <w:t xml:space="preserve"> leveraged further so that</w:t>
      </w:r>
      <w:r w:rsidR="00BA5CA0">
        <w:t xml:space="preserve"> </w:t>
      </w:r>
      <w:r>
        <w:t xml:space="preserve">more Australians experiencing healthcare access barriers are enabled to access the right service at the right time for them. </w:t>
      </w:r>
    </w:p>
    <w:p w14:paraId="4CEE5F27" w14:textId="30C09E89" w:rsidR="0090264F" w:rsidRDefault="0090264F" w:rsidP="005973B4">
      <w:pPr>
        <w:pStyle w:val="Heading3"/>
      </w:pPr>
      <w:r>
        <w:t>Considering evaluation</w:t>
      </w:r>
      <w:r w:rsidR="009A79A4">
        <w:t xml:space="preserve"> alongside service</w:t>
      </w:r>
      <w:r>
        <w:t xml:space="preserve"> design is critical</w:t>
      </w:r>
    </w:p>
    <w:p w14:paraId="3B6494B3" w14:textId="5D75C443" w:rsidR="009A79A4" w:rsidRDefault="009A79A4" w:rsidP="009A79A4">
      <w:r w:rsidRPr="009A79A4">
        <w:t>A core feature of EVA was to limit unnecessary questions asked of customers</w:t>
      </w:r>
      <w:r>
        <w:t xml:space="preserve"> and allow customers to limit disclosure of personal information without preventing access to the service</w:t>
      </w:r>
      <w:r w:rsidRPr="009A79A4">
        <w:t xml:space="preserve">. This </w:t>
      </w:r>
      <w:r>
        <w:t>resulted in</w:t>
      </w:r>
      <w:r w:rsidRPr="009A79A4">
        <w:t xml:space="preserve"> the systems used to capture EVA data </w:t>
      </w:r>
      <w:r>
        <w:t>being</w:t>
      </w:r>
      <w:r w:rsidRPr="009A79A4">
        <w:t xml:space="preserve"> designed to facilitate EVA’s flexible operational functioning, rather than to collect data for</w:t>
      </w:r>
      <w:r>
        <w:t xml:space="preserve"> the purpose</w:t>
      </w:r>
      <w:r w:rsidR="00A9129D">
        <w:t xml:space="preserve"> of</w:t>
      </w:r>
      <w:r w:rsidRPr="009A79A4">
        <w:t xml:space="preserve"> evaluation. </w:t>
      </w:r>
    </w:p>
    <w:p w14:paraId="3DD50678" w14:textId="594024F3" w:rsidR="009A79A4" w:rsidRPr="009A79A4" w:rsidRDefault="009A79A4" w:rsidP="009A79A4">
      <w:r w:rsidRPr="0090264F">
        <w:rPr>
          <w:szCs w:val="20"/>
        </w:rPr>
        <w:t>The challenges experienced in evaluating EVA provide a case for evaluation to be consi</w:t>
      </w:r>
      <w:r>
        <w:rPr>
          <w:szCs w:val="20"/>
        </w:rPr>
        <w:t>dered early in the design phase.</w:t>
      </w:r>
      <w:r w:rsidRPr="009A79A4">
        <w:t xml:space="preserve"> </w:t>
      </w:r>
      <w:r>
        <w:t xml:space="preserve">Consideration of data </w:t>
      </w:r>
      <w:r w:rsidR="00AB4A82">
        <w:t xml:space="preserve">capture and </w:t>
      </w:r>
      <w:r>
        <w:t>usage</w:t>
      </w:r>
      <w:r w:rsidR="00AB4A82">
        <w:t>, key outcomes</w:t>
      </w:r>
      <w:r>
        <w:t xml:space="preserve"> and evaluation</w:t>
      </w:r>
      <w:r w:rsidR="00AB4A82">
        <w:t xml:space="preserve"> more broadly</w:t>
      </w:r>
      <w:r>
        <w:t xml:space="preserve"> should ideally be an important part of </w:t>
      </w:r>
      <w:r w:rsidR="00AB4A82">
        <w:t>program</w:t>
      </w:r>
      <w:r>
        <w:t xml:space="preserve"> design, and doesn’t need to be inconsistent with </w:t>
      </w:r>
      <w:r w:rsidR="00AB4A82">
        <w:t>the foundational principle of limit</w:t>
      </w:r>
      <w:r w:rsidR="00A9129D">
        <w:t>ing</w:t>
      </w:r>
      <w:r w:rsidR="00AB4A82">
        <w:t xml:space="preserve"> barriers to access.</w:t>
      </w:r>
    </w:p>
    <w:p w14:paraId="1DB9B160" w14:textId="690A5867" w:rsidR="005973B4" w:rsidRDefault="005973B4" w:rsidP="005973B4">
      <w:pPr>
        <w:pStyle w:val="Heading3"/>
      </w:pPr>
      <w:r>
        <w:t>Implications for other healthcare areas</w:t>
      </w:r>
    </w:p>
    <w:p w14:paraId="2322185C" w14:textId="63D6E3E8" w:rsidR="005973B4" w:rsidRDefault="00E13629" w:rsidP="005973B4">
      <w:r>
        <w:t xml:space="preserve">This evaluation revealed </w:t>
      </w:r>
      <w:r w:rsidR="00534B24">
        <w:t xml:space="preserve">the following </w:t>
      </w:r>
      <w:r w:rsidR="005973B4">
        <w:t>implications for other hea</w:t>
      </w:r>
      <w:r>
        <w:t>lth services.</w:t>
      </w:r>
    </w:p>
    <w:p w14:paraId="2E6B7C48" w14:textId="68FFB442" w:rsidR="005973B4" w:rsidRPr="00DA4E8C" w:rsidRDefault="005973B4" w:rsidP="00A85146">
      <w:pPr>
        <w:pStyle w:val="ListNumber"/>
        <w:numPr>
          <w:ilvl w:val="0"/>
          <w:numId w:val="33"/>
        </w:numPr>
        <w:rPr>
          <w:b/>
        </w:rPr>
      </w:pPr>
      <w:r w:rsidRPr="00A85146">
        <w:rPr>
          <w:b/>
        </w:rPr>
        <w:t>Finding the right health services is not always as ea</w:t>
      </w:r>
      <w:r w:rsidR="00E13629" w:rsidRPr="00A85146">
        <w:rPr>
          <w:b/>
        </w:rPr>
        <w:t>sy as assumed</w:t>
      </w:r>
    </w:p>
    <w:p w14:paraId="20445D80" w14:textId="59EE0086" w:rsidR="00E13629" w:rsidRDefault="00534B24" w:rsidP="00E13629">
      <w:pPr>
        <w:rPr>
          <w:rFonts w:eastAsiaTheme="minorEastAsia"/>
        </w:rPr>
      </w:pPr>
      <w:r>
        <w:rPr>
          <w:rFonts w:eastAsiaTheme="minorEastAsia"/>
        </w:rPr>
        <w:t>T</w:t>
      </w:r>
      <w:r w:rsidR="00393060">
        <w:rPr>
          <w:rFonts w:eastAsiaTheme="minorEastAsia"/>
        </w:rPr>
        <w:t>h</w:t>
      </w:r>
      <w:r w:rsidR="00C205CC">
        <w:rPr>
          <w:rFonts w:eastAsiaTheme="minorEastAsia"/>
        </w:rPr>
        <w:t>e insights from th</w:t>
      </w:r>
      <w:r w:rsidR="00393060">
        <w:rPr>
          <w:rFonts w:eastAsiaTheme="minorEastAsia"/>
        </w:rPr>
        <w:t>is</w:t>
      </w:r>
      <w:r>
        <w:rPr>
          <w:rFonts w:eastAsiaTheme="minorEastAsia"/>
        </w:rPr>
        <w:t xml:space="preserve"> evaluation demonstrate it </w:t>
      </w:r>
      <w:r w:rsidR="00C205CC">
        <w:rPr>
          <w:rFonts w:eastAsiaTheme="minorEastAsia"/>
        </w:rPr>
        <w:t>is</w:t>
      </w:r>
      <w:r>
        <w:rPr>
          <w:rFonts w:eastAsiaTheme="minorEastAsia"/>
        </w:rPr>
        <w:t xml:space="preserve"> not always easy for Australians to find the right h</w:t>
      </w:r>
      <w:r w:rsidR="00E13629">
        <w:rPr>
          <w:rFonts w:eastAsiaTheme="minorEastAsia"/>
        </w:rPr>
        <w:t>ealth service</w:t>
      </w:r>
      <w:r>
        <w:rPr>
          <w:rFonts w:eastAsiaTheme="minorEastAsia"/>
        </w:rPr>
        <w:t xml:space="preserve"> at the right time, </w:t>
      </w:r>
      <w:r w:rsidR="00E13629">
        <w:rPr>
          <w:rFonts w:eastAsiaTheme="minorEastAsia"/>
        </w:rPr>
        <w:t>nor are suitable appointments always easy to book</w:t>
      </w:r>
      <w:r w:rsidR="00393060">
        <w:rPr>
          <w:rFonts w:eastAsiaTheme="minorEastAsia"/>
        </w:rPr>
        <w:t>. This is true even</w:t>
      </w:r>
      <w:r w:rsidR="00A01FCE">
        <w:rPr>
          <w:rFonts w:eastAsiaTheme="minorEastAsia"/>
        </w:rPr>
        <w:t xml:space="preserve"> when there is </w:t>
      </w:r>
      <w:r w:rsidR="00393060">
        <w:rPr>
          <w:rFonts w:eastAsiaTheme="minorEastAsia"/>
        </w:rPr>
        <w:t>information available online and in the community.</w:t>
      </w:r>
    </w:p>
    <w:p w14:paraId="3F9C31CC" w14:textId="245A26F4" w:rsidR="005973B4" w:rsidRPr="00DA4E8C" w:rsidRDefault="00C205CC" w:rsidP="00A85146">
      <w:pPr>
        <w:pStyle w:val="ListNumber"/>
        <w:numPr>
          <w:ilvl w:val="0"/>
          <w:numId w:val="33"/>
        </w:numPr>
        <w:rPr>
          <w:b/>
        </w:rPr>
      </w:pPr>
      <w:r>
        <w:rPr>
          <w:b/>
        </w:rPr>
        <w:t>To enable</w:t>
      </w:r>
      <w:r w:rsidR="005973B4" w:rsidRPr="00A85146">
        <w:rPr>
          <w:b/>
        </w:rPr>
        <w:t xml:space="preserve"> equitable access, </w:t>
      </w:r>
      <w:r w:rsidR="00DD7C07" w:rsidRPr="00716F0F">
        <w:rPr>
          <w:b/>
        </w:rPr>
        <w:t>health services need to be accessible through multiple pathways, not just online</w:t>
      </w:r>
      <w:r w:rsidR="00DD7C07" w:rsidRPr="00DD7C07" w:rsidDel="00DD7C07">
        <w:rPr>
          <w:b/>
        </w:rPr>
        <w:t xml:space="preserve"> </w:t>
      </w:r>
    </w:p>
    <w:p w14:paraId="0E2350A6" w14:textId="375B57A1" w:rsidR="00E13629" w:rsidRDefault="00E13629" w:rsidP="00E13629">
      <w:pPr>
        <w:rPr>
          <w:rFonts w:ascii="Helvetica" w:eastAsia="+mn-ea" w:hAnsi="Helvetica" w:cs="+mn-cs"/>
          <w:color w:val="000000"/>
          <w:kern w:val="24"/>
          <w:lang w:val="en-US"/>
        </w:rPr>
      </w:pPr>
      <w:r>
        <w:rPr>
          <w:rFonts w:ascii="Helvetica" w:eastAsia="+mn-ea" w:hAnsi="Helvetica" w:cs="+mn-cs"/>
          <w:color w:val="000000"/>
          <w:kern w:val="24"/>
          <w:lang w:val="en-US"/>
        </w:rPr>
        <w:t>Equitable access to health services in the right place at the right time is a</w:t>
      </w:r>
      <w:r w:rsidR="004D4E63">
        <w:rPr>
          <w:rFonts w:ascii="Helvetica" w:eastAsia="+mn-ea" w:hAnsi="Helvetica" w:cs="+mn-cs"/>
          <w:color w:val="000000"/>
          <w:kern w:val="24"/>
          <w:lang w:val="en-US"/>
        </w:rPr>
        <w:t>n Australian</w:t>
      </w:r>
      <w:r>
        <w:rPr>
          <w:rFonts w:ascii="Helvetica" w:eastAsia="+mn-ea" w:hAnsi="Helvetica" w:cs="+mn-cs"/>
          <w:color w:val="000000"/>
          <w:kern w:val="24"/>
          <w:lang w:val="en-US"/>
        </w:rPr>
        <w:t xml:space="preserve"> government priority. </w:t>
      </w:r>
      <w:r w:rsidR="00E25868">
        <w:rPr>
          <w:rFonts w:ascii="Helvetica" w:eastAsia="+mn-ea" w:hAnsi="Helvetica" w:cs="+mn-cs"/>
          <w:color w:val="000000"/>
          <w:kern w:val="24"/>
          <w:lang w:val="en-US"/>
        </w:rPr>
        <w:t>This evaluation provides evidence that demonstrate that</w:t>
      </w:r>
      <w:r>
        <w:rPr>
          <w:rFonts w:ascii="Helvetica" w:eastAsia="+mn-ea" w:hAnsi="Helvetica" w:cs="+mn-cs"/>
          <w:color w:val="000000"/>
          <w:kern w:val="24"/>
          <w:lang w:val="en-US"/>
        </w:rPr>
        <w:t xml:space="preserve"> options need to be available for people who struggle to navigate online health services</w:t>
      </w:r>
      <w:r w:rsidR="00E25868">
        <w:rPr>
          <w:rFonts w:ascii="Helvetica" w:eastAsia="+mn-ea" w:hAnsi="Helvetica" w:cs="+mn-cs"/>
          <w:color w:val="000000"/>
          <w:kern w:val="24"/>
          <w:lang w:val="en-US"/>
        </w:rPr>
        <w:t>.</w:t>
      </w:r>
    </w:p>
    <w:p w14:paraId="0F5FD853" w14:textId="0CC0F77C" w:rsidR="005973B4" w:rsidRPr="00DA4E8C" w:rsidRDefault="005973B4" w:rsidP="00A85146">
      <w:pPr>
        <w:pStyle w:val="ListNumber"/>
        <w:numPr>
          <w:ilvl w:val="0"/>
          <w:numId w:val="33"/>
        </w:numPr>
        <w:rPr>
          <w:b/>
        </w:rPr>
      </w:pPr>
      <w:r w:rsidRPr="00A85146">
        <w:rPr>
          <w:b/>
        </w:rPr>
        <w:t>Call service</w:t>
      </w:r>
      <w:r w:rsidR="00E13629" w:rsidRPr="00A85146">
        <w:rPr>
          <w:b/>
        </w:rPr>
        <w:t>s that locate and book health provider appointments are particularly useful to the elderly</w:t>
      </w:r>
    </w:p>
    <w:p w14:paraId="5CAE1371" w14:textId="61E2FEBA" w:rsidR="00E13629" w:rsidRPr="00E13629" w:rsidRDefault="00E13629" w:rsidP="00E13629">
      <w:r w:rsidRPr="00E13629">
        <w:t xml:space="preserve">The elderly, who are among the most digitally excluded, utilised EVA at high rates. Many customers unsuccessfully tried alternative avenues for booking a vaccine before finding and booking through EVA. </w:t>
      </w:r>
    </w:p>
    <w:p w14:paraId="4063BA85" w14:textId="11A7DE83" w:rsidR="00E13629" w:rsidRPr="00DA4E8C" w:rsidRDefault="00DD7C07" w:rsidP="00A85146">
      <w:pPr>
        <w:pStyle w:val="ListNumber"/>
        <w:numPr>
          <w:ilvl w:val="0"/>
          <w:numId w:val="33"/>
        </w:numPr>
        <w:rPr>
          <w:b/>
        </w:rPr>
      </w:pPr>
      <w:r>
        <w:rPr>
          <w:b/>
        </w:rPr>
        <w:t xml:space="preserve">Vulnerable cohort may require thoughtful targeting to ensure they utilise supportive services </w:t>
      </w:r>
    </w:p>
    <w:p w14:paraId="0651B9AF" w14:textId="673F84F3" w:rsidR="00A7006C" w:rsidRDefault="00AB56DD" w:rsidP="001956ED">
      <w:r>
        <w:lastRenderedPageBreak/>
        <w:t xml:space="preserve">Despite EVA being designed with a range of </w:t>
      </w:r>
      <w:r w:rsidR="00D60D0F">
        <w:t xml:space="preserve">vulnerable </w:t>
      </w:r>
      <w:r>
        <w:t xml:space="preserve">cohorts </w:t>
      </w:r>
      <w:r w:rsidR="00D60D0F">
        <w:t>in mind,</w:t>
      </w:r>
      <w:r>
        <w:t xml:space="preserve"> s</w:t>
      </w:r>
      <w:r w:rsidR="00E13629" w:rsidRPr="00E13629">
        <w:t xml:space="preserve">ome </w:t>
      </w:r>
      <w:r>
        <w:t>cohorts, like those with limited English skills, u</w:t>
      </w:r>
      <w:r w:rsidR="00E13629" w:rsidRPr="00E13629">
        <w:t>nderutili</w:t>
      </w:r>
      <w:r w:rsidR="00C205CC">
        <w:t>s</w:t>
      </w:r>
      <w:r w:rsidR="00E13629" w:rsidRPr="00E13629">
        <w:t>e</w:t>
      </w:r>
      <w:r>
        <w:t xml:space="preserve">d </w:t>
      </w:r>
      <w:r w:rsidR="00E13629" w:rsidRPr="00E13629">
        <w:t>EVA</w:t>
      </w:r>
      <w:r w:rsidR="00C205CC">
        <w:t>.</w:t>
      </w:r>
      <w:r w:rsidR="00E13629" w:rsidRPr="00E13629">
        <w:t xml:space="preserve"> </w:t>
      </w:r>
      <w:r>
        <w:t>This result suggests that t</w:t>
      </w:r>
      <w:r w:rsidR="00E13629" w:rsidRPr="00E13629">
        <w:t xml:space="preserve">argeted communications and outreach </w:t>
      </w:r>
      <w:r>
        <w:t>are</w:t>
      </w:r>
      <w:r w:rsidR="00E13629" w:rsidRPr="00E13629">
        <w:t xml:space="preserve"> required to ensure priority </w:t>
      </w:r>
      <w:r>
        <w:t xml:space="preserve">cohorts are aware of, and can appropriately access </w:t>
      </w:r>
      <w:r w:rsidR="00E13629" w:rsidRPr="00E13629">
        <w:t xml:space="preserve">services </w:t>
      </w:r>
      <w:r>
        <w:t>that are designed with them in mind</w:t>
      </w:r>
      <w:r w:rsidR="00E13629" w:rsidRPr="00E13629">
        <w:t xml:space="preserve">. </w:t>
      </w:r>
      <w:r w:rsidR="00C205CC">
        <w:t>Further research to inform initiatives targeted at specific vulnerable cohorts is necessary.</w:t>
      </w:r>
    </w:p>
    <w:p w14:paraId="4C13A086" w14:textId="23C78DB0" w:rsidR="007A5330" w:rsidRPr="00DA4E8C" w:rsidRDefault="007A5330" w:rsidP="00716F0F">
      <w:pPr>
        <w:pStyle w:val="Heading3"/>
      </w:pPr>
      <w:r w:rsidRPr="00EF298D">
        <w:t>S</w:t>
      </w:r>
      <w:r>
        <w:t>upportive services that create an enabling environment are important</w:t>
      </w:r>
    </w:p>
    <w:p w14:paraId="5F473DD1" w14:textId="101209F0" w:rsidR="00EB1429" w:rsidRDefault="002319A3" w:rsidP="001F1F42">
      <w:pPr>
        <w:rPr>
          <w:rFonts w:asciiTheme="majorHAnsi" w:hAnsiTheme="majorHAnsi"/>
          <w:b/>
          <w:sz w:val="72"/>
          <w:szCs w:val="44"/>
        </w:rPr>
      </w:pPr>
      <w:r>
        <w:rPr>
          <w:rFonts w:asciiTheme="majorHAnsi" w:hAnsiTheme="majorHAnsi"/>
        </w:rPr>
        <w:t>A crucial finding of our</w:t>
      </w:r>
      <w:r w:rsidR="007A5330">
        <w:rPr>
          <w:rFonts w:asciiTheme="majorHAnsi" w:hAnsiTheme="majorHAnsi"/>
        </w:rPr>
        <w:t xml:space="preserve"> evaluation, is that </w:t>
      </w:r>
      <w:r w:rsidR="004700D7">
        <w:rPr>
          <w:rFonts w:asciiTheme="majorHAnsi" w:hAnsiTheme="majorHAnsi"/>
        </w:rPr>
        <w:t>supportive services that aim to create an enabling environment – like EVA – are an important element t</w:t>
      </w:r>
      <w:r w:rsidR="007A5330">
        <w:rPr>
          <w:rFonts w:asciiTheme="majorHAnsi" w:hAnsiTheme="majorHAnsi"/>
        </w:rPr>
        <w:t>o</w:t>
      </w:r>
      <w:r w:rsidR="004700D7">
        <w:rPr>
          <w:rFonts w:asciiTheme="majorHAnsi" w:hAnsiTheme="majorHAnsi"/>
        </w:rPr>
        <w:t xml:space="preserve"> ensure</w:t>
      </w:r>
      <w:r w:rsidR="004D3F41">
        <w:rPr>
          <w:rFonts w:asciiTheme="majorHAnsi" w:hAnsiTheme="majorHAnsi"/>
        </w:rPr>
        <w:t xml:space="preserve"> equitable access to healthcare</w:t>
      </w:r>
      <w:r w:rsidR="004700D7">
        <w:rPr>
          <w:rFonts w:asciiTheme="majorHAnsi" w:hAnsiTheme="majorHAnsi"/>
        </w:rPr>
        <w:t xml:space="preserve">. </w:t>
      </w:r>
      <w:r>
        <w:rPr>
          <w:rStyle w:val="ui-provider"/>
        </w:rPr>
        <w:t>While self-serve digital solutions are increasing</w:t>
      </w:r>
      <w:r w:rsidR="00337912">
        <w:rPr>
          <w:rStyle w:val="ui-provider"/>
        </w:rPr>
        <w:t>ly</w:t>
      </w:r>
      <w:r>
        <w:rPr>
          <w:rStyle w:val="ui-provider"/>
        </w:rPr>
        <w:t xml:space="preserve"> prevalent, our evalua</w:t>
      </w:r>
      <w:r w:rsidR="004D3F41">
        <w:rPr>
          <w:rStyle w:val="ui-provider"/>
        </w:rPr>
        <w:t>tion demonstrates that</w:t>
      </w:r>
      <w:r>
        <w:rPr>
          <w:rStyle w:val="ui-provider"/>
        </w:rPr>
        <w:t xml:space="preserve"> personalised supportive </w:t>
      </w:r>
      <w:r w:rsidR="004D3F41">
        <w:rPr>
          <w:rStyle w:val="ui-provider"/>
        </w:rPr>
        <w:t xml:space="preserve">call </w:t>
      </w:r>
      <w:r>
        <w:rPr>
          <w:rStyle w:val="ui-provider"/>
        </w:rPr>
        <w:t xml:space="preserve">services </w:t>
      </w:r>
      <w:r w:rsidR="004D3F41">
        <w:rPr>
          <w:rStyle w:val="ui-provider"/>
        </w:rPr>
        <w:t>increase equity of</w:t>
      </w:r>
      <w:r>
        <w:rPr>
          <w:rStyle w:val="ui-provider"/>
        </w:rPr>
        <w:t xml:space="preserve"> access to healthcare</w:t>
      </w:r>
      <w:r w:rsidR="004D3F41">
        <w:rPr>
          <w:rStyle w:val="ui-provider"/>
        </w:rPr>
        <w:t xml:space="preserve">, </w:t>
      </w:r>
      <w:r w:rsidR="004D3F41">
        <w:rPr>
          <w:rFonts w:asciiTheme="majorHAnsi" w:hAnsiTheme="majorHAnsi"/>
        </w:rPr>
        <w:t>particularly for people experiencing digital exclusion</w:t>
      </w:r>
      <w:r>
        <w:rPr>
          <w:rStyle w:val="ui-provider"/>
        </w:rPr>
        <w:t>. </w:t>
      </w:r>
      <w:r w:rsidR="004700D7">
        <w:rPr>
          <w:rFonts w:asciiTheme="majorHAnsi" w:hAnsiTheme="majorHAnsi"/>
        </w:rPr>
        <w:t xml:space="preserve"> </w:t>
      </w:r>
      <w:bookmarkStart w:id="36" w:name="_Toc145085929"/>
      <w:bookmarkStart w:id="37" w:name="_Toc145368206"/>
      <w:bookmarkStart w:id="38" w:name="_Toc145415481"/>
      <w:bookmarkStart w:id="39" w:name="_Toc145421681"/>
      <w:bookmarkStart w:id="40" w:name="_Toc145422538"/>
      <w:r w:rsidR="00EB1429">
        <w:br w:type="page"/>
      </w:r>
    </w:p>
    <w:p w14:paraId="5F60CA4E" w14:textId="5A508D3D" w:rsidR="00081366" w:rsidRDefault="00081366" w:rsidP="00191A5D">
      <w:pPr>
        <w:pStyle w:val="Heading2"/>
      </w:pPr>
      <w:r>
        <w:lastRenderedPageBreak/>
        <w:t>Appendices</w:t>
      </w:r>
      <w:bookmarkEnd w:id="36"/>
      <w:bookmarkEnd w:id="37"/>
      <w:bookmarkEnd w:id="38"/>
      <w:bookmarkEnd w:id="39"/>
      <w:bookmarkEnd w:id="40"/>
    </w:p>
    <w:p w14:paraId="1F3DF180" w14:textId="4462FAC8" w:rsidR="008D551E" w:rsidRPr="008D551E" w:rsidRDefault="008D551E" w:rsidP="009175A6">
      <w:pPr>
        <w:pStyle w:val="Heading3"/>
      </w:pPr>
      <w:bookmarkStart w:id="41" w:name="_Toc514938220"/>
      <w:r w:rsidRPr="008D551E">
        <w:t xml:space="preserve">Appendix </w:t>
      </w:r>
      <w:bookmarkEnd w:id="41"/>
      <w:r w:rsidR="00A96B0F">
        <w:t>1</w:t>
      </w:r>
      <w:r w:rsidR="006156AD">
        <w:t xml:space="preserve">: </w:t>
      </w:r>
      <w:r w:rsidR="00B80F1E">
        <w:t>Detailed findings</w:t>
      </w:r>
    </w:p>
    <w:p w14:paraId="445D0BBD" w14:textId="46E824B2" w:rsidR="005F76F4" w:rsidRPr="004F1A0A" w:rsidRDefault="00F33EAC" w:rsidP="004F1A0A">
      <w:pPr>
        <w:pStyle w:val="Caption"/>
        <w:rPr>
          <w:b/>
          <w:i w:val="0"/>
          <w:sz w:val="20"/>
          <w:szCs w:val="20"/>
        </w:rPr>
      </w:pPr>
      <w:r w:rsidRPr="004F1A0A">
        <w:rPr>
          <w:b/>
          <w:i w:val="0"/>
          <w:sz w:val="20"/>
          <w:szCs w:val="20"/>
        </w:rPr>
        <w:t xml:space="preserve">Table </w:t>
      </w:r>
      <w:r w:rsidRPr="004F1A0A">
        <w:rPr>
          <w:b/>
          <w:i w:val="0"/>
          <w:sz w:val="20"/>
          <w:szCs w:val="20"/>
        </w:rPr>
        <w:fldChar w:fldCharType="begin"/>
      </w:r>
      <w:r w:rsidRPr="004F1A0A">
        <w:rPr>
          <w:b/>
          <w:i w:val="0"/>
          <w:sz w:val="20"/>
          <w:szCs w:val="20"/>
        </w:rPr>
        <w:instrText xml:space="preserve"> SEQ Table \* ARABIC </w:instrText>
      </w:r>
      <w:r w:rsidRPr="004F1A0A">
        <w:rPr>
          <w:b/>
          <w:i w:val="0"/>
          <w:sz w:val="20"/>
          <w:szCs w:val="20"/>
        </w:rPr>
        <w:fldChar w:fldCharType="separate"/>
      </w:r>
      <w:r w:rsidR="00326E97">
        <w:rPr>
          <w:b/>
          <w:i w:val="0"/>
          <w:noProof/>
          <w:sz w:val="20"/>
          <w:szCs w:val="20"/>
        </w:rPr>
        <w:t>1</w:t>
      </w:r>
      <w:r w:rsidRPr="004F1A0A">
        <w:rPr>
          <w:b/>
          <w:i w:val="0"/>
          <w:sz w:val="20"/>
          <w:szCs w:val="20"/>
        </w:rPr>
        <w:fldChar w:fldCharType="end"/>
      </w:r>
      <w:r w:rsidRPr="004F1A0A">
        <w:rPr>
          <w:b/>
          <w:i w:val="0"/>
          <w:sz w:val="20"/>
          <w:szCs w:val="20"/>
        </w:rPr>
        <w:t>. EVA utilisation by customer age bracket (years)</w:t>
      </w:r>
    </w:p>
    <w:tbl>
      <w:tblPr>
        <w:tblStyle w:val="DefaultTable"/>
        <w:tblW w:w="8278" w:type="dxa"/>
        <w:tblLayout w:type="fixed"/>
        <w:tblCellMar>
          <w:top w:w="85" w:type="dxa"/>
        </w:tblCellMar>
        <w:tblLook w:val="0420" w:firstRow="1" w:lastRow="0" w:firstColumn="0" w:lastColumn="0" w:noHBand="0" w:noVBand="1"/>
        <w:tblCaption w:val="Table 1 - EVA utilisation by customer age bracket (years)"/>
        <w:tblDescription w:val="The table has four columns. The first is 'Age bracket', divided into ten year blocks. The second column is called 'Number of scheduled EVA calls'. The third is called 'target population size based on 2021 Census data', and the fourth column is called 'Number of EVA customers per 100,000 target population'."/>
      </w:tblPr>
      <w:tblGrid>
        <w:gridCol w:w="1560"/>
        <w:gridCol w:w="1984"/>
        <w:gridCol w:w="2410"/>
        <w:gridCol w:w="2324"/>
      </w:tblGrid>
      <w:tr w:rsidR="00107EE0" w14:paraId="0D882FE3" w14:textId="77777777" w:rsidTr="006156AD">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40983B4F" w14:textId="759B8CB3" w:rsidR="00107EE0" w:rsidRPr="00FD2C46" w:rsidRDefault="00107EE0" w:rsidP="00107EE0">
            <w:pPr>
              <w:pStyle w:val="TableHeading"/>
              <w:spacing w:after="0"/>
              <w:jc w:val="center"/>
            </w:pPr>
            <w:r w:rsidRPr="00F44AB3">
              <w:t>Age bracket</w:t>
            </w:r>
          </w:p>
        </w:tc>
        <w:tc>
          <w:tcPr>
            <w:tcW w:w="1984" w:type="dxa"/>
            <w:tcBorders>
              <w:top w:val="nil"/>
              <w:bottom w:val="single" w:sz="18" w:space="0" w:color="142E3B" w:themeColor="accent6"/>
            </w:tcBorders>
            <w:shd w:val="clear" w:color="auto" w:fill="20B9A3" w:themeFill="accent1"/>
            <w:vAlign w:val="center"/>
          </w:tcPr>
          <w:p w14:paraId="5B2740AE" w14:textId="6D6EAA8E" w:rsidR="00107EE0" w:rsidRDefault="00107EE0" w:rsidP="006156AD">
            <w:pPr>
              <w:pStyle w:val="TableHeading"/>
              <w:spacing w:after="0"/>
              <w:jc w:val="center"/>
            </w:pPr>
            <w:r w:rsidRPr="00F44AB3">
              <w:t xml:space="preserve">Number (%) of </w:t>
            </w:r>
            <w:r w:rsidR="006156AD">
              <w:t>scheduled</w:t>
            </w:r>
            <w:r w:rsidR="006156AD" w:rsidRPr="00F44AB3">
              <w:t xml:space="preserve"> </w:t>
            </w:r>
            <w:r w:rsidRPr="00F44AB3">
              <w:t xml:space="preserve">EVA </w:t>
            </w:r>
            <w:r w:rsidR="006156AD">
              <w:t xml:space="preserve">calls </w:t>
            </w:r>
          </w:p>
        </w:tc>
        <w:tc>
          <w:tcPr>
            <w:tcW w:w="2410" w:type="dxa"/>
            <w:tcBorders>
              <w:top w:val="nil"/>
              <w:bottom w:val="single" w:sz="18" w:space="0" w:color="142E3B" w:themeColor="accent6"/>
            </w:tcBorders>
            <w:shd w:val="clear" w:color="auto" w:fill="20B9A3" w:themeFill="accent1"/>
            <w:vAlign w:val="center"/>
          </w:tcPr>
          <w:p w14:paraId="2B2823E3" w14:textId="669F0689" w:rsidR="00107EE0" w:rsidRPr="00FD2C46" w:rsidRDefault="00107EE0" w:rsidP="00107EE0">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3DF57B4E" w14:textId="5FD45B41" w:rsidR="00107EE0" w:rsidRPr="00FD2C46" w:rsidRDefault="00107EE0" w:rsidP="00107EE0">
            <w:pPr>
              <w:pStyle w:val="TableHeading"/>
              <w:spacing w:after="0"/>
              <w:jc w:val="center"/>
            </w:pPr>
            <w:r w:rsidRPr="00F44AB3">
              <w:t>Number of EVA customers per 100,000 target population**</w:t>
            </w:r>
          </w:p>
        </w:tc>
      </w:tr>
      <w:tr w:rsidR="00107EE0" w14:paraId="39C3C5AE" w14:textId="77777777" w:rsidTr="00EA3970">
        <w:tc>
          <w:tcPr>
            <w:tcW w:w="1560" w:type="dxa"/>
            <w:tcBorders>
              <w:top w:val="single" w:sz="18" w:space="0" w:color="142E3B" w:themeColor="accent6"/>
            </w:tcBorders>
            <w:shd w:val="clear" w:color="auto" w:fill="auto"/>
            <w:vAlign w:val="center"/>
          </w:tcPr>
          <w:p w14:paraId="3CA1D50E" w14:textId="330F46E3" w:rsidR="00107EE0" w:rsidRPr="00FD2C46" w:rsidRDefault="00107EE0" w:rsidP="00107EE0">
            <w:pPr>
              <w:pStyle w:val="TableTextLeftAligned"/>
              <w:spacing w:after="0"/>
            </w:pPr>
            <w:r w:rsidRPr="00F34688">
              <w:rPr>
                <w:rFonts w:cstheme="minorHAnsi"/>
                <w:color w:val="000000"/>
                <w:szCs w:val="20"/>
              </w:rPr>
              <w:t>&lt;19 years</w:t>
            </w:r>
          </w:p>
        </w:tc>
        <w:tc>
          <w:tcPr>
            <w:tcW w:w="1984" w:type="dxa"/>
            <w:tcBorders>
              <w:top w:val="single" w:sz="18" w:space="0" w:color="142E3B" w:themeColor="accent6"/>
            </w:tcBorders>
            <w:vAlign w:val="center"/>
          </w:tcPr>
          <w:p w14:paraId="6683F24F" w14:textId="38C1BED3" w:rsidR="00107EE0" w:rsidRPr="00FD2C46" w:rsidRDefault="00107EE0" w:rsidP="006156AD">
            <w:pPr>
              <w:pStyle w:val="TableTextRightAligned"/>
              <w:spacing w:after="0"/>
              <w:jc w:val="center"/>
            </w:pPr>
            <w:r w:rsidRPr="00F34688">
              <w:rPr>
                <w:rFonts w:cstheme="minorHAnsi"/>
                <w:color w:val="000000"/>
                <w:szCs w:val="20"/>
              </w:rPr>
              <w:t>1,105 (8%)</w:t>
            </w:r>
          </w:p>
        </w:tc>
        <w:tc>
          <w:tcPr>
            <w:tcW w:w="2410" w:type="dxa"/>
            <w:tcBorders>
              <w:top w:val="single" w:sz="18" w:space="0" w:color="142E3B" w:themeColor="accent6"/>
            </w:tcBorders>
            <w:shd w:val="clear" w:color="auto" w:fill="auto"/>
            <w:vAlign w:val="center"/>
          </w:tcPr>
          <w:p w14:paraId="27775FC4" w14:textId="7BC26F5A" w:rsidR="00107EE0" w:rsidRPr="00FD2C46" w:rsidRDefault="00107EE0" w:rsidP="006156AD">
            <w:pPr>
              <w:pStyle w:val="TableTextRightAligned"/>
              <w:spacing w:after="0"/>
              <w:jc w:val="center"/>
            </w:pPr>
            <w:r w:rsidRPr="00F34688">
              <w:rPr>
                <w:rFonts w:cstheme="minorHAnsi"/>
                <w:color w:val="000000"/>
                <w:szCs w:val="20"/>
              </w:rPr>
              <w:t>6,095,818 (24%)</w:t>
            </w:r>
          </w:p>
        </w:tc>
        <w:tc>
          <w:tcPr>
            <w:tcW w:w="2324" w:type="dxa"/>
            <w:tcBorders>
              <w:top w:val="single" w:sz="18" w:space="0" w:color="142E3B" w:themeColor="accent6"/>
            </w:tcBorders>
            <w:vAlign w:val="center"/>
          </w:tcPr>
          <w:p w14:paraId="29A1A856" w14:textId="7427B9C9" w:rsidR="00107EE0" w:rsidRPr="00FD2C46" w:rsidRDefault="00107EE0" w:rsidP="006156AD">
            <w:pPr>
              <w:pStyle w:val="TableTextRightAligned"/>
              <w:spacing w:after="0"/>
              <w:jc w:val="center"/>
            </w:pPr>
            <w:r w:rsidRPr="00F34688">
              <w:rPr>
                <w:rFonts w:cstheme="minorHAnsi"/>
                <w:color w:val="000000"/>
                <w:szCs w:val="20"/>
              </w:rPr>
              <w:t>25</w:t>
            </w:r>
          </w:p>
        </w:tc>
      </w:tr>
      <w:tr w:rsidR="00107EE0" w14:paraId="679A62CB" w14:textId="77777777" w:rsidTr="00EA3970">
        <w:tc>
          <w:tcPr>
            <w:tcW w:w="1560" w:type="dxa"/>
            <w:shd w:val="clear" w:color="auto" w:fill="auto"/>
            <w:vAlign w:val="center"/>
          </w:tcPr>
          <w:p w14:paraId="26838745" w14:textId="1D522A26" w:rsidR="00107EE0" w:rsidRPr="00FD2C46" w:rsidRDefault="00107EE0" w:rsidP="00107EE0">
            <w:pPr>
              <w:pStyle w:val="TableTextLeftAligned"/>
              <w:spacing w:after="0"/>
            </w:pPr>
            <w:r w:rsidRPr="00F34688">
              <w:rPr>
                <w:rFonts w:cstheme="minorHAnsi"/>
                <w:color w:val="000000"/>
                <w:szCs w:val="20"/>
              </w:rPr>
              <w:t>20-29 years</w:t>
            </w:r>
          </w:p>
        </w:tc>
        <w:tc>
          <w:tcPr>
            <w:tcW w:w="1984" w:type="dxa"/>
            <w:vAlign w:val="center"/>
          </w:tcPr>
          <w:p w14:paraId="65DBEB19" w14:textId="0A8C1651" w:rsidR="00107EE0" w:rsidRPr="00FD2C46" w:rsidRDefault="00107EE0" w:rsidP="006156AD">
            <w:pPr>
              <w:pStyle w:val="TableTextRightAligned"/>
              <w:spacing w:after="0"/>
              <w:jc w:val="center"/>
            </w:pPr>
            <w:r w:rsidRPr="00F34688">
              <w:rPr>
                <w:rFonts w:cstheme="minorHAnsi"/>
                <w:color w:val="000000"/>
                <w:szCs w:val="20"/>
              </w:rPr>
              <w:t>629 (5%)</w:t>
            </w:r>
          </w:p>
        </w:tc>
        <w:tc>
          <w:tcPr>
            <w:tcW w:w="2410" w:type="dxa"/>
            <w:shd w:val="clear" w:color="auto" w:fill="auto"/>
            <w:vAlign w:val="center"/>
          </w:tcPr>
          <w:p w14:paraId="1EE91A7D" w14:textId="3B40DD72" w:rsidR="00107EE0" w:rsidRPr="00FD2C46" w:rsidRDefault="00107EE0" w:rsidP="006156AD">
            <w:pPr>
              <w:pStyle w:val="TableTextRightAligned"/>
              <w:spacing w:after="0"/>
              <w:jc w:val="center"/>
            </w:pPr>
            <w:r w:rsidRPr="00F34688">
              <w:rPr>
                <w:rFonts w:cstheme="minorHAnsi"/>
                <w:color w:val="000000"/>
                <w:szCs w:val="20"/>
              </w:rPr>
              <w:t>3,351,215 (13%)</w:t>
            </w:r>
          </w:p>
        </w:tc>
        <w:tc>
          <w:tcPr>
            <w:tcW w:w="2324" w:type="dxa"/>
            <w:vAlign w:val="center"/>
          </w:tcPr>
          <w:p w14:paraId="6FA9FEA1" w14:textId="478A3CFA" w:rsidR="00107EE0" w:rsidRPr="00FD2C46" w:rsidRDefault="00107EE0" w:rsidP="006156AD">
            <w:pPr>
              <w:pStyle w:val="TableTextRightAligned"/>
              <w:spacing w:after="0"/>
              <w:jc w:val="center"/>
            </w:pPr>
            <w:r w:rsidRPr="00F34688">
              <w:rPr>
                <w:rFonts w:cstheme="minorHAnsi"/>
                <w:color w:val="000000"/>
                <w:szCs w:val="20"/>
              </w:rPr>
              <w:t>26</w:t>
            </w:r>
          </w:p>
        </w:tc>
      </w:tr>
      <w:tr w:rsidR="00107EE0" w14:paraId="45F3ED37" w14:textId="77777777" w:rsidTr="00EA3970">
        <w:tc>
          <w:tcPr>
            <w:tcW w:w="1560" w:type="dxa"/>
            <w:shd w:val="clear" w:color="auto" w:fill="auto"/>
            <w:vAlign w:val="center"/>
          </w:tcPr>
          <w:p w14:paraId="28CCECC6" w14:textId="7FB11547" w:rsidR="00107EE0" w:rsidRPr="00FD2C46" w:rsidRDefault="00107EE0" w:rsidP="00107EE0">
            <w:pPr>
              <w:pStyle w:val="TableTextLeftAligned"/>
              <w:spacing w:after="0"/>
            </w:pPr>
            <w:r w:rsidRPr="00F34688">
              <w:rPr>
                <w:rFonts w:cstheme="minorHAnsi"/>
                <w:color w:val="000000"/>
                <w:szCs w:val="20"/>
              </w:rPr>
              <w:t>30-39 years</w:t>
            </w:r>
          </w:p>
        </w:tc>
        <w:tc>
          <w:tcPr>
            <w:tcW w:w="1984" w:type="dxa"/>
            <w:vAlign w:val="center"/>
          </w:tcPr>
          <w:p w14:paraId="075E546E" w14:textId="6E467E44" w:rsidR="00107EE0" w:rsidRPr="00FD2C46" w:rsidRDefault="00107EE0" w:rsidP="006156AD">
            <w:pPr>
              <w:pStyle w:val="TableTextRightAligned"/>
              <w:spacing w:after="0"/>
              <w:jc w:val="center"/>
            </w:pPr>
            <w:r w:rsidRPr="00F34688">
              <w:rPr>
                <w:rFonts w:cstheme="minorHAnsi"/>
                <w:color w:val="000000"/>
                <w:szCs w:val="20"/>
              </w:rPr>
              <w:t>1,311 (9%)</w:t>
            </w:r>
          </w:p>
        </w:tc>
        <w:tc>
          <w:tcPr>
            <w:tcW w:w="2410" w:type="dxa"/>
            <w:shd w:val="clear" w:color="auto" w:fill="auto"/>
            <w:vAlign w:val="center"/>
          </w:tcPr>
          <w:p w14:paraId="58A43867" w14:textId="2166F449" w:rsidR="00107EE0" w:rsidRPr="00FD2C46" w:rsidRDefault="00107EE0" w:rsidP="006156AD">
            <w:pPr>
              <w:pStyle w:val="TableTextRightAligned"/>
              <w:spacing w:after="0"/>
              <w:jc w:val="center"/>
            </w:pPr>
            <w:r w:rsidRPr="00F34688">
              <w:rPr>
                <w:rFonts w:cstheme="minorHAnsi"/>
                <w:color w:val="000000"/>
                <w:szCs w:val="20"/>
              </w:rPr>
              <w:t>3,691,907 (15%)</w:t>
            </w:r>
          </w:p>
        </w:tc>
        <w:tc>
          <w:tcPr>
            <w:tcW w:w="2324" w:type="dxa"/>
            <w:vAlign w:val="center"/>
          </w:tcPr>
          <w:p w14:paraId="2F14A468" w14:textId="40225203" w:rsidR="00107EE0" w:rsidRPr="00FD2C46" w:rsidRDefault="00107EE0" w:rsidP="006156AD">
            <w:pPr>
              <w:pStyle w:val="TableTextRightAligned"/>
              <w:spacing w:after="0"/>
              <w:jc w:val="center"/>
            </w:pPr>
            <w:r w:rsidRPr="00F34688">
              <w:rPr>
                <w:rFonts w:cstheme="minorHAnsi"/>
                <w:color w:val="000000"/>
                <w:szCs w:val="20"/>
              </w:rPr>
              <w:t>49</w:t>
            </w:r>
          </w:p>
        </w:tc>
      </w:tr>
      <w:tr w:rsidR="00107EE0" w14:paraId="5784B140" w14:textId="77777777" w:rsidTr="00EA3970">
        <w:tc>
          <w:tcPr>
            <w:tcW w:w="1560" w:type="dxa"/>
            <w:tcBorders>
              <w:bottom w:val="single" w:sz="4" w:space="0" w:color="808080" w:themeColor="background1" w:themeShade="80"/>
            </w:tcBorders>
            <w:shd w:val="clear" w:color="auto" w:fill="auto"/>
            <w:vAlign w:val="center"/>
          </w:tcPr>
          <w:p w14:paraId="39E0431A" w14:textId="5C36DF53" w:rsidR="00107EE0" w:rsidRPr="00FD2C46" w:rsidRDefault="00107EE0" w:rsidP="00107EE0">
            <w:pPr>
              <w:pStyle w:val="TableTextLeftAligned"/>
              <w:spacing w:after="0"/>
            </w:pPr>
            <w:r w:rsidRPr="00F34688">
              <w:rPr>
                <w:rFonts w:cstheme="minorHAnsi"/>
                <w:color w:val="000000"/>
                <w:szCs w:val="20"/>
              </w:rPr>
              <w:t>40-49 years</w:t>
            </w:r>
          </w:p>
        </w:tc>
        <w:tc>
          <w:tcPr>
            <w:tcW w:w="1984" w:type="dxa"/>
            <w:tcBorders>
              <w:bottom w:val="single" w:sz="4" w:space="0" w:color="808080" w:themeColor="background1" w:themeShade="80"/>
            </w:tcBorders>
            <w:vAlign w:val="center"/>
          </w:tcPr>
          <w:p w14:paraId="0672654F" w14:textId="3AB5C410" w:rsidR="00107EE0" w:rsidRPr="00FD2C46" w:rsidRDefault="00107EE0" w:rsidP="006156AD">
            <w:pPr>
              <w:pStyle w:val="TableTextRightAligned"/>
              <w:spacing w:after="0"/>
              <w:jc w:val="center"/>
            </w:pPr>
            <w:r w:rsidRPr="00F34688">
              <w:rPr>
                <w:rFonts w:cstheme="minorHAnsi"/>
                <w:color w:val="000000"/>
                <w:szCs w:val="20"/>
              </w:rPr>
              <w:t>1,261 (9%)</w:t>
            </w:r>
          </w:p>
        </w:tc>
        <w:tc>
          <w:tcPr>
            <w:tcW w:w="2410" w:type="dxa"/>
            <w:tcBorders>
              <w:bottom w:val="single" w:sz="4" w:space="0" w:color="808080" w:themeColor="background1" w:themeShade="80"/>
            </w:tcBorders>
            <w:shd w:val="clear" w:color="auto" w:fill="auto"/>
            <w:vAlign w:val="center"/>
          </w:tcPr>
          <w:p w14:paraId="6B7B1A67" w14:textId="6A2F5F92" w:rsidR="00107EE0" w:rsidRPr="00FD2C46" w:rsidRDefault="00107EE0" w:rsidP="006156AD">
            <w:pPr>
              <w:pStyle w:val="TableTextRightAligned"/>
              <w:spacing w:after="0"/>
              <w:jc w:val="center"/>
            </w:pPr>
            <w:r w:rsidRPr="00F34688">
              <w:rPr>
                <w:rFonts w:cstheme="minorHAnsi"/>
                <w:color w:val="000000"/>
                <w:szCs w:val="20"/>
              </w:rPr>
              <w:t>3,284,806 (13%)</w:t>
            </w:r>
          </w:p>
        </w:tc>
        <w:tc>
          <w:tcPr>
            <w:tcW w:w="2324" w:type="dxa"/>
            <w:tcBorders>
              <w:bottom w:val="single" w:sz="4" w:space="0" w:color="808080" w:themeColor="background1" w:themeShade="80"/>
            </w:tcBorders>
            <w:vAlign w:val="center"/>
          </w:tcPr>
          <w:p w14:paraId="6CB0D913" w14:textId="56C4EFF8" w:rsidR="00107EE0" w:rsidRPr="00FD2C46" w:rsidRDefault="00107EE0" w:rsidP="006156AD">
            <w:pPr>
              <w:pStyle w:val="TableTextRightAligned"/>
              <w:spacing w:after="0"/>
              <w:jc w:val="center"/>
            </w:pPr>
            <w:r w:rsidRPr="00F34688">
              <w:rPr>
                <w:rFonts w:cstheme="minorHAnsi"/>
                <w:color w:val="000000"/>
                <w:szCs w:val="20"/>
              </w:rPr>
              <w:t>52</w:t>
            </w:r>
          </w:p>
        </w:tc>
      </w:tr>
      <w:tr w:rsidR="00107EE0" w14:paraId="1C07317B" w14:textId="77777777" w:rsidTr="00EA3970">
        <w:tc>
          <w:tcPr>
            <w:tcW w:w="1560" w:type="dxa"/>
            <w:tcBorders>
              <w:bottom w:val="single" w:sz="4" w:space="0" w:color="808080" w:themeColor="background1" w:themeShade="80"/>
            </w:tcBorders>
            <w:shd w:val="clear" w:color="auto" w:fill="auto"/>
            <w:vAlign w:val="center"/>
          </w:tcPr>
          <w:p w14:paraId="4B3D39BB" w14:textId="7053B7F4" w:rsidR="00107EE0" w:rsidRDefault="00107EE0" w:rsidP="00107EE0">
            <w:pPr>
              <w:pStyle w:val="TableTextLeftAligned"/>
              <w:spacing w:after="0"/>
            </w:pPr>
            <w:r w:rsidRPr="00F34688">
              <w:rPr>
                <w:rFonts w:cstheme="minorHAnsi"/>
                <w:color w:val="000000"/>
                <w:szCs w:val="20"/>
              </w:rPr>
              <w:t>50-59 years</w:t>
            </w:r>
          </w:p>
        </w:tc>
        <w:tc>
          <w:tcPr>
            <w:tcW w:w="1984" w:type="dxa"/>
            <w:tcBorders>
              <w:bottom w:val="single" w:sz="4" w:space="0" w:color="808080" w:themeColor="background1" w:themeShade="80"/>
            </w:tcBorders>
            <w:vAlign w:val="center"/>
          </w:tcPr>
          <w:p w14:paraId="06DC9FDE" w14:textId="3BAC9FAF" w:rsidR="00107EE0" w:rsidRPr="00FD2C46" w:rsidRDefault="00107EE0" w:rsidP="006156AD">
            <w:pPr>
              <w:pStyle w:val="TableTextRightAligned"/>
              <w:spacing w:after="0"/>
              <w:jc w:val="center"/>
            </w:pPr>
            <w:r w:rsidRPr="00F34688">
              <w:rPr>
                <w:rFonts w:cstheme="minorHAnsi"/>
                <w:color w:val="000000"/>
                <w:szCs w:val="20"/>
              </w:rPr>
              <w:t>1,466 (11%)</w:t>
            </w:r>
          </w:p>
        </w:tc>
        <w:tc>
          <w:tcPr>
            <w:tcW w:w="2410" w:type="dxa"/>
            <w:tcBorders>
              <w:bottom w:val="single" w:sz="4" w:space="0" w:color="808080" w:themeColor="background1" w:themeShade="80"/>
            </w:tcBorders>
            <w:shd w:val="clear" w:color="auto" w:fill="auto"/>
            <w:vAlign w:val="center"/>
          </w:tcPr>
          <w:p w14:paraId="58EDAE76" w14:textId="6876DA28" w:rsidR="00107EE0" w:rsidRPr="00FD2C46" w:rsidRDefault="00107EE0" w:rsidP="006156AD">
            <w:pPr>
              <w:pStyle w:val="TableTextRightAligned"/>
              <w:spacing w:after="0"/>
              <w:jc w:val="center"/>
            </w:pPr>
            <w:r w:rsidRPr="00F34688">
              <w:rPr>
                <w:rFonts w:cstheme="minorHAnsi"/>
                <w:color w:val="000000"/>
                <w:szCs w:val="20"/>
              </w:rPr>
              <w:t>3,125,855 (12%)</w:t>
            </w:r>
          </w:p>
        </w:tc>
        <w:tc>
          <w:tcPr>
            <w:tcW w:w="2324" w:type="dxa"/>
            <w:tcBorders>
              <w:bottom w:val="single" w:sz="4" w:space="0" w:color="808080" w:themeColor="background1" w:themeShade="80"/>
            </w:tcBorders>
            <w:vAlign w:val="center"/>
          </w:tcPr>
          <w:p w14:paraId="314AC227" w14:textId="1CD9F333" w:rsidR="00107EE0" w:rsidRDefault="00107EE0" w:rsidP="006156AD">
            <w:pPr>
              <w:pStyle w:val="TableTextRightAligned"/>
              <w:spacing w:after="0"/>
              <w:jc w:val="center"/>
            </w:pPr>
            <w:r w:rsidRPr="00F34688">
              <w:rPr>
                <w:rFonts w:cstheme="minorHAnsi"/>
                <w:color w:val="000000"/>
                <w:szCs w:val="20"/>
              </w:rPr>
              <w:t>64</w:t>
            </w:r>
          </w:p>
        </w:tc>
      </w:tr>
      <w:tr w:rsidR="00107EE0" w14:paraId="7416A529" w14:textId="77777777" w:rsidTr="00EA3970">
        <w:tc>
          <w:tcPr>
            <w:tcW w:w="1560" w:type="dxa"/>
            <w:tcBorders>
              <w:bottom w:val="single" w:sz="4" w:space="0" w:color="808080" w:themeColor="background1" w:themeShade="80"/>
            </w:tcBorders>
            <w:shd w:val="clear" w:color="auto" w:fill="auto"/>
            <w:vAlign w:val="center"/>
          </w:tcPr>
          <w:p w14:paraId="6D5B2083" w14:textId="4891CFB3" w:rsidR="00107EE0" w:rsidRDefault="00107EE0" w:rsidP="00107EE0">
            <w:pPr>
              <w:pStyle w:val="TableTextLeftAligned"/>
              <w:spacing w:after="0"/>
            </w:pPr>
            <w:r w:rsidRPr="00F34688">
              <w:rPr>
                <w:rFonts w:cstheme="minorHAnsi"/>
                <w:color w:val="000000"/>
                <w:szCs w:val="20"/>
              </w:rPr>
              <w:t>60-69 years</w:t>
            </w:r>
          </w:p>
        </w:tc>
        <w:tc>
          <w:tcPr>
            <w:tcW w:w="1984" w:type="dxa"/>
            <w:tcBorders>
              <w:bottom w:val="single" w:sz="4" w:space="0" w:color="808080" w:themeColor="background1" w:themeShade="80"/>
            </w:tcBorders>
            <w:vAlign w:val="center"/>
          </w:tcPr>
          <w:p w14:paraId="5BFB29AA" w14:textId="22DB5E76" w:rsidR="00107EE0" w:rsidRPr="00FD2C46" w:rsidRDefault="00107EE0" w:rsidP="006156AD">
            <w:pPr>
              <w:pStyle w:val="TableTextRightAligned"/>
              <w:spacing w:after="0"/>
              <w:jc w:val="center"/>
            </w:pPr>
            <w:r w:rsidRPr="00F34688">
              <w:rPr>
                <w:rFonts w:cstheme="minorHAnsi"/>
                <w:color w:val="000000"/>
                <w:szCs w:val="20"/>
              </w:rPr>
              <w:t>2,035 (15%)</w:t>
            </w:r>
          </w:p>
        </w:tc>
        <w:tc>
          <w:tcPr>
            <w:tcW w:w="2410" w:type="dxa"/>
            <w:tcBorders>
              <w:bottom w:val="single" w:sz="4" w:space="0" w:color="808080" w:themeColor="background1" w:themeShade="80"/>
            </w:tcBorders>
            <w:shd w:val="clear" w:color="auto" w:fill="auto"/>
            <w:vAlign w:val="center"/>
          </w:tcPr>
          <w:p w14:paraId="4D7A4423" w14:textId="54C3A052" w:rsidR="00107EE0" w:rsidRPr="00FD2C46" w:rsidRDefault="00107EE0" w:rsidP="006156AD">
            <w:pPr>
              <w:pStyle w:val="TableTextRightAligned"/>
              <w:spacing w:after="0"/>
              <w:jc w:val="center"/>
            </w:pPr>
            <w:r w:rsidRPr="00F34688">
              <w:rPr>
                <w:rFonts w:cstheme="minorHAnsi"/>
                <w:color w:val="000000"/>
                <w:szCs w:val="20"/>
              </w:rPr>
              <w:t>2,766,557 (11%)</w:t>
            </w:r>
          </w:p>
        </w:tc>
        <w:tc>
          <w:tcPr>
            <w:tcW w:w="2324" w:type="dxa"/>
            <w:tcBorders>
              <w:bottom w:val="single" w:sz="4" w:space="0" w:color="808080" w:themeColor="background1" w:themeShade="80"/>
            </w:tcBorders>
            <w:vAlign w:val="center"/>
          </w:tcPr>
          <w:p w14:paraId="6694C356" w14:textId="2BFA9E26" w:rsidR="00107EE0" w:rsidRDefault="00107EE0" w:rsidP="006156AD">
            <w:pPr>
              <w:pStyle w:val="TableTextRightAligned"/>
              <w:spacing w:after="0"/>
              <w:jc w:val="center"/>
            </w:pPr>
            <w:r w:rsidRPr="00F34688">
              <w:rPr>
                <w:rFonts w:cstheme="minorHAnsi"/>
                <w:color w:val="000000"/>
                <w:szCs w:val="20"/>
              </w:rPr>
              <w:t>100</w:t>
            </w:r>
          </w:p>
        </w:tc>
      </w:tr>
      <w:tr w:rsidR="00107EE0" w14:paraId="65BB08D4" w14:textId="77777777" w:rsidTr="00EA3970">
        <w:tc>
          <w:tcPr>
            <w:tcW w:w="1560" w:type="dxa"/>
            <w:tcBorders>
              <w:bottom w:val="single" w:sz="4" w:space="0" w:color="808080" w:themeColor="background1" w:themeShade="80"/>
            </w:tcBorders>
            <w:shd w:val="clear" w:color="auto" w:fill="auto"/>
            <w:vAlign w:val="center"/>
          </w:tcPr>
          <w:p w14:paraId="3BE63411" w14:textId="5C18517A" w:rsidR="00107EE0" w:rsidRDefault="00107EE0" w:rsidP="00107EE0">
            <w:pPr>
              <w:pStyle w:val="TableTextLeftAligned"/>
              <w:spacing w:after="0"/>
            </w:pPr>
            <w:r w:rsidRPr="00F34688">
              <w:rPr>
                <w:rFonts w:cstheme="minorHAnsi"/>
                <w:color w:val="000000"/>
                <w:szCs w:val="20"/>
              </w:rPr>
              <w:t>70-79 years</w:t>
            </w:r>
          </w:p>
        </w:tc>
        <w:tc>
          <w:tcPr>
            <w:tcW w:w="1984" w:type="dxa"/>
            <w:tcBorders>
              <w:bottom w:val="single" w:sz="4" w:space="0" w:color="808080" w:themeColor="background1" w:themeShade="80"/>
            </w:tcBorders>
            <w:vAlign w:val="center"/>
          </w:tcPr>
          <w:p w14:paraId="09684E24" w14:textId="606BDA6C" w:rsidR="00107EE0" w:rsidRPr="00FD2C46" w:rsidRDefault="00107EE0" w:rsidP="006156AD">
            <w:pPr>
              <w:pStyle w:val="TableTextRightAligned"/>
              <w:spacing w:after="0"/>
              <w:jc w:val="center"/>
            </w:pPr>
            <w:r w:rsidRPr="00F34688">
              <w:rPr>
                <w:rFonts w:cstheme="minorHAnsi"/>
                <w:color w:val="000000"/>
                <w:szCs w:val="20"/>
              </w:rPr>
              <w:t>1,711 (12%)</w:t>
            </w:r>
          </w:p>
        </w:tc>
        <w:tc>
          <w:tcPr>
            <w:tcW w:w="2410" w:type="dxa"/>
            <w:tcBorders>
              <w:bottom w:val="single" w:sz="4" w:space="0" w:color="808080" w:themeColor="background1" w:themeShade="80"/>
            </w:tcBorders>
            <w:shd w:val="clear" w:color="auto" w:fill="auto"/>
            <w:vAlign w:val="center"/>
          </w:tcPr>
          <w:p w14:paraId="018A6604" w14:textId="24A75A78" w:rsidR="00107EE0" w:rsidRPr="00FD2C46" w:rsidRDefault="00107EE0" w:rsidP="006156AD">
            <w:pPr>
              <w:pStyle w:val="TableTextRightAligned"/>
              <w:spacing w:after="0"/>
              <w:jc w:val="center"/>
            </w:pPr>
            <w:r w:rsidRPr="00F34688">
              <w:rPr>
                <w:rFonts w:cstheme="minorHAnsi"/>
                <w:color w:val="000000"/>
                <w:szCs w:val="20"/>
              </w:rPr>
              <w:t>1,982,688 (8%)</w:t>
            </w:r>
          </w:p>
        </w:tc>
        <w:tc>
          <w:tcPr>
            <w:tcW w:w="2324" w:type="dxa"/>
            <w:tcBorders>
              <w:bottom w:val="single" w:sz="4" w:space="0" w:color="808080" w:themeColor="background1" w:themeShade="80"/>
            </w:tcBorders>
            <w:vAlign w:val="center"/>
          </w:tcPr>
          <w:p w14:paraId="35785E00" w14:textId="73FA1584" w:rsidR="00107EE0" w:rsidRDefault="00107EE0" w:rsidP="006156AD">
            <w:pPr>
              <w:pStyle w:val="TableTextRightAligned"/>
              <w:spacing w:after="0"/>
              <w:jc w:val="center"/>
            </w:pPr>
            <w:r w:rsidRPr="00F34688">
              <w:rPr>
                <w:rFonts w:cstheme="minorHAnsi"/>
                <w:color w:val="000000"/>
                <w:szCs w:val="20"/>
              </w:rPr>
              <w:t>118</w:t>
            </w:r>
          </w:p>
        </w:tc>
      </w:tr>
      <w:tr w:rsidR="00107EE0" w14:paraId="56C03440" w14:textId="77777777" w:rsidTr="00EA3970">
        <w:tc>
          <w:tcPr>
            <w:tcW w:w="1560" w:type="dxa"/>
            <w:tcBorders>
              <w:bottom w:val="single" w:sz="4" w:space="0" w:color="808080" w:themeColor="background1" w:themeShade="80"/>
            </w:tcBorders>
            <w:shd w:val="clear" w:color="auto" w:fill="auto"/>
            <w:vAlign w:val="center"/>
          </w:tcPr>
          <w:p w14:paraId="430C0D7D" w14:textId="56938249" w:rsidR="00107EE0" w:rsidRDefault="00107EE0" w:rsidP="00107EE0">
            <w:pPr>
              <w:pStyle w:val="TableTextLeftAligned"/>
              <w:spacing w:after="0"/>
            </w:pPr>
            <w:r w:rsidRPr="00F34688">
              <w:rPr>
                <w:rFonts w:cstheme="minorHAnsi"/>
                <w:color w:val="000000"/>
                <w:szCs w:val="20"/>
              </w:rPr>
              <w:t>80+ years</w:t>
            </w:r>
          </w:p>
        </w:tc>
        <w:tc>
          <w:tcPr>
            <w:tcW w:w="1984" w:type="dxa"/>
            <w:tcBorders>
              <w:bottom w:val="single" w:sz="4" w:space="0" w:color="808080" w:themeColor="background1" w:themeShade="80"/>
            </w:tcBorders>
            <w:vAlign w:val="center"/>
          </w:tcPr>
          <w:p w14:paraId="406E48DB" w14:textId="14D93266" w:rsidR="00107EE0" w:rsidRPr="00FD2C46" w:rsidRDefault="00107EE0" w:rsidP="006156AD">
            <w:pPr>
              <w:pStyle w:val="TableTextRightAligned"/>
              <w:spacing w:after="0"/>
              <w:jc w:val="center"/>
            </w:pPr>
            <w:r w:rsidRPr="00F34688">
              <w:rPr>
                <w:rFonts w:cstheme="minorHAnsi"/>
                <w:color w:val="000000"/>
                <w:szCs w:val="20"/>
              </w:rPr>
              <w:t>640 (5%)</w:t>
            </w:r>
          </w:p>
        </w:tc>
        <w:tc>
          <w:tcPr>
            <w:tcW w:w="2410" w:type="dxa"/>
            <w:tcBorders>
              <w:bottom w:val="single" w:sz="4" w:space="0" w:color="808080" w:themeColor="background1" w:themeShade="80"/>
            </w:tcBorders>
            <w:shd w:val="clear" w:color="auto" w:fill="auto"/>
            <w:vAlign w:val="center"/>
          </w:tcPr>
          <w:p w14:paraId="61EDC83B" w14:textId="6B6F361D" w:rsidR="00107EE0" w:rsidRPr="00FD2C46" w:rsidRDefault="00107EE0" w:rsidP="006156AD">
            <w:pPr>
              <w:pStyle w:val="TableTextRightAligned"/>
              <w:spacing w:after="0"/>
              <w:jc w:val="center"/>
            </w:pPr>
            <w:r w:rsidRPr="00F34688">
              <w:rPr>
                <w:rFonts w:cstheme="minorHAnsi"/>
                <w:color w:val="000000"/>
                <w:szCs w:val="20"/>
              </w:rPr>
              <w:t>1,096,940 (4%)</w:t>
            </w:r>
          </w:p>
        </w:tc>
        <w:tc>
          <w:tcPr>
            <w:tcW w:w="2324" w:type="dxa"/>
            <w:tcBorders>
              <w:bottom w:val="single" w:sz="4" w:space="0" w:color="808080" w:themeColor="background1" w:themeShade="80"/>
            </w:tcBorders>
            <w:vAlign w:val="center"/>
          </w:tcPr>
          <w:p w14:paraId="7A2774FE" w14:textId="26DBBAA1" w:rsidR="00107EE0" w:rsidRDefault="00107EE0" w:rsidP="006156AD">
            <w:pPr>
              <w:pStyle w:val="TableTextRightAligned"/>
              <w:spacing w:after="0"/>
              <w:jc w:val="center"/>
            </w:pPr>
            <w:r w:rsidRPr="00F34688">
              <w:rPr>
                <w:rFonts w:cstheme="minorHAnsi"/>
                <w:color w:val="000000"/>
                <w:szCs w:val="20"/>
              </w:rPr>
              <w:t>80</w:t>
            </w:r>
          </w:p>
        </w:tc>
      </w:tr>
      <w:tr w:rsidR="00107EE0" w14:paraId="31A96B03" w14:textId="77777777" w:rsidTr="00EA3970">
        <w:tc>
          <w:tcPr>
            <w:tcW w:w="1560" w:type="dxa"/>
            <w:tcBorders>
              <w:bottom w:val="single" w:sz="4" w:space="0" w:color="808080" w:themeColor="background1" w:themeShade="80"/>
            </w:tcBorders>
            <w:shd w:val="clear" w:color="auto" w:fill="auto"/>
            <w:vAlign w:val="center"/>
          </w:tcPr>
          <w:p w14:paraId="0109EAE1" w14:textId="057CFBFD" w:rsidR="00107EE0" w:rsidRDefault="00107EE0" w:rsidP="00107EE0">
            <w:pPr>
              <w:pStyle w:val="TableTextLeftAligned"/>
              <w:spacing w:after="0"/>
            </w:pPr>
            <w:r w:rsidRPr="00F34688">
              <w:rPr>
                <w:rFonts w:cstheme="minorHAnsi"/>
                <w:color w:val="000000"/>
                <w:szCs w:val="20"/>
              </w:rPr>
              <w:t>Unknown</w:t>
            </w:r>
          </w:p>
        </w:tc>
        <w:tc>
          <w:tcPr>
            <w:tcW w:w="1984" w:type="dxa"/>
            <w:tcBorders>
              <w:bottom w:val="single" w:sz="4" w:space="0" w:color="808080" w:themeColor="background1" w:themeShade="80"/>
            </w:tcBorders>
            <w:vAlign w:val="center"/>
          </w:tcPr>
          <w:p w14:paraId="748458FB" w14:textId="05AD7DDC" w:rsidR="00107EE0" w:rsidRPr="00FD2C46" w:rsidRDefault="00107EE0" w:rsidP="006156AD">
            <w:pPr>
              <w:pStyle w:val="TableTextRightAligned"/>
              <w:spacing w:after="0"/>
              <w:jc w:val="center"/>
            </w:pPr>
            <w:r w:rsidRPr="00F34688">
              <w:rPr>
                <w:rFonts w:cstheme="minorHAnsi"/>
                <w:color w:val="000000"/>
                <w:szCs w:val="20"/>
              </w:rPr>
              <w:t>3,719 (27%)</w:t>
            </w:r>
          </w:p>
        </w:tc>
        <w:tc>
          <w:tcPr>
            <w:tcW w:w="2410" w:type="dxa"/>
            <w:tcBorders>
              <w:bottom w:val="single" w:sz="4" w:space="0" w:color="808080" w:themeColor="background1" w:themeShade="80"/>
            </w:tcBorders>
            <w:shd w:val="clear" w:color="auto" w:fill="auto"/>
            <w:vAlign w:val="center"/>
          </w:tcPr>
          <w:p w14:paraId="14568B93" w14:textId="6BC21A64" w:rsidR="00107EE0" w:rsidRPr="00FD2C46" w:rsidRDefault="00107EE0" w:rsidP="006156AD">
            <w:pPr>
              <w:pStyle w:val="TableTextRightAligned"/>
              <w:spacing w:after="0"/>
              <w:jc w:val="center"/>
            </w:pPr>
            <w:r w:rsidRPr="00F34688">
              <w:rPr>
                <w:rFonts w:ascii="Helvetica" w:hAnsi="Helvetica"/>
                <w:b/>
                <w:szCs w:val="20"/>
              </w:rPr>
              <w:t>-</w:t>
            </w:r>
          </w:p>
        </w:tc>
        <w:tc>
          <w:tcPr>
            <w:tcW w:w="2324" w:type="dxa"/>
            <w:tcBorders>
              <w:bottom w:val="single" w:sz="4" w:space="0" w:color="808080" w:themeColor="background1" w:themeShade="80"/>
            </w:tcBorders>
            <w:vAlign w:val="center"/>
          </w:tcPr>
          <w:p w14:paraId="5735451E" w14:textId="175726EC" w:rsidR="00107EE0" w:rsidRDefault="00107EE0" w:rsidP="006156AD">
            <w:pPr>
              <w:pStyle w:val="TableTextRightAligned"/>
              <w:spacing w:after="0"/>
              <w:jc w:val="center"/>
            </w:pPr>
            <w:r w:rsidRPr="00F34688">
              <w:rPr>
                <w:rFonts w:ascii="Helvetica" w:hAnsi="Helvetica"/>
                <w:b/>
                <w:szCs w:val="20"/>
              </w:rPr>
              <w:t>-</w:t>
            </w:r>
          </w:p>
        </w:tc>
      </w:tr>
      <w:tr w:rsidR="00107EE0" w14:paraId="6842F570" w14:textId="77777777" w:rsidTr="00EA3970">
        <w:tc>
          <w:tcPr>
            <w:tcW w:w="1560" w:type="dxa"/>
            <w:tcBorders>
              <w:top w:val="single" w:sz="4" w:space="0" w:color="808080" w:themeColor="background1" w:themeShade="80"/>
              <w:bottom w:val="single" w:sz="18" w:space="0" w:color="142E3B" w:themeColor="accent6"/>
            </w:tcBorders>
            <w:shd w:val="clear" w:color="auto" w:fill="auto"/>
            <w:vAlign w:val="center"/>
          </w:tcPr>
          <w:p w14:paraId="1890CE20" w14:textId="786A0BE4" w:rsidR="00107EE0" w:rsidRPr="00FD2C46" w:rsidRDefault="00107EE0" w:rsidP="00107EE0">
            <w:pPr>
              <w:pStyle w:val="TableTextLeftAligned"/>
              <w:spacing w:after="0"/>
            </w:pPr>
            <w:r w:rsidRPr="00F34688">
              <w:rPr>
                <w:rFonts w:ascii="Helvetica" w:hAnsi="Helvetica"/>
                <w:b/>
                <w:szCs w:val="20"/>
              </w:rPr>
              <w:t>Total</w:t>
            </w:r>
          </w:p>
        </w:tc>
        <w:tc>
          <w:tcPr>
            <w:tcW w:w="1984" w:type="dxa"/>
            <w:tcBorders>
              <w:top w:val="single" w:sz="4" w:space="0" w:color="808080" w:themeColor="background1" w:themeShade="80"/>
              <w:bottom w:val="single" w:sz="18" w:space="0" w:color="142E3B" w:themeColor="accent6"/>
            </w:tcBorders>
            <w:vAlign w:val="center"/>
          </w:tcPr>
          <w:p w14:paraId="7ABDD46F" w14:textId="10E5485C" w:rsidR="00107EE0" w:rsidRPr="00FD2C46" w:rsidRDefault="00107EE0" w:rsidP="006156AD">
            <w:pPr>
              <w:pStyle w:val="TableTextRightAligned"/>
              <w:spacing w:after="0"/>
              <w:jc w:val="center"/>
            </w:pPr>
            <w:r w:rsidRPr="00F34688">
              <w:rPr>
                <w:rFonts w:cstheme="minorHAnsi"/>
                <w:i/>
                <w:color w:val="000000"/>
                <w:szCs w:val="20"/>
              </w:rPr>
              <w:t>13,877 (100%)</w:t>
            </w:r>
          </w:p>
        </w:tc>
        <w:tc>
          <w:tcPr>
            <w:tcW w:w="2410" w:type="dxa"/>
            <w:tcBorders>
              <w:top w:val="single" w:sz="4" w:space="0" w:color="808080" w:themeColor="background1" w:themeShade="80"/>
              <w:bottom w:val="single" w:sz="18" w:space="0" w:color="142E3B" w:themeColor="accent6"/>
            </w:tcBorders>
            <w:shd w:val="clear" w:color="auto" w:fill="auto"/>
            <w:vAlign w:val="center"/>
          </w:tcPr>
          <w:p w14:paraId="06406E5B" w14:textId="4715A14D" w:rsidR="00107EE0" w:rsidRPr="00FD2C46" w:rsidRDefault="00107EE0" w:rsidP="006156AD">
            <w:pPr>
              <w:pStyle w:val="TableTextRightAligned"/>
              <w:spacing w:after="0"/>
              <w:jc w:val="center"/>
            </w:pPr>
            <w:r w:rsidRPr="00F34688">
              <w:rPr>
                <w:rFonts w:cstheme="minorHAnsi"/>
                <w:i/>
                <w:color w:val="000000"/>
                <w:szCs w:val="20"/>
              </w:rPr>
              <w:t>25,422,788 (100%)</w:t>
            </w:r>
          </w:p>
        </w:tc>
        <w:tc>
          <w:tcPr>
            <w:tcW w:w="2324" w:type="dxa"/>
            <w:tcBorders>
              <w:top w:val="single" w:sz="4" w:space="0" w:color="808080" w:themeColor="background1" w:themeShade="80"/>
              <w:bottom w:val="single" w:sz="18" w:space="0" w:color="142E3B" w:themeColor="accent6"/>
            </w:tcBorders>
            <w:vAlign w:val="center"/>
          </w:tcPr>
          <w:p w14:paraId="70D64C88" w14:textId="1C44046A" w:rsidR="00107EE0" w:rsidRPr="00FD2C46" w:rsidRDefault="00107EE0" w:rsidP="006156AD">
            <w:pPr>
              <w:pStyle w:val="TableTextRightAligned"/>
              <w:spacing w:after="0"/>
              <w:jc w:val="center"/>
            </w:pPr>
            <w:r w:rsidRPr="00F34688">
              <w:rPr>
                <w:rFonts w:cstheme="minorHAnsi"/>
                <w:i/>
                <w:color w:val="000000"/>
                <w:szCs w:val="20"/>
              </w:rPr>
              <w:t>55</w:t>
            </w:r>
          </w:p>
        </w:tc>
      </w:tr>
    </w:tbl>
    <w:p w14:paraId="6BCEC996" w14:textId="25ED1360" w:rsidR="005F76F4" w:rsidRDefault="006156AD" w:rsidP="005F76F4">
      <w:pPr>
        <w:pStyle w:val="SourceNotesText"/>
      </w:pPr>
      <w:r w:rsidRPr="006156AD">
        <w:rPr>
          <w:b/>
        </w:rPr>
        <w:t xml:space="preserve">* </w:t>
      </w:r>
      <w:r w:rsidRPr="006156AD">
        <w:t xml:space="preserve">ABS (2022a). </w:t>
      </w:r>
      <w:r w:rsidRPr="006156AD">
        <w:rPr>
          <w:b/>
        </w:rPr>
        <w:t>**</w:t>
      </w:r>
      <w:r w:rsidRPr="006156AD">
        <w:t xml:space="preserve"> The rate = (pro-rata number of scheduled EVA calls / target population size)*100,000.</w:t>
      </w:r>
    </w:p>
    <w:p w14:paraId="60954DA5" w14:textId="77777777" w:rsidR="00174571" w:rsidRDefault="00174571" w:rsidP="00174571">
      <w:pPr>
        <w:pStyle w:val="Caption"/>
        <w:keepNext/>
      </w:pPr>
    </w:p>
    <w:p w14:paraId="0ABD8AB4" w14:textId="40AEC5A6" w:rsidR="00174571" w:rsidRPr="004F1A0A" w:rsidRDefault="00174571" w:rsidP="004F1A0A">
      <w:pPr>
        <w:pStyle w:val="Caption"/>
        <w:rPr>
          <w:b/>
          <w:i w:val="0"/>
          <w:sz w:val="20"/>
          <w:szCs w:val="20"/>
        </w:rPr>
      </w:pPr>
      <w:r w:rsidRPr="004F1A0A">
        <w:rPr>
          <w:b/>
          <w:i w:val="0"/>
          <w:sz w:val="20"/>
          <w:szCs w:val="20"/>
        </w:rPr>
        <w:t xml:space="preserve">Table </w:t>
      </w:r>
      <w:r w:rsidRPr="004F1A0A">
        <w:rPr>
          <w:b/>
          <w:i w:val="0"/>
          <w:sz w:val="20"/>
          <w:szCs w:val="20"/>
        </w:rPr>
        <w:fldChar w:fldCharType="begin"/>
      </w:r>
      <w:r w:rsidRPr="004F1A0A">
        <w:rPr>
          <w:b/>
          <w:i w:val="0"/>
          <w:sz w:val="20"/>
          <w:szCs w:val="20"/>
        </w:rPr>
        <w:instrText xml:space="preserve"> SEQ Table \* ARABIC </w:instrText>
      </w:r>
      <w:r w:rsidRPr="004F1A0A">
        <w:rPr>
          <w:b/>
          <w:i w:val="0"/>
          <w:sz w:val="20"/>
          <w:szCs w:val="20"/>
        </w:rPr>
        <w:fldChar w:fldCharType="separate"/>
      </w:r>
      <w:r w:rsidR="00326E97">
        <w:rPr>
          <w:b/>
          <w:i w:val="0"/>
          <w:noProof/>
          <w:sz w:val="20"/>
          <w:szCs w:val="20"/>
        </w:rPr>
        <w:t>2</w:t>
      </w:r>
      <w:r w:rsidRPr="004F1A0A">
        <w:rPr>
          <w:b/>
          <w:i w:val="0"/>
          <w:sz w:val="20"/>
          <w:szCs w:val="20"/>
        </w:rPr>
        <w:fldChar w:fldCharType="end"/>
      </w:r>
      <w:r w:rsidRPr="004F1A0A">
        <w:rPr>
          <w:b/>
          <w:i w:val="0"/>
          <w:sz w:val="20"/>
          <w:szCs w:val="20"/>
        </w:rPr>
        <w:t>. EVA utilisation by use of interpreter service</w:t>
      </w:r>
    </w:p>
    <w:tbl>
      <w:tblPr>
        <w:tblStyle w:val="DefaultTable"/>
        <w:tblW w:w="8278" w:type="dxa"/>
        <w:tblLayout w:type="fixed"/>
        <w:tblCellMar>
          <w:top w:w="85" w:type="dxa"/>
        </w:tblCellMar>
        <w:tblLook w:val="0420" w:firstRow="1" w:lastRow="0" w:firstColumn="0" w:lastColumn="0" w:noHBand="0" w:noVBand="1"/>
        <w:tblCaption w:val="Table 2 - EVA utilisation by use of interpreter service."/>
        <w:tblDescription w:val="The table has four columns, column one is called 'Interpreter used'. This column is broken down into yes and no categories, with a total at the bottom. The second column is called 'Number of scheduled EVA calls'. The third column is called 'Target population size based on 2021 Census data'. The fourth column is 'Number of EVA customers per 100,000 target population'. "/>
      </w:tblPr>
      <w:tblGrid>
        <w:gridCol w:w="1560"/>
        <w:gridCol w:w="1984"/>
        <w:gridCol w:w="2410"/>
        <w:gridCol w:w="2324"/>
      </w:tblGrid>
      <w:tr w:rsidR="006156AD" w14:paraId="4C7C1EF4" w14:textId="77777777" w:rsidTr="00B83D14">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1687D90F" w14:textId="1FB419C4" w:rsidR="006156AD" w:rsidRPr="00FD2C46" w:rsidRDefault="006156AD" w:rsidP="00B83D14">
            <w:pPr>
              <w:pStyle w:val="TableHeading"/>
              <w:spacing w:after="0"/>
              <w:jc w:val="center"/>
            </w:pPr>
            <w:r>
              <w:t>Interpreter used</w:t>
            </w:r>
          </w:p>
        </w:tc>
        <w:tc>
          <w:tcPr>
            <w:tcW w:w="1984" w:type="dxa"/>
            <w:tcBorders>
              <w:top w:val="nil"/>
              <w:bottom w:val="single" w:sz="18" w:space="0" w:color="142E3B" w:themeColor="accent6"/>
            </w:tcBorders>
            <w:shd w:val="clear" w:color="auto" w:fill="20B9A3" w:themeFill="accent1"/>
            <w:vAlign w:val="center"/>
          </w:tcPr>
          <w:p w14:paraId="749EC959" w14:textId="1C5FE44D" w:rsidR="006156AD" w:rsidRDefault="006156AD" w:rsidP="00B83D14">
            <w:pPr>
              <w:pStyle w:val="TableHeading"/>
              <w:spacing w:after="0"/>
              <w:jc w:val="center"/>
            </w:pPr>
            <w:r w:rsidRPr="00F44AB3">
              <w:t xml:space="preserve">Number (%) of </w:t>
            </w:r>
            <w:r>
              <w:t>scheduled</w:t>
            </w:r>
            <w:r w:rsidRPr="00F44AB3">
              <w:t xml:space="preserve"> EVA </w:t>
            </w:r>
            <w:r>
              <w:t>calls</w:t>
            </w:r>
          </w:p>
        </w:tc>
        <w:tc>
          <w:tcPr>
            <w:tcW w:w="2410" w:type="dxa"/>
            <w:tcBorders>
              <w:top w:val="nil"/>
              <w:bottom w:val="single" w:sz="18" w:space="0" w:color="142E3B" w:themeColor="accent6"/>
            </w:tcBorders>
            <w:shd w:val="clear" w:color="auto" w:fill="20B9A3" w:themeFill="accent1"/>
            <w:vAlign w:val="center"/>
          </w:tcPr>
          <w:p w14:paraId="0A9F3E51" w14:textId="77777777" w:rsidR="006156AD" w:rsidRPr="00FD2C46" w:rsidRDefault="006156AD" w:rsidP="00B83D14">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1A265AF5" w14:textId="77777777" w:rsidR="006156AD" w:rsidRPr="00FD2C46" w:rsidRDefault="006156AD" w:rsidP="00B83D14">
            <w:pPr>
              <w:pStyle w:val="TableHeading"/>
              <w:spacing w:after="0"/>
              <w:jc w:val="center"/>
            </w:pPr>
            <w:r w:rsidRPr="00F44AB3">
              <w:t>Number of EVA customers per 100,000 target population**</w:t>
            </w:r>
          </w:p>
        </w:tc>
      </w:tr>
      <w:tr w:rsidR="00EA3970" w14:paraId="3CF546CA" w14:textId="77777777" w:rsidTr="00EA3970">
        <w:tc>
          <w:tcPr>
            <w:tcW w:w="1560" w:type="dxa"/>
            <w:tcBorders>
              <w:top w:val="single" w:sz="18" w:space="0" w:color="142E3B" w:themeColor="accent6"/>
            </w:tcBorders>
            <w:shd w:val="clear" w:color="auto" w:fill="auto"/>
            <w:vAlign w:val="center"/>
          </w:tcPr>
          <w:p w14:paraId="50BC4816" w14:textId="6408B39C" w:rsidR="006156AD" w:rsidRPr="00FD2C46" w:rsidRDefault="006156AD" w:rsidP="006156AD">
            <w:pPr>
              <w:pStyle w:val="TableTextLeftAligned"/>
              <w:spacing w:after="0"/>
            </w:pPr>
            <w:r w:rsidRPr="00F34688">
              <w:rPr>
                <w:rFonts w:cstheme="minorHAnsi"/>
                <w:color w:val="000000"/>
                <w:szCs w:val="20"/>
              </w:rPr>
              <w:t>Yes</w:t>
            </w:r>
          </w:p>
        </w:tc>
        <w:tc>
          <w:tcPr>
            <w:tcW w:w="1984" w:type="dxa"/>
            <w:tcBorders>
              <w:top w:val="single" w:sz="18" w:space="0" w:color="142E3B" w:themeColor="accent6"/>
            </w:tcBorders>
            <w:vAlign w:val="center"/>
          </w:tcPr>
          <w:p w14:paraId="62265ED7" w14:textId="5F5F080A" w:rsidR="006156AD" w:rsidRPr="00FD2C46" w:rsidRDefault="006156AD" w:rsidP="006156AD">
            <w:pPr>
              <w:pStyle w:val="TableTextRightAligned"/>
              <w:spacing w:after="0"/>
              <w:jc w:val="center"/>
            </w:pPr>
            <w:r w:rsidRPr="00F34688">
              <w:rPr>
                <w:rFonts w:cstheme="minorHAnsi"/>
                <w:color w:val="000000"/>
                <w:szCs w:val="20"/>
              </w:rPr>
              <w:t>67 (&lt;1%)</w:t>
            </w:r>
          </w:p>
        </w:tc>
        <w:tc>
          <w:tcPr>
            <w:tcW w:w="2410" w:type="dxa"/>
            <w:tcBorders>
              <w:top w:val="single" w:sz="18" w:space="0" w:color="142E3B" w:themeColor="accent6"/>
            </w:tcBorders>
            <w:shd w:val="clear" w:color="auto" w:fill="auto"/>
            <w:vAlign w:val="center"/>
          </w:tcPr>
          <w:p w14:paraId="751138B1" w14:textId="16664A39" w:rsidR="006156AD" w:rsidRPr="00FD2C46" w:rsidRDefault="006156AD" w:rsidP="006156AD">
            <w:pPr>
              <w:pStyle w:val="TableTextRightAligned"/>
              <w:spacing w:after="0"/>
              <w:jc w:val="center"/>
            </w:pPr>
            <w:r w:rsidRPr="00F34688">
              <w:rPr>
                <w:rFonts w:cstheme="minorHAnsi"/>
                <w:color w:val="000000"/>
                <w:szCs w:val="20"/>
              </w:rPr>
              <w:t>864,375 (3%)</w:t>
            </w:r>
          </w:p>
        </w:tc>
        <w:tc>
          <w:tcPr>
            <w:tcW w:w="2324" w:type="dxa"/>
            <w:tcBorders>
              <w:top w:val="single" w:sz="18" w:space="0" w:color="142E3B" w:themeColor="accent6"/>
            </w:tcBorders>
            <w:vAlign w:val="center"/>
          </w:tcPr>
          <w:p w14:paraId="30B8CF4B" w14:textId="6A6D172F" w:rsidR="006156AD" w:rsidRPr="00FD2C46" w:rsidRDefault="006156AD" w:rsidP="006156AD">
            <w:pPr>
              <w:pStyle w:val="TableTextRightAligned"/>
              <w:spacing w:after="0"/>
              <w:jc w:val="center"/>
            </w:pPr>
            <w:r w:rsidRPr="00F34688">
              <w:rPr>
                <w:rFonts w:cstheme="minorHAnsi"/>
                <w:szCs w:val="20"/>
              </w:rPr>
              <w:t>8</w:t>
            </w:r>
          </w:p>
        </w:tc>
      </w:tr>
      <w:tr w:rsidR="00EA3970" w14:paraId="6E3A337C" w14:textId="77777777" w:rsidTr="00EA3970">
        <w:tc>
          <w:tcPr>
            <w:tcW w:w="1560" w:type="dxa"/>
            <w:tcBorders>
              <w:bottom w:val="single" w:sz="4" w:space="0" w:color="808080" w:themeColor="background1" w:themeShade="80"/>
            </w:tcBorders>
            <w:shd w:val="clear" w:color="auto" w:fill="auto"/>
            <w:vAlign w:val="center"/>
          </w:tcPr>
          <w:p w14:paraId="28A9855B" w14:textId="2A05ED1C" w:rsidR="006156AD" w:rsidRPr="00FD2C46" w:rsidRDefault="006156AD" w:rsidP="006156AD">
            <w:pPr>
              <w:pStyle w:val="TableTextLeftAligned"/>
              <w:spacing w:after="0"/>
            </w:pPr>
            <w:r w:rsidRPr="00F34688">
              <w:rPr>
                <w:rFonts w:cstheme="minorHAnsi"/>
                <w:color w:val="000000"/>
                <w:szCs w:val="20"/>
              </w:rPr>
              <w:t xml:space="preserve">No </w:t>
            </w:r>
          </w:p>
        </w:tc>
        <w:tc>
          <w:tcPr>
            <w:tcW w:w="1984" w:type="dxa"/>
            <w:tcBorders>
              <w:bottom w:val="single" w:sz="4" w:space="0" w:color="808080" w:themeColor="background1" w:themeShade="80"/>
            </w:tcBorders>
            <w:vAlign w:val="center"/>
          </w:tcPr>
          <w:p w14:paraId="0A6DC2F6" w14:textId="2739D1B3" w:rsidR="006156AD" w:rsidRPr="00FD2C46" w:rsidRDefault="006156AD" w:rsidP="006156AD">
            <w:pPr>
              <w:pStyle w:val="TableTextRightAligned"/>
              <w:spacing w:after="0"/>
              <w:jc w:val="center"/>
            </w:pPr>
            <w:r w:rsidRPr="00F34688">
              <w:rPr>
                <w:rFonts w:cstheme="minorHAnsi"/>
                <w:color w:val="000000"/>
                <w:szCs w:val="20"/>
              </w:rPr>
              <w:t>13,810 (99%)</w:t>
            </w:r>
          </w:p>
        </w:tc>
        <w:tc>
          <w:tcPr>
            <w:tcW w:w="2410" w:type="dxa"/>
            <w:tcBorders>
              <w:bottom w:val="single" w:sz="4" w:space="0" w:color="808080" w:themeColor="background1" w:themeShade="80"/>
            </w:tcBorders>
            <w:shd w:val="clear" w:color="auto" w:fill="auto"/>
            <w:vAlign w:val="center"/>
          </w:tcPr>
          <w:p w14:paraId="2FDD151C" w14:textId="422BA0DD" w:rsidR="006156AD" w:rsidRPr="00FD2C46" w:rsidRDefault="006156AD" w:rsidP="006156AD">
            <w:pPr>
              <w:pStyle w:val="TableTextRightAligned"/>
              <w:spacing w:after="0"/>
              <w:jc w:val="center"/>
            </w:pPr>
            <w:r w:rsidRPr="00F34688">
              <w:rPr>
                <w:rFonts w:cstheme="minorHAnsi"/>
                <w:color w:val="000000"/>
                <w:szCs w:val="20"/>
              </w:rPr>
              <w:t>24,558,423 (97%)</w:t>
            </w:r>
          </w:p>
        </w:tc>
        <w:tc>
          <w:tcPr>
            <w:tcW w:w="2324" w:type="dxa"/>
            <w:tcBorders>
              <w:bottom w:val="single" w:sz="4" w:space="0" w:color="808080" w:themeColor="background1" w:themeShade="80"/>
            </w:tcBorders>
            <w:vAlign w:val="center"/>
          </w:tcPr>
          <w:p w14:paraId="4F7FA06C" w14:textId="53DBF8FD" w:rsidR="006156AD" w:rsidRPr="00FD2C46" w:rsidRDefault="006156AD" w:rsidP="006156AD">
            <w:pPr>
              <w:pStyle w:val="TableTextRightAligned"/>
              <w:spacing w:after="0"/>
              <w:jc w:val="center"/>
            </w:pPr>
            <w:r w:rsidRPr="00F34688">
              <w:rPr>
                <w:rFonts w:cstheme="minorHAnsi"/>
                <w:color w:val="000000"/>
                <w:szCs w:val="20"/>
              </w:rPr>
              <w:t>56</w:t>
            </w:r>
          </w:p>
        </w:tc>
      </w:tr>
      <w:tr w:rsidR="00EA3970" w14:paraId="301A93DE" w14:textId="77777777" w:rsidTr="00EA3970">
        <w:tc>
          <w:tcPr>
            <w:tcW w:w="1560" w:type="dxa"/>
            <w:tcBorders>
              <w:top w:val="single" w:sz="4" w:space="0" w:color="808080" w:themeColor="background1" w:themeShade="80"/>
              <w:bottom w:val="single" w:sz="4" w:space="0" w:color="auto"/>
            </w:tcBorders>
            <w:shd w:val="clear" w:color="auto" w:fill="auto"/>
            <w:vAlign w:val="center"/>
          </w:tcPr>
          <w:p w14:paraId="49D61D99" w14:textId="4F033C43" w:rsidR="006156AD" w:rsidRPr="00FD2C46" w:rsidRDefault="006156AD" w:rsidP="006156AD">
            <w:pPr>
              <w:pStyle w:val="TableTextLeftAligned"/>
              <w:spacing w:after="0"/>
            </w:pPr>
            <w:r w:rsidRPr="00F34688">
              <w:rPr>
                <w:rFonts w:ascii="Helvetica" w:hAnsi="Helvetica"/>
                <w:b/>
                <w:szCs w:val="20"/>
              </w:rPr>
              <w:t>Total</w:t>
            </w:r>
          </w:p>
        </w:tc>
        <w:tc>
          <w:tcPr>
            <w:tcW w:w="1984" w:type="dxa"/>
            <w:tcBorders>
              <w:top w:val="single" w:sz="4" w:space="0" w:color="808080" w:themeColor="background1" w:themeShade="80"/>
              <w:bottom w:val="single" w:sz="4" w:space="0" w:color="auto"/>
            </w:tcBorders>
            <w:vAlign w:val="center"/>
          </w:tcPr>
          <w:p w14:paraId="363A52AB" w14:textId="08E4A875" w:rsidR="006156AD" w:rsidRPr="00FD2C46" w:rsidRDefault="006156AD" w:rsidP="006156AD">
            <w:pPr>
              <w:pStyle w:val="TableTextRightAligned"/>
              <w:spacing w:after="0"/>
              <w:jc w:val="center"/>
            </w:pPr>
            <w:r w:rsidRPr="00F34688">
              <w:rPr>
                <w:rFonts w:cstheme="minorHAnsi"/>
                <w:i/>
                <w:color w:val="000000"/>
                <w:szCs w:val="20"/>
              </w:rPr>
              <w:t>13,877 (100%)</w:t>
            </w:r>
          </w:p>
        </w:tc>
        <w:tc>
          <w:tcPr>
            <w:tcW w:w="2410" w:type="dxa"/>
            <w:tcBorders>
              <w:top w:val="single" w:sz="4" w:space="0" w:color="808080" w:themeColor="background1" w:themeShade="80"/>
              <w:bottom w:val="single" w:sz="4" w:space="0" w:color="auto"/>
            </w:tcBorders>
            <w:shd w:val="clear" w:color="auto" w:fill="auto"/>
            <w:vAlign w:val="center"/>
          </w:tcPr>
          <w:p w14:paraId="76824D06" w14:textId="13D09942" w:rsidR="006156AD" w:rsidRPr="00FD2C46" w:rsidRDefault="006156AD" w:rsidP="006156AD">
            <w:pPr>
              <w:pStyle w:val="TableTextRightAligned"/>
              <w:spacing w:after="0"/>
              <w:jc w:val="center"/>
            </w:pPr>
            <w:r w:rsidRPr="00F34688">
              <w:rPr>
                <w:rFonts w:cstheme="minorHAnsi"/>
                <w:i/>
                <w:color w:val="000000"/>
                <w:szCs w:val="20"/>
              </w:rPr>
              <w:t>25,422,788 (100%)</w:t>
            </w:r>
          </w:p>
        </w:tc>
        <w:tc>
          <w:tcPr>
            <w:tcW w:w="2324" w:type="dxa"/>
            <w:tcBorders>
              <w:top w:val="single" w:sz="4" w:space="0" w:color="808080" w:themeColor="background1" w:themeShade="80"/>
              <w:bottom w:val="single" w:sz="4" w:space="0" w:color="auto"/>
            </w:tcBorders>
            <w:vAlign w:val="center"/>
          </w:tcPr>
          <w:p w14:paraId="7FD1D663" w14:textId="040FA917" w:rsidR="006156AD" w:rsidRPr="00FD2C46" w:rsidRDefault="006156AD" w:rsidP="006156AD">
            <w:pPr>
              <w:pStyle w:val="TableTextRightAligned"/>
              <w:spacing w:after="0"/>
              <w:jc w:val="center"/>
            </w:pPr>
            <w:r w:rsidRPr="00F34688">
              <w:rPr>
                <w:rFonts w:cstheme="minorHAnsi"/>
                <w:i/>
                <w:color w:val="000000"/>
                <w:szCs w:val="20"/>
              </w:rPr>
              <w:t>55</w:t>
            </w:r>
          </w:p>
        </w:tc>
      </w:tr>
    </w:tbl>
    <w:p w14:paraId="23EF4A9F" w14:textId="2996289C" w:rsidR="006156AD" w:rsidRDefault="006156AD" w:rsidP="006156AD">
      <w:pPr>
        <w:pStyle w:val="SourceNotesText"/>
      </w:pPr>
      <w:r w:rsidRPr="006156AD">
        <w:rPr>
          <w:b/>
        </w:rPr>
        <w:t xml:space="preserve">* </w:t>
      </w:r>
      <w:r w:rsidRPr="006156AD">
        <w:t>ABS (2022</w:t>
      </w:r>
      <w:r w:rsidR="008059CA">
        <w:t>b</w:t>
      </w:r>
      <w:r w:rsidRPr="006156AD">
        <w:t xml:space="preserve">). </w:t>
      </w:r>
      <w:r w:rsidRPr="006156AD">
        <w:rPr>
          <w:b/>
        </w:rPr>
        <w:t>**</w:t>
      </w:r>
      <w:r w:rsidRPr="006156AD">
        <w:t xml:space="preserve"> The rate = (pro-rata number of scheduled EVA calls / target population size)*100,000.</w:t>
      </w:r>
    </w:p>
    <w:p w14:paraId="7BE220B0" w14:textId="77777777" w:rsidR="00174571" w:rsidRDefault="00174571" w:rsidP="00174571">
      <w:pPr>
        <w:pStyle w:val="Caption"/>
      </w:pPr>
    </w:p>
    <w:p w14:paraId="29E6F44F" w14:textId="77777777" w:rsidR="00174571" w:rsidRDefault="00174571" w:rsidP="00174571">
      <w:pPr>
        <w:pStyle w:val="Caption"/>
      </w:pPr>
    </w:p>
    <w:p w14:paraId="603FAD97" w14:textId="77777777" w:rsidR="00174571" w:rsidRDefault="00174571" w:rsidP="00174571">
      <w:pPr>
        <w:pStyle w:val="Caption"/>
      </w:pPr>
    </w:p>
    <w:p w14:paraId="33B2F9BD" w14:textId="5225D40F" w:rsidR="00174571" w:rsidRPr="004F1A0A" w:rsidRDefault="00174571" w:rsidP="004F1A0A">
      <w:pPr>
        <w:pStyle w:val="Caption"/>
        <w:rPr>
          <w:b/>
          <w:i w:val="0"/>
          <w:sz w:val="20"/>
          <w:szCs w:val="20"/>
        </w:rPr>
      </w:pPr>
      <w:r w:rsidRPr="004F1A0A">
        <w:rPr>
          <w:b/>
          <w:i w:val="0"/>
          <w:sz w:val="20"/>
          <w:szCs w:val="20"/>
        </w:rPr>
        <w:lastRenderedPageBreak/>
        <w:t xml:space="preserve">Table </w:t>
      </w:r>
      <w:r w:rsidRPr="004F1A0A">
        <w:rPr>
          <w:b/>
          <w:i w:val="0"/>
          <w:sz w:val="20"/>
          <w:szCs w:val="20"/>
        </w:rPr>
        <w:fldChar w:fldCharType="begin"/>
      </w:r>
      <w:r w:rsidRPr="004F1A0A">
        <w:rPr>
          <w:b/>
          <w:i w:val="0"/>
          <w:sz w:val="20"/>
          <w:szCs w:val="20"/>
        </w:rPr>
        <w:instrText xml:space="preserve"> SEQ Table \* ARABIC </w:instrText>
      </w:r>
      <w:r w:rsidRPr="004F1A0A">
        <w:rPr>
          <w:b/>
          <w:i w:val="0"/>
          <w:sz w:val="20"/>
          <w:szCs w:val="20"/>
        </w:rPr>
        <w:fldChar w:fldCharType="separate"/>
      </w:r>
      <w:r w:rsidR="00326E97">
        <w:rPr>
          <w:b/>
          <w:i w:val="0"/>
          <w:noProof/>
          <w:sz w:val="20"/>
          <w:szCs w:val="20"/>
        </w:rPr>
        <w:t>3</w:t>
      </w:r>
      <w:r w:rsidRPr="004F1A0A">
        <w:rPr>
          <w:b/>
          <w:i w:val="0"/>
          <w:sz w:val="20"/>
          <w:szCs w:val="20"/>
        </w:rPr>
        <w:fldChar w:fldCharType="end"/>
      </w:r>
      <w:r w:rsidRPr="004F1A0A">
        <w:rPr>
          <w:b/>
          <w:i w:val="0"/>
          <w:sz w:val="20"/>
          <w:szCs w:val="20"/>
        </w:rPr>
        <w:t>. EVA utilisation by location: Level of remoteness*</w:t>
      </w:r>
    </w:p>
    <w:tbl>
      <w:tblPr>
        <w:tblStyle w:val="DefaultTable"/>
        <w:tblW w:w="8278" w:type="dxa"/>
        <w:tblLayout w:type="fixed"/>
        <w:tblCellMar>
          <w:top w:w="85" w:type="dxa"/>
        </w:tblCellMar>
        <w:tblLook w:val="0420" w:firstRow="1" w:lastRow="0" w:firstColumn="0" w:lastColumn="0" w:noHBand="0" w:noVBand="1"/>
        <w:tblCaption w:val="Table 3 - EVA utilisation by location: level of remoteness"/>
        <w:tblDescription w:val="This table has four columns. The first is called 'Remoteness', which is broken down into major cities, inner regional, outer regional, remote, very remote, unknown and total. The second column is called 'Number of scheduled EVA calls', and is broken down as per number of scheduled EVA calls per level of remoteness. The third column is called 'Target population size based on 2021 Census data'. The last column is called 'Number of EVA customers per 100,000 target population'. "/>
      </w:tblPr>
      <w:tblGrid>
        <w:gridCol w:w="1560"/>
        <w:gridCol w:w="1984"/>
        <w:gridCol w:w="2410"/>
        <w:gridCol w:w="2324"/>
      </w:tblGrid>
      <w:tr w:rsidR="000E5730" w14:paraId="15246DB8" w14:textId="77777777" w:rsidTr="00B83D14">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62B83250" w14:textId="1F14FB13" w:rsidR="000E5730" w:rsidRPr="00FD2C46" w:rsidRDefault="004D44DA" w:rsidP="00B83D14">
            <w:pPr>
              <w:pStyle w:val="TableHeading"/>
              <w:spacing w:after="0"/>
              <w:jc w:val="center"/>
            </w:pPr>
            <w:r>
              <w:t>Remoteness</w:t>
            </w:r>
          </w:p>
        </w:tc>
        <w:tc>
          <w:tcPr>
            <w:tcW w:w="1984" w:type="dxa"/>
            <w:tcBorders>
              <w:top w:val="nil"/>
              <w:bottom w:val="single" w:sz="18" w:space="0" w:color="142E3B" w:themeColor="accent6"/>
            </w:tcBorders>
            <w:shd w:val="clear" w:color="auto" w:fill="20B9A3" w:themeFill="accent1"/>
            <w:vAlign w:val="center"/>
          </w:tcPr>
          <w:p w14:paraId="4F6F14AF" w14:textId="77777777" w:rsidR="000E5730" w:rsidRDefault="000E5730" w:rsidP="00B83D14">
            <w:pPr>
              <w:pStyle w:val="TableHeading"/>
              <w:spacing w:after="0"/>
              <w:jc w:val="center"/>
            </w:pPr>
            <w:r w:rsidRPr="00F44AB3">
              <w:t xml:space="preserve">Number (%) of </w:t>
            </w:r>
            <w:r>
              <w:t>scheduled</w:t>
            </w:r>
            <w:r w:rsidRPr="00F44AB3">
              <w:t xml:space="preserve"> EVA </w:t>
            </w:r>
            <w:r>
              <w:t xml:space="preserve">calls </w:t>
            </w:r>
          </w:p>
        </w:tc>
        <w:tc>
          <w:tcPr>
            <w:tcW w:w="2410" w:type="dxa"/>
            <w:tcBorders>
              <w:top w:val="nil"/>
              <w:bottom w:val="single" w:sz="18" w:space="0" w:color="142E3B" w:themeColor="accent6"/>
            </w:tcBorders>
            <w:shd w:val="clear" w:color="auto" w:fill="20B9A3" w:themeFill="accent1"/>
            <w:vAlign w:val="center"/>
          </w:tcPr>
          <w:p w14:paraId="73794D72" w14:textId="77777777" w:rsidR="000E5730" w:rsidRPr="00FD2C46" w:rsidRDefault="000E5730" w:rsidP="00B83D14">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0F9D0062" w14:textId="77777777" w:rsidR="000E5730" w:rsidRPr="00FD2C46" w:rsidRDefault="000E5730" w:rsidP="00B83D14">
            <w:pPr>
              <w:pStyle w:val="TableHeading"/>
              <w:spacing w:after="0"/>
              <w:jc w:val="center"/>
            </w:pPr>
            <w:r w:rsidRPr="00F44AB3">
              <w:t>Number of EVA customers per 100,000 target population**</w:t>
            </w:r>
          </w:p>
        </w:tc>
      </w:tr>
      <w:tr w:rsidR="00EA3970" w14:paraId="3D1F7B3C" w14:textId="77777777" w:rsidTr="00EA3970">
        <w:tc>
          <w:tcPr>
            <w:tcW w:w="1560" w:type="dxa"/>
            <w:tcBorders>
              <w:top w:val="single" w:sz="18" w:space="0" w:color="142E3B" w:themeColor="accent6"/>
            </w:tcBorders>
            <w:shd w:val="clear" w:color="auto" w:fill="auto"/>
            <w:vAlign w:val="center"/>
          </w:tcPr>
          <w:p w14:paraId="3191F593" w14:textId="4A1F6C92" w:rsidR="000E5730" w:rsidRPr="00FD2C46" w:rsidRDefault="000E5730" w:rsidP="000E5730">
            <w:pPr>
              <w:pStyle w:val="TableTextLeftAligned"/>
              <w:spacing w:after="0"/>
            </w:pPr>
            <w:r w:rsidRPr="00F34688">
              <w:rPr>
                <w:rFonts w:cstheme="minorHAnsi"/>
                <w:color w:val="000000"/>
                <w:szCs w:val="20"/>
              </w:rPr>
              <w:t xml:space="preserve">Major Cities </w:t>
            </w:r>
          </w:p>
        </w:tc>
        <w:tc>
          <w:tcPr>
            <w:tcW w:w="1984" w:type="dxa"/>
            <w:tcBorders>
              <w:top w:val="single" w:sz="18" w:space="0" w:color="142E3B" w:themeColor="accent6"/>
            </w:tcBorders>
            <w:vAlign w:val="center"/>
          </w:tcPr>
          <w:p w14:paraId="4786D80D" w14:textId="17402DE1" w:rsidR="000E5730" w:rsidRPr="00FD2C46" w:rsidRDefault="000E5730" w:rsidP="000E5730">
            <w:pPr>
              <w:pStyle w:val="TableTextRightAligned"/>
              <w:spacing w:after="0"/>
              <w:jc w:val="center"/>
            </w:pPr>
            <w:r w:rsidRPr="00F34688">
              <w:rPr>
                <w:rFonts w:cstheme="minorHAnsi"/>
                <w:color w:val="000000"/>
                <w:szCs w:val="20"/>
              </w:rPr>
              <w:t>8,415 (61%)</w:t>
            </w:r>
          </w:p>
        </w:tc>
        <w:tc>
          <w:tcPr>
            <w:tcW w:w="2410" w:type="dxa"/>
            <w:tcBorders>
              <w:top w:val="single" w:sz="18" w:space="0" w:color="142E3B" w:themeColor="accent6"/>
            </w:tcBorders>
            <w:shd w:val="clear" w:color="auto" w:fill="auto"/>
            <w:vAlign w:val="center"/>
          </w:tcPr>
          <w:p w14:paraId="1B1B47C9" w14:textId="16812BDC" w:rsidR="000E5730" w:rsidRPr="00FD2C46" w:rsidRDefault="000E5730" w:rsidP="000E5730">
            <w:pPr>
              <w:pStyle w:val="TableTextRightAligned"/>
              <w:spacing w:after="0"/>
              <w:jc w:val="center"/>
            </w:pPr>
            <w:r w:rsidRPr="00F34688">
              <w:rPr>
                <w:rFonts w:cstheme="minorHAnsi"/>
                <w:color w:val="000000"/>
                <w:szCs w:val="20"/>
              </w:rPr>
              <w:t>18,329,830 (72%)</w:t>
            </w:r>
          </w:p>
        </w:tc>
        <w:tc>
          <w:tcPr>
            <w:tcW w:w="2324" w:type="dxa"/>
            <w:tcBorders>
              <w:top w:val="single" w:sz="18" w:space="0" w:color="142E3B" w:themeColor="accent6"/>
            </w:tcBorders>
            <w:vAlign w:val="center"/>
          </w:tcPr>
          <w:p w14:paraId="009DB46D" w14:textId="6086ADFB" w:rsidR="000E5730" w:rsidRPr="00FD2C46" w:rsidRDefault="000E5730" w:rsidP="000E5730">
            <w:pPr>
              <w:pStyle w:val="TableTextRightAligned"/>
              <w:spacing w:after="0"/>
              <w:jc w:val="center"/>
            </w:pPr>
            <w:r w:rsidRPr="00F34688">
              <w:rPr>
                <w:rFonts w:cstheme="minorHAnsi"/>
                <w:color w:val="000000"/>
                <w:szCs w:val="20"/>
              </w:rPr>
              <w:t>52</w:t>
            </w:r>
          </w:p>
        </w:tc>
      </w:tr>
      <w:tr w:rsidR="00EA3970" w14:paraId="57D9A1D3" w14:textId="77777777" w:rsidTr="00EA3970">
        <w:tc>
          <w:tcPr>
            <w:tcW w:w="1560" w:type="dxa"/>
            <w:shd w:val="clear" w:color="auto" w:fill="auto"/>
            <w:vAlign w:val="center"/>
          </w:tcPr>
          <w:p w14:paraId="7BC78B21" w14:textId="48C816B5" w:rsidR="000E5730" w:rsidRPr="00FD2C46" w:rsidRDefault="000E5730" w:rsidP="000E5730">
            <w:pPr>
              <w:pStyle w:val="TableTextLeftAligned"/>
              <w:spacing w:after="0"/>
            </w:pPr>
            <w:r w:rsidRPr="00F34688">
              <w:rPr>
                <w:rFonts w:cstheme="minorHAnsi"/>
                <w:color w:val="000000"/>
                <w:szCs w:val="20"/>
              </w:rPr>
              <w:t xml:space="preserve">Inner Regional </w:t>
            </w:r>
          </w:p>
        </w:tc>
        <w:tc>
          <w:tcPr>
            <w:tcW w:w="1984" w:type="dxa"/>
            <w:vAlign w:val="center"/>
          </w:tcPr>
          <w:p w14:paraId="31317098" w14:textId="2FED88C5" w:rsidR="000E5730" w:rsidRPr="00FD2C46" w:rsidRDefault="000E5730" w:rsidP="000E5730">
            <w:pPr>
              <w:pStyle w:val="TableTextRightAligned"/>
              <w:spacing w:after="0"/>
              <w:jc w:val="center"/>
            </w:pPr>
            <w:r w:rsidRPr="00F34688">
              <w:rPr>
                <w:rFonts w:cstheme="minorHAnsi"/>
                <w:color w:val="000000"/>
                <w:szCs w:val="20"/>
              </w:rPr>
              <w:t>1,922 (14%)</w:t>
            </w:r>
          </w:p>
        </w:tc>
        <w:tc>
          <w:tcPr>
            <w:tcW w:w="2410" w:type="dxa"/>
            <w:shd w:val="clear" w:color="auto" w:fill="auto"/>
            <w:vAlign w:val="center"/>
          </w:tcPr>
          <w:p w14:paraId="50B93795" w14:textId="3912C302" w:rsidR="000E5730" w:rsidRPr="00FD2C46" w:rsidRDefault="000E5730" w:rsidP="000E5730">
            <w:pPr>
              <w:pStyle w:val="TableTextRightAligned"/>
              <w:spacing w:after="0"/>
              <w:jc w:val="center"/>
            </w:pPr>
            <w:r w:rsidRPr="00F34688">
              <w:rPr>
                <w:rFonts w:cstheme="minorHAnsi"/>
                <w:color w:val="000000"/>
                <w:szCs w:val="20"/>
              </w:rPr>
              <w:t>4,576,102 (18%)</w:t>
            </w:r>
          </w:p>
        </w:tc>
        <w:tc>
          <w:tcPr>
            <w:tcW w:w="2324" w:type="dxa"/>
            <w:vAlign w:val="center"/>
          </w:tcPr>
          <w:p w14:paraId="6C962A17" w14:textId="07BE46AE" w:rsidR="000E5730" w:rsidRPr="00FD2C46" w:rsidRDefault="000E5730" w:rsidP="000E5730">
            <w:pPr>
              <w:pStyle w:val="TableTextRightAligned"/>
              <w:spacing w:after="0"/>
              <w:jc w:val="center"/>
            </w:pPr>
            <w:r w:rsidRPr="00F34688">
              <w:rPr>
                <w:rFonts w:cstheme="minorHAnsi"/>
                <w:color w:val="000000"/>
                <w:szCs w:val="20"/>
              </w:rPr>
              <w:t>57</w:t>
            </w:r>
          </w:p>
        </w:tc>
      </w:tr>
      <w:tr w:rsidR="00EA3970" w14:paraId="6D76A226" w14:textId="77777777" w:rsidTr="00EA3970">
        <w:tc>
          <w:tcPr>
            <w:tcW w:w="1560" w:type="dxa"/>
            <w:shd w:val="clear" w:color="auto" w:fill="auto"/>
            <w:vAlign w:val="center"/>
          </w:tcPr>
          <w:p w14:paraId="53220407" w14:textId="03E77C44" w:rsidR="000E5730" w:rsidRPr="00FD2C46" w:rsidRDefault="000E5730" w:rsidP="000E5730">
            <w:pPr>
              <w:pStyle w:val="TableTextLeftAligned"/>
              <w:spacing w:after="0"/>
            </w:pPr>
            <w:r w:rsidRPr="00F34688">
              <w:rPr>
                <w:rFonts w:cstheme="minorHAnsi"/>
                <w:color w:val="000000"/>
                <w:szCs w:val="20"/>
              </w:rPr>
              <w:t xml:space="preserve">Outer Regional </w:t>
            </w:r>
          </w:p>
        </w:tc>
        <w:tc>
          <w:tcPr>
            <w:tcW w:w="1984" w:type="dxa"/>
            <w:vAlign w:val="center"/>
          </w:tcPr>
          <w:p w14:paraId="5B015B5B" w14:textId="53272AC7" w:rsidR="000E5730" w:rsidRPr="00FD2C46" w:rsidRDefault="000E5730" w:rsidP="000E5730">
            <w:pPr>
              <w:pStyle w:val="TableTextRightAligned"/>
              <w:spacing w:after="0"/>
              <w:jc w:val="center"/>
            </w:pPr>
            <w:r w:rsidRPr="00F34688">
              <w:rPr>
                <w:rFonts w:cstheme="minorHAnsi"/>
                <w:color w:val="000000"/>
                <w:szCs w:val="20"/>
              </w:rPr>
              <w:t>644 (5%)</w:t>
            </w:r>
          </w:p>
        </w:tc>
        <w:tc>
          <w:tcPr>
            <w:tcW w:w="2410" w:type="dxa"/>
            <w:shd w:val="clear" w:color="auto" w:fill="auto"/>
            <w:vAlign w:val="center"/>
          </w:tcPr>
          <w:p w14:paraId="5E1A9197" w14:textId="5C8B359A" w:rsidR="000E5730" w:rsidRPr="00FD2C46" w:rsidRDefault="000E5730" w:rsidP="000E5730">
            <w:pPr>
              <w:pStyle w:val="TableTextRightAligned"/>
              <w:spacing w:after="0"/>
              <w:jc w:val="center"/>
            </w:pPr>
            <w:r w:rsidRPr="00F34688">
              <w:rPr>
                <w:rFonts w:cstheme="minorHAnsi"/>
                <w:color w:val="000000"/>
                <w:szCs w:val="20"/>
              </w:rPr>
              <w:t>2,033,823 (8%)</w:t>
            </w:r>
          </w:p>
        </w:tc>
        <w:tc>
          <w:tcPr>
            <w:tcW w:w="2324" w:type="dxa"/>
            <w:vAlign w:val="center"/>
          </w:tcPr>
          <w:p w14:paraId="3C503E66" w14:textId="4B2934C5" w:rsidR="000E5730" w:rsidRPr="00FD2C46" w:rsidRDefault="000E5730" w:rsidP="000E5730">
            <w:pPr>
              <w:pStyle w:val="TableTextRightAligned"/>
              <w:spacing w:after="0"/>
              <w:jc w:val="center"/>
            </w:pPr>
            <w:r w:rsidRPr="00F34688">
              <w:rPr>
                <w:rFonts w:cstheme="minorHAnsi"/>
                <w:color w:val="000000"/>
                <w:szCs w:val="20"/>
              </w:rPr>
              <w:t>39</w:t>
            </w:r>
          </w:p>
        </w:tc>
      </w:tr>
      <w:tr w:rsidR="00EA3970" w14:paraId="43376178" w14:textId="77777777" w:rsidTr="00EA3970">
        <w:tc>
          <w:tcPr>
            <w:tcW w:w="1560" w:type="dxa"/>
            <w:tcBorders>
              <w:bottom w:val="single" w:sz="4" w:space="0" w:color="808080" w:themeColor="background1" w:themeShade="80"/>
            </w:tcBorders>
            <w:shd w:val="clear" w:color="auto" w:fill="auto"/>
            <w:vAlign w:val="center"/>
          </w:tcPr>
          <w:p w14:paraId="7B377680" w14:textId="015B1BCC" w:rsidR="000E5730" w:rsidRPr="00FD2C46" w:rsidRDefault="000E5730" w:rsidP="000E5730">
            <w:pPr>
              <w:pStyle w:val="TableTextLeftAligned"/>
              <w:spacing w:after="0"/>
            </w:pPr>
            <w:r w:rsidRPr="00F34688">
              <w:rPr>
                <w:rFonts w:cstheme="minorHAnsi"/>
                <w:color w:val="000000"/>
                <w:szCs w:val="20"/>
              </w:rPr>
              <w:t xml:space="preserve">Remote </w:t>
            </w:r>
          </w:p>
        </w:tc>
        <w:tc>
          <w:tcPr>
            <w:tcW w:w="1984" w:type="dxa"/>
            <w:tcBorders>
              <w:bottom w:val="single" w:sz="4" w:space="0" w:color="808080" w:themeColor="background1" w:themeShade="80"/>
            </w:tcBorders>
            <w:vAlign w:val="center"/>
          </w:tcPr>
          <w:p w14:paraId="19C9FF85" w14:textId="5FB5C2F9" w:rsidR="000E5730" w:rsidRPr="00FD2C46" w:rsidRDefault="000E5730" w:rsidP="000E5730">
            <w:pPr>
              <w:pStyle w:val="TableTextRightAligned"/>
              <w:spacing w:after="0"/>
              <w:jc w:val="center"/>
            </w:pPr>
            <w:r w:rsidRPr="00F34688">
              <w:rPr>
                <w:rFonts w:cstheme="minorHAnsi"/>
                <w:color w:val="000000"/>
                <w:szCs w:val="20"/>
              </w:rPr>
              <w:t>110 (1%)</w:t>
            </w:r>
          </w:p>
        </w:tc>
        <w:tc>
          <w:tcPr>
            <w:tcW w:w="2410" w:type="dxa"/>
            <w:tcBorders>
              <w:bottom w:val="single" w:sz="4" w:space="0" w:color="808080" w:themeColor="background1" w:themeShade="80"/>
            </w:tcBorders>
            <w:shd w:val="clear" w:color="auto" w:fill="auto"/>
            <w:vAlign w:val="center"/>
          </w:tcPr>
          <w:p w14:paraId="755C3DE5" w14:textId="04640367" w:rsidR="000E5730" w:rsidRPr="00FD2C46" w:rsidRDefault="000E5730" w:rsidP="000E5730">
            <w:pPr>
              <w:pStyle w:val="TableTextRightAligned"/>
              <w:spacing w:after="0"/>
              <w:jc w:val="center"/>
            </w:pPr>
            <w:r w:rsidRPr="00F34688">
              <w:rPr>
                <w:rFonts w:cstheme="minorHAnsi"/>
                <w:color w:val="000000"/>
                <w:szCs w:val="20"/>
              </w:rPr>
              <w:t>279,652 (1%)</w:t>
            </w:r>
          </w:p>
        </w:tc>
        <w:tc>
          <w:tcPr>
            <w:tcW w:w="2324" w:type="dxa"/>
            <w:tcBorders>
              <w:bottom w:val="single" w:sz="4" w:space="0" w:color="808080" w:themeColor="background1" w:themeShade="80"/>
            </w:tcBorders>
            <w:vAlign w:val="center"/>
          </w:tcPr>
          <w:p w14:paraId="6EBF7D50" w14:textId="26732067" w:rsidR="000E5730" w:rsidRPr="00FD2C46" w:rsidRDefault="000E5730" w:rsidP="000E5730">
            <w:pPr>
              <w:pStyle w:val="TableTextRightAligned"/>
              <w:spacing w:after="0"/>
              <w:jc w:val="center"/>
            </w:pPr>
            <w:r w:rsidRPr="00F34688">
              <w:rPr>
                <w:rFonts w:cstheme="minorHAnsi"/>
                <w:color w:val="000000"/>
                <w:szCs w:val="20"/>
              </w:rPr>
              <w:t>49</w:t>
            </w:r>
          </w:p>
        </w:tc>
      </w:tr>
      <w:tr w:rsidR="000E5730" w14:paraId="7A07AF50" w14:textId="77777777" w:rsidTr="00EA3970">
        <w:tc>
          <w:tcPr>
            <w:tcW w:w="1560" w:type="dxa"/>
            <w:tcBorders>
              <w:bottom w:val="single" w:sz="4" w:space="0" w:color="808080" w:themeColor="background1" w:themeShade="80"/>
            </w:tcBorders>
            <w:shd w:val="clear" w:color="auto" w:fill="auto"/>
            <w:vAlign w:val="center"/>
          </w:tcPr>
          <w:p w14:paraId="3EA318BA" w14:textId="30EA97B1" w:rsidR="000E5730" w:rsidRDefault="000E5730" w:rsidP="000E5730">
            <w:pPr>
              <w:pStyle w:val="TableTextLeftAligned"/>
              <w:spacing w:after="0"/>
            </w:pPr>
            <w:r w:rsidRPr="00F34688">
              <w:rPr>
                <w:rFonts w:cstheme="minorHAnsi"/>
                <w:color w:val="000000"/>
                <w:szCs w:val="20"/>
              </w:rPr>
              <w:t xml:space="preserve">Very Remote </w:t>
            </w:r>
          </w:p>
        </w:tc>
        <w:tc>
          <w:tcPr>
            <w:tcW w:w="1984" w:type="dxa"/>
            <w:tcBorders>
              <w:bottom w:val="single" w:sz="4" w:space="0" w:color="808080" w:themeColor="background1" w:themeShade="80"/>
            </w:tcBorders>
            <w:vAlign w:val="center"/>
          </w:tcPr>
          <w:p w14:paraId="11F87323" w14:textId="11857A30" w:rsidR="000E5730" w:rsidRPr="00FD2C46" w:rsidRDefault="000E5730" w:rsidP="000E5730">
            <w:pPr>
              <w:pStyle w:val="TableTextRightAligned"/>
              <w:spacing w:after="0"/>
              <w:jc w:val="center"/>
            </w:pPr>
            <w:r w:rsidRPr="00F34688">
              <w:rPr>
                <w:rFonts w:cstheme="minorHAnsi"/>
                <w:color w:val="000000"/>
                <w:szCs w:val="20"/>
              </w:rPr>
              <w:t>42 (&lt;1%)</w:t>
            </w:r>
          </w:p>
        </w:tc>
        <w:tc>
          <w:tcPr>
            <w:tcW w:w="2410" w:type="dxa"/>
            <w:tcBorders>
              <w:bottom w:val="single" w:sz="4" w:space="0" w:color="808080" w:themeColor="background1" w:themeShade="80"/>
            </w:tcBorders>
            <w:shd w:val="clear" w:color="auto" w:fill="auto"/>
            <w:vAlign w:val="center"/>
          </w:tcPr>
          <w:p w14:paraId="0365B7D9" w14:textId="37E70344" w:rsidR="000E5730" w:rsidRPr="00FD2C46" w:rsidRDefault="000E5730" w:rsidP="000E5730">
            <w:pPr>
              <w:pStyle w:val="TableTextRightAligned"/>
              <w:spacing w:after="0"/>
              <w:jc w:val="center"/>
            </w:pPr>
            <w:r w:rsidRPr="00F34688">
              <w:rPr>
                <w:rFonts w:cstheme="minorHAnsi"/>
                <w:color w:val="000000"/>
                <w:szCs w:val="20"/>
              </w:rPr>
              <w:t>203,382 (1%)</w:t>
            </w:r>
          </w:p>
        </w:tc>
        <w:tc>
          <w:tcPr>
            <w:tcW w:w="2324" w:type="dxa"/>
            <w:tcBorders>
              <w:bottom w:val="single" w:sz="4" w:space="0" w:color="808080" w:themeColor="background1" w:themeShade="80"/>
            </w:tcBorders>
            <w:vAlign w:val="center"/>
          </w:tcPr>
          <w:p w14:paraId="704AA0CC" w14:textId="0D5DDA1E" w:rsidR="000E5730" w:rsidRDefault="000E5730" w:rsidP="000E5730">
            <w:pPr>
              <w:pStyle w:val="TableTextRightAligned"/>
              <w:spacing w:after="0"/>
              <w:jc w:val="center"/>
            </w:pPr>
            <w:r w:rsidRPr="00F34688">
              <w:rPr>
                <w:rFonts w:cstheme="minorHAnsi"/>
                <w:color w:val="000000"/>
                <w:szCs w:val="20"/>
              </w:rPr>
              <w:t>26</w:t>
            </w:r>
          </w:p>
        </w:tc>
      </w:tr>
      <w:tr w:rsidR="000E5730" w14:paraId="39C17C62" w14:textId="77777777" w:rsidTr="00EA3970">
        <w:tc>
          <w:tcPr>
            <w:tcW w:w="1560" w:type="dxa"/>
            <w:tcBorders>
              <w:bottom w:val="single" w:sz="4" w:space="0" w:color="808080" w:themeColor="background1" w:themeShade="80"/>
            </w:tcBorders>
            <w:shd w:val="clear" w:color="auto" w:fill="auto"/>
            <w:vAlign w:val="center"/>
          </w:tcPr>
          <w:p w14:paraId="13DD7DFC" w14:textId="6F1A6982" w:rsidR="000E5730" w:rsidRDefault="000E5730" w:rsidP="000E5730">
            <w:pPr>
              <w:pStyle w:val="TableTextLeftAligned"/>
              <w:spacing w:after="0"/>
            </w:pPr>
            <w:r w:rsidRPr="00F34688">
              <w:rPr>
                <w:rFonts w:cstheme="minorHAnsi"/>
                <w:color w:val="000000"/>
                <w:szCs w:val="20"/>
              </w:rPr>
              <w:t>Unknown</w:t>
            </w:r>
          </w:p>
        </w:tc>
        <w:tc>
          <w:tcPr>
            <w:tcW w:w="1984" w:type="dxa"/>
            <w:tcBorders>
              <w:bottom w:val="single" w:sz="4" w:space="0" w:color="808080" w:themeColor="background1" w:themeShade="80"/>
            </w:tcBorders>
            <w:vAlign w:val="center"/>
          </w:tcPr>
          <w:p w14:paraId="3336F202" w14:textId="55DE6237" w:rsidR="000E5730" w:rsidRPr="00FD2C46" w:rsidRDefault="000E5730" w:rsidP="000E5730">
            <w:pPr>
              <w:pStyle w:val="TableTextRightAligned"/>
              <w:spacing w:after="0"/>
              <w:jc w:val="center"/>
            </w:pPr>
            <w:r w:rsidRPr="00F34688">
              <w:rPr>
                <w:rFonts w:cstheme="minorHAnsi"/>
                <w:color w:val="000000"/>
                <w:szCs w:val="20"/>
              </w:rPr>
              <w:t>2,744 (20%)</w:t>
            </w:r>
          </w:p>
        </w:tc>
        <w:tc>
          <w:tcPr>
            <w:tcW w:w="2410" w:type="dxa"/>
            <w:tcBorders>
              <w:bottom w:val="single" w:sz="4" w:space="0" w:color="808080" w:themeColor="background1" w:themeShade="80"/>
            </w:tcBorders>
            <w:shd w:val="clear" w:color="auto" w:fill="auto"/>
            <w:vAlign w:val="bottom"/>
          </w:tcPr>
          <w:p w14:paraId="5DEEF8D0" w14:textId="49F58551" w:rsidR="000E5730" w:rsidRPr="00FD2C46" w:rsidRDefault="000E5730" w:rsidP="000E5730">
            <w:pPr>
              <w:pStyle w:val="TableTextRightAligned"/>
              <w:spacing w:after="0"/>
              <w:jc w:val="center"/>
            </w:pPr>
            <w:r w:rsidRPr="00F34688">
              <w:rPr>
                <w:rFonts w:ascii="Helvetica" w:hAnsi="Helvetica"/>
                <w:b/>
                <w:szCs w:val="20"/>
              </w:rPr>
              <w:t>-</w:t>
            </w:r>
          </w:p>
        </w:tc>
        <w:tc>
          <w:tcPr>
            <w:tcW w:w="2324" w:type="dxa"/>
            <w:tcBorders>
              <w:bottom w:val="single" w:sz="4" w:space="0" w:color="808080" w:themeColor="background1" w:themeShade="80"/>
            </w:tcBorders>
            <w:vAlign w:val="bottom"/>
          </w:tcPr>
          <w:p w14:paraId="33CC2558" w14:textId="382DFE32" w:rsidR="000E5730" w:rsidRDefault="000E5730" w:rsidP="000E5730">
            <w:pPr>
              <w:pStyle w:val="TableTextRightAligned"/>
              <w:spacing w:after="0"/>
              <w:jc w:val="center"/>
            </w:pPr>
            <w:r w:rsidRPr="00F34688">
              <w:rPr>
                <w:rFonts w:ascii="Helvetica" w:hAnsi="Helvetica"/>
                <w:b/>
                <w:szCs w:val="20"/>
              </w:rPr>
              <w:t>-</w:t>
            </w:r>
          </w:p>
        </w:tc>
      </w:tr>
      <w:tr w:rsidR="00EA3970" w14:paraId="6E1D87BB" w14:textId="77777777" w:rsidTr="00EA3970">
        <w:tc>
          <w:tcPr>
            <w:tcW w:w="1560" w:type="dxa"/>
            <w:tcBorders>
              <w:top w:val="single" w:sz="4" w:space="0" w:color="808080" w:themeColor="background1" w:themeShade="80"/>
              <w:bottom w:val="single" w:sz="18" w:space="0" w:color="142E3B" w:themeColor="accent6"/>
            </w:tcBorders>
            <w:shd w:val="clear" w:color="auto" w:fill="auto"/>
            <w:vAlign w:val="center"/>
          </w:tcPr>
          <w:p w14:paraId="38C3F308" w14:textId="77777777" w:rsidR="000E5730" w:rsidRPr="00FD2C46" w:rsidRDefault="000E5730" w:rsidP="00B83D14">
            <w:pPr>
              <w:pStyle w:val="TableTextLeftAligned"/>
              <w:spacing w:after="0"/>
            </w:pPr>
            <w:r w:rsidRPr="00F34688">
              <w:rPr>
                <w:rFonts w:ascii="Helvetica" w:hAnsi="Helvetica"/>
                <w:b/>
                <w:szCs w:val="20"/>
              </w:rPr>
              <w:t>Total</w:t>
            </w:r>
          </w:p>
        </w:tc>
        <w:tc>
          <w:tcPr>
            <w:tcW w:w="1984" w:type="dxa"/>
            <w:tcBorders>
              <w:top w:val="single" w:sz="4" w:space="0" w:color="808080" w:themeColor="background1" w:themeShade="80"/>
              <w:bottom w:val="single" w:sz="18" w:space="0" w:color="142E3B" w:themeColor="accent6"/>
            </w:tcBorders>
            <w:vAlign w:val="center"/>
          </w:tcPr>
          <w:p w14:paraId="504F4E5A" w14:textId="77777777" w:rsidR="000E5730" w:rsidRPr="00FD2C46" w:rsidRDefault="000E5730" w:rsidP="00B83D14">
            <w:pPr>
              <w:pStyle w:val="TableTextRightAligned"/>
              <w:spacing w:after="0"/>
              <w:jc w:val="center"/>
            </w:pPr>
            <w:r w:rsidRPr="00F34688">
              <w:rPr>
                <w:rFonts w:cstheme="minorHAnsi"/>
                <w:i/>
                <w:color w:val="000000"/>
                <w:szCs w:val="20"/>
              </w:rPr>
              <w:t>13,877 (100%)</w:t>
            </w:r>
          </w:p>
        </w:tc>
        <w:tc>
          <w:tcPr>
            <w:tcW w:w="2410" w:type="dxa"/>
            <w:tcBorders>
              <w:top w:val="single" w:sz="4" w:space="0" w:color="808080" w:themeColor="background1" w:themeShade="80"/>
              <w:bottom w:val="single" w:sz="18" w:space="0" w:color="142E3B" w:themeColor="accent6"/>
            </w:tcBorders>
            <w:shd w:val="clear" w:color="auto" w:fill="auto"/>
            <w:vAlign w:val="center"/>
          </w:tcPr>
          <w:p w14:paraId="0D7DA160" w14:textId="77777777" w:rsidR="000E5730" w:rsidRPr="00FD2C46" w:rsidRDefault="000E5730" w:rsidP="00B83D14">
            <w:pPr>
              <w:pStyle w:val="TableTextRightAligned"/>
              <w:spacing w:after="0"/>
              <w:jc w:val="center"/>
            </w:pPr>
            <w:r w:rsidRPr="00F34688">
              <w:rPr>
                <w:rFonts w:cstheme="minorHAnsi"/>
                <w:i/>
                <w:color w:val="000000"/>
                <w:szCs w:val="20"/>
              </w:rPr>
              <w:t>25,422,788 (100%)</w:t>
            </w:r>
          </w:p>
        </w:tc>
        <w:tc>
          <w:tcPr>
            <w:tcW w:w="2324" w:type="dxa"/>
            <w:tcBorders>
              <w:top w:val="single" w:sz="4" w:space="0" w:color="808080" w:themeColor="background1" w:themeShade="80"/>
              <w:bottom w:val="single" w:sz="18" w:space="0" w:color="142E3B" w:themeColor="accent6"/>
            </w:tcBorders>
            <w:vAlign w:val="center"/>
          </w:tcPr>
          <w:p w14:paraId="27A488B6" w14:textId="77777777" w:rsidR="000E5730" w:rsidRPr="00FD2C46" w:rsidRDefault="000E5730" w:rsidP="00B83D14">
            <w:pPr>
              <w:pStyle w:val="TableTextRightAligned"/>
              <w:spacing w:after="0"/>
              <w:jc w:val="center"/>
            </w:pPr>
            <w:r w:rsidRPr="00F34688">
              <w:rPr>
                <w:rFonts w:cstheme="minorHAnsi"/>
                <w:i/>
                <w:color w:val="000000"/>
                <w:szCs w:val="20"/>
              </w:rPr>
              <w:t>55</w:t>
            </w:r>
          </w:p>
        </w:tc>
      </w:tr>
    </w:tbl>
    <w:p w14:paraId="5CC3C75B" w14:textId="098AA0CD" w:rsidR="00EA3970" w:rsidRDefault="00EA3970" w:rsidP="00EA3970">
      <w:pPr>
        <w:spacing w:before="120" w:after="0"/>
        <w:rPr>
          <w:rFonts w:ascii="Helvetica" w:hAnsi="Helvetica"/>
          <w:i/>
          <w:sz w:val="18"/>
          <w:szCs w:val="18"/>
        </w:rPr>
      </w:pPr>
      <w:r w:rsidRPr="00CC1369">
        <w:rPr>
          <w:rFonts w:cstheme="minorHAnsi"/>
          <w:b/>
          <w:i/>
          <w:color w:val="000000"/>
          <w:sz w:val="18"/>
          <w:szCs w:val="18"/>
        </w:rPr>
        <w:t>*</w:t>
      </w:r>
      <w:r w:rsidRPr="00CC1369">
        <w:rPr>
          <w:rFonts w:ascii="Helvetica" w:hAnsi="Helvetica"/>
          <w:i/>
          <w:sz w:val="18"/>
          <w:szCs w:val="18"/>
        </w:rPr>
        <w:t xml:space="preserve"> </w:t>
      </w:r>
      <w:r w:rsidRPr="00CC1369">
        <w:rPr>
          <w:rFonts w:cstheme="minorHAnsi"/>
          <w:i/>
          <w:color w:val="000000"/>
          <w:sz w:val="18"/>
          <w:szCs w:val="18"/>
        </w:rPr>
        <w:t xml:space="preserve">EVA </w:t>
      </w:r>
      <w:r w:rsidRPr="00CC1369">
        <w:rPr>
          <w:rFonts w:ascii="Helvetica" w:hAnsi="Helvetica"/>
          <w:i/>
          <w:sz w:val="18"/>
          <w:szCs w:val="18"/>
        </w:rPr>
        <w:t xml:space="preserve">customer postcodes were matched with ABS remoteness by postcode data to determine each customer’s level of remoteness based on ABS remoteness classifications (ABS 2018). </w:t>
      </w:r>
      <w:r w:rsidRPr="00CC1369">
        <w:rPr>
          <w:rFonts w:cstheme="minorHAnsi"/>
          <w:b/>
          <w:i/>
          <w:color w:val="000000"/>
          <w:sz w:val="18"/>
          <w:szCs w:val="18"/>
        </w:rPr>
        <w:t xml:space="preserve">** </w:t>
      </w:r>
      <w:r w:rsidRPr="00CC1369">
        <w:rPr>
          <w:rFonts w:ascii="Helvetica" w:hAnsi="Helvetica"/>
          <w:i/>
          <w:sz w:val="18"/>
          <w:szCs w:val="18"/>
        </w:rPr>
        <w:t xml:space="preserve">Target population sizes were obtained from AIHW (2022a). </w:t>
      </w:r>
      <w:r w:rsidRPr="00CC1369">
        <w:rPr>
          <w:rFonts w:cstheme="minorHAnsi"/>
          <w:b/>
          <w:i/>
          <w:color w:val="000000"/>
          <w:sz w:val="18"/>
          <w:szCs w:val="18"/>
        </w:rPr>
        <w:t>***</w:t>
      </w:r>
      <w:r w:rsidRPr="00CC1369">
        <w:rPr>
          <w:rFonts w:ascii="Helvetica" w:hAnsi="Helvetica"/>
          <w:i/>
          <w:sz w:val="18"/>
          <w:szCs w:val="18"/>
        </w:rPr>
        <w:t xml:space="preserve"> The rate = (pro-rata number of scheduled EVA calls / target population size)*100,000.</w:t>
      </w:r>
    </w:p>
    <w:p w14:paraId="3797BEB5" w14:textId="77777777" w:rsidR="004F1A0A" w:rsidRDefault="004F1A0A" w:rsidP="004F1A0A">
      <w:pPr>
        <w:pStyle w:val="Caption"/>
      </w:pPr>
    </w:p>
    <w:p w14:paraId="78323A2E" w14:textId="76F49017" w:rsidR="008E5875" w:rsidRPr="004F1A0A" w:rsidRDefault="004F1A0A" w:rsidP="004F1A0A">
      <w:pPr>
        <w:pStyle w:val="Caption"/>
        <w:rPr>
          <w:b/>
          <w:i w:val="0"/>
          <w:sz w:val="20"/>
          <w:szCs w:val="20"/>
        </w:rPr>
      </w:pPr>
      <w:r w:rsidRPr="004F1A0A">
        <w:rPr>
          <w:b/>
          <w:i w:val="0"/>
          <w:sz w:val="20"/>
          <w:szCs w:val="20"/>
        </w:rPr>
        <w:t xml:space="preserve">Table </w:t>
      </w:r>
      <w:r w:rsidR="00617F57">
        <w:rPr>
          <w:b/>
          <w:i w:val="0"/>
          <w:sz w:val="20"/>
          <w:szCs w:val="20"/>
        </w:rPr>
        <w:t>4</w:t>
      </w:r>
      <w:r w:rsidRPr="004F1A0A">
        <w:rPr>
          <w:b/>
          <w:i w:val="0"/>
          <w:sz w:val="20"/>
          <w:szCs w:val="20"/>
        </w:rPr>
        <w:t xml:space="preserve">. </w:t>
      </w:r>
      <w:r w:rsidR="008E5875" w:rsidRPr="004F1A0A">
        <w:rPr>
          <w:b/>
          <w:i w:val="0"/>
          <w:sz w:val="20"/>
          <w:szCs w:val="20"/>
        </w:rPr>
        <w:t>EVA utilisation by location: State</w:t>
      </w:r>
    </w:p>
    <w:tbl>
      <w:tblPr>
        <w:tblStyle w:val="DefaultTable"/>
        <w:tblW w:w="8278" w:type="dxa"/>
        <w:tblLayout w:type="fixed"/>
        <w:tblCellMar>
          <w:top w:w="85" w:type="dxa"/>
        </w:tblCellMar>
        <w:tblLook w:val="0420" w:firstRow="1" w:lastRow="0" w:firstColumn="0" w:lastColumn="0" w:noHBand="0" w:noVBand="1"/>
        <w:tblCaption w:val="Table 4 - EVA utilisation by location: State"/>
        <w:tblDescription w:val="This table has four columns. The first is called 'State or Territory', and is broken down into the states and territories. The second is called 'Number of scheduled EVA calls', and is broken down by state. The third column is called 'Target population size based on 2021 Census data', and the last column is called 'Number of EVA customers per 100,000 target population'. "/>
      </w:tblPr>
      <w:tblGrid>
        <w:gridCol w:w="1560"/>
        <w:gridCol w:w="1984"/>
        <w:gridCol w:w="2410"/>
        <w:gridCol w:w="2324"/>
      </w:tblGrid>
      <w:tr w:rsidR="008E5875" w14:paraId="5CC2C41F" w14:textId="77777777" w:rsidTr="00B83D14">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39EF011B" w14:textId="43B6D21D" w:rsidR="008E5875" w:rsidRPr="00FD2C46" w:rsidRDefault="008E5875" w:rsidP="008E5875">
            <w:pPr>
              <w:pStyle w:val="TableHeading"/>
              <w:spacing w:after="0"/>
              <w:jc w:val="center"/>
            </w:pPr>
            <w:r>
              <w:t>State or Territory</w:t>
            </w:r>
          </w:p>
        </w:tc>
        <w:tc>
          <w:tcPr>
            <w:tcW w:w="1984" w:type="dxa"/>
            <w:tcBorders>
              <w:top w:val="nil"/>
              <w:bottom w:val="single" w:sz="18" w:space="0" w:color="142E3B" w:themeColor="accent6"/>
            </w:tcBorders>
            <w:shd w:val="clear" w:color="auto" w:fill="20B9A3" w:themeFill="accent1"/>
            <w:vAlign w:val="center"/>
          </w:tcPr>
          <w:p w14:paraId="210A2F2B" w14:textId="77777777" w:rsidR="008E5875" w:rsidRDefault="008E5875" w:rsidP="00B83D14">
            <w:pPr>
              <w:pStyle w:val="TableHeading"/>
              <w:spacing w:after="0"/>
              <w:jc w:val="center"/>
            </w:pPr>
            <w:r w:rsidRPr="00F44AB3">
              <w:t xml:space="preserve">Number (%) of </w:t>
            </w:r>
            <w:r>
              <w:t>scheduled</w:t>
            </w:r>
            <w:r w:rsidRPr="00F44AB3">
              <w:t xml:space="preserve"> EVA </w:t>
            </w:r>
            <w:r>
              <w:t xml:space="preserve">calls </w:t>
            </w:r>
          </w:p>
        </w:tc>
        <w:tc>
          <w:tcPr>
            <w:tcW w:w="2410" w:type="dxa"/>
            <w:tcBorders>
              <w:top w:val="nil"/>
              <w:bottom w:val="single" w:sz="18" w:space="0" w:color="142E3B" w:themeColor="accent6"/>
            </w:tcBorders>
            <w:shd w:val="clear" w:color="auto" w:fill="20B9A3" w:themeFill="accent1"/>
            <w:vAlign w:val="center"/>
          </w:tcPr>
          <w:p w14:paraId="1EC04D9B" w14:textId="77777777" w:rsidR="008E5875" w:rsidRPr="00FD2C46" w:rsidRDefault="008E5875" w:rsidP="00B83D14">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526DE3A3" w14:textId="77777777" w:rsidR="008E5875" w:rsidRPr="00FD2C46" w:rsidRDefault="008E5875" w:rsidP="00B83D14">
            <w:pPr>
              <w:pStyle w:val="TableHeading"/>
              <w:spacing w:after="0"/>
              <w:jc w:val="center"/>
            </w:pPr>
            <w:r w:rsidRPr="00F44AB3">
              <w:t>Number of EVA customers per 100,000 target population**</w:t>
            </w:r>
          </w:p>
        </w:tc>
      </w:tr>
      <w:tr w:rsidR="008E5875" w14:paraId="65175B63" w14:textId="77777777" w:rsidTr="00B83D14">
        <w:tc>
          <w:tcPr>
            <w:tcW w:w="1560" w:type="dxa"/>
            <w:tcBorders>
              <w:top w:val="single" w:sz="18" w:space="0" w:color="142E3B" w:themeColor="accent6"/>
            </w:tcBorders>
            <w:shd w:val="clear" w:color="auto" w:fill="auto"/>
            <w:vAlign w:val="center"/>
          </w:tcPr>
          <w:p w14:paraId="36EAC649" w14:textId="56BCEAD1" w:rsidR="008E5875" w:rsidRPr="008E5875" w:rsidRDefault="008E5875" w:rsidP="008E5875">
            <w:pPr>
              <w:pStyle w:val="TableTextLeftAligned"/>
              <w:spacing w:after="0"/>
              <w:rPr>
                <w:szCs w:val="20"/>
              </w:rPr>
            </w:pPr>
            <w:r w:rsidRPr="008E5875">
              <w:rPr>
                <w:rFonts w:cstheme="minorHAnsi"/>
                <w:color w:val="000000"/>
                <w:szCs w:val="20"/>
              </w:rPr>
              <w:t>ACT</w:t>
            </w:r>
          </w:p>
        </w:tc>
        <w:tc>
          <w:tcPr>
            <w:tcW w:w="1984" w:type="dxa"/>
            <w:tcBorders>
              <w:top w:val="single" w:sz="18" w:space="0" w:color="142E3B" w:themeColor="accent6"/>
            </w:tcBorders>
            <w:vAlign w:val="center"/>
          </w:tcPr>
          <w:p w14:paraId="67C59D02" w14:textId="32AA7E7F" w:rsidR="008E5875" w:rsidRPr="008E5875" w:rsidRDefault="008E5875" w:rsidP="008E5875">
            <w:pPr>
              <w:pStyle w:val="TableTextRightAligned"/>
              <w:spacing w:after="0"/>
              <w:jc w:val="center"/>
              <w:rPr>
                <w:szCs w:val="20"/>
              </w:rPr>
            </w:pPr>
            <w:r w:rsidRPr="008E5875">
              <w:rPr>
                <w:rFonts w:cstheme="minorHAnsi"/>
                <w:color w:val="000000"/>
                <w:szCs w:val="20"/>
              </w:rPr>
              <w:t>803 (6%)</w:t>
            </w:r>
          </w:p>
        </w:tc>
        <w:tc>
          <w:tcPr>
            <w:tcW w:w="2410" w:type="dxa"/>
            <w:tcBorders>
              <w:top w:val="single" w:sz="18" w:space="0" w:color="142E3B" w:themeColor="accent6"/>
            </w:tcBorders>
            <w:shd w:val="clear" w:color="auto" w:fill="auto"/>
            <w:vAlign w:val="center"/>
          </w:tcPr>
          <w:p w14:paraId="2325424D" w14:textId="57697A88" w:rsidR="008E5875" w:rsidRPr="008E5875" w:rsidRDefault="008E5875" w:rsidP="008E5875">
            <w:pPr>
              <w:pStyle w:val="TableTextRightAligned"/>
              <w:spacing w:after="0"/>
              <w:jc w:val="center"/>
              <w:rPr>
                <w:szCs w:val="20"/>
              </w:rPr>
            </w:pPr>
            <w:r w:rsidRPr="008E5875">
              <w:rPr>
                <w:rFonts w:cstheme="minorHAnsi"/>
                <w:color w:val="000000"/>
                <w:szCs w:val="20"/>
              </w:rPr>
              <w:t>454,499 (2%)</w:t>
            </w:r>
          </w:p>
        </w:tc>
        <w:tc>
          <w:tcPr>
            <w:tcW w:w="2324" w:type="dxa"/>
            <w:tcBorders>
              <w:top w:val="single" w:sz="18" w:space="0" w:color="142E3B" w:themeColor="accent6"/>
            </w:tcBorders>
            <w:vAlign w:val="center"/>
          </w:tcPr>
          <w:p w14:paraId="676D3F04" w14:textId="6CD30FCA" w:rsidR="008E5875" w:rsidRPr="008E5875" w:rsidRDefault="008E5875" w:rsidP="008E5875">
            <w:pPr>
              <w:pStyle w:val="TableTextRightAligned"/>
              <w:spacing w:after="0"/>
              <w:jc w:val="center"/>
              <w:rPr>
                <w:szCs w:val="20"/>
              </w:rPr>
            </w:pPr>
            <w:r w:rsidRPr="008E5875">
              <w:rPr>
                <w:rFonts w:cstheme="minorHAnsi"/>
                <w:color w:val="000000"/>
                <w:szCs w:val="20"/>
              </w:rPr>
              <w:t>188</w:t>
            </w:r>
          </w:p>
        </w:tc>
      </w:tr>
      <w:tr w:rsidR="008E5875" w14:paraId="0479B215" w14:textId="77777777" w:rsidTr="00B83D14">
        <w:tc>
          <w:tcPr>
            <w:tcW w:w="1560" w:type="dxa"/>
            <w:shd w:val="clear" w:color="auto" w:fill="auto"/>
            <w:vAlign w:val="center"/>
          </w:tcPr>
          <w:p w14:paraId="4C19C420" w14:textId="5763D245" w:rsidR="008E5875" w:rsidRPr="008E5875" w:rsidRDefault="008E5875" w:rsidP="008E5875">
            <w:pPr>
              <w:pStyle w:val="TableTextLeftAligned"/>
              <w:spacing w:after="0"/>
              <w:rPr>
                <w:szCs w:val="20"/>
              </w:rPr>
            </w:pPr>
            <w:r w:rsidRPr="008E5875">
              <w:rPr>
                <w:rFonts w:cstheme="minorHAnsi"/>
                <w:color w:val="000000"/>
                <w:szCs w:val="20"/>
              </w:rPr>
              <w:t>NSW</w:t>
            </w:r>
          </w:p>
        </w:tc>
        <w:tc>
          <w:tcPr>
            <w:tcW w:w="1984" w:type="dxa"/>
            <w:vAlign w:val="center"/>
          </w:tcPr>
          <w:p w14:paraId="1385CD54" w14:textId="64564339" w:rsidR="008E5875" w:rsidRPr="008E5875" w:rsidRDefault="008E5875" w:rsidP="008E5875">
            <w:pPr>
              <w:pStyle w:val="TableTextRightAligned"/>
              <w:spacing w:after="0"/>
              <w:jc w:val="center"/>
              <w:rPr>
                <w:szCs w:val="20"/>
              </w:rPr>
            </w:pPr>
            <w:r w:rsidRPr="008E5875">
              <w:rPr>
                <w:rFonts w:cstheme="minorHAnsi"/>
                <w:color w:val="000000"/>
                <w:szCs w:val="20"/>
              </w:rPr>
              <w:t>3,113 (22%)</w:t>
            </w:r>
          </w:p>
        </w:tc>
        <w:tc>
          <w:tcPr>
            <w:tcW w:w="2410" w:type="dxa"/>
            <w:shd w:val="clear" w:color="auto" w:fill="auto"/>
            <w:vAlign w:val="center"/>
          </w:tcPr>
          <w:p w14:paraId="0F22D0DB" w14:textId="565CB848" w:rsidR="008E5875" w:rsidRPr="008E5875" w:rsidRDefault="008E5875" w:rsidP="008E5875">
            <w:pPr>
              <w:pStyle w:val="TableTextRightAligned"/>
              <w:spacing w:after="0"/>
              <w:jc w:val="center"/>
              <w:rPr>
                <w:szCs w:val="20"/>
              </w:rPr>
            </w:pPr>
            <w:r w:rsidRPr="008E5875">
              <w:rPr>
                <w:rFonts w:cstheme="minorHAnsi"/>
                <w:color w:val="000000"/>
                <w:szCs w:val="20"/>
              </w:rPr>
              <w:t>8,072,163 (32%)</w:t>
            </w:r>
          </w:p>
        </w:tc>
        <w:tc>
          <w:tcPr>
            <w:tcW w:w="2324" w:type="dxa"/>
            <w:vAlign w:val="center"/>
          </w:tcPr>
          <w:p w14:paraId="45B32405" w14:textId="013DA4B1" w:rsidR="008E5875" w:rsidRPr="008E5875" w:rsidRDefault="008E5875" w:rsidP="008E5875">
            <w:pPr>
              <w:pStyle w:val="TableTextRightAligned"/>
              <w:spacing w:after="0"/>
              <w:jc w:val="center"/>
              <w:rPr>
                <w:szCs w:val="20"/>
              </w:rPr>
            </w:pPr>
            <w:r w:rsidRPr="008E5875">
              <w:rPr>
                <w:rFonts w:cstheme="minorHAnsi"/>
                <w:color w:val="000000"/>
                <w:szCs w:val="20"/>
              </w:rPr>
              <w:t>41</w:t>
            </w:r>
          </w:p>
        </w:tc>
      </w:tr>
      <w:tr w:rsidR="008E5875" w14:paraId="3D4D64E3" w14:textId="77777777" w:rsidTr="00B83D14">
        <w:tc>
          <w:tcPr>
            <w:tcW w:w="1560" w:type="dxa"/>
            <w:shd w:val="clear" w:color="auto" w:fill="auto"/>
            <w:vAlign w:val="center"/>
          </w:tcPr>
          <w:p w14:paraId="4BB17013" w14:textId="15B3DBB8" w:rsidR="008E5875" w:rsidRPr="008E5875" w:rsidRDefault="008E5875" w:rsidP="008E5875">
            <w:pPr>
              <w:pStyle w:val="TableTextLeftAligned"/>
              <w:spacing w:after="0"/>
              <w:rPr>
                <w:szCs w:val="20"/>
              </w:rPr>
            </w:pPr>
            <w:r w:rsidRPr="008E5875">
              <w:rPr>
                <w:rFonts w:cstheme="minorHAnsi"/>
                <w:color w:val="000000"/>
                <w:szCs w:val="20"/>
              </w:rPr>
              <w:t>NT</w:t>
            </w:r>
          </w:p>
        </w:tc>
        <w:tc>
          <w:tcPr>
            <w:tcW w:w="1984" w:type="dxa"/>
            <w:vAlign w:val="center"/>
          </w:tcPr>
          <w:p w14:paraId="71255554" w14:textId="2E405737" w:rsidR="008E5875" w:rsidRPr="008E5875" w:rsidRDefault="008E5875" w:rsidP="008E5875">
            <w:pPr>
              <w:pStyle w:val="TableTextRightAligned"/>
              <w:spacing w:after="0"/>
              <w:jc w:val="center"/>
              <w:rPr>
                <w:szCs w:val="20"/>
              </w:rPr>
            </w:pPr>
            <w:r w:rsidRPr="008E5875">
              <w:rPr>
                <w:rFonts w:cstheme="minorHAnsi"/>
                <w:color w:val="000000"/>
                <w:szCs w:val="20"/>
              </w:rPr>
              <w:t>131 (1%)</w:t>
            </w:r>
          </w:p>
        </w:tc>
        <w:tc>
          <w:tcPr>
            <w:tcW w:w="2410" w:type="dxa"/>
            <w:shd w:val="clear" w:color="auto" w:fill="auto"/>
            <w:vAlign w:val="center"/>
          </w:tcPr>
          <w:p w14:paraId="40475BD8" w14:textId="1F96FCC8" w:rsidR="008E5875" w:rsidRPr="008E5875" w:rsidRDefault="008E5875" w:rsidP="008E5875">
            <w:pPr>
              <w:pStyle w:val="TableTextRightAligned"/>
              <w:spacing w:after="0"/>
              <w:jc w:val="center"/>
              <w:rPr>
                <w:szCs w:val="20"/>
              </w:rPr>
            </w:pPr>
            <w:r w:rsidRPr="008E5875">
              <w:rPr>
                <w:rFonts w:cstheme="minorHAnsi"/>
                <w:color w:val="000000"/>
                <w:szCs w:val="20"/>
              </w:rPr>
              <w:t>232,605 (1%)</w:t>
            </w:r>
          </w:p>
        </w:tc>
        <w:tc>
          <w:tcPr>
            <w:tcW w:w="2324" w:type="dxa"/>
            <w:vAlign w:val="center"/>
          </w:tcPr>
          <w:p w14:paraId="0C9B4FB4" w14:textId="1CCCE2C2" w:rsidR="008E5875" w:rsidRPr="008E5875" w:rsidRDefault="008E5875" w:rsidP="008E5875">
            <w:pPr>
              <w:pStyle w:val="TableTextRightAligned"/>
              <w:spacing w:after="0"/>
              <w:jc w:val="center"/>
              <w:rPr>
                <w:szCs w:val="20"/>
              </w:rPr>
            </w:pPr>
            <w:r w:rsidRPr="008E5875">
              <w:rPr>
                <w:rFonts w:cstheme="minorHAnsi"/>
                <w:color w:val="000000"/>
                <w:szCs w:val="20"/>
              </w:rPr>
              <w:t>60</w:t>
            </w:r>
          </w:p>
        </w:tc>
      </w:tr>
      <w:tr w:rsidR="008E5875" w14:paraId="6A0C4042" w14:textId="77777777" w:rsidTr="00B83D14">
        <w:tc>
          <w:tcPr>
            <w:tcW w:w="1560" w:type="dxa"/>
            <w:tcBorders>
              <w:bottom w:val="single" w:sz="4" w:space="0" w:color="808080" w:themeColor="background1" w:themeShade="80"/>
            </w:tcBorders>
            <w:shd w:val="clear" w:color="auto" w:fill="auto"/>
            <w:vAlign w:val="center"/>
          </w:tcPr>
          <w:p w14:paraId="5D2430A7" w14:textId="4D49B099" w:rsidR="008E5875" w:rsidRPr="008E5875" w:rsidRDefault="008E5875" w:rsidP="008E5875">
            <w:pPr>
              <w:pStyle w:val="TableTextLeftAligned"/>
              <w:spacing w:after="0"/>
              <w:rPr>
                <w:szCs w:val="20"/>
              </w:rPr>
            </w:pPr>
            <w:r w:rsidRPr="008E5875">
              <w:rPr>
                <w:rFonts w:cstheme="minorHAnsi"/>
                <w:color w:val="000000"/>
                <w:szCs w:val="20"/>
              </w:rPr>
              <w:t>QLD</w:t>
            </w:r>
          </w:p>
        </w:tc>
        <w:tc>
          <w:tcPr>
            <w:tcW w:w="1984" w:type="dxa"/>
            <w:tcBorders>
              <w:bottom w:val="single" w:sz="4" w:space="0" w:color="808080" w:themeColor="background1" w:themeShade="80"/>
            </w:tcBorders>
            <w:vAlign w:val="center"/>
          </w:tcPr>
          <w:p w14:paraId="506B6EDA" w14:textId="2D90EEFA" w:rsidR="008E5875" w:rsidRPr="008E5875" w:rsidRDefault="008E5875" w:rsidP="008E5875">
            <w:pPr>
              <w:pStyle w:val="TableTextRightAligned"/>
              <w:spacing w:after="0"/>
              <w:jc w:val="center"/>
              <w:rPr>
                <w:szCs w:val="20"/>
              </w:rPr>
            </w:pPr>
            <w:r w:rsidRPr="008E5875">
              <w:rPr>
                <w:rFonts w:cstheme="minorHAnsi"/>
                <w:color w:val="000000"/>
                <w:szCs w:val="20"/>
              </w:rPr>
              <w:t>1,937 (14%)</w:t>
            </w:r>
          </w:p>
        </w:tc>
        <w:tc>
          <w:tcPr>
            <w:tcW w:w="2410" w:type="dxa"/>
            <w:tcBorders>
              <w:bottom w:val="single" w:sz="4" w:space="0" w:color="808080" w:themeColor="background1" w:themeShade="80"/>
            </w:tcBorders>
            <w:shd w:val="clear" w:color="auto" w:fill="auto"/>
            <w:vAlign w:val="center"/>
          </w:tcPr>
          <w:p w14:paraId="44888885" w14:textId="2BA0D650" w:rsidR="008E5875" w:rsidRPr="008E5875" w:rsidRDefault="008E5875" w:rsidP="008E5875">
            <w:pPr>
              <w:pStyle w:val="TableTextRightAligned"/>
              <w:spacing w:after="0"/>
              <w:jc w:val="center"/>
              <w:rPr>
                <w:szCs w:val="20"/>
              </w:rPr>
            </w:pPr>
            <w:r w:rsidRPr="008E5875">
              <w:rPr>
                <w:rFonts w:cstheme="minorHAnsi"/>
                <w:color w:val="000000"/>
                <w:szCs w:val="20"/>
              </w:rPr>
              <w:t>5,156,138 (20%)</w:t>
            </w:r>
          </w:p>
        </w:tc>
        <w:tc>
          <w:tcPr>
            <w:tcW w:w="2324" w:type="dxa"/>
            <w:tcBorders>
              <w:bottom w:val="single" w:sz="4" w:space="0" w:color="808080" w:themeColor="background1" w:themeShade="80"/>
            </w:tcBorders>
            <w:vAlign w:val="center"/>
          </w:tcPr>
          <w:p w14:paraId="44EA42AA" w14:textId="498D52A1" w:rsidR="008E5875" w:rsidRPr="008E5875" w:rsidRDefault="008E5875" w:rsidP="008E5875">
            <w:pPr>
              <w:pStyle w:val="TableTextRightAligned"/>
              <w:spacing w:after="0"/>
              <w:jc w:val="center"/>
              <w:rPr>
                <w:szCs w:val="20"/>
              </w:rPr>
            </w:pPr>
            <w:r w:rsidRPr="008E5875">
              <w:rPr>
                <w:rFonts w:cstheme="minorHAnsi"/>
                <w:color w:val="000000"/>
                <w:szCs w:val="20"/>
              </w:rPr>
              <w:t>40</w:t>
            </w:r>
          </w:p>
        </w:tc>
      </w:tr>
      <w:tr w:rsidR="008E5875" w14:paraId="41E60C32" w14:textId="77777777" w:rsidTr="00B83D14">
        <w:tc>
          <w:tcPr>
            <w:tcW w:w="1560" w:type="dxa"/>
            <w:tcBorders>
              <w:bottom w:val="single" w:sz="4" w:space="0" w:color="808080" w:themeColor="background1" w:themeShade="80"/>
            </w:tcBorders>
            <w:shd w:val="clear" w:color="auto" w:fill="auto"/>
            <w:vAlign w:val="center"/>
          </w:tcPr>
          <w:p w14:paraId="730A0F45" w14:textId="487884FC" w:rsidR="008E5875" w:rsidRPr="008E5875" w:rsidRDefault="008E5875" w:rsidP="008E5875">
            <w:pPr>
              <w:pStyle w:val="TableTextLeftAligned"/>
              <w:spacing w:after="0"/>
              <w:rPr>
                <w:szCs w:val="20"/>
              </w:rPr>
            </w:pPr>
            <w:r w:rsidRPr="008E5875">
              <w:rPr>
                <w:rFonts w:cstheme="minorHAnsi"/>
                <w:color w:val="000000"/>
                <w:szCs w:val="20"/>
              </w:rPr>
              <w:t>SA</w:t>
            </w:r>
          </w:p>
        </w:tc>
        <w:tc>
          <w:tcPr>
            <w:tcW w:w="1984" w:type="dxa"/>
            <w:tcBorders>
              <w:bottom w:val="single" w:sz="4" w:space="0" w:color="808080" w:themeColor="background1" w:themeShade="80"/>
            </w:tcBorders>
            <w:vAlign w:val="center"/>
          </w:tcPr>
          <w:p w14:paraId="63F8CE76" w14:textId="5E7B36A2" w:rsidR="008E5875" w:rsidRPr="008E5875" w:rsidRDefault="008E5875" w:rsidP="008E5875">
            <w:pPr>
              <w:pStyle w:val="TableTextRightAligned"/>
              <w:spacing w:after="0"/>
              <w:jc w:val="center"/>
              <w:rPr>
                <w:szCs w:val="20"/>
              </w:rPr>
            </w:pPr>
            <w:r w:rsidRPr="008E5875">
              <w:rPr>
                <w:rFonts w:cstheme="minorHAnsi"/>
                <w:color w:val="000000"/>
                <w:szCs w:val="20"/>
              </w:rPr>
              <w:t>1,220 (9%)</w:t>
            </w:r>
          </w:p>
        </w:tc>
        <w:tc>
          <w:tcPr>
            <w:tcW w:w="2410" w:type="dxa"/>
            <w:tcBorders>
              <w:bottom w:val="single" w:sz="4" w:space="0" w:color="808080" w:themeColor="background1" w:themeShade="80"/>
            </w:tcBorders>
            <w:shd w:val="clear" w:color="auto" w:fill="auto"/>
            <w:vAlign w:val="center"/>
          </w:tcPr>
          <w:p w14:paraId="5B158392" w14:textId="36D06B73" w:rsidR="008E5875" w:rsidRPr="008E5875" w:rsidRDefault="008E5875" w:rsidP="008E5875">
            <w:pPr>
              <w:pStyle w:val="TableTextRightAligned"/>
              <w:spacing w:after="0"/>
              <w:jc w:val="center"/>
              <w:rPr>
                <w:szCs w:val="20"/>
              </w:rPr>
            </w:pPr>
            <w:r w:rsidRPr="008E5875">
              <w:rPr>
                <w:rFonts w:cstheme="minorHAnsi"/>
                <w:color w:val="000000"/>
                <w:szCs w:val="20"/>
              </w:rPr>
              <w:t>1,781,516 (7%)</w:t>
            </w:r>
          </w:p>
        </w:tc>
        <w:tc>
          <w:tcPr>
            <w:tcW w:w="2324" w:type="dxa"/>
            <w:tcBorders>
              <w:bottom w:val="single" w:sz="4" w:space="0" w:color="808080" w:themeColor="background1" w:themeShade="80"/>
            </w:tcBorders>
            <w:vAlign w:val="center"/>
          </w:tcPr>
          <w:p w14:paraId="636557CC" w14:textId="27E4B951" w:rsidR="008E5875" w:rsidRPr="008E5875" w:rsidRDefault="008E5875" w:rsidP="008E5875">
            <w:pPr>
              <w:pStyle w:val="TableTextRightAligned"/>
              <w:spacing w:after="0"/>
              <w:jc w:val="center"/>
              <w:rPr>
                <w:szCs w:val="20"/>
              </w:rPr>
            </w:pPr>
            <w:r w:rsidRPr="008E5875">
              <w:rPr>
                <w:rFonts w:cstheme="minorHAnsi"/>
                <w:color w:val="000000"/>
                <w:szCs w:val="20"/>
              </w:rPr>
              <w:t>73</w:t>
            </w:r>
          </w:p>
        </w:tc>
      </w:tr>
      <w:tr w:rsidR="008E5875" w14:paraId="0490E32A" w14:textId="77777777" w:rsidTr="00B83D14">
        <w:tc>
          <w:tcPr>
            <w:tcW w:w="1560" w:type="dxa"/>
            <w:tcBorders>
              <w:bottom w:val="single" w:sz="4" w:space="0" w:color="808080" w:themeColor="background1" w:themeShade="80"/>
            </w:tcBorders>
            <w:shd w:val="clear" w:color="auto" w:fill="auto"/>
            <w:vAlign w:val="center"/>
          </w:tcPr>
          <w:p w14:paraId="316EA0E6" w14:textId="6A611993" w:rsidR="008E5875" w:rsidRPr="008E5875" w:rsidRDefault="008E5875" w:rsidP="008E5875">
            <w:pPr>
              <w:pStyle w:val="TableTextLeftAligned"/>
              <w:spacing w:after="0"/>
              <w:rPr>
                <w:szCs w:val="20"/>
              </w:rPr>
            </w:pPr>
            <w:r w:rsidRPr="008E5875">
              <w:rPr>
                <w:rFonts w:cstheme="minorHAnsi"/>
                <w:color w:val="000000"/>
                <w:szCs w:val="20"/>
              </w:rPr>
              <w:t>TAS</w:t>
            </w:r>
          </w:p>
        </w:tc>
        <w:tc>
          <w:tcPr>
            <w:tcW w:w="1984" w:type="dxa"/>
            <w:tcBorders>
              <w:bottom w:val="single" w:sz="4" w:space="0" w:color="808080" w:themeColor="background1" w:themeShade="80"/>
            </w:tcBorders>
            <w:vAlign w:val="center"/>
          </w:tcPr>
          <w:p w14:paraId="7C1F5D03" w14:textId="02C7E3F5" w:rsidR="008E5875" w:rsidRPr="008E5875" w:rsidRDefault="008E5875" w:rsidP="008E5875">
            <w:pPr>
              <w:pStyle w:val="TableTextRightAligned"/>
              <w:spacing w:after="0"/>
              <w:jc w:val="center"/>
              <w:rPr>
                <w:szCs w:val="20"/>
              </w:rPr>
            </w:pPr>
            <w:r w:rsidRPr="008E5875">
              <w:rPr>
                <w:rFonts w:cstheme="minorHAnsi"/>
                <w:color w:val="000000"/>
                <w:szCs w:val="20"/>
              </w:rPr>
              <w:t>641 (5%)</w:t>
            </w:r>
          </w:p>
        </w:tc>
        <w:tc>
          <w:tcPr>
            <w:tcW w:w="2410" w:type="dxa"/>
            <w:tcBorders>
              <w:bottom w:val="single" w:sz="4" w:space="0" w:color="808080" w:themeColor="background1" w:themeShade="80"/>
            </w:tcBorders>
            <w:shd w:val="clear" w:color="auto" w:fill="auto"/>
            <w:vAlign w:val="center"/>
          </w:tcPr>
          <w:p w14:paraId="5A40248A" w14:textId="5BD54F8D" w:rsidR="008E5875" w:rsidRPr="008E5875" w:rsidRDefault="008E5875" w:rsidP="008E5875">
            <w:pPr>
              <w:pStyle w:val="TableTextRightAligned"/>
              <w:spacing w:after="0"/>
              <w:jc w:val="center"/>
              <w:rPr>
                <w:szCs w:val="20"/>
              </w:rPr>
            </w:pPr>
            <w:r w:rsidRPr="008E5875">
              <w:rPr>
                <w:rFonts w:cstheme="minorHAnsi"/>
                <w:color w:val="000000"/>
                <w:szCs w:val="20"/>
              </w:rPr>
              <w:t>557,571 (2%)</w:t>
            </w:r>
          </w:p>
        </w:tc>
        <w:tc>
          <w:tcPr>
            <w:tcW w:w="2324" w:type="dxa"/>
            <w:tcBorders>
              <w:bottom w:val="single" w:sz="4" w:space="0" w:color="808080" w:themeColor="background1" w:themeShade="80"/>
            </w:tcBorders>
            <w:vAlign w:val="center"/>
          </w:tcPr>
          <w:p w14:paraId="69C6A410" w14:textId="09A81FC8" w:rsidR="008E5875" w:rsidRPr="008E5875" w:rsidRDefault="008E5875" w:rsidP="008E5875">
            <w:pPr>
              <w:pStyle w:val="TableTextRightAligned"/>
              <w:spacing w:after="0"/>
              <w:jc w:val="center"/>
              <w:rPr>
                <w:szCs w:val="20"/>
              </w:rPr>
            </w:pPr>
            <w:r w:rsidRPr="008E5875">
              <w:rPr>
                <w:rFonts w:cstheme="minorHAnsi"/>
                <w:color w:val="000000"/>
                <w:szCs w:val="20"/>
              </w:rPr>
              <w:t>123</w:t>
            </w:r>
          </w:p>
        </w:tc>
      </w:tr>
      <w:tr w:rsidR="008E5875" w14:paraId="4010A43E" w14:textId="77777777" w:rsidTr="00B83D14">
        <w:tc>
          <w:tcPr>
            <w:tcW w:w="1560" w:type="dxa"/>
            <w:tcBorders>
              <w:bottom w:val="single" w:sz="4" w:space="0" w:color="808080" w:themeColor="background1" w:themeShade="80"/>
            </w:tcBorders>
            <w:shd w:val="clear" w:color="auto" w:fill="auto"/>
            <w:vAlign w:val="center"/>
          </w:tcPr>
          <w:p w14:paraId="45678492" w14:textId="6D885DB0" w:rsidR="008E5875" w:rsidRPr="008E5875" w:rsidRDefault="008E5875" w:rsidP="008E5875">
            <w:pPr>
              <w:pStyle w:val="TableTextLeftAligned"/>
              <w:spacing w:after="0"/>
              <w:rPr>
                <w:szCs w:val="20"/>
              </w:rPr>
            </w:pPr>
            <w:r w:rsidRPr="008E5875">
              <w:rPr>
                <w:rFonts w:cstheme="minorHAnsi"/>
                <w:color w:val="000000"/>
                <w:szCs w:val="20"/>
              </w:rPr>
              <w:t>VIC</w:t>
            </w:r>
          </w:p>
        </w:tc>
        <w:tc>
          <w:tcPr>
            <w:tcW w:w="1984" w:type="dxa"/>
            <w:tcBorders>
              <w:bottom w:val="single" w:sz="4" w:space="0" w:color="808080" w:themeColor="background1" w:themeShade="80"/>
            </w:tcBorders>
            <w:vAlign w:val="center"/>
          </w:tcPr>
          <w:p w14:paraId="2F55A55D" w14:textId="5D26E0C2" w:rsidR="008E5875" w:rsidRPr="008E5875" w:rsidRDefault="008E5875" w:rsidP="008E5875">
            <w:pPr>
              <w:pStyle w:val="TableTextRightAligned"/>
              <w:spacing w:after="0"/>
              <w:jc w:val="center"/>
              <w:rPr>
                <w:szCs w:val="20"/>
              </w:rPr>
            </w:pPr>
            <w:r w:rsidRPr="008E5875">
              <w:rPr>
                <w:rFonts w:cstheme="minorHAnsi"/>
                <w:color w:val="000000"/>
                <w:szCs w:val="20"/>
              </w:rPr>
              <w:t>4,268 (31%)</w:t>
            </w:r>
          </w:p>
        </w:tc>
        <w:tc>
          <w:tcPr>
            <w:tcW w:w="2410" w:type="dxa"/>
            <w:tcBorders>
              <w:bottom w:val="single" w:sz="4" w:space="0" w:color="808080" w:themeColor="background1" w:themeShade="80"/>
            </w:tcBorders>
            <w:shd w:val="clear" w:color="auto" w:fill="auto"/>
            <w:vAlign w:val="center"/>
          </w:tcPr>
          <w:p w14:paraId="03B5AFD7" w14:textId="21B35768" w:rsidR="008E5875" w:rsidRPr="008E5875" w:rsidRDefault="008E5875" w:rsidP="008E5875">
            <w:pPr>
              <w:pStyle w:val="TableTextRightAligned"/>
              <w:spacing w:after="0"/>
              <w:jc w:val="center"/>
              <w:rPr>
                <w:szCs w:val="20"/>
              </w:rPr>
            </w:pPr>
            <w:r w:rsidRPr="008E5875">
              <w:rPr>
                <w:rFonts w:cstheme="minorHAnsi"/>
                <w:color w:val="000000"/>
                <w:szCs w:val="20"/>
              </w:rPr>
              <w:t>6,503,491 (26%)</w:t>
            </w:r>
          </w:p>
        </w:tc>
        <w:tc>
          <w:tcPr>
            <w:tcW w:w="2324" w:type="dxa"/>
            <w:tcBorders>
              <w:bottom w:val="single" w:sz="4" w:space="0" w:color="808080" w:themeColor="background1" w:themeShade="80"/>
            </w:tcBorders>
            <w:vAlign w:val="center"/>
          </w:tcPr>
          <w:p w14:paraId="6C27706B" w14:textId="726D8DE6" w:rsidR="008E5875" w:rsidRPr="008E5875" w:rsidRDefault="008E5875" w:rsidP="008E5875">
            <w:pPr>
              <w:pStyle w:val="TableTextRightAligned"/>
              <w:spacing w:after="0"/>
              <w:jc w:val="center"/>
              <w:rPr>
                <w:szCs w:val="20"/>
              </w:rPr>
            </w:pPr>
            <w:r w:rsidRPr="008E5875">
              <w:rPr>
                <w:rFonts w:cstheme="minorHAnsi"/>
                <w:color w:val="000000"/>
                <w:szCs w:val="20"/>
              </w:rPr>
              <w:t>70</w:t>
            </w:r>
          </w:p>
        </w:tc>
      </w:tr>
      <w:tr w:rsidR="008E5875" w14:paraId="7A3F6F1F" w14:textId="77777777" w:rsidTr="00B83D14">
        <w:tc>
          <w:tcPr>
            <w:tcW w:w="1560" w:type="dxa"/>
            <w:tcBorders>
              <w:bottom w:val="single" w:sz="4" w:space="0" w:color="808080" w:themeColor="background1" w:themeShade="80"/>
            </w:tcBorders>
            <w:shd w:val="clear" w:color="auto" w:fill="auto"/>
            <w:vAlign w:val="center"/>
          </w:tcPr>
          <w:p w14:paraId="5979C39A" w14:textId="2910B34C" w:rsidR="008E5875" w:rsidRPr="008E5875" w:rsidRDefault="008E5875" w:rsidP="008E5875">
            <w:pPr>
              <w:pStyle w:val="TableTextLeftAligned"/>
              <w:spacing w:after="0"/>
              <w:rPr>
                <w:szCs w:val="20"/>
              </w:rPr>
            </w:pPr>
            <w:r w:rsidRPr="008E5875">
              <w:rPr>
                <w:rFonts w:cstheme="minorHAnsi"/>
                <w:color w:val="000000"/>
                <w:szCs w:val="20"/>
              </w:rPr>
              <w:t>WA</w:t>
            </w:r>
          </w:p>
        </w:tc>
        <w:tc>
          <w:tcPr>
            <w:tcW w:w="1984" w:type="dxa"/>
            <w:tcBorders>
              <w:bottom w:val="single" w:sz="4" w:space="0" w:color="808080" w:themeColor="background1" w:themeShade="80"/>
            </w:tcBorders>
            <w:vAlign w:val="center"/>
          </w:tcPr>
          <w:p w14:paraId="2F51C60F" w14:textId="2A2CADBD" w:rsidR="008E5875" w:rsidRPr="008E5875" w:rsidRDefault="008E5875" w:rsidP="008E5875">
            <w:pPr>
              <w:pStyle w:val="TableTextRightAligned"/>
              <w:spacing w:after="0"/>
              <w:jc w:val="center"/>
              <w:rPr>
                <w:szCs w:val="20"/>
              </w:rPr>
            </w:pPr>
            <w:r w:rsidRPr="008E5875">
              <w:rPr>
                <w:rFonts w:cstheme="minorHAnsi"/>
                <w:color w:val="000000"/>
                <w:szCs w:val="20"/>
              </w:rPr>
              <w:t>894 (6%)</w:t>
            </w:r>
          </w:p>
        </w:tc>
        <w:tc>
          <w:tcPr>
            <w:tcW w:w="2410" w:type="dxa"/>
            <w:tcBorders>
              <w:bottom w:val="single" w:sz="4" w:space="0" w:color="808080" w:themeColor="background1" w:themeShade="80"/>
            </w:tcBorders>
            <w:shd w:val="clear" w:color="auto" w:fill="auto"/>
            <w:vAlign w:val="center"/>
          </w:tcPr>
          <w:p w14:paraId="6F28027E" w14:textId="6F7FFEA4" w:rsidR="008E5875" w:rsidRPr="008E5875" w:rsidRDefault="008E5875" w:rsidP="008E5875">
            <w:pPr>
              <w:pStyle w:val="TableTextRightAligned"/>
              <w:spacing w:after="0"/>
              <w:jc w:val="center"/>
              <w:rPr>
                <w:szCs w:val="20"/>
              </w:rPr>
            </w:pPr>
            <w:r w:rsidRPr="008E5875">
              <w:rPr>
                <w:rFonts w:cstheme="minorHAnsi"/>
                <w:color w:val="000000"/>
                <w:szCs w:val="20"/>
              </w:rPr>
              <w:t>2,660,026 (10%)</w:t>
            </w:r>
          </w:p>
        </w:tc>
        <w:tc>
          <w:tcPr>
            <w:tcW w:w="2324" w:type="dxa"/>
            <w:tcBorders>
              <w:bottom w:val="single" w:sz="4" w:space="0" w:color="808080" w:themeColor="background1" w:themeShade="80"/>
            </w:tcBorders>
            <w:vAlign w:val="center"/>
          </w:tcPr>
          <w:p w14:paraId="6CF47BD4" w14:textId="143DC6B9" w:rsidR="008E5875" w:rsidRPr="008E5875" w:rsidRDefault="008E5875" w:rsidP="008E5875">
            <w:pPr>
              <w:pStyle w:val="TableTextRightAligned"/>
              <w:spacing w:after="0"/>
              <w:jc w:val="center"/>
              <w:rPr>
                <w:szCs w:val="20"/>
              </w:rPr>
            </w:pPr>
            <w:r w:rsidRPr="008E5875">
              <w:rPr>
                <w:rFonts w:cstheme="minorHAnsi"/>
                <w:color w:val="000000"/>
                <w:szCs w:val="20"/>
              </w:rPr>
              <w:t>36</w:t>
            </w:r>
          </w:p>
        </w:tc>
      </w:tr>
      <w:tr w:rsidR="008E5875" w14:paraId="168D78AD" w14:textId="77777777" w:rsidTr="00B83D14">
        <w:tc>
          <w:tcPr>
            <w:tcW w:w="1560" w:type="dxa"/>
            <w:tcBorders>
              <w:bottom w:val="single" w:sz="4" w:space="0" w:color="808080" w:themeColor="background1" w:themeShade="80"/>
            </w:tcBorders>
            <w:shd w:val="clear" w:color="auto" w:fill="auto"/>
            <w:vAlign w:val="center"/>
          </w:tcPr>
          <w:p w14:paraId="6E96E2E2" w14:textId="3CC6B216" w:rsidR="008E5875" w:rsidRPr="008E5875" w:rsidRDefault="008E5875" w:rsidP="008E5875">
            <w:pPr>
              <w:pStyle w:val="TableTextLeftAligned"/>
              <w:spacing w:after="0"/>
              <w:rPr>
                <w:rFonts w:cstheme="minorHAnsi"/>
                <w:color w:val="000000"/>
                <w:szCs w:val="20"/>
              </w:rPr>
            </w:pPr>
            <w:r w:rsidRPr="008E5875">
              <w:rPr>
                <w:rFonts w:cstheme="minorHAnsi"/>
                <w:color w:val="000000"/>
                <w:szCs w:val="20"/>
              </w:rPr>
              <w:t>Unknown</w:t>
            </w:r>
          </w:p>
        </w:tc>
        <w:tc>
          <w:tcPr>
            <w:tcW w:w="1984" w:type="dxa"/>
            <w:tcBorders>
              <w:bottom w:val="single" w:sz="4" w:space="0" w:color="808080" w:themeColor="background1" w:themeShade="80"/>
            </w:tcBorders>
            <w:vAlign w:val="center"/>
          </w:tcPr>
          <w:p w14:paraId="2D8AE439" w14:textId="0B6E718A" w:rsidR="008E5875" w:rsidRPr="008E5875" w:rsidRDefault="008E5875" w:rsidP="008E5875">
            <w:pPr>
              <w:pStyle w:val="TableTextRightAligned"/>
              <w:spacing w:after="0"/>
              <w:jc w:val="center"/>
              <w:rPr>
                <w:rFonts w:cstheme="minorHAnsi"/>
                <w:color w:val="000000"/>
                <w:szCs w:val="20"/>
              </w:rPr>
            </w:pPr>
            <w:r w:rsidRPr="008E5875">
              <w:rPr>
                <w:rFonts w:cstheme="minorHAnsi"/>
                <w:color w:val="000000"/>
                <w:szCs w:val="20"/>
              </w:rPr>
              <w:t>870 (6%)</w:t>
            </w:r>
          </w:p>
        </w:tc>
        <w:tc>
          <w:tcPr>
            <w:tcW w:w="2410" w:type="dxa"/>
            <w:tcBorders>
              <w:bottom w:val="single" w:sz="4" w:space="0" w:color="808080" w:themeColor="background1" w:themeShade="80"/>
            </w:tcBorders>
            <w:shd w:val="clear" w:color="auto" w:fill="auto"/>
            <w:vAlign w:val="center"/>
          </w:tcPr>
          <w:p w14:paraId="44623CBE" w14:textId="0EFF47E9" w:rsidR="008E5875" w:rsidRPr="008E5875" w:rsidRDefault="008E5875" w:rsidP="008E5875">
            <w:pPr>
              <w:pStyle w:val="TableTextRightAligned"/>
              <w:spacing w:after="0"/>
              <w:jc w:val="center"/>
              <w:rPr>
                <w:rFonts w:cstheme="minorHAnsi"/>
                <w:color w:val="000000"/>
                <w:szCs w:val="20"/>
              </w:rPr>
            </w:pPr>
            <w:r>
              <w:rPr>
                <w:rFonts w:cstheme="minorHAnsi"/>
                <w:color w:val="000000"/>
                <w:szCs w:val="20"/>
              </w:rPr>
              <w:t>-</w:t>
            </w:r>
          </w:p>
        </w:tc>
        <w:tc>
          <w:tcPr>
            <w:tcW w:w="2324" w:type="dxa"/>
            <w:tcBorders>
              <w:bottom w:val="single" w:sz="4" w:space="0" w:color="808080" w:themeColor="background1" w:themeShade="80"/>
            </w:tcBorders>
            <w:vAlign w:val="center"/>
          </w:tcPr>
          <w:p w14:paraId="07C11D4B" w14:textId="2182A2F4" w:rsidR="008E5875" w:rsidRPr="008E5875" w:rsidRDefault="008E5875" w:rsidP="008E5875">
            <w:pPr>
              <w:pStyle w:val="TableTextRightAligned"/>
              <w:spacing w:after="0"/>
              <w:jc w:val="center"/>
              <w:rPr>
                <w:rFonts w:cstheme="minorHAnsi"/>
                <w:color w:val="000000"/>
                <w:szCs w:val="20"/>
              </w:rPr>
            </w:pPr>
            <w:r>
              <w:rPr>
                <w:rFonts w:cstheme="minorHAnsi"/>
                <w:color w:val="000000"/>
                <w:szCs w:val="20"/>
              </w:rPr>
              <w:t>-</w:t>
            </w:r>
          </w:p>
        </w:tc>
      </w:tr>
      <w:tr w:rsidR="008E5875" w14:paraId="2783EFD8" w14:textId="77777777" w:rsidTr="00B83D14">
        <w:tc>
          <w:tcPr>
            <w:tcW w:w="1560" w:type="dxa"/>
            <w:tcBorders>
              <w:top w:val="single" w:sz="4" w:space="0" w:color="808080" w:themeColor="background1" w:themeShade="80"/>
              <w:bottom w:val="single" w:sz="18" w:space="0" w:color="142E3B" w:themeColor="accent6"/>
            </w:tcBorders>
            <w:shd w:val="clear" w:color="auto" w:fill="auto"/>
            <w:vAlign w:val="center"/>
          </w:tcPr>
          <w:p w14:paraId="2EDEA3B9" w14:textId="77777777" w:rsidR="008E5875" w:rsidRPr="00FD2C46" w:rsidRDefault="008E5875" w:rsidP="00B83D14">
            <w:pPr>
              <w:pStyle w:val="TableTextLeftAligned"/>
              <w:spacing w:after="0"/>
            </w:pPr>
            <w:r w:rsidRPr="00F34688">
              <w:rPr>
                <w:rFonts w:ascii="Helvetica" w:hAnsi="Helvetica"/>
                <w:b/>
                <w:szCs w:val="20"/>
              </w:rPr>
              <w:t>Total</w:t>
            </w:r>
          </w:p>
        </w:tc>
        <w:tc>
          <w:tcPr>
            <w:tcW w:w="1984" w:type="dxa"/>
            <w:tcBorders>
              <w:top w:val="single" w:sz="4" w:space="0" w:color="808080" w:themeColor="background1" w:themeShade="80"/>
              <w:bottom w:val="single" w:sz="18" w:space="0" w:color="142E3B" w:themeColor="accent6"/>
            </w:tcBorders>
            <w:vAlign w:val="center"/>
          </w:tcPr>
          <w:p w14:paraId="2E3BC4E1" w14:textId="77777777" w:rsidR="008E5875" w:rsidRPr="00FD2C46" w:rsidRDefault="008E5875" w:rsidP="00B83D14">
            <w:pPr>
              <w:pStyle w:val="TableTextRightAligned"/>
              <w:spacing w:after="0"/>
              <w:jc w:val="center"/>
            </w:pPr>
            <w:r w:rsidRPr="00F34688">
              <w:rPr>
                <w:rFonts w:cstheme="minorHAnsi"/>
                <w:i/>
                <w:color w:val="000000"/>
                <w:szCs w:val="20"/>
              </w:rPr>
              <w:t>13,877 (100%)</w:t>
            </w:r>
          </w:p>
        </w:tc>
        <w:tc>
          <w:tcPr>
            <w:tcW w:w="2410" w:type="dxa"/>
            <w:tcBorders>
              <w:top w:val="single" w:sz="4" w:space="0" w:color="808080" w:themeColor="background1" w:themeShade="80"/>
              <w:bottom w:val="single" w:sz="18" w:space="0" w:color="142E3B" w:themeColor="accent6"/>
            </w:tcBorders>
            <w:shd w:val="clear" w:color="auto" w:fill="auto"/>
            <w:vAlign w:val="center"/>
          </w:tcPr>
          <w:p w14:paraId="45FCA8F4" w14:textId="7158E60E" w:rsidR="008E5875" w:rsidRPr="00FD2C46" w:rsidRDefault="008E5875" w:rsidP="00B83D14">
            <w:pPr>
              <w:pStyle w:val="TableTextRightAligned"/>
              <w:spacing w:after="0"/>
              <w:jc w:val="center"/>
            </w:pPr>
            <w:r w:rsidRPr="00F34688">
              <w:rPr>
                <w:rFonts w:cstheme="minorHAnsi"/>
                <w:i/>
                <w:color w:val="000000"/>
                <w:szCs w:val="20"/>
              </w:rPr>
              <w:t>25,422,788</w:t>
            </w:r>
            <w:r>
              <w:rPr>
                <w:rFonts w:cstheme="minorHAnsi"/>
                <w:i/>
                <w:color w:val="000000"/>
                <w:szCs w:val="20"/>
              </w:rPr>
              <w:t>**</w:t>
            </w:r>
            <w:r w:rsidRPr="00F34688">
              <w:rPr>
                <w:rFonts w:cstheme="minorHAnsi"/>
                <w:i/>
                <w:color w:val="000000"/>
                <w:szCs w:val="20"/>
              </w:rPr>
              <w:t xml:space="preserve"> (100%)</w:t>
            </w:r>
          </w:p>
        </w:tc>
        <w:tc>
          <w:tcPr>
            <w:tcW w:w="2324" w:type="dxa"/>
            <w:tcBorders>
              <w:top w:val="single" w:sz="4" w:space="0" w:color="808080" w:themeColor="background1" w:themeShade="80"/>
              <w:bottom w:val="single" w:sz="18" w:space="0" w:color="142E3B" w:themeColor="accent6"/>
            </w:tcBorders>
            <w:vAlign w:val="center"/>
          </w:tcPr>
          <w:p w14:paraId="08EA81D8" w14:textId="77777777" w:rsidR="008E5875" w:rsidRPr="00FD2C46" w:rsidRDefault="008E5875" w:rsidP="00B83D14">
            <w:pPr>
              <w:pStyle w:val="TableTextRightAligned"/>
              <w:spacing w:after="0"/>
              <w:jc w:val="center"/>
            </w:pPr>
            <w:r w:rsidRPr="00F34688">
              <w:rPr>
                <w:rFonts w:cstheme="minorHAnsi"/>
                <w:i/>
                <w:color w:val="000000"/>
                <w:szCs w:val="20"/>
              </w:rPr>
              <w:t>55</w:t>
            </w:r>
          </w:p>
        </w:tc>
      </w:tr>
    </w:tbl>
    <w:p w14:paraId="22AC4CC2" w14:textId="37719DB3" w:rsidR="008E5875" w:rsidRPr="00E96BEF" w:rsidRDefault="008E5875" w:rsidP="00E96BEF">
      <w:pPr>
        <w:spacing w:before="120" w:after="0"/>
        <w:rPr>
          <w:rFonts w:ascii="Helvetica" w:hAnsi="Helvetica"/>
          <w:i/>
          <w:sz w:val="18"/>
          <w:szCs w:val="18"/>
        </w:rPr>
      </w:pPr>
      <w:r w:rsidRPr="006156AD">
        <w:rPr>
          <w:b/>
        </w:rPr>
        <w:t xml:space="preserve">* </w:t>
      </w:r>
      <w:r w:rsidRPr="008E5875">
        <w:rPr>
          <w:i/>
          <w:sz w:val="18"/>
          <w:szCs w:val="18"/>
        </w:rPr>
        <w:t>ABS (2022a) **</w:t>
      </w:r>
      <w:r w:rsidRPr="008E5875">
        <w:rPr>
          <w:rFonts w:cstheme="minorHAnsi"/>
          <w:i/>
          <w:color w:val="000000"/>
          <w:sz w:val="18"/>
          <w:szCs w:val="18"/>
        </w:rPr>
        <w:t xml:space="preserve">State/Territory data does not include Norfolk, Christmas, and Cocos Islands or Jervis Bay. </w:t>
      </w:r>
      <w:r w:rsidR="00E96BEF" w:rsidRPr="00CC1369">
        <w:rPr>
          <w:rFonts w:cstheme="minorHAnsi"/>
          <w:b/>
          <w:i/>
          <w:color w:val="000000"/>
          <w:sz w:val="18"/>
          <w:szCs w:val="18"/>
        </w:rPr>
        <w:t>***</w:t>
      </w:r>
      <w:r w:rsidR="00E96BEF" w:rsidRPr="00CC1369">
        <w:rPr>
          <w:rFonts w:ascii="Helvetica" w:hAnsi="Helvetica"/>
          <w:i/>
          <w:sz w:val="18"/>
          <w:szCs w:val="18"/>
        </w:rPr>
        <w:t xml:space="preserve"> The rate = (pro-rata number of scheduled EVA calls / target population size)*100,000.</w:t>
      </w:r>
    </w:p>
    <w:p w14:paraId="3F39E4B8" w14:textId="77777777" w:rsidR="004F1A0A" w:rsidRDefault="004F1A0A" w:rsidP="004F1A0A">
      <w:pPr>
        <w:pStyle w:val="Caption"/>
      </w:pPr>
    </w:p>
    <w:p w14:paraId="66982BDB" w14:textId="537A84E3" w:rsidR="00D05ADD" w:rsidRPr="004F1A0A" w:rsidRDefault="004F1A0A" w:rsidP="004F1A0A">
      <w:pPr>
        <w:pStyle w:val="Caption"/>
        <w:rPr>
          <w:b/>
          <w:i w:val="0"/>
          <w:sz w:val="20"/>
          <w:szCs w:val="20"/>
        </w:rPr>
      </w:pPr>
      <w:r w:rsidRPr="004F1A0A">
        <w:rPr>
          <w:b/>
          <w:i w:val="0"/>
          <w:sz w:val="20"/>
          <w:szCs w:val="20"/>
        </w:rPr>
        <w:lastRenderedPageBreak/>
        <w:t>T</w:t>
      </w:r>
      <w:r w:rsidR="00617F57">
        <w:rPr>
          <w:b/>
          <w:i w:val="0"/>
          <w:sz w:val="20"/>
          <w:szCs w:val="20"/>
        </w:rPr>
        <w:t>able 5</w:t>
      </w:r>
      <w:r w:rsidRPr="004F1A0A">
        <w:rPr>
          <w:b/>
          <w:i w:val="0"/>
          <w:sz w:val="20"/>
          <w:szCs w:val="20"/>
        </w:rPr>
        <w:t xml:space="preserve">. </w:t>
      </w:r>
      <w:r w:rsidR="00D05ADD" w:rsidRPr="004F1A0A">
        <w:rPr>
          <w:b/>
          <w:i w:val="0"/>
          <w:sz w:val="20"/>
          <w:szCs w:val="20"/>
        </w:rPr>
        <w:t>EVA utilisation by location: Socioeconomic dis/advantage (IRSAD decile)*</w:t>
      </w:r>
    </w:p>
    <w:tbl>
      <w:tblPr>
        <w:tblStyle w:val="DefaultTable"/>
        <w:tblW w:w="8278" w:type="dxa"/>
        <w:tblLayout w:type="fixed"/>
        <w:tblCellMar>
          <w:top w:w="85" w:type="dxa"/>
        </w:tblCellMar>
        <w:tblLook w:val="0420" w:firstRow="1" w:lastRow="0" w:firstColumn="0" w:lastColumn="0" w:noHBand="0" w:noVBand="1"/>
        <w:tblCaption w:val="Table 5 - EVA utilisation by location: socioeconomic dis/advantage (IRSAD decile)"/>
        <w:tblDescription w:val="This table has four columns. The first one is called 'IRSAD decile', and is broken down into the ten deciles. The second column is called 'Number of scheduled EVA calls', and is broken down by decile. The third column is called 'Target population size based on 2021 Census data', and the last column is called 'Number of EVA customers per 100,000 target population'. "/>
      </w:tblPr>
      <w:tblGrid>
        <w:gridCol w:w="1560"/>
        <w:gridCol w:w="1984"/>
        <w:gridCol w:w="2410"/>
        <w:gridCol w:w="2324"/>
      </w:tblGrid>
      <w:tr w:rsidR="00D05ADD" w14:paraId="7EB51254" w14:textId="77777777" w:rsidTr="00B83D14">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76D74B12" w14:textId="291CC4F1" w:rsidR="00D05ADD" w:rsidRPr="00FD2C46" w:rsidRDefault="004D44DA" w:rsidP="00B83D14">
            <w:pPr>
              <w:pStyle w:val="TableHeading"/>
              <w:spacing w:after="0"/>
              <w:jc w:val="center"/>
            </w:pPr>
            <w:r>
              <w:t>IRSAD decile</w:t>
            </w:r>
          </w:p>
        </w:tc>
        <w:tc>
          <w:tcPr>
            <w:tcW w:w="1984" w:type="dxa"/>
            <w:tcBorders>
              <w:top w:val="nil"/>
              <w:bottom w:val="single" w:sz="18" w:space="0" w:color="142E3B" w:themeColor="accent6"/>
            </w:tcBorders>
            <w:shd w:val="clear" w:color="auto" w:fill="20B9A3" w:themeFill="accent1"/>
            <w:vAlign w:val="center"/>
          </w:tcPr>
          <w:p w14:paraId="3C67DB90" w14:textId="77777777" w:rsidR="00D05ADD" w:rsidRDefault="00D05ADD" w:rsidP="00B83D14">
            <w:pPr>
              <w:pStyle w:val="TableHeading"/>
              <w:spacing w:after="0"/>
              <w:jc w:val="center"/>
            </w:pPr>
            <w:r w:rsidRPr="00F44AB3">
              <w:t xml:space="preserve">Number (%) of </w:t>
            </w:r>
            <w:r>
              <w:t>scheduled</w:t>
            </w:r>
            <w:r w:rsidRPr="00F44AB3">
              <w:t xml:space="preserve"> EVA </w:t>
            </w:r>
            <w:r>
              <w:t xml:space="preserve">calls </w:t>
            </w:r>
          </w:p>
        </w:tc>
        <w:tc>
          <w:tcPr>
            <w:tcW w:w="2410" w:type="dxa"/>
            <w:tcBorders>
              <w:top w:val="nil"/>
              <w:bottom w:val="single" w:sz="18" w:space="0" w:color="142E3B" w:themeColor="accent6"/>
            </w:tcBorders>
            <w:shd w:val="clear" w:color="auto" w:fill="20B9A3" w:themeFill="accent1"/>
            <w:vAlign w:val="center"/>
          </w:tcPr>
          <w:p w14:paraId="775EFE0C" w14:textId="77777777" w:rsidR="00D05ADD" w:rsidRPr="00FD2C46" w:rsidRDefault="00D05ADD" w:rsidP="00B83D14">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1245114B" w14:textId="77777777" w:rsidR="00D05ADD" w:rsidRPr="00FD2C46" w:rsidRDefault="00D05ADD" w:rsidP="00B83D14">
            <w:pPr>
              <w:pStyle w:val="TableHeading"/>
              <w:spacing w:after="0"/>
              <w:jc w:val="center"/>
            </w:pPr>
            <w:r w:rsidRPr="00F44AB3">
              <w:t>Number of EVA customers per 100,000 target population**</w:t>
            </w:r>
          </w:p>
        </w:tc>
      </w:tr>
      <w:tr w:rsidR="00D05ADD" w14:paraId="637B3BE6" w14:textId="77777777" w:rsidTr="00B83D14">
        <w:tc>
          <w:tcPr>
            <w:tcW w:w="1560" w:type="dxa"/>
            <w:tcBorders>
              <w:top w:val="single" w:sz="18" w:space="0" w:color="142E3B" w:themeColor="accent6"/>
            </w:tcBorders>
            <w:shd w:val="clear" w:color="auto" w:fill="auto"/>
            <w:vAlign w:val="center"/>
          </w:tcPr>
          <w:p w14:paraId="038D278A" w14:textId="77777777" w:rsidR="00D05ADD" w:rsidRPr="00FD2C46" w:rsidRDefault="00D05ADD" w:rsidP="00B83D14">
            <w:pPr>
              <w:pStyle w:val="TableTextLeftAligned"/>
              <w:spacing w:after="0"/>
            </w:pPr>
            <w:r w:rsidRPr="00F34688">
              <w:rPr>
                <w:rFonts w:cstheme="minorHAnsi"/>
                <w:color w:val="000000"/>
                <w:szCs w:val="20"/>
              </w:rPr>
              <w:t>1</w:t>
            </w:r>
          </w:p>
        </w:tc>
        <w:tc>
          <w:tcPr>
            <w:tcW w:w="1984" w:type="dxa"/>
            <w:tcBorders>
              <w:top w:val="single" w:sz="18" w:space="0" w:color="142E3B" w:themeColor="accent6"/>
            </w:tcBorders>
            <w:vAlign w:val="center"/>
          </w:tcPr>
          <w:p w14:paraId="593298E5" w14:textId="77777777" w:rsidR="00D05ADD" w:rsidRPr="00FD2C46" w:rsidRDefault="00D05ADD" w:rsidP="00B83D14">
            <w:pPr>
              <w:pStyle w:val="TableTextRightAligned"/>
              <w:spacing w:after="0"/>
              <w:jc w:val="center"/>
            </w:pPr>
            <w:r w:rsidRPr="00F34688">
              <w:rPr>
                <w:rFonts w:cstheme="minorHAnsi"/>
                <w:color w:val="000000"/>
                <w:szCs w:val="20"/>
              </w:rPr>
              <w:t>753 (5%)</w:t>
            </w:r>
          </w:p>
        </w:tc>
        <w:tc>
          <w:tcPr>
            <w:tcW w:w="2410" w:type="dxa"/>
            <w:tcBorders>
              <w:top w:val="single" w:sz="18" w:space="0" w:color="142E3B" w:themeColor="accent6"/>
            </w:tcBorders>
            <w:shd w:val="clear" w:color="auto" w:fill="auto"/>
            <w:vAlign w:val="center"/>
          </w:tcPr>
          <w:p w14:paraId="05207923"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tcBorders>
              <w:top w:val="single" w:sz="18" w:space="0" w:color="142E3B" w:themeColor="accent6"/>
            </w:tcBorders>
            <w:vAlign w:val="center"/>
          </w:tcPr>
          <w:p w14:paraId="49D3F56D" w14:textId="77777777" w:rsidR="00D05ADD" w:rsidRPr="00FD2C46" w:rsidRDefault="00D05ADD" w:rsidP="00B83D14">
            <w:pPr>
              <w:pStyle w:val="TableTextRightAligned"/>
              <w:spacing w:after="0"/>
              <w:jc w:val="center"/>
            </w:pPr>
            <w:r w:rsidRPr="00F34688">
              <w:rPr>
                <w:rFonts w:cstheme="minorHAnsi"/>
                <w:color w:val="000000"/>
                <w:szCs w:val="20"/>
              </w:rPr>
              <w:t>37</w:t>
            </w:r>
          </w:p>
        </w:tc>
      </w:tr>
      <w:tr w:rsidR="00D05ADD" w14:paraId="0F380962" w14:textId="77777777" w:rsidTr="00B83D14">
        <w:tc>
          <w:tcPr>
            <w:tcW w:w="1560" w:type="dxa"/>
            <w:shd w:val="clear" w:color="auto" w:fill="auto"/>
            <w:vAlign w:val="center"/>
          </w:tcPr>
          <w:p w14:paraId="09B5D693" w14:textId="77777777" w:rsidR="00D05ADD" w:rsidRPr="00FD2C46" w:rsidRDefault="00D05ADD" w:rsidP="00B83D14">
            <w:pPr>
              <w:pStyle w:val="TableTextLeftAligned"/>
              <w:spacing w:after="0"/>
            </w:pPr>
            <w:r w:rsidRPr="00F34688">
              <w:rPr>
                <w:rFonts w:cstheme="minorHAnsi"/>
                <w:color w:val="000000"/>
                <w:szCs w:val="20"/>
              </w:rPr>
              <w:t>2</w:t>
            </w:r>
          </w:p>
        </w:tc>
        <w:tc>
          <w:tcPr>
            <w:tcW w:w="1984" w:type="dxa"/>
            <w:vAlign w:val="center"/>
          </w:tcPr>
          <w:p w14:paraId="1FF58E16" w14:textId="77777777" w:rsidR="00D05ADD" w:rsidRPr="00FD2C46" w:rsidRDefault="00D05ADD" w:rsidP="00B83D14">
            <w:pPr>
              <w:pStyle w:val="TableTextRightAligned"/>
              <w:spacing w:after="0"/>
              <w:jc w:val="center"/>
            </w:pPr>
            <w:r w:rsidRPr="00F34688">
              <w:rPr>
                <w:rFonts w:cstheme="minorHAnsi"/>
                <w:color w:val="000000"/>
                <w:szCs w:val="20"/>
              </w:rPr>
              <w:t>911 (7%)</w:t>
            </w:r>
          </w:p>
        </w:tc>
        <w:tc>
          <w:tcPr>
            <w:tcW w:w="2410" w:type="dxa"/>
            <w:shd w:val="clear" w:color="auto" w:fill="auto"/>
            <w:vAlign w:val="center"/>
          </w:tcPr>
          <w:p w14:paraId="2A589CD0"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vAlign w:val="center"/>
          </w:tcPr>
          <w:p w14:paraId="2484A198" w14:textId="77777777" w:rsidR="00D05ADD" w:rsidRPr="00FD2C46" w:rsidRDefault="00D05ADD" w:rsidP="00B83D14">
            <w:pPr>
              <w:pStyle w:val="TableTextRightAligned"/>
              <w:spacing w:after="0"/>
              <w:jc w:val="center"/>
            </w:pPr>
            <w:r w:rsidRPr="00F34688">
              <w:rPr>
                <w:rFonts w:cstheme="minorHAnsi"/>
                <w:color w:val="000000"/>
                <w:szCs w:val="20"/>
              </w:rPr>
              <w:t>45</w:t>
            </w:r>
          </w:p>
        </w:tc>
      </w:tr>
      <w:tr w:rsidR="00D05ADD" w14:paraId="479B149B" w14:textId="77777777" w:rsidTr="00B83D14">
        <w:tc>
          <w:tcPr>
            <w:tcW w:w="1560" w:type="dxa"/>
            <w:shd w:val="clear" w:color="auto" w:fill="auto"/>
            <w:vAlign w:val="center"/>
          </w:tcPr>
          <w:p w14:paraId="73CC9AD0" w14:textId="77777777" w:rsidR="00D05ADD" w:rsidRPr="00FD2C46" w:rsidRDefault="00D05ADD" w:rsidP="00B83D14">
            <w:pPr>
              <w:pStyle w:val="TableTextLeftAligned"/>
              <w:spacing w:after="0"/>
            </w:pPr>
            <w:r w:rsidRPr="00F34688">
              <w:rPr>
                <w:rFonts w:cstheme="minorHAnsi"/>
                <w:color w:val="000000"/>
                <w:szCs w:val="20"/>
              </w:rPr>
              <w:t>3</w:t>
            </w:r>
          </w:p>
        </w:tc>
        <w:tc>
          <w:tcPr>
            <w:tcW w:w="1984" w:type="dxa"/>
            <w:vAlign w:val="center"/>
          </w:tcPr>
          <w:p w14:paraId="0B5C0FD5" w14:textId="77777777" w:rsidR="00D05ADD" w:rsidRPr="00FD2C46" w:rsidRDefault="00D05ADD" w:rsidP="00B83D14">
            <w:pPr>
              <w:pStyle w:val="TableTextRightAligned"/>
              <w:spacing w:after="0"/>
              <w:jc w:val="center"/>
            </w:pPr>
            <w:r w:rsidRPr="00F34688">
              <w:rPr>
                <w:rFonts w:cstheme="minorHAnsi"/>
                <w:color w:val="000000"/>
                <w:szCs w:val="20"/>
              </w:rPr>
              <w:t>522 (4%)</w:t>
            </w:r>
          </w:p>
        </w:tc>
        <w:tc>
          <w:tcPr>
            <w:tcW w:w="2410" w:type="dxa"/>
            <w:shd w:val="clear" w:color="auto" w:fill="auto"/>
            <w:vAlign w:val="center"/>
          </w:tcPr>
          <w:p w14:paraId="65D81201"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vAlign w:val="center"/>
          </w:tcPr>
          <w:p w14:paraId="2D378FF9" w14:textId="77777777" w:rsidR="00D05ADD" w:rsidRPr="00FD2C46" w:rsidRDefault="00D05ADD" w:rsidP="00B83D14">
            <w:pPr>
              <w:pStyle w:val="TableTextRightAligned"/>
              <w:spacing w:after="0"/>
              <w:jc w:val="center"/>
            </w:pPr>
            <w:r w:rsidRPr="00F34688">
              <w:rPr>
                <w:rFonts w:cstheme="minorHAnsi"/>
                <w:color w:val="000000"/>
                <w:szCs w:val="20"/>
              </w:rPr>
              <w:t>26</w:t>
            </w:r>
          </w:p>
        </w:tc>
      </w:tr>
      <w:tr w:rsidR="00D05ADD" w14:paraId="78CB9337" w14:textId="77777777" w:rsidTr="00B83D14">
        <w:tc>
          <w:tcPr>
            <w:tcW w:w="1560" w:type="dxa"/>
            <w:tcBorders>
              <w:bottom w:val="single" w:sz="4" w:space="0" w:color="808080" w:themeColor="background1" w:themeShade="80"/>
            </w:tcBorders>
            <w:shd w:val="clear" w:color="auto" w:fill="auto"/>
            <w:vAlign w:val="center"/>
          </w:tcPr>
          <w:p w14:paraId="23724D49" w14:textId="77777777" w:rsidR="00D05ADD" w:rsidRPr="00FD2C46" w:rsidRDefault="00D05ADD" w:rsidP="00B83D14">
            <w:pPr>
              <w:pStyle w:val="TableTextLeftAligned"/>
              <w:spacing w:after="0"/>
            </w:pPr>
            <w:r w:rsidRPr="00F34688">
              <w:rPr>
                <w:rFonts w:cstheme="minorHAnsi"/>
                <w:szCs w:val="20"/>
              </w:rPr>
              <w:t>4</w:t>
            </w:r>
          </w:p>
        </w:tc>
        <w:tc>
          <w:tcPr>
            <w:tcW w:w="1984" w:type="dxa"/>
            <w:tcBorders>
              <w:bottom w:val="single" w:sz="4" w:space="0" w:color="808080" w:themeColor="background1" w:themeShade="80"/>
            </w:tcBorders>
            <w:vAlign w:val="center"/>
          </w:tcPr>
          <w:p w14:paraId="730BAE3A" w14:textId="77777777" w:rsidR="00D05ADD" w:rsidRPr="00FD2C46" w:rsidRDefault="00D05ADD" w:rsidP="00B83D14">
            <w:pPr>
              <w:pStyle w:val="TableTextRightAligned"/>
              <w:spacing w:after="0"/>
              <w:jc w:val="center"/>
            </w:pPr>
            <w:r w:rsidRPr="00F34688">
              <w:rPr>
                <w:rFonts w:cstheme="minorHAnsi"/>
                <w:color w:val="000000"/>
                <w:szCs w:val="20"/>
              </w:rPr>
              <w:t>821 (6%)</w:t>
            </w:r>
          </w:p>
        </w:tc>
        <w:tc>
          <w:tcPr>
            <w:tcW w:w="2410" w:type="dxa"/>
            <w:tcBorders>
              <w:bottom w:val="single" w:sz="4" w:space="0" w:color="808080" w:themeColor="background1" w:themeShade="80"/>
            </w:tcBorders>
            <w:shd w:val="clear" w:color="auto" w:fill="auto"/>
            <w:vAlign w:val="center"/>
          </w:tcPr>
          <w:p w14:paraId="2227D691"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6D5F36F0" w14:textId="77777777" w:rsidR="00D05ADD" w:rsidRPr="00FD2C46" w:rsidRDefault="00D05ADD" w:rsidP="00B83D14">
            <w:pPr>
              <w:pStyle w:val="TableTextRightAligned"/>
              <w:spacing w:after="0"/>
              <w:jc w:val="center"/>
            </w:pPr>
            <w:r w:rsidRPr="00F34688">
              <w:rPr>
                <w:rFonts w:cstheme="minorHAnsi"/>
                <w:color w:val="000000"/>
                <w:szCs w:val="20"/>
              </w:rPr>
              <w:t>40</w:t>
            </w:r>
          </w:p>
        </w:tc>
      </w:tr>
      <w:tr w:rsidR="00D05ADD" w14:paraId="7E7B1D3C" w14:textId="77777777" w:rsidTr="00B83D14">
        <w:tc>
          <w:tcPr>
            <w:tcW w:w="1560" w:type="dxa"/>
            <w:tcBorders>
              <w:bottom w:val="single" w:sz="4" w:space="0" w:color="808080" w:themeColor="background1" w:themeShade="80"/>
            </w:tcBorders>
            <w:shd w:val="clear" w:color="auto" w:fill="auto"/>
            <w:vAlign w:val="center"/>
          </w:tcPr>
          <w:p w14:paraId="34DB92E7" w14:textId="77777777" w:rsidR="00D05ADD" w:rsidRDefault="00D05ADD" w:rsidP="00B83D14">
            <w:pPr>
              <w:pStyle w:val="TableTextLeftAligned"/>
              <w:spacing w:after="0"/>
            </w:pPr>
            <w:r w:rsidRPr="00F34688">
              <w:rPr>
                <w:rFonts w:cstheme="minorHAnsi"/>
                <w:szCs w:val="20"/>
              </w:rPr>
              <w:t>5</w:t>
            </w:r>
          </w:p>
        </w:tc>
        <w:tc>
          <w:tcPr>
            <w:tcW w:w="1984" w:type="dxa"/>
            <w:tcBorders>
              <w:bottom w:val="single" w:sz="4" w:space="0" w:color="808080" w:themeColor="background1" w:themeShade="80"/>
            </w:tcBorders>
            <w:vAlign w:val="center"/>
          </w:tcPr>
          <w:p w14:paraId="669F6D60" w14:textId="77777777" w:rsidR="00D05ADD" w:rsidRPr="00FD2C46" w:rsidRDefault="00D05ADD" w:rsidP="00B83D14">
            <w:pPr>
              <w:pStyle w:val="TableTextRightAligned"/>
              <w:spacing w:after="0"/>
              <w:jc w:val="center"/>
            </w:pPr>
            <w:r w:rsidRPr="00F34688">
              <w:rPr>
                <w:rFonts w:cstheme="minorHAnsi"/>
                <w:color w:val="000000"/>
                <w:szCs w:val="20"/>
              </w:rPr>
              <w:t>804 (6%)</w:t>
            </w:r>
          </w:p>
        </w:tc>
        <w:tc>
          <w:tcPr>
            <w:tcW w:w="2410" w:type="dxa"/>
            <w:tcBorders>
              <w:bottom w:val="single" w:sz="4" w:space="0" w:color="808080" w:themeColor="background1" w:themeShade="80"/>
            </w:tcBorders>
            <w:shd w:val="clear" w:color="auto" w:fill="auto"/>
            <w:vAlign w:val="center"/>
          </w:tcPr>
          <w:p w14:paraId="0D33E454"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1ACB25F0" w14:textId="77777777" w:rsidR="00D05ADD" w:rsidRDefault="00D05ADD" w:rsidP="00B83D14">
            <w:pPr>
              <w:pStyle w:val="TableTextRightAligned"/>
              <w:spacing w:after="0"/>
              <w:jc w:val="center"/>
            </w:pPr>
            <w:r w:rsidRPr="00F34688">
              <w:rPr>
                <w:rFonts w:cstheme="minorHAnsi"/>
                <w:color w:val="000000"/>
                <w:szCs w:val="20"/>
              </w:rPr>
              <w:t>39</w:t>
            </w:r>
          </w:p>
        </w:tc>
      </w:tr>
      <w:tr w:rsidR="00D05ADD" w14:paraId="48E136A0" w14:textId="77777777" w:rsidTr="00B83D14">
        <w:tc>
          <w:tcPr>
            <w:tcW w:w="1560" w:type="dxa"/>
            <w:tcBorders>
              <w:bottom w:val="single" w:sz="4" w:space="0" w:color="808080" w:themeColor="background1" w:themeShade="80"/>
            </w:tcBorders>
            <w:shd w:val="clear" w:color="auto" w:fill="auto"/>
            <w:vAlign w:val="center"/>
          </w:tcPr>
          <w:p w14:paraId="541D77B7" w14:textId="77777777" w:rsidR="00D05ADD" w:rsidRDefault="00D05ADD" w:rsidP="00B83D14">
            <w:pPr>
              <w:pStyle w:val="TableTextLeftAligned"/>
              <w:spacing w:after="0"/>
            </w:pPr>
            <w:r w:rsidRPr="00F34688">
              <w:rPr>
                <w:rFonts w:cstheme="minorHAnsi"/>
                <w:szCs w:val="20"/>
              </w:rPr>
              <w:t>6</w:t>
            </w:r>
          </w:p>
        </w:tc>
        <w:tc>
          <w:tcPr>
            <w:tcW w:w="1984" w:type="dxa"/>
            <w:tcBorders>
              <w:bottom w:val="single" w:sz="4" w:space="0" w:color="808080" w:themeColor="background1" w:themeShade="80"/>
            </w:tcBorders>
            <w:vAlign w:val="center"/>
          </w:tcPr>
          <w:p w14:paraId="09867722" w14:textId="77777777" w:rsidR="00D05ADD" w:rsidRPr="00FD2C46" w:rsidRDefault="00D05ADD" w:rsidP="00B83D14">
            <w:pPr>
              <w:pStyle w:val="TableTextRightAligned"/>
              <w:spacing w:after="0"/>
              <w:jc w:val="center"/>
            </w:pPr>
            <w:r w:rsidRPr="00F34688">
              <w:rPr>
                <w:rFonts w:cstheme="minorHAnsi"/>
                <w:color w:val="000000"/>
                <w:szCs w:val="20"/>
              </w:rPr>
              <w:t>1,153 (8%)</w:t>
            </w:r>
          </w:p>
        </w:tc>
        <w:tc>
          <w:tcPr>
            <w:tcW w:w="2410" w:type="dxa"/>
            <w:tcBorders>
              <w:bottom w:val="single" w:sz="4" w:space="0" w:color="808080" w:themeColor="background1" w:themeShade="80"/>
            </w:tcBorders>
            <w:shd w:val="clear" w:color="auto" w:fill="auto"/>
            <w:vAlign w:val="center"/>
          </w:tcPr>
          <w:p w14:paraId="06950A0E"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1EAF5F21" w14:textId="77777777" w:rsidR="00D05ADD" w:rsidRDefault="00D05ADD" w:rsidP="00B83D14">
            <w:pPr>
              <w:pStyle w:val="TableTextRightAligned"/>
              <w:spacing w:after="0"/>
              <w:jc w:val="center"/>
            </w:pPr>
            <w:r w:rsidRPr="00F34688">
              <w:rPr>
                <w:rFonts w:cstheme="minorHAnsi"/>
                <w:color w:val="000000"/>
                <w:szCs w:val="20"/>
              </w:rPr>
              <w:t>57</w:t>
            </w:r>
          </w:p>
        </w:tc>
      </w:tr>
      <w:tr w:rsidR="00D05ADD" w14:paraId="5E59ACC9" w14:textId="77777777" w:rsidTr="00B83D14">
        <w:tc>
          <w:tcPr>
            <w:tcW w:w="1560" w:type="dxa"/>
            <w:tcBorders>
              <w:bottom w:val="single" w:sz="4" w:space="0" w:color="808080" w:themeColor="background1" w:themeShade="80"/>
            </w:tcBorders>
            <w:shd w:val="clear" w:color="auto" w:fill="auto"/>
            <w:vAlign w:val="center"/>
          </w:tcPr>
          <w:p w14:paraId="02F97677" w14:textId="77777777" w:rsidR="00D05ADD" w:rsidRDefault="00D05ADD" w:rsidP="00B83D14">
            <w:pPr>
              <w:pStyle w:val="TableTextLeftAligned"/>
              <w:spacing w:after="0"/>
            </w:pPr>
            <w:r w:rsidRPr="00F34688">
              <w:rPr>
                <w:rFonts w:cstheme="minorHAnsi"/>
                <w:szCs w:val="20"/>
              </w:rPr>
              <w:t>7</w:t>
            </w:r>
          </w:p>
        </w:tc>
        <w:tc>
          <w:tcPr>
            <w:tcW w:w="1984" w:type="dxa"/>
            <w:tcBorders>
              <w:bottom w:val="single" w:sz="4" w:space="0" w:color="808080" w:themeColor="background1" w:themeShade="80"/>
            </w:tcBorders>
            <w:vAlign w:val="center"/>
          </w:tcPr>
          <w:p w14:paraId="37425AA5" w14:textId="77777777" w:rsidR="00D05ADD" w:rsidRPr="00FD2C46" w:rsidRDefault="00D05ADD" w:rsidP="00B83D14">
            <w:pPr>
              <w:pStyle w:val="TableTextRightAligned"/>
              <w:spacing w:after="0"/>
              <w:jc w:val="center"/>
            </w:pPr>
            <w:r w:rsidRPr="00F34688">
              <w:rPr>
                <w:rFonts w:cstheme="minorHAnsi"/>
                <w:color w:val="000000"/>
                <w:szCs w:val="20"/>
              </w:rPr>
              <w:t>929 (7%)</w:t>
            </w:r>
          </w:p>
        </w:tc>
        <w:tc>
          <w:tcPr>
            <w:tcW w:w="2410" w:type="dxa"/>
            <w:tcBorders>
              <w:bottom w:val="single" w:sz="4" w:space="0" w:color="808080" w:themeColor="background1" w:themeShade="80"/>
            </w:tcBorders>
            <w:shd w:val="clear" w:color="auto" w:fill="auto"/>
            <w:vAlign w:val="center"/>
          </w:tcPr>
          <w:p w14:paraId="079C3441"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0E8D5099" w14:textId="77777777" w:rsidR="00D05ADD" w:rsidRDefault="00D05ADD" w:rsidP="00B83D14">
            <w:pPr>
              <w:pStyle w:val="TableTextRightAligned"/>
              <w:spacing w:after="0"/>
              <w:jc w:val="center"/>
            </w:pPr>
            <w:r w:rsidRPr="00F34688">
              <w:rPr>
                <w:rFonts w:cstheme="minorHAnsi"/>
                <w:color w:val="000000"/>
                <w:szCs w:val="20"/>
              </w:rPr>
              <w:t>46</w:t>
            </w:r>
          </w:p>
        </w:tc>
      </w:tr>
      <w:tr w:rsidR="00D05ADD" w14:paraId="1CDBDE19" w14:textId="77777777" w:rsidTr="00B83D14">
        <w:tc>
          <w:tcPr>
            <w:tcW w:w="1560" w:type="dxa"/>
            <w:tcBorders>
              <w:bottom w:val="single" w:sz="4" w:space="0" w:color="808080" w:themeColor="background1" w:themeShade="80"/>
            </w:tcBorders>
            <w:shd w:val="clear" w:color="auto" w:fill="auto"/>
            <w:vAlign w:val="center"/>
          </w:tcPr>
          <w:p w14:paraId="3146857E" w14:textId="77777777" w:rsidR="00D05ADD" w:rsidRDefault="00D05ADD" w:rsidP="00B83D14">
            <w:pPr>
              <w:pStyle w:val="TableTextLeftAligned"/>
              <w:spacing w:after="0"/>
            </w:pPr>
            <w:r w:rsidRPr="00F34688">
              <w:rPr>
                <w:rFonts w:cstheme="minorHAnsi"/>
                <w:color w:val="000000"/>
                <w:szCs w:val="20"/>
              </w:rPr>
              <w:t>8</w:t>
            </w:r>
          </w:p>
        </w:tc>
        <w:tc>
          <w:tcPr>
            <w:tcW w:w="1984" w:type="dxa"/>
            <w:tcBorders>
              <w:bottom w:val="single" w:sz="4" w:space="0" w:color="808080" w:themeColor="background1" w:themeShade="80"/>
            </w:tcBorders>
            <w:vAlign w:val="center"/>
          </w:tcPr>
          <w:p w14:paraId="797C10E1" w14:textId="77777777" w:rsidR="00D05ADD" w:rsidRPr="00FD2C46" w:rsidRDefault="00D05ADD" w:rsidP="00B83D14">
            <w:pPr>
              <w:pStyle w:val="TableTextRightAligned"/>
              <w:spacing w:after="0"/>
              <w:jc w:val="center"/>
            </w:pPr>
            <w:r w:rsidRPr="00F34688">
              <w:rPr>
                <w:rFonts w:cstheme="minorHAnsi"/>
                <w:color w:val="000000"/>
                <w:szCs w:val="20"/>
              </w:rPr>
              <w:t>1,388 (10%)</w:t>
            </w:r>
          </w:p>
        </w:tc>
        <w:tc>
          <w:tcPr>
            <w:tcW w:w="2410" w:type="dxa"/>
            <w:tcBorders>
              <w:bottom w:val="single" w:sz="4" w:space="0" w:color="808080" w:themeColor="background1" w:themeShade="80"/>
            </w:tcBorders>
            <w:shd w:val="clear" w:color="auto" w:fill="auto"/>
            <w:vAlign w:val="center"/>
          </w:tcPr>
          <w:p w14:paraId="27A08D56" w14:textId="77777777" w:rsidR="00D05ADD" w:rsidRPr="00FD2C46" w:rsidRDefault="00D05ADD" w:rsidP="00B83D14">
            <w:pPr>
              <w:pStyle w:val="TableTextRightAligned"/>
              <w:spacing w:after="0"/>
              <w:jc w:val="cente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555AF0FC" w14:textId="77777777" w:rsidR="00D05ADD" w:rsidRDefault="00D05ADD" w:rsidP="00B83D14">
            <w:pPr>
              <w:pStyle w:val="TableTextRightAligned"/>
              <w:spacing w:after="0"/>
              <w:jc w:val="center"/>
            </w:pPr>
            <w:r w:rsidRPr="00F34688">
              <w:rPr>
                <w:rFonts w:cstheme="minorHAnsi"/>
                <w:color w:val="000000"/>
                <w:szCs w:val="20"/>
              </w:rPr>
              <w:t>68</w:t>
            </w:r>
          </w:p>
        </w:tc>
      </w:tr>
      <w:tr w:rsidR="00D05ADD" w14:paraId="4D0C242E" w14:textId="77777777" w:rsidTr="00B83D14">
        <w:tc>
          <w:tcPr>
            <w:tcW w:w="1560" w:type="dxa"/>
            <w:tcBorders>
              <w:bottom w:val="single" w:sz="4" w:space="0" w:color="808080" w:themeColor="background1" w:themeShade="80"/>
            </w:tcBorders>
            <w:shd w:val="clear" w:color="auto" w:fill="auto"/>
            <w:vAlign w:val="center"/>
          </w:tcPr>
          <w:p w14:paraId="39E423CC" w14:textId="77777777" w:rsidR="00D05ADD" w:rsidRPr="00F34688" w:rsidRDefault="00D05ADD" w:rsidP="00B83D14">
            <w:pPr>
              <w:pStyle w:val="TableTextLeftAligned"/>
              <w:spacing w:after="0"/>
              <w:rPr>
                <w:rFonts w:cstheme="minorHAnsi"/>
                <w:color w:val="000000"/>
                <w:szCs w:val="20"/>
              </w:rPr>
            </w:pPr>
            <w:r w:rsidRPr="00F34688">
              <w:rPr>
                <w:rFonts w:cstheme="minorHAnsi"/>
                <w:color w:val="000000"/>
                <w:szCs w:val="20"/>
              </w:rPr>
              <w:t>9</w:t>
            </w:r>
          </w:p>
        </w:tc>
        <w:tc>
          <w:tcPr>
            <w:tcW w:w="1984" w:type="dxa"/>
            <w:tcBorders>
              <w:bottom w:val="single" w:sz="4" w:space="0" w:color="808080" w:themeColor="background1" w:themeShade="80"/>
            </w:tcBorders>
            <w:vAlign w:val="center"/>
          </w:tcPr>
          <w:p w14:paraId="003E243A" w14:textId="77777777" w:rsidR="00D05ADD" w:rsidRPr="00F34688" w:rsidRDefault="00D05ADD" w:rsidP="00B83D14">
            <w:pPr>
              <w:pStyle w:val="TableTextRightAligned"/>
              <w:spacing w:after="0"/>
              <w:jc w:val="center"/>
              <w:rPr>
                <w:rFonts w:cstheme="minorHAnsi"/>
                <w:color w:val="000000"/>
                <w:szCs w:val="20"/>
              </w:rPr>
            </w:pPr>
            <w:r w:rsidRPr="00F34688">
              <w:rPr>
                <w:rFonts w:cstheme="minorHAnsi"/>
                <w:color w:val="000000"/>
                <w:szCs w:val="20"/>
              </w:rPr>
              <w:t>1,799 (13%)</w:t>
            </w:r>
          </w:p>
        </w:tc>
        <w:tc>
          <w:tcPr>
            <w:tcW w:w="2410" w:type="dxa"/>
            <w:tcBorders>
              <w:bottom w:val="single" w:sz="4" w:space="0" w:color="808080" w:themeColor="background1" w:themeShade="80"/>
            </w:tcBorders>
            <w:shd w:val="clear" w:color="auto" w:fill="auto"/>
            <w:vAlign w:val="center"/>
          </w:tcPr>
          <w:p w14:paraId="6B0073C0" w14:textId="77777777" w:rsidR="00D05ADD" w:rsidRPr="00F34688" w:rsidRDefault="00D05ADD" w:rsidP="00B83D14">
            <w:pPr>
              <w:pStyle w:val="TableTextRightAligned"/>
              <w:spacing w:after="0"/>
              <w:jc w:val="center"/>
              <w:rPr>
                <w:rFonts w:cstheme="minorHAnsi"/>
                <w:color w:val="000000"/>
                <w:szCs w:val="20"/>
              </w:rP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0B656CD0" w14:textId="77777777" w:rsidR="00D05ADD" w:rsidRPr="00F34688" w:rsidRDefault="00D05ADD" w:rsidP="00B83D14">
            <w:pPr>
              <w:pStyle w:val="TableTextRightAligned"/>
              <w:spacing w:after="0"/>
              <w:jc w:val="center"/>
              <w:rPr>
                <w:rFonts w:cstheme="minorHAnsi"/>
                <w:color w:val="000000"/>
                <w:szCs w:val="20"/>
              </w:rPr>
            </w:pPr>
            <w:r w:rsidRPr="00F34688">
              <w:rPr>
                <w:rFonts w:cstheme="minorHAnsi"/>
                <w:color w:val="000000"/>
                <w:szCs w:val="20"/>
              </w:rPr>
              <w:t>88</w:t>
            </w:r>
          </w:p>
        </w:tc>
      </w:tr>
      <w:tr w:rsidR="00D05ADD" w14:paraId="00F437DA" w14:textId="77777777" w:rsidTr="00B83D14">
        <w:tc>
          <w:tcPr>
            <w:tcW w:w="1560" w:type="dxa"/>
            <w:tcBorders>
              <w:bottom w:val="single" w:sz="4" w:space="0" w:color="808080" w:themeColor="background1" w:themeShade="80"/>
            </w:tcBorders>
            <w:shd w:val="clear" w:color="auto" w:fill="auto"/>
            <w:vAlign w:val="center"/>
          </w:tcPr>
          <w:p w14:paraId="65D4D086" w14:textId="77777777" w:rsidR="00D05ADD" w:rsidRPr="00F34688" w:rsidRDefault="00D05ADD" w:rsidP="00B83D14">
            <w:pPr>
              <w:pStyle w:val="TableTextLeftAligned"/>
              <w:spacing w:after="0"/>
              <w:rPr>
                <w:rFonts w:cstheme="minorHAnsi"/>
                <w:color w:val="000000"/>
                <w:szCs w:val="20"/>
              </w:rPr>
            </w:pPr>
            <w:r w:rsidRPr="00F34688">
              <w:rPr>
                <w:rFonts w:cstheme="minorHAnsi"/>
                <w:szCs w:val="20"/>
              </w:rPr>
              <w:t>10</w:t>
            </w:r>
          </w:p>
        </w:tc>
        <w:tc>
          <w:tcPr>
            <w:tcW w:w="1984" w:type="dxa"/>
            <w:tcBorders>
              <w:bottom w:val="single" w:sz="4" w:space="0" w:color="808080" w:themeColor="background1" w:themeShade="80"/>
            </w:tcBorders>
            <w:vAlign w:val="center"/>
          </w:tcPr>
          <w:p w14:paraId="3050A063" w14:textId="77777777" w:rsidR="00D05ADD" w:rsidRPr="00F34688" w:rsidRDefault="00D05ADD" w:rsidP="00B83D14">
            <w:pPr>
              <w:pStyle w:val="TableTextRightAligned"/>
              <w:spacing w:after="0"/>
              <w:jc w:val="center"/>
              <w:rPr>
                <w:rFonts w:cstheme="minorHAnsi"/>
                <w:color w:val="000000"/>
                <w:szCs w:val="20"/>
              </w:rPr>
            </w:pPr>
            <w:r w:rsidRPr="00F34688">
              <w:rPr>
                <w:rFonts w:cstheme="minorHAnsi"/>
                <w:color w:val="000000"/>
                <w:szCs w:val="20"/>
              </w:rPr>
              <w:t>2,052 (15%)</w:t>
            </w:r>
          </w:p>
        </w:tc>
        <w:tc>
          <w:tcPr>
            <w:tcW w:w="2410" w:type="dxa"/>
            <w:tcBorders>
              <w:bottom w:val="single" w:sz="4" w:space="0" w:color="808080" w:themeColor="background1" w:themeShade="80"/>
            </w:tcBorders>
            <w:shd w:val="clear" w:color="auto" w:fill="auto"/>
            <w:vAlign w:val="center"/>
          </w:tcPr>
          <w:p w14:paraId="2025CB89" w14:textId="77777777" w:rsidR="00D05ADD" w:rsidRPr="00F34688" w:rsidRDefault="00D05ADD" w:rsidP="00B83D14">
            <w:pPr>
              <w:pStyle w:val="TableTextRightAligned"/>
              <w:spacing w:after="0"/>
              <w:jc w:val="center"/>
              <w:rPr>
                <w:rFonts w:cstheme="minorHAnsi"/>
                <w:color w:val="000000"/>
                <w:szCs w:val="20"/>
              </w:rPr>
            </w:pPr>
            <w:r w:rsidRPr="00F34688">
              <w:rPr>
                <w:rFonts w:cstheme="minorHAnsi"/>
                <w:color w:val="000000"/>
                <w:szCs w:val="20"/>
              </w:rPr>
              <w:t>254,279 (10%)</w:t>
            </w:r>
          </w:p>
        </w:tc>
        <w:tc>
          <w:tcPr>
            <w:tcW w:w="2324" w:type="dxa"/>
            <w:tcBorders>
              <w:bottom w:val="single" w:sz="4" w:space="0" w:color="808080" w:themeColor="background1" w:themeShade="80"/>
            </w:tcBorders>
            <w:vAlign w:val="center"/>
          </w:tcPr>
          <w:p w14:paraId="64FE0AE1" w14:textId="77777777" w:rsidR="00D05ADD" w:rsidRPr="00F34688" w:rsidRDefault="00D05ADD" w:rsidP="00B83D14">
            <w:pPr>
              <w:pStyle w:val="TableTextRightAligned"/>
              <w:spacing w:after="0"/>
              <w:jc w:val="center"/>
              <w:rPr>
                <w:rFonts w:cstheme="minorHAnsi"/>
                <w:color w:val="000000"/>
                <w:szCs w:val="20"/>
              </w:rPr>
            </w:pPr>
            <w:r w:rsidRPr="00F34688">
              <w:rPr>
                <w:rFonts w:cstheme="minorHAnsi"/>
                <w:color w:val="000000"/>
                <w:szCs w:val="20"/>
              </w:rPr>
              <w:t>101</w:t>
            </w:r>
          </w:p>
        </w:tc>
      </w:tr>
      <w:tr w:rsidR="00D05ADD" w14:paraId="75E738D6" w14:textId="77777777" w:rsidTr="00B83D14">
        <w:tc>
          <w:tcPr>
            <w:tcW w:w="1560" w:type="dxa"/>
            <w:tcBorders>
              <w:bottom w:val="single" w:sz="4" w:space="0" w:color="808080" w:themeColor="background1" w:themeShade="80"/>
            </w:tcBorders>
            <w:shd w:val="clear" w:color="auto" w:fill="auto"/>
            <w:vAlign w:val="center"/>
          </w:tcPr>
          <w:p w14:paraId="340F5F11" w14:textId="77777777" w:rsidR="00D05ADD" w:rsidRDefault="00D05ADD" w:rsidP="00B83D14">
            <w:pPr>
              <w:pStyle w:val="TableTextLeftAligned"/>
              <w:spacing w:after="0"/>
            </w:pPr>
            <w:r w:rsidRPr="00F34688">
              <w:rPr>
                <w:rFonts w:cstheme="minorHAnsi"/>
                <w:color w:val="000000"/>
                <w:szCs w:val="20"/>
              </w:rPr>
              <w:t>Unknown</w:t>
            </w:r>
          </w:p>
        </w:tc>
        <w:tc>
          <w:tcPr>
            <w:tcW w:w="1984" w:type="dxa"/>
            <w:tcBorders>
              <w:bottom w:val="single" w:sz="4" w:space="0" w:color="808080" w:themeColor="background1" w:themeShade="80"/>
            </w:tcBorders>
            <w:vAlign w:val="center"/>
          </w:tcPr>
          <w:p w14:paraId="4CBEE3D8" w14:textId="77777777" w:rsidR="00D05ADD" w:rsidRPr="00FD2C46" w:rsidRDefault="00D05ADD" w:rsidP="00B83D14">
            <w:pPr>
              <w:pStyle w:val="TableTextRightAligned"/>
              <w:spacing w:after="0"/>
              <w:jc w:val="center"/>
            </w:pPr>
            <w:r w:rsidRPr="00F34688">
              <w:rPr>
                <w:rFonts w:cstheme="minorHAnsi"/>
                <w:color w:val="000000"/>
                <w:szCs w:val="20"/>
              </w:rPr>
              <w:t>2,745 (20%)</w:t>
            </w:r>
          </w:p>
        </w:tc>
        <w:tc>
          <w:tcPr>
            <w:tcW w:w="2410" w:type="dxa"/>
            <w:tcBorders>
              <w:bottom w:val="single" w:sz="4" w:space="0" w:color="808080" w:themeColor="background1" w:themeShade="80"/>
            </w:tcBorders>
            <w:shd w:val="clear" w:color="auto" w:fill="auto"/>
            <w:vAlign w:val="center"/>
          </w:tcPr>
          <w:p w14:paraId="5237C48D" w14:textId="77777777" w:rsidR="00D05ADD" w:rsidRPr="00FD2C46" w:rsidRDefault="00D05ADD" w:rsidP="00B83D14">
            <w:pPr>
              <w:pStyle w:val="TableTextRightAligned"/>
              <w:spacing w:after="0"/>
              <w:jc w:val="center"/>
            </w:pPr>
            <w:r w:rsidRPr="00F34688">
              <w:rPr>
                <w:rFonts w:cstheme="minorHAnsi"/>
                <w:b/>
                <w:szCs w:val="20"/>
              </w:rPr>
              <w:t>-</w:t>
            </w:r>
          </w:p>
        </w:tc>
        <w:tc>
          <w:tcPr>
            <w:tcW w:w="2324" w:type="dxa"/>
            <w:tcBorders>
              <w:bottom w:val="single" w:sz="4" w:space="0" w:color="808080" w:themeColor="background1" w:themeShade="80"/>
            </w:tcBorders>
            <w:vAlign w:val="center"/>
          </w:tcPr>
          <w:p w14:paraId="407C26BF" w14:textId="77777777" w:rsidR="00D05ADD" w:rsidRDefault="00D05ADD" w:rsidP="00B83D14">
            <w:pPr>
              <w:pStyle w:val="TableTextRightAligned"/>
              <w:spacing w:after="0"/>
              <w:jc w:val="center"/>
            </w:pPr>
            <w:r w:rsidRPr="00F34688">
              <w:rPr>
                <w:rFonts w:cstheme="minorHAnsi"/>
                <w:b/>
                <w:szCs w:val="20"/>
              </w:rPr>
              <w:t>-</w:t>
            </w:r>
          </w:p>
        </w:tc>
      </w:tr>
      <w:tr w:rsidR="00D05ADD" w14:paraId="3A19F012" w14:textId="77777777" w:rsidTr="00B83D14">
        <w:tc>
          <w:tcPr>
            <w:tcW w:w="1560" w:type="dxa"/>
            <w:tcBorders>
              <w:top w:val="single" w:sz="4" w:space="0" w:color="808080" w:themeColor="background1" w:themeShade="80"/>
              <w:bottom w:val="single" w:sz="18" w:space="0" w:color="142E3B" w:themeColor="accent6"/>
            </w:tcBorders>
            <w:shd w:val="clear" w:color="auto" w:fill="auto"/>
            <w:vAlign w:val="center"/>
          </w:tcPr>
          <w:p w14:paraId="427C6693" w14:textId="77777777" w:rsidR="00D05ADD" w:rsidRPr="00FD2C46" w:rsidRDefault="00D05ADD" w:rsidP="00B83D14">
            <w:pPr>
              <w:pStyle w:val="TableTextLeftAligned"/>
              <w:spacing w:after="0"/>
            </w:pPr>
            <w:r w:rsidRPr="00F34688">
              <w:rPr>
                <w:rFonts w:ascii="Helvetica" w:hAnsi="Helvetica"/>
                <w:b/>
                <w:szCs w:val="20"/>
              </w:rPr>
              <w:t>Total</w:t>
            </w:r>
          </w:p>
        </w:tc>
        <w:tc>
          <w:tcPr>
            <w:tcW w:w="1984" w:type="dxa"/>
            <w:tcBorders>
              <w:top w:val="single" w:sz="4" w:space="0" w:color="808080" w:themeColor="background1" w:themeShade="80"/>
              <w:bottom w:val="single" w:sz="18" w:space="0" w:color="142E3B" w:themeColor="accent6"/>
            </w:tcBorders>
            <w:vAlign w:val="center"/>
          </w:tcPr>
          <w:p w14:paraId="3977E08E" w14:textId="77777777" w:rsidR="00D05ADD" w:rsidRPr="00FD2C46" w:rsidRDefault="00D05ADD" w:rsidP="00B83D14">
            <w:pPr>
              <w:pStyle w:val="TableTextRightAligned"/>
              <w:spacing w:after="0"/>
              <w:jc w:val="center"/>
            </w:pPr>
            <w:r w:rsidRPr="00F34688">
              <w:rPr>
                <w:rFonts w:cstheme="minorHAnsi"/>
                <w:i/>
                <w:color w:val="000000"/>
                <w:szCs w:val="20"/>
              </w:rPr>
              <w:t>13,877 (100%)</w:t>
            </w:r>
          </w:p>
        </w:tc>
        <w:tc>
          <w:tcPr>
            <w:tcW w:w="2410" w:type="dxa"/>
            <w:tcBorders>
              <w:top w:val="single" w:sz="4" w:space="0" w:color="808080" w:themeColor="background1" w:themeShade="80"/>
              <w:bottom w:val="single" w:sz="18" w:space="0" w:color="142E3B" w:themeColor="accent6"/>
            </w:tcBorders>
            <w:shd w:val="clear" w:color="auto" w:fill="auto"/>
            <w:vAlign w:val="center"/>
          </w:tcPr>
          <w:p w14:paraId="46EE888B" w14:textId="77777777" w:rsidR="00D05ADD" w:rsidRPr="00FD2C46" w:rsidRDefault="00D05ADD" w:rsidP="00B83D14">
            <w:pPr>
              <w:pStyle w:val="TableTextRightAligned"/>
              <w:spacing w:after="0"/>
              <w:jc w:val="center"/>
            </w:pPr>
            <w:r w:rsidRPr="00F34688">
              <w:rPr>
                <w:rFonts w:cstheme="minorHAnsi"/>
                <w:i/>
                <w:color w:val="000000"/>
                <w:szCs w:val="20"/>
              </w:rPr>
              <w:t>25,422,788 (100%)</w:t>
            </w:r>
          </w:p>
        </w:tc>
        <w:tc>
          <w:tcPr>
            <w:tcW w:w="2324" w:type="dxa"/>
            <w:tcBorders>
              <w:top w:val="single" w:sz="4" w:space="0" w:color="808080" w:themeColor="background1" w:themeShade="80"/>
              <w:bottom w:val="single" w:sz="18" w:space="0" w:color="142E3B" w:themeColor="accent6"/>
            </w:tcBorders>
            <w:vAlign w:val="center"/>
          </w:tcPr>
          <w:p w14:paraId="47F917FC" w14:textId="77777777" w:rsidR="00D05ADD" w:rsidRPr="00FD2C46" w:rsidRDefault="00D05ADD" w:rsidP="00B83D14">
            <w:pPr>
              <w:pStyle w:val="TableTextRightAligned"/>
              <w:spacing w:after="0"/>
              <w:jc w:val="center"/>
            </w:pPr>
            <w:r w:rsidRPr="00F34688">
              <w:rPr>
                <w:rFonts w:cstheme="minorHAnsi"/>
                <w:i/>
                <w:color w:val="000000"/>
                <w:szCs w:val="20"/>
              </w:rPr>
              <w:t>55</w:t>
            </w:r>
          </w:p>
        </w:tc>
      </w:tr>
    </w:tbl>
    <w:p w14:paraId="101BADFF" w14:textId="77777777" w:rsidR="00D05ADD" w:rsidRPr="00CC1369" w:rsidRDefault="00D05ADD" w:rsidP="00D05ADD">
      <w:pPr>
        <w:spacing w:before="120" w:after="120"/>
        <w:rPr>
          <w:rFonts w:ascii="Helvetica" w:hAnsi="Helvetica"/>
          <w:i/>
          <w:sz w:val="18"/>
          <w:szCs w:val="18"/>
        </w:rPr>
      </w:pPr>
      <w:r w:rsidRPr="006156AD">
        <w:rPr>
          <w:b/>
        </w:rPr>
        <w:t xml:space="preserve">* </w:t>
      </w:r>
      <w:hyperlink r:id="rId23" w:history="1">
        <w:r w:rsidRPr="00CC1369">
          <w:rPr>
            <w:rFonts w:cstheme="minorHAnsi"/>
            <w:i/>
            <w:color w:val="0563C1"/>
            <w:sz w:val="18"/>
            <w:szCs w:val="18"/>
            <w:u w:val="single"/>
          </w:rPr>
          <w:t>IRSAD</w:t>
        </w:r>
      </w:hyperlink>
      <w:r w:rsidRPr="00CC1369">
        <w:rPr>
          <w:rFonts w:cstheme="minorHAnsi"/>
          <w:i/>
          <w:color w:val="000000"/>
          <w:sz w:val="18"/>
          <w:szCs w:val="18"/>
        </w:rPr>
        <w:t xml:space="preserve"> is a measure of the economic and social conditions within an area. Areas with a low IRSAD (e.g. IRSAD decile = 1) contain many households with low incomes, many people in unskilled occupations, AND few households with high incomes, or few people in skilled occupations. </w:t>
      </w:r>
      <w:r w:rsidRPr="00CC1369">
        <w:rPr>
          <w:rFonts w:cstheme="minorHAnsi"/>
          <w:b/>
          <w:i/>
          <w:color w:val="000000"/>
          <w:sz w:val="18"/>
          <w:szCs w:val="18"/>
        </w:rPr>
        <w:t xml:space="preserve">** </w:t>
      </w:r>
      <w:r w:rsidRPr="00CC1369">
        <w:rPr>
          <w:rFonts w:ascii="Helvetica" w:hAnsi="Helvetica"/>
          <w:i/>
          <w:sz w:val="18"/>
          <w:szCs w:val="18"/>
        </w:rPr>
        <w:t xml:space="preserve">Target population sizes were based on 10% of the total Australian population size (ABS 2022a). </w:t>
      </w:r>
      <w:r w:rsidRPr="00CC1369">
        <w:rPr>
          <w:rFonts w:cstheme="minorHAnsi"/>
          <w:b/>
          <w:i/>
          <w:color w:val="000000"/>
          <w:sz w:val="18"/>
          <w:szCs w:val="18"/>
        </w:rPr>
        <w:t>***</w:t>
      </w:r>
      <w:r w:rsidRPr="00CC1369">
        <w:rPr>
          <w:rFonts w:ascii="Helvetica" w:hAnsi="Helvetica"/>
          <w:i/>
          <w:sz w:val="18"/>
          <w:szCs w:val="18"/>
        </w:rPr>
        <w:t xml:space="preserve"> The rate = (pro-rata number of scheduled EVA calls / target population size)*100,000. </w:t>
      </w:r>
    </w:p>
    <w:p w14:paraId="0AAD6F31" w14:textId="77777777" w:rsidR="004F1A0A" w:rsidRDefault="004F1A0A" w:rsidP="004F1A0A">
      <w:pPr>
        <w:pStyle w:val="Caption"/>
        <w:keepNext/>
        <w:rPr>
          <w:b/>
          <w:i w:val="0"/>
          <w:sz w:val="20"/>
          <w:szCs w:val="20"/>
        </w:rPr>
      </w:pPr>
    </w:p>
    <w:p w14:paraId="32504C41" w14:textId="0F3C9793" w:rsidR="004F1A0A" w:rsidRPr="004F1A0A" w:rsidRDefault="004F1A0A" w:rsidP="004F1A0A">
      <w:pPr>
        <w:pStyle w:val="Caption"/>
        <w:keepNext/>
        <w:rPr>
          <w:b/>
          <w:i w:val="0"/>
          <w:sz w:val="20"/>
          <w:szCs w:val="20"/>
        </w:rPr>
      </w:pPr>
      <w:r w:rsidRPr="004F1A0A">
        <w:rPr>
          <w:b/>
          <w:i w:val="0"/>
          <w:sz w:val="20"/>
          <w:szCs w:val="20"/>
        </w:rPr>
        <w:t xml:space="preserve">Table </w:t>
      </w:r>
      <w:r w:rsidR="00617F57">
        <w:rPr>
          <w:b/>
          <w:i w:val="0"/>
          <w:sz w:val="20"/>
          <w:szCs w:val="20"/>
        </w:rPr>
        <w:t>6</w:t>
      </w:r>
      <w:r w:rsidRPr="004F1A0A">
        <w:rPr>
          <w:b/>
          <w:i w:val="0"/>
          <w:sz w:val="20"/>
          <w:szCs w:val="20"/>
        </w:rPr>
        <w:t>. EVA utilisation by First Nations people</w:t>
      </w:r>
    </w:p>
    <w:tbl>
      <w:tblPr>
        <w:tblStyle w:val="DefaultTable"/>
        <w:tblW w:w="8278" w:type="dxa"/>
        <w:tblLayout w:type="fixed"/>
        <w:tblCellMar>
          <w:top w:w="85" w:type="dxa"/>
        </w:tblCellMar>
        <w:tblLook w:val="0420" w:firstRow="1" w:lastRow="0" w:firstColumn="0" w:lastColumn="0" w:noHBand="0" w:noVBand="1"/>
        <w:tblCaption w:val="Table 6 - EVA utlilisation by First Nations people"/>
        <w:tblDescription w:val="This table is broken down into four columns. The first is called 'Identify as First Nations', and is broken down into yes, no, unknown and total. The second column is called 'Number of scheduled EVA calls'. The third column is called 'Target population size based on 2021 Census data'. The last column is called 'Number of EVA customers per 100,000 target population'."/>
      </w:tblPr>
      <w:tblGrid>
        <w:gridCol w:w="1560"/>
        <w:gridCol w:w="1984"/>
        <w:gridCol w:w="2410"/>
        <w:gridCol w:w="2324"/>
      </w:tblGrid>
      <w:tr w:rsidR="00E96BEF" w14:paraId="6EF61D62" w14:textId="77777777" w:rsidTr="00B83D14">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73DF0309" w14:textId="35DA4F6C" w:rsidR="00E96BEF" w:rsidRPr="00FD2C46" w:rsidRDefault="00E96BEF" w:rsidP="00E96BEF">
            <w:pPr>
              <w:pStyle w:val="TableHeading"/>
              <w:spacing w:after="0"/>
              <w:jc w:val="center"/>
            </w:pPr>
            <w:r>
              <w:t xml:space="preserve">Identify as First Nations </w:t>
            </w:r>
          </w:p>
        </w:tc>
        <w:tc>
          <w:tcPr>
            <w:tcW w:w="1984" w:type="dxa"/>
            <w:tcBorders>
              <w:top w:val="nil"/>
              <w:bottom w:val="single" w:sz="18" w:space="0" w:color="142E3B" w:themeColor="accent6"/>
            </w:tcBorders>
            <w:shd w:val="clear" w:color="auto" w:fill="20B9A3" w:themeFill="accent1"/>
            <w:vAlign w:val="center"/>
          </w:tcPr>
          <w:p w14:paraId="4D8463BC" w14:textId="77777777" w:rsidR="00E96BEF" w:rsidRDefault="00E96BEF" w:rsidP="00B83D14">
            <w:pPr>
              <w:pStyle w:val="TableHeading"/>
              <w:spacing w:after="0"/>
              <w:jc w:val="center"/>
            </w:pPr>
            <w:r w:rsidRPr="00F44AB3">
              <w:t xml:space="preserve">Number (%) of </w:t>
            </w:r>
            <w:r>
              <w:t>scheduled</w:t>
            </w:r>
            <w:r w:rsidRPr="00F44AB3">
              <w:t xml:space="preserve"> EVA </w:t>
            </w:r>
            <w:r>
              <w:t xml:space="preserve">calls </w:t>
            </w:r>
          </w:p>
        </w:tc>
        <w:tc>
          <w:tcPr>
            <w:tcW w:w="2410" w:type="dxa"/>
            <w:tcBorders>
              <w:top w:val="nil"/>
              <w:bottom w:val="single" w:sz="18" w:space="0" w:color="142E3B" w:themeColor="accent6"/>
            </w:tcBorders>
            <w:shd w:val="clear" w:color="auto" w:fill="20B9A3" w:themeFill="accent1"/>
            <w:vAlign w:val="center"/>
          </w:tcPr>
          <w:p w14:paraId="6AF2F9B0" w14:textId="77777777" w:rsidR="00E96BEF" w:rsidRPr="00FD2C46" w:rsidRDefault="00E96BEF" w:rsidP="00B83D14">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0661BF57" w14:textId="77777777" w:rsidR="00E96BEF" w:rsidRPr="00FD2C46" w:rsidRDefault="00E96BEF" w:rsidP="00B83D14">
            <w:pPr>
              <w:pStyle w:val="TableHeading"/>
              <w:spacing w:after="0"/>
              <w:jc w:val="center"/>
            </w:pPr>
            <w:r w:rsidRPr="00F44AB3">
              <w:t>Number of EVA customers per 100,000 target population**</w:t>
            </w:r>
          </w:p>
        </w:tc>
      </w:tr>
      <w:tr w:rsidR="00E96BEF" w14:paraId="408AC193" w14:textId="77777777" w:rsidTr="00B83D14">
        <w:tc>
          <w:tcPr>
            <w:tcW w:w="1560" w:type="dxa"/>
            <w:tcBorders>
              <w:top w:val="single" w:sz="18" w:space="0" w:color="142E3B" w:themeColor="accent6"/>
            </w:tcBorders>
            <w:shd w:val="clear" w:color="auto" w:fill="auto"/>
            <w:vAlign w:val="center"/>
          </w:tcPr>
          <w:p w14:paraId="72D21BF4" w14:textId="379EEC2C" w:rsidR="00E96BEF" w:rsidRPr="00E96BEF" w:rsidRDefault="00E96BEF" w:rsidP="00E96BEF">
            <w:pPr>
              <w:pStyle w:val="TableTextLeftAligned"/>
              <w:spacing w:after="0"/>
              <w:rPr>
                <w:szCs w:val="20"/>
              </w:rPr>
            </w:pPr>
            <w:r w:rsidRPr="00E96BEF">
              <w:rPr>
                <w:rFonts w:cstheme="minorHAnsi"/>
                <w:color w:val="000000"/>
                <w:szCs w:val="20"/>
              </w:rPr>
              <w:t>Yes</w:t>
            </w:r>
          </w:p>
        </w:tc>
        <w:tc>
          <w:tcPr>
            <w:tcW w:w="1984" w:type="dxa"/>
            <w:tcBorders>
              <w:top w:val="single" w:sz="18" w:space="0" w:color="142E3B" w:themeColor="accent6"/>
            </w:tcBorders>
            <w:vAlign w:val="center"/>
          </w:tcPr>
          <w:p w14:paraId="01875A74" w14:textId="56A6AEEA" w:rsidR="00E96BEF" w:rsidRPr="00E96BEF" w:rsidRDefault="00E96BEF" w:rsidP="00E96BEF">
            <w:pPr>
              <w:pStyle w:val="TableTextRightAligned"/>
              <w:spacing w:after="0"/>
              <w:jc w:val="center"/>
              <w:rPr>
                <w:szCs w:val="20"/>
              </w:rPr>
            </w:pPr>
            <w:r w:rsidRPr="00E96BEF">
              <w:rPr>
                <w:rFonts w:cstheme="minorHAnsi"/>
                <w:color w:val="000000"/>
                <w:szCs w:val="20"/>
              </w:rPr>
              <w:t>280 (2%)</w:t>
            </w:r>
          </w:p>
        </w:tc>
        <w:tc>
          <w:tcPr>
            <w:tcW w:w="2410" w:type="dxa"/>
            <w:tcBorders>
              <w:top w:val="single" w:sz="18" w:space="0" w:color="142E3B" w:themeColor="accent6"/>
            </w:tcBorders>
            <w:shd w:val="clear" w:color="auto" w:fill="auto"/>
            <w:vAlign w:val="center"/>
          </w:tcPr>
          <w:p w14:paraId="40A5BC87" w14:textId="1814A9EC" w:rsidR="00E96BEF" w:rsidRPr="00E96BEF" w:rsidRDefault="00E96BEF" w:rsidP="00E96BEF">
            <w:pPr>
              <w:pStyle w:val="TableTextRightAligned"/>
              <w:spacing w:after="0"/>
              <w:jc w:val="center"/>
              <w:rPr>
                <w:szCs w:val="20"/>
              </w:rPr>
            </w:pPr>
            <w:r w:rsidRPr="00E96BEF">
              <w:rPr>
                <w:rFonts w:cstheme="minorHAnsi"/>
                <w:color w:val="000000"/>
                <w:szCs w:val="20"/>
              </w:rPr>
              <w:t>812,728 (3%)</w:t>
            </w:r>
          </w:p>
        </w:tc>
        <w:tc>
          <w:tcPr>
            <w:tcW w:w="2324" w:type="dxa"/>
            <w:tcBorders>
              <w:top w:val="single" w:sz="18" w:space="0" w:color="142E3B" w:themeColor="accent6"/>
            </w:tcBorders>
            <w:vAlign w:val="center"/>
          </w:tcPr>
          <w:p w14:paraId="313E5D37" w14:textId="623C172E" w:rsidR="00E96BEF" w:rsidRPr="00E96BEF" w:rsidRDefault="00E96BEF" w:rsidP="00E96BEF">
            <w:pPr>
              <w:pStyle w:val="TableTextRightAligned"/>
              <w:spacing w:after="0"/>
              <w:jc w:val="center"/>
              <w:rPr>
                <w:szCs w:val="20"/>
              </w:rPr>
            </w:pPr>
            <w:r w:rsidRPr="00E96BEF">
              <w:rPr>
                <w:rFonts w:cstheme="minorHAnsi"/>
                <w:color w:val="000000"/>
                <w:szCs w:val="20"/>
              </w:rPr>
              <w:t>41</w:t>
            </w:r>
          </w:p>
        </w:tc>
      </w:tr>
      <w:tr w:rsidR="00E96BEF" w14:paraId="4D31536F" w14:textId="77777777" w:rsidTr="00B83D14">
        <w:tc>
          <w:tcPr>
            <w:tcW w:w="1560" w:type="dxa"/>
            <w:shd w:val="clear" w:color="auto" w:fill="auto"/>
            <w:vAlign w:val="center"/>
          </w:tcPr>
          <w:p w14:paraId="2630FFE4" w14:textId="23676009" w:rsidR="00E96BEF" w:rsidRPr="00E96BEF" w:rsidRDefault="00E96BEF" w:rsidP="00E96BEF">
            <w:pPr>
              <w:pStyle w:val="TableTextLeftAligned"/>
              <w:spacing w:after="0"/>
              <w:rPr>
                <w:szCs w:val="20"/>
              </w:rPr>
            </w:pPr>
            <w:r w:rsidRPr="00E96BEF">
              <w:rPr>
                <w:rFonts w:cstheme="minorHAnsi"/>
                <w:color w:val="000000"/>
                <w:szCs w:val="20"/>
              </w:rPr>
              <w:t>No</w:t>
            </w:r>
          </w:p>
        </w:tc>
        <w:tc>
          <w:tcPr>
            <w:tcW w:w="1984" w:type="dxa"/>
            <w:vAlign w:val="center"/>
          </w:tcPr>
          <w:p w14:paraId="40D59F5A" w14:textId="5912036A" w:rsidR="00E96BEF" w:rsidRPr="00E96BEF" w:rsidRDefault="00E96BEF" w:rsidP="00E96BEF">
            <w:pPr>
              <w:pStyle w:val="TableTextRightAligned"/>
              <w:spacing w:after="0"/>
              <w:jc w:val="center"/>
              <w:rPr>
                <w:szCs w:val="20"/>
              </w:rPr>
            </w:pPr>
            <w:r w:rsidRPr="00E96BEF">
              <w:rPr>
                <w:rFonts w:cstheme="minorHAnsi"/>
                <w:color w:val="000000"/>
                <w:szCs w:val="20"/>
              </w:rPr>
              <w:t>11,316 (82%)</w:t>
            </w:r>
          </w:p>
        </w:tc>
        <w:tc>
          <w:tcPr>
            <w:tcW w:w="2410" w:type="dxa"/>
            <w:shd w:val="clear" w:color="auto" w:fill="auto"/>
            <w:vAlign w:val="center"/>
          </w:tcPr>
          <w:p w14:paraId="5E4F0B26" w14:textId="06D905D4" w:rsidR="00E96BEF" w:rsidRPr="00E96BEF" w:rsidRDefault="00E96BEF" w:rsidP="00E96BEF">
            <w:pPr>
              <w:pStyle w:val="TableTextRightAligned"/>
              <w:spacing w:after="0"/>
              <w:jc w:val="center"/>
              <w:rPr>
                <w:szCs w:val="20"/>
              </w:rPr>
            </w:pPr>
            <w:r w:rsidRPr="00E96BEF">
              <w:rPr>
                <w:rFonts w:cstheme="minorHAnsi"/>
                <w:color w:val="000000"/>
                <w:szCs w:val="20"/>
              </w:rPr>
              <w:t>24,610,060 (97%)</w:t>
            </w:r>
          </w:p>
        </w:tc>
        <w:tc>
          <w:tcPr>
            <w:tcW w:w="2324" w:type="dxa"/>
            <w:vAlign w:val="center"/>
          </w:tcPr>
          <w:p w14:paraId="196B8746" w14:textId="69B9E699" w:rsidR="00E96BEF" w:rsidRPr="00E96BEF" w:rsidRDefault="00E96BEF" w:rsidP="00E96BEF">
            <w:pPr>
              <w:pStyle w:val="TableTextRightAligned"/>
              <w:spacing w:after="0"/>
              <w:jc w:val="center"/>
              <w:rPr>
                <w:szCs w:val="20"/>
              </w:rPr>
            </w:pPr>
            <w:r w:rsidRPr="00E96BEF">
              <w:rPr>
                <w:rFonts w:cstheme="minorHAnsi"/>
                <w:color w:val="000000"/>
                <w:szCs w:val="20"/>
              </w:rPr>
              <w:t>55</w:t>
            </w:r>
          </w:p>
        </w:tc>
      </w:tr>
      <w:tr w:rsidR="00E96BEF" w14:paraId="5753454C" w14:textId="77777777" w:rsidTr="00B83D14">
        <w:tc>
          <w:tcPr>
            <w:tcW w:w="1560" w:type="dxa"/>
            <w:shd w:val="clear" w:color="auto" w:fill="auto"/>
            <w:vAlign w:val="center"/>
          </w:tcPr>
          <w:p w14:paraId="785A9C57" w14:textId="351D9D58" w:rsidR="00E96BEF" w:rsidRPr="00E96BEF" w:rsidRDefault="00E96BEF" w:rsidP="00E96BEF">
            <w:pPr>
              <w:pStyle w:val="TableTextLeftAligned"/>
              <w:spacing w:after="0"/>
              <w:rPr>
                <w:szCs w:val="20"/>
              </w:rPr>
            </w:pPr>
            <w:r w:rsidRPr="00E96BEF">
              <w:rPr>
                <w:rFonts w:cstheme="minorHAnsi"/>
                <w:color w:val="000000"/>
                <w:szCs w:val="20"/>
              </w:rPr>
              <w:t>Unknown</w:t>
            </w:r>
          </w:p>
        </w:tc>
        <w:tc>
          <w:tcPr>
            <w:tcW w:w="1984" w:type="dxa"/>
            <w:vAlign w:val="center"/>
          </w:tcPr>
          <w:p w14:paraId="472CBFB3" w14:textId="039F3234" w:rsidR="00E96BEF" w:rsidRPr="00E96BEF" w:rsidRDefault="00E96BEF" w:rsidP="00E96BEF">
            <w:pPr>
              <w:pStyle w:val="TableTextRightAligned"/>
              <w:spacing w:after="0"/>
              <w:jc w:val="center"/>
              <w:rPr>
                <w:szCs w:val="20"/>
              </w:rPr>
            </w:pPr>
            <w:r w:rsidRPr="00E96BEF">
              <w:rPr>
                <w:rFonts w:cstheme="minorHAnsi"/>
                <w:color w:val="000000"/>
                <w:szCs w:val="20"/>
              </w:rPr>
              <w:t>2,281 (16%)</w:t>
            </w:r>
          </w:p>
        </w:tc>
        <w:tc>
          <w:tcPr>
            <w:tcW w:w="2410" w:type="dxa"/>
            <w:shd w:val="clear" w:color="auto" w:fill="auto"/>
            <w:vAlign w:val="center"/>
          </w:tcPr>
          <w:p w14:paraId="1AC306E1" w14:textId="3A6CAACC" w:rsidR="00E96BEF" w:rsidRPr="00E96BEF" w:rsidRDefault="00E96BEF" w:rsidP="00E96BEF">
            <w:pPr>
              <w:pStyle w:val="TableTextRightAligned"/>
              <w:spacing w:after="0"/>
              <w:jc w:val="center"/>
              <w:rPr>
                <w:szCs w:val="20"/>
              </w:rPr>
            </w:pPr>
            <w:r w:rsidRPr="00E96BEF">
              <w:rPr>
                <w:rFonts w:cstheme="minorHAnsi"/>
                <w:color w:val="000000"/>
                <w:szCs w:val="20"/>
              </w:rPr>
              <w:t>-</w:t>
            </w:r>
          </w:p>
        </w:tc>
        <w:tc>
          <w:tcPr>
            <w:tcW w:w="2324" w:type="dxa"/>
            <w:vAlign w:val="center"/>
          </w:tcPr>
          <w:p w14:paraId="46EB98D7" w14:textId="33F124C4" w:rsidR="00E96BEF" w:rsidRPr="00E96BEF" w:rsidRDefault="00E96BEF" w:rsidP="00E96BEF">
            <w:pPr>
              <w:pStyle w:val="TableTextRightAligned"/>
              <w:spacing w:after="0"/>
              <w:jc w:val="center"/>
              <w:rPr>
                <w:szCs w:val="20"/>
              </w:rPr>
            </w:pPr>
            <w:r w:rsidRPr="00E96BEF">
              <w:rPr>
                <w:rFonts w:cstheme="minorHAnsi"/>
                <w:color w:val="000000"/>
                <w:szCs w:val="20"/>
              </w:rPr>
              <w:t>-</w:t>
            </w:r>
          </w:p>
        </w:tc>
      </w:tr>
      <w:tr w:rsidR="00E96BEF" w14:paraId="043CAFA3" w14:textId="77777777" w:rsidTr="00B83D14">
        <w:tc>
          <w:tcPr>
            <w:tcW w:w="1560" w:type="dxa"/>
            <w:tcBorders>
              <w:top w:val="single" w:sz="4" w:space="0" w:color="808080" w:themeColor="background1" w:themeShade="80"/>
              <w:bottom w:val="single" w:sz="18" w:space="0" w:color="142E3B" w:themeColor="accent6"/>
            </w:tcBorders>
            <w:shd w:val="clear" w:color="auto" w:fill="auto"/>
            <w:vAlign w:val="center"/>
          </w:tcPr>
          <w:p w14:paraId="125E8C5E" w14:textId="77777777" w:rsidR="00E96BEF" w:rsidRPr="00E96BEF" w:rsidRDefault="00E96BEF" w:rsidP="00B83D14">
            <w:pPr>
              <w:pStyle w:val="TableTextLeftAligned"/>
              <w:spacing w:after="0"/>
              <w:rPr>
                <w:szCs w:val="20"/>
              </w:rPr>
            </w:pPr>
            <w:r w:rsidRPr="00E96BEF">
              <w:rPr>
                <w:rFonts w:ascii="Helvetica" w:hAnsi="Helvetica"/>
                <w:b/>
                <w:szCs w:val="20"/>
              </w:rPr>
              <w:t>Total</w:t>
            </w:r>
          </w:p>
        </w:tc>
        <w:tc>
          <w:tcPr>
            <w:tcW w:w="1984" w:type="dxa"/>
            <w:tcBorders>
              <w:top w:val="single" w:sz="4" w:space="0" w:color="808080" w:themeColor="background1" w:themeShade="80"/>
              <w:bottom w:val="single" w:sz="18" w:space="0" w:color="142E3B" w:themeColor="accent6"/>
            </w:tcBorders>
            <w:vAlign w:val="center"/>
          </w:tcPr>
          <w:p w14:paraId="503BA88C" w14:textId="77777777" w:rsidR="00E96BEF" w:rsidRPr="00E96BEF" w:rsidRDefault="00E96BEF" w:rsidP="00B83D14">
            <w:pPr>
              <w:pStyle w:val="TableTextRightAligned"/>
              <w:spacing w:after="0"/>
              <w:jc w:val="center"/>
              <w:rPr>
                <w:szCs w:val="20"/>
              </w:rPr>
            </w:pPr>
            <w:r w:rsidRPr="00E96BEF">
              <w:rPr>
                <w:rFonts w:cstheme="minorHAnsi"/>
                <w:i/>
                <w:color w:val="000000"/>
                <w:szCs w:val="20"/>
              </w:rPr>
              <w:t>13,877 (100%)</w:t>
            </w:r>
          </w:p>
        </w:tc>
        <w:tc>
          <w:tcPr>
            <w:tcW w:w="2410" w:type="dxa"/>
            <w:tcBorders>
              <w:top w:val="single" w:sz="4" w:space="0" w:color="808080" w:themeColor="background1" w:themeShade="80"/>
              <w:bottom w:val="single" w:sz="18" w:space="0" w:color="142E3B" w:themeColor="accent6"/>
            </w:tcBorders>
            <w:shd w:val="clear" w:color="auto" w:fill="auto"/>
            <w:vAlign w:val="center"/>
          </w:tcPr>
          <w:p w14:paraId="1BBDD7C1" w14:textId="0D144573" w:rsidR="00E96BEF" w:rsidRPr="00E96BEF" w:rsidRDefault="00E96BEF" w:rsidP="00B83D14">
            <w:pPr>
              <w:pStyle w:val="TableTextRightAligned"/>
              <w:spacing w:after="0"/>
              <w:jc w:val="center"/>
              <w:rPr>
                <w:szCs w:val="20"/>
              </w:rPr>
            </w:pPr>
            <w:r w:rsidRPr="00E96BEF">
              <w:rPr>
                <w:rFonts w:cstheme="minorHAnsi"/>
                <w:i/>
                <w:color w:val="000000"/>
                <w:szCs w:val="20"/>
              </w:rPr>
              <w:t>25,422,788 (100%)</w:t>
            </w:r>
          </w:p>
        </w:tc>
        <w:tc>
          <w:tcPr>
            <w:tcW w:w="2324" w:type="dxa"/>
            <w:tcBorders>
              <w:top w:val="single" w:sz="4" w:space="0" w:color="808080" w:themeColor="background1" w:themeShade="80"/>
              <w:bottom w:val="single" w:sz="18" w:space="0" w:color="142E3B" w:themeColor="accent6"/>
            </w:tcBorders>
            <w:vAlign w:val="center"/>
          </w:tcPr>
          <w:p w14:paraId="5D0AD93C" w14:textId="77777777" w:rsidR="00E96BEF" w:rsidRPr="00E96BEF" w:rsidRDefault="00E96BEF" w:rsidP="00B83D14">
            <w:pPr>
              <w:pStyle w:val="TableTextRightAligned"/>
              <w:spacing w:after="0"/>
              <w:jc w:val="center"/>
              <w:rPr>
                <w:szCs w:val="20"/>
              </w:rPr>
            </w:pPr>
            <w:r w:rsidRPr="00E96BEF">
              <w:rPr>
                <w:rFonts w:cstheme="minorHAnsi"/>
                <w:i/>
                <w:color w:val="000000"/>
                <w:szCs w:val="20"/>
              </w:rPr>
              <w:t>55</w:t>
            </w:r>
          </w:p>
        </w:tc>
      </w:tr>
    </w:tbl>
    <w:p w14:paraId="272AB5B7" w14:textId="7D3AF001" w:rsidR="00E96BEF" w:rsidRPr="008E5875" w:rsidRDefault="00E96BEF" w:rsidP="001D1BDE">
      <w:pPr>
        <w:spacing w:before="120" w:after="0"/>
        <w:rPr>
          <w:rFonts w:cstheme="minorHAnsi"/>
          <w:i/>
          <w:color w:val="000000"/>
          <w:sz w:val="18"/>
          <w:szCs w:val="18"/>
        </w:rPr>
      </w:pPr>
      <w:r w:rsidRPr="006156AD">
        <w:rPr>
          <w:b/>
        </w:rPr>
        <w:t xml:space="preserve">* </w:t>
      </w:r>
      <w:r w:rsidRPr="008E5875">
        <w:rPr>
          <w:i/>
          <w:sz w:val="18"/>
          <w:szCs w:val="18"/>
        </w:rPr>
        <w:t>ABS (2022</w:t>
      </w:r>
      <w:r>
        <w:rPr>
          <w:i/>
          <w:sz w:val="18"/>
          <w:szCs w:val="18"/>
        </w:rPr>
        <w:t>c</w:t>
      </w:r>
      <w:r w:rsidRPr="008E5875">
        <w:rPr>
          <w:i/>
          <w:sz w:val="18"/>
          <w:szCs w:val="18"/>
        </w:rPr>
        <w:t>) **</w:t>
      </w:r>
      <w:r w:rsidRPr="00CC1369">
        <w:rPr>
          <w:rFonts w:ascii="Helvetica" w:hAnsi="Helvetica"/>
          <w:i/>
          <w:sz w:val="18"/>
          <w:szCs w:val="18"/>
        </w:rPr>
        <w:t xml:space="preserve"> The rate = (pro-rata number of scheduled EVA calls / target population size)*100,000.</w:t>
      </w:r>
    </w:p>
    <w:p w14:paraId="53FA7A5B" w14:textId="1E597956" w:rsidR="004F1A0A" w:rsidRPr="004F1A0A" w:rsidRDefault="004F1A0A" w:rsidP="004F1A0A">
      <w:pPr>
        <w:pStyle w:val="Caption"/>
        <w:keepNext/>
        <w:rPr>
          <w:b/>
          <w:i w:val="0"/>
          <w:sz w:val="20"/>
          <w:szCs w:val="20"/>
        </w:rPr>
      </w:pPr>
      <w:r w:rsidRPr="004F1A0A">
        <w:rPr>
          <w:b/>
          <w:i w:val="0"/>
          <w:sz w:val="20"/>
          <w:szCs w:val="20"/>
        </w:rPr>
        <w:lastRenderedPageBreak/>
        <w:t xml:space="preserve">Table </w:t>
      </w:r>
      <w:r w:rsidR="00617F57">
        <w:rPr>
          <w:b/>
          <w:i w:val="0"/>
          <w:sz w:val="20"/>
          <w:szCs w:val="20"/>
        </w:rPr>
        <w:t>7</w:t>
      </w:r>
      <w:r w:rsidRPr="004F1A0A">
        <w:rPr>
          <w:b/>
          <w:i w:val="0"/>
          <w:sz w:val="20"/>
          <w:szCs w:val="20"/>
        </w:rPr>
        <w:t>. EVA utilisation by gender</w:t>
      </w:r>
    </w:p>
    <w:tbl>
      <w:tblPr>
        <w:tblStyle w:val="DefaultTable"/>
        <w:tblW w:w="8278" w:type="dxa"/>
        <w:tblLayout w:type="fixed"/>
        <w:tblCellMar>
          <w:top w:w="85" w:type="dxa"/>
        </w:tblCellMar>
        <w:tblLook w:val="0420" w:firstRow="1" w:lastRow="0" w:firstColumn="0" w:lastColumn="0" w:noHBand="0" w:noVBand="1"/>
        <w:tblCaption w:val="Table 7 - EVA utilisation by gender."/>
        <w:tblDescription w:val="This table is broken down into four columns. The first is called 'Gender' and is broken down into yes, female, male and unknown. The second column is called 'Number of scheduled EVA calls'. The third column is called 'Target population size based on 2021 Census data'. The last column is called 'Number of EVA customers per 100,000 target population'. "/>
      </w:tblPr>
      <w:tblGrid>
        <w:gridCol w:w="1560"/>
        <w:gridCol w:w="1984"/>
        <w:gridCol w:w="2410"/>
        <w:gridCol w:w="2324"/>
      </w:tblGrid>
      <w:tr w:rsidR="00D05ADD" w14:paraId="6BD2E34F" w14:textId="77777777" w:rsidTr="00B83D14">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single" w:sz="18" w:space="0" w:color="142E3B" w:themeColor="accent6"/>
            </w:tcBorders>
            <w:shd w:val="clear" w:color="auto" w:fill="20B9A3" w:themeFill="accent1"/>
            <w:vAlign w:val="center"/>
          </w:tcPr>
          <w:p w14:paraId="65988067" w14:textId="063A75CF" w:rsidR="00D05ADD" w:rsidRPr="00FD2C46" w:rsidRDefault="00D05ADD" w:rsidP="00B83D14">
            <w:pPr>
              <w:pStyle w:val="TableHeading"/>
              <w:spacing w:after="0"/>
              <w:jc w:val="center"/>
            </w:pPr>
            <w:r>
              <w:t xml:space="preserve">Gender </w:t>
            </w:r>
          </w:p>
        </w:tc>
        <w:tc>
          <w:tcPr>
            <w:tcW w:w="1984" w:type="dxa"/>
            <w:tcBorders>
              <w:top w:val="nil"/>
              <w:bottom w:val="single" w:sz="18" w:space="0" w:color="142E3B" w:themeColor="accent6"/>
            </w:tcBorders>
            <w:shd w:val="clear" w:color="auto" w:fill="20B9A3" w:themeFill="accent1"/>
            <w:vAlign w:val="center"/>
          </w:tcPr>
          <w:p w14:paraId="2682EA4D" w14:textId="77777777" w:rsidR="00D05ADD" w:rsidRDefault="00D05ADD" w:rsidP="00B83D14">
            <w:pPr>
              <w:pStyle w:val="TableHeading"/>
              <w:spacing w:after="0"/>
              <w:jc w:val="center"/>
            </w:pPr>
            <w:r w:rsidRPr="00F44AB3">
              <w:t xml:space="preserve">Number (%) of </w:t>
            </w:r>
            <w:r>
              <w:t>scheduled</w:t>
            </w:r>
            <w:r w:rsidRPr="00F44AB3">
              <w:t xml:space="preserve"> EVA </w:t>
            </w:r>
            <w:r>
              <w:t xml:space="preserve">calls </w:t>
            </w:r>
          </w:p>
        </w:tc>
        <w:tc>
          <w:tcPr>
            <w:tcW w:w="2410" w:type="dxa"/>
            <w:tcBorders>
              <w:top w:val="nil"/>
              <w:bottom w:val="single" w:sz="18" w:space="0" w:color="142E3B" w:themeColor="accent6"/>
            </w:tcBorders>
            <w:shd w:val="clear" w:color="auto" w:fill="20B9A3" w:themeFill="accent1"/>
            <w:vAlign w:val="center"/>
          </w:tcPr>
          <w:p w14:paraId="0763619F" w14:textId="77777777" w:rsidR="00D05ADD" w:rsidRPr="00FD2C46" w:rsidRDefault="00D05ADD" w:rsidP="00B83D14">
            <w:pPr>
              <w:pStyle w:val="TableHeading"/>
              <w:spacing w:after="0"/>
              <w:jc w:val="center"/>
            </w:pPr>
            <w:r w:rsidRPr="00F44AB3">
              <w:t>Target population size based on 2021 Census data*</w:t>
            </w:r>
          </w:p>
        </w:tc>
        <w:tc>
          <w:tcPr>
            <w:tcW w:w="2324" w:type="dxa"/>
            <w:tcBorders>
              <w:top w:val="nil"/>
              <w:bottom w:val="single" w:sz="18" w:space="0" w:color="142E3B" w:themeColor="accent6"/>
            </w:tcBorders>
            <w:shd w:val="clear" w:color="auto" w:fill="20B9A3" w:themeFill="accent1"/>
            <w:vAlign w:val="center"/>
          </w:tcPr>
          <w:p w14:paraId="0AA4B57B" w14:textId="77777777" w:rsidR="00D05ADD" w:rsidRPr="00FD2C46" w:rsidRDefault="00D05ADD" w:rsidP="00B83D14">
            <w:pPr>
              <w:pStyle w:val="TableHeading"/>
              <w:spacing w:after="0"/>
              <w:jc w:val="center"/>
            </w:pPr>
            <w:r w:rsidRPr="00F44AB3">
              <w:t>Number of EVA customers per 100,000 target population**</w:t>
            </w:r>
          </w:p>
        </w:tc>
      </w:tr>
      <w:tr w:rsidR="00D05ADD" w14:paraId="6E14E3C6" w14:textId="77777777" w:rsidTr="00B83D14">
        <w:tc>
          <w:tcPr>
            <w:tcW w:w="1560" w:type="dxa"/>
            <w:tcBorders>
              <w:top w:val="single" w:sz="18" w:space="0" w:color="142E3B" w:themeColor="accent6"/>
            </w:tcBorders>
            <w:shd w:val="clear" w:color="auto" w:fill="auto"/>
            <w:vAlign w:val="center"/>
          </w:tcPr>
          <w:p w14:paraId="14672D50" w14:textId="77777777" w:rsidR="00D05ADD" w:rsidRPr="00D05ADD" w:rsidRDefault="00D05ADD" w:rsidP="00D05ADD">
            <w:pPr>
              <w:pStyle w:val="TableTextLeftAligned"/>
              <w:spacing w:after="0"/>
              <w:rPr>
                <w:szCs w:val="20"/>
              </w:rPr>
            </w:pPr>
            <w:r w:rsidRPr="00D05ADD">
              <w:rPr>
                <w:rFonts w:cstheme="minorHAnsi"/>
                <w:color w:val="000000"/>
                <w:szCs w:val="20"/>
              </w:rPr>
              <w:t>Yes</w:t>
            </w:r>
          </w:p>
        </w:tc>
        <w:tc>
          <w:tcPr>
            <w:tcW w:w="1984" w:type="dxa"/>
            <w:tcBorders>
              <w:top w:val="single" w:sz="18" w:space="0" w:color="142E3B" w:themeColor="accent6"/>
            </w:tcBorders>
            <w:vAlign w:val="center"/>
          </w:tcPr>
          <w:p w14:paraId="554200D8" w14:textId="77777777" w:rsidR="00D05ADD" w:rsidRPr="00D05ADD" w:rsidRDefault="00D05ADD" w:rsidP="00D05ADD">
            <w:pPr>
              <w:pStyle w:val="TableTextRightAligned"/>
              <w:spacing w:after="0"/>
              <w:jc w:val="center"/>
              <w:rPr>
                <w:szCs w:val="20"/>
              </w:rPr>
            </w:pPr>
            <w:r w:rsidRPr="00D05ADD">
              <w:rPr>
                <w:rFonts w:cstheme="minorHAnsi"/>
                <w:color w:val="000000"/>
                <w:szCs w:val="20"/>
              </w:rPr>
              <w:t>280 (2%)</w:t>
            </w:r>
          </w:p>
        </w:tc>
        <w:tc>
          <w:tcPr>
            <w:tcW w:w="2410" w:type="dxa"/>
            <w:tcBorders>
              <w:top w:val="single" w:sz="18" w:space="0" w:color="142E3B" w:themeColor="accent6"/>
            </w:tcBorders>
            <w:shd w:val="clear" w:color="auto" w:fill="auto"/>
            <w:vAlign w:val="center"/>
          </w:tcPr>
          <w:p w14:paraId="602753CE" w14:textId="43F42413" w:rsidR="00D05ADD" w:rsidRPr="00D05ADD" w:rsidRDefault="00D05ADD" w:rsidP="00D05ADD">
            <w:pPr>
              <w:pStyle w:val="TableTextRightAligned"/>
              <w:spacing w:after="0"/>
              <w:jc w:val="center"/>
              <w:rPr>
                <w:szCs w:val="20"/>
              </w:rPr>
            </w:pPr>
            <w:r w:rsidRPr="00D05ADD">
              <w:rPr>
                <w:rFonts w:cstheme="minorHAnsi"/>
                <w:color w:val="000000"/>
                <w:szCs w:val="20"/>
              </w:rPr>
              <w:t>12,877,635 (50%)</w:t>
            </w:r>
          </w:p>
        </w:tc>
        <w:tc>
          <w:tcPr>
            <w:tcW w:w="2324" w:type="dxa"/>
            <w:tcBorders>
              <w:top w:val="single" w:sz="18" w:space="0" w:color="142E3B" w:themeColor="accent6"/>
            </w:tcBorders>
            <w:vAlign w:val="center"/>
          </w:tcPr>
          <w:p w14:paraId="5FC6F0E8" w14:textId="3AEEC8CA" w:rsidR="00D05ADD" w:rsidRPr="00D05ADD" w:rsidRDefault="00D05ADD" w:rsidP="00D05ADD">
            <w:pPr>
              <w:pStyle w:val="TableTextRightAligned"/>
              <w:spacing w:after="0"/>
              <w:jc w:val="center"/>
              <w:rPr>
                <w:szCs w:val="20"/>
              </w:rPr>
            </w:pPr>
            <w:r w:rsidRPr="00D05ADD">
              <w:rPr>
                <w:rFonts w:cstheme="minorHAnsi"/>
                <w:color w:val="000000"/>
                <w:szCs w:val="20"/>
              </w:rPr>
              <w:t>58</w:t>
            </w:r>
          </w:p>
        </w:tc>
      </w:tr>
      <w:tr w:rsidR="00D05ADD" w14:paraId="44CD7ADF" w14:textId="77777777" w:rsidTr="00B83D14">
        <w:tc>
          <w:tcPr>
            <w:tcW w:w="1560" w:type="dxa"/>
            <w:shd w:val="clear" w:color="auto" w:fill="auto"/>
            <w:vAlign w:val="center"/>
          </w:tcPr>
          <w:p w14:paraId="3273078F" w14:textId="3B8495CF" w:rsidR="00D05ADD" w:rsidRPr="00D05ADD" w:rsidRDefault="00D05ADD" w:rsidP="00D05ADD">
            <w:pPr>
              <w:pStyle w:val="TableTextLeftAligned"/>
              <w:spacing w:after="0"/>
              <w:rPr>
                <w:szCs w:val="20"/>
              </w:rPr>
            </w:pPr>
            <w:r w:rsidRPr="00D05ADD">
              <w:rPr>
                <w:rFonts w:cstheme="minorHAnsi"/>
                <w:color w:val="000000"/>
                <w:szCs w:val="20"/>
              </w:rPr>
              <w:t>Female</w:t>
            </w:r>
          </w:p>
        </w:tc>
        <w:tc>
          <w:tcPr>
            <w:tcW w:w="1984" w:type="dxa"/>
            <w:vAlign w:val="center"/>
          </w:tcPr>
          <w:p w14:paraId="01F5D0B2" w14:textId="45BC4B19" w:rsidR="00D05ADD" w:rsidRPr="00D05ADD" w:rsidRDefault="00D05ADD" w:rsidP="00D05ADD">
            <w:pPr>
              <w:pStyle w:val="TableTextRightAligned"/>
              <w:spacing w:after="0"/>
              <w:jc w:val="center"/>
              <w:rPr>
                <w:szCs w:val="20"/>
              </w:rPr>
            </w:pPr>
            <w:r w:rsidRPr="00D05ADD">
              <w:rPr>
                <w:rFonts w:cstheme="minorHAnsi"/>
                <w:color w:val="000000"/>
                <w:szCs w:val="20"/>
              </w:rPr>
              <w:t>3,345 (24%)</w:t>
            </w:r>
          </w:p>
        </w:tc>
        <w:tc>
          <w:tcPr>
            <w:tcW w:w="2410" w:type="dxa"/>
            <w:shd w:val="clear" w:color="auto" w:fill="auto"/>
            <w:vAlign w:val="center"/>
          </w:tcPr>
          <w:p w14:paraId="4E53E4AD" w14:textId="26321641" w:rsidR="00D05ADD" w:rsidRPr="00D05ADD" w:rsidRDefault="00D05ADD" w:rsidP="00D05ADD">
            <w:pPr>
              <w:pStyle w:val="TableTextRightAligned"/>
              <w:spacing w:after="0"/>
              <w:jc w:val="center"/>
              <w:rPr>
                <w:szCs w:val="20"/>
              </w:rPr>
            </w:pPr>
            <w:r w:rsidRPr="00D05ADD">
              <w:rPr>
                <w:rFonts w:cstheme="minorHAnsi"/>
                <w:color w:val="000000"/>
                <w:szCs w:val="20"/>
              </w:rPr>
              <w:t>12,545,154 (50%)</w:t>
            </w:r>
          </w:p>
        </w:tc>
        <w:tc>
          <w:tcPr>
            <w:tcW w:w="2324" w:type="dxa"/>
            <w:vAlign w:val="center"/>
          </w:tcPr>
          <w:p w14:paraId="03789A8B" w14:textId="2A888045" w:rsidR="00D05ADD" w:rsidRPr="00D05ADD" w:rsidRDefault="00D05ADD" w:rsidP="00D05ADD">
            <w:pPr>
              <w:pStyle w:val="TableTextRightAligned"/>
              <w:spacing w:after="0"/>
              <w:jc w:val="center"/>
              <w:rPr>
                <w:szCs w:val="20"/>
              </w:rPr>
            </w:pPr>
            <w:r w:rsidRPr="00D05ADD">
              <w:rPr>
                <w:rFonts w:cstheme="minorHAnsi"/>
                <w:color w:val="000000"/>
                <w:szCs w:val="20"/>
              </w:rPr>
              <w:t>51</w:t>
            </w:r>
          </w:p>
        </w:tc>
      </w:tr>
      <w:tr w:rsidR="00D05ADD" w14:paraId="7A31DF66" w14:textId="77777777" w:rsidTr="00B83D14">
        <w:tc>
          <w:tcPr>
            <w:tcW w:w="1560" w:type="dxa"/>
            <w:shd w:val="clear" w:color="auto" w:fill="auto"/>
            <w:vAlign w:val="center"/>
          </w:tcPr>
          <w:p w14:paraId="19EF9594" w14:textId="1F061588" w:rsidR="00D05ADD" w:rsidRPr="00D05ADD" w:rsidRDefault="00D05ADD" w:rsidP="00D05ADD">
            <w:pPr>
              <w:pStyle w:val="TableTextLeftAligned"/>
              <w:spacing w:after="0"/>
              <w:rPr>
                <w:szCs w:val="20"/>
              </w:rPr>
            </w:pPr>
            <w:r w:rsidRPr="00D05ADD">
              <w:rPr>
                <w:rFonts w:cstheme="minorHAnsi"/>
                <w:color w:val="000000"/>
                <w:szCs w:val="20"/>
              </w:rPr>
              <w:t>Male</w:t>
            </w:r>
          </w:p>
        </w:tc>
        <w:tc>
          <w:tcPr>
            <w:tcW w:w="1984" w:type="dxa"/>
            <w:vAlign w:val="center"/>
          </w:tcPr>
          <w:p w14:paraId="174A1D12" w14:textId="64BFE1C5" w:rsidR="00D05ADD" w:rsidRPr="00D05ADD" w:rsidRDefault="00D05ADD" w:rsidP="00D05ADD">
            <w:pPr>
              <w:pStyle w:val="TableTextRightAligned"/>
              <w:spacing w:after="0"/>
              <w:jc w:val="center"/>
              <w:rPr>
                <w:szCs w:val="20"/>
              </w:rPr>
            </w:pPr>
            <w:r w:rsidRPr="00D05ADD">
              <w:rPr>
                <w:rFonts w:cstheme="minorHAnsi"/>
                <w:color w:val="000000"/>
                <w:szCs w:val="20"/>
              </w:rPr>
              <w:t>2,862 (21%)</w:t>
            </w:r>
          </w:p>
        </w:tc>
        <w:tc>
          <w:tcPr>
            <w:tcW w:w="2410" w:type="dxa"/>
            <w:shd w:val="clear" w:color="auto" w:fill="auto"/>
            <w:vAlign w:val="center"/>
          </w:tcPr>
          <w:p w14:paraId="1149E7E6" w14:textId="77777777" w:rsidR="00D05ADD" w:rsidRPr="00D05ADD" w:rsidRDefault="00D05ADD" w:rsidP="00D05ADD">
            <w:pPr>
              <w:pStyle w:val="TableTextRightAligned"/>
              <w:spacing w:after="0"/>
              <w:jc w:val="center"/>
              <w:rPr>
                <w:szCs w:val="20"/>
              </w:rPr>
            </w:pPr>
            <w:r w:rsidRPr="00D05ADD">
              <w:rPr>
                <w:rFonts w:cstheme="minorHAnsi"/>
                <w:color w:val="000000"/>
                <w:szCs w:val="20"/>
              </w:rPr>
              <w:t>-</w:t>
            </w:r>
          </w:p>
        </w:tc>
        <w:tc>
          <w:tcPr>
            <w:tcW w:w="2324" w:type="dxa"/>
            <w:vAlign w:val="center"/>
          </w:tcPr>
          <w:p w14:paraId="5B522A69" w14:textId="77777777" w:rsidR="00D05ADD" w:rsidRPr="00D05ADD" w:rsidRDefault="00D05ADD" w:rsidP="00D05ADD">
            <w:pPr>
              <w:pStyle w:val="TableTextRightAligned"/>
              <w:spacing w:after="0"/>
              <w:jc w:val="center"/>
              <w:rPr>
                <w:szCs w:val="20"/>
              </w:rPr>
            </w:pPr>
            <w:r w:rsidRPr="00D05ADD">
              <w:rPr>
                <w:rFonts w:cstheme="minorHAnsi"/>
                <w:color w:val="000000"/>
                <w:szCs w:val="20"/>
              </w:rPr>
              <w:t>-</w:t>
            </w:r>
          </w:p>
        </w:tc>
      </w:tr>
      <w:tr w:rsidR="00D05ADD" w14:paraId="643E293D" w14:textId="77777777" w:rsidTr="00B83D14">
        <w:tc>
          <w:tcPr>
            <w:tcW w:w="1560" w:type="dxa"/>
            <w:tcBorders>
              <w:top w:val="single" w:sz="4" w:space="0" w:color="808080" w:themeColor="background1" w:themeShade="80"/>
              <w:bottom w:val="single" w:sz="18" w:space="0" w:color="142E3B" w:themeColor="accent6"/>
            </w:tcBorders>
            <w:shd w:val="clear" w:color="auto" w:fill="auto"/>
            <w:vAlign w:val="bottom"/>
          </w:tcPr>
          <w:p w14:paraId="6654436A" w14:textId="6967B088" w:rsidR="00D05ADD" w:rsidRPr="00E96BEF" w:rsidRDefault="00D05ADD" w:rsidP="00D05ADD">
            <w:pPr>
              <w:pStyle w:val="TableTextLeftAligned"/>
              <w:spacing w:after="0"/>
              <w:rPr>
                <w:szCs w:val="20"/>
              </w:rPr>
            </w:pPr>
            <w:r w:rsidRPr="00836344">
              <w:rPr>
                <w:rFonts w:cstheme="minorHAnsi"/>
                <w:color w:val="000000"/>
                <w:sz w:val="18"/>
                <w:szCs w:val="18"/>
              </w:rPr>
              <w:t>Unknown</w:t>
            </w:r>
          </w:p>
        </w:tc>
        <w:tc>
          <w:tcPr>
            <w:tcW w:w="1984" w:type="dxa"/>
            <w:tcBorders>
              <w:top w:val="single" w:sz="4" w:space="0" w:color="808080" w:themeColor="background1" w:themeShade="80"/>
              <w:bottom w:val="single" w:sz="18" w:space="0" w:color="142E3B" w:themeColor="accent6"/>
            </w:tcBorders>
            <w:vAlign w:val="bottom"/>
          </w:tcPr>
          <w:p w14:paraId="49AB20FC" w14:textId="09ECA062" w:rsidR="00D05ADD" w:rsidRPr="00E96BEF" w:rsidRDefault="00D05ADD" w:rsidP="00D05ADD">
            <w:pPr>
              <w:pStyle w:val="TableTextRightAligned"/>
              <w:spacing w:after="0"/>
              <w:jc w:val="center"/>
              <w:rPr>
                <w:szCs w:val="20"/>
              </w:rPr>
            </w:pPr>
            <w:r w:rsidRPr="00836344">
              <w:rPr>
                <w:rFonts w:cstheme="minorHAnsi"/>
                <w:color w:val="000000"/>
                <w:sz w:val="18"/>
                <w:szCs w:val="18"/>
              </w:rPr>
              <w:t>7,670 (55%)</w:t>
            </w:r>
          </w:p>
        </w:tc>
        <w:tc>
          <w:tcPr>
            <w:tcW w:w="2410" w:type="dxa"/>
            <w:tcBorders>
              <w:top w:val="single" w:sz="4" w:space="0" w:color="808080" w:themeColor="background1" w:themeShade="80"/>
              <w:bottom w:val="single" w:sz="18" w:space="0" w:color="142E3B" w:themeColor="accent6"/>
            </w:tcBorders>
            <w:shd w:val="clear" w:color="auto" w:fill="auto"/>
            <w:vAlign w:val="center"/>
          </w:tcPr>
          <w:p w14:paraId="451D3777" w14:textId="77777777" w:rsidR="00D05ADD" w:rsidRPr="00E96BEF" w:rsidRDefault="00D05ADD" w:rsidP="00D05ADD">
            <w:pPr>
              <w:pStyle w:val="TableTextRightAligned"/>
              <w:spacing w:after="0"/>
              <w:jc w:val="center"/>
              <w:rPr>
                <w:szCs w:val="20"/>
              </w:rPr>
            </w:pPr>
            <w:r w:rsidRPr="00E96BEF">
              <w:rPr>
                <w:rFonts w:cstheme="minorHAnsi"/>
                <w:i/>
                <w:color w:val="000000"/>
                <w:szCs w:val="20"/>
              </w:rPr>
              <w:t>25,422,788 (100%)</w:t>
            </w:r>
          </w:p>
        </w:tc>
        <w:tc>
          <w:tcPr>
            <w:tcW w:w="2324" w:type="dxa"/>
            <w:tcBorders>
              <w:top w:val="single" w:sz="4" w:space="0" w:color="808080" w:themeColor="background1" w:themeShade="80"/>
              <w:bottom w:val="single" w:sz="18" w:space="0" w:color="142E3B" w:themeColor="accent6"/>
            </w:tcBorders>
            <w:vAlign w:val="center"/>
          </w:tcPr>
          <w:p w14:paraId="0CE5BADB" w14:textId="77777777" w:rsidR="00D05ADD" w:rsidRPr="00E96BEF" w:rsidRDefault="00D05ADD" w:rsidP="00D05ADD">
            <w:pPr>
              <w:pStyle w:val="TableTextRightAligned"/>
              <w:spacing w:after="0"/>
              <w:jc w:val="center"/>
              <w:rPr>
                <w:szCs w:val="20"/>
              </w:rPr>
            </w:pPr>
            <w:r w:rsidRPr="00E96BEF">
              <w:rPr>
                <w:rFonts w:cstheme="minorHAnsi"/>
                <w:i/>
                <w:color w:val="000000"/>
                <w:szCs w:val="20"/>
              </w:rPr>
              <w:t>55</w:t>
            </w:r>
          </w:p>
        </w:tc>
      </w:tr>
    </w:tbl>
    <w:p w14:paraId="0FE63B7C" w14:textId="5E4672AF" w:rsidR="004D44DA" w:rsidRDefault="00D05ADD" w:rsidP="001F1F42">
      <w:pPr>
        <w:spacing w:before="120" w:after="0"/>
        <w:rPr>
          <w:i/>
          <w:sz w:val="18"/>
          <w:szCs w:val="18"/>
        </w:rPr>
      </w:pPr>
      <w:r w:rsidRPr="004A131C">
        <w:rPr>
          <w:i/>
          <w:sz w:val="18"/>
          <w:szCs w:val="18"/>
        </w:rPr>
        <w:t xml:space="preserve">* </w:t>
      </w:r>
      <w:r w:rsidRPr="004D44DA">
        <w:rPr>
          <w:i/>
          <w:sz w:val="18"/>
          <w:szCs w:val="18"/>
        </w:rPr>
        <w:t>ABS (2022c) ** The rate = (pro-rata number of scheduled EVA calls / target population size)*100,000.</w:t>
      </w:r>
      <w:bookmarkStart w:id="42" w:name="_Appendix_2:_Survey"/>
      <w:bookmarkEnd w:id="42"/>
      <w:r w:rsidR="004D44DA">
        <w:rPr>
          <w:i/>
          <w:sz w:val="18"/>
          <w:szCs w:val="18"/>
        </w:rPr>
        <w:br w:type="page"/>
      </w:r>
    </w:p>
    <w:p w14:paraId="31221EB6" w14:textId="40CEC20B" w:rsidR="00B83D14" w:rsidRDefault="00B83D14" w:rsidP="00B83D14">
      <w:pPr>
        <w:pStyle w:val="Heading3"/>
      </w:pPr>
      <w:r w:rsidRPr="008D551E">
        <w:lastRenderedPageBreak/>
        <w:t xml:space="preserve">Appendix </w:t>
      </w:r>
      <w:r>
        <w:t>2: Survey questions</w:t>
      </w:r>
    </w:p>
    <w:p w14:paraId="77840B35" w14:textId="77777777" w:rsidR="00B83D14" w:rsidRPr="00B83D14" w:rsidRDefault="00B83D14" w:rsidP="00B83D14">
      <w:pPr>
        <w:pStyle w:val="Heading4"/>
      </w:pPr>
      <w:bookmarkStart w:id="43" w:name="_Toc144134266"/>
      <w:r w:rsidRPr="00B83D14">
        <w:t>Survey 1 questions: Script for EVA call handlers</w:t>
      </w:r>
      <w:bookmarkEnd w:id="43"/>
    </w:p>
    <w:p w14:paraId="1FAEF8A0" w14:textId="136AF764" w:rsidR="00B83D14" w:rsidRPr="00B83D14" w:rsidRDefault="00B83D14" w:rsidP="00B83D14">
      <w:r w:rsidRPr="00B83D14">
        <w:rPr>
          <w:rFonts w:eastAsiaTheme="minorEastAsia"/>
          <w:b/>
          <w:bCs/>
          <w:lang w:val="en-US"/>
        </w:rPr>
        <w:t>For all customers, at the end of the call back, t</w:t>
      </w:r>
      <w:r w:rsidR="00816113">
        <w:rPr>
          <w:rFonts w:eastAsiaTheme="minorEastAsia"/>
          <w:b/>
          <w:bCs/>
          <w:lang w:val="en-US"/>
        </w:rPr>
        <w:t>he call handler stated</w:t>
      </w:r>
      <w:r w:rsidRPr="00B83D14">
        <w:rPr>
          <w:rFonts w:eastAsiaTheme="minorEastAsia"/>
          <w:lang w:val="en-US"/>
        </w:rPr>
        <w:t xml:space="preserve">: “We are interested in your experience using EVA, so it would be great if you could share your experiences with us. If you do share, we will use what you tell us to work out how EVA can best support the community in the future. We won’t share or publish your name or contact details with anything you say.”  </w:t>
      </w:r>
    </w:p>
    <w:p w14:paraId="1684DC15" w14:textId="58E7F4C4" w:rsidR="00B83D14" w:rsidRPr="00B83D14" w:rsidRDefault="00816113" w:rsidP="00B83D14">
      <w:pPr>
        <w:rPr>
          <w:rFonts w:ascii="Times New Roman" w:hAnsi="Times New Roman"/>
        </w:rPr>
      </w:pPr>
      <w:r>
        <w:rPr>
          <w:rFonts w:eastAsiaTheme="minorEastAsia"/>
          <w:b/>
          <w:bCs/>
          <w:lang w:val="en-US"/>
        </w:rPr>
        <w:t>Ask all</w:t>
      </w:r>
      <w:r w:rsidR="00B83D14" w:rsidRPr="00B83D14">
        <w:rPr>
          <w:rFonts w:eastAsiaTheme="minorEastAsia"/>
          <w:b/>
          <w:bCs/>
          <w:lang w:val="en-US"/>
        </w:rPr>
        <w:t xml:space="preserve"> customers: </w:t>
      </w:r>
      <w:r w:rsidR="00B83D14" w:rsidRPr="00B83D14">
        <w:rPr>
          <w:rFonts w:eastAsiaTheme="minorEastAsia"/>
          <w:lang w:val="en-US"/>
        </w:rPr>
        <w:t>We’d like to ask you 8 questions about your experience finding the right health services for you. It should take around 4 to 8 minutes. Is it okay if you stay on the line to answer these questions right now?</w:t>
      </w:r>
      <w:r w:rsidR="00B83D14" w:rsidRPr="00B83D14">
        <w:rPr>
          <w:rFonts w:eastAsiaTheme="minorEastAsia"/>
          <w:color w:val="7F7F7F"/>
          <w:lang w:val="en-US"/>
          <w14:textFill>
            <w14:solidFill>
              <w14:srgbClr w14:val="7F7F7F">
                <w14:lumMod w14:val="50000"/>
                <w14:lumOff w14:val="50000"/>
              </w14:srgbClr>
            </w14:solidFill>
          </w14:textFill>
        </w:rPr>
        <w:t xml:space="preserve">” </w:t>
      </w:r>
      <w:r w:rsidR="00B83D14" w:rsidRPr="00B83D14">
        <w:rPr>
          <w:rFonts w:eastAsiaTheme="minorEastAsia"/>
          <w:color w:val="808080" w:themeColor="background1" w:themeShade="80"/>
          <w:lang w:val="en-US"/>
        </w:rPr>
        <w:t>[‘Yes’ ‘No’. If yes, ask the following questions:]</w:t>
      </w:r>
    </w:p>
    <w:p w14:paraId="01FBCFD3" w14:textId="1830B187"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lang w:val="en-US"/>
        </w:rPr>
        <w:t xml:space="preserve">Before I ask you about the service you received from us today, in </w:t>
      </w:r>
      <w:r w:rsidRPr="008A15EE">
        <w:rPr>
          <w:rFonts w:eastAsiaTheme="minorEastAsia"/>
          <w:bCs/>
          <w:lang w:val="en-US"/>
        </w:rPr>
        <w:t>general,</w:t>
      </w:r>
      <w:r w:rsidRPr="00B83D14">
        <w:rPr>
          <w:rFonts w:eastAsiaTheme="minorEastAsia"/>
          <w:b/>
          <w:bCs/>
          <w:lang w:val="en-US"/>
        </w:rPr>
        <w:t xml:space="preserve"> </w:t>
      </w:r>
      <w:r w:rsidRPr="00B83D14">
        <w:rPr>
          <w:rFonts w:eastAsiaTheme="minorEastAsia"/>
          <w:lang w:val="en-US"/>
        </w:rPr>
        <w:t>how</w:t>
      </w:r>
      <w:r w:rsidRPr="00B83D14">
        <w:rPr>
          <w:rFonts w:eastAsiaTheme="minorEastAsia"/>
          <w:b/>
          <w:bCs/>
          <w:lang w:val="en-US"/>
        </w:rPr>
        <w:t xml:space="preserve"> </w:t>
      </w:r>
      <w:r w:rsidRPr="00B83D14">
        <w:rPr>
          <w:rFonts w:eastAsiaTheme="minorEastAsia"/>
          <w:lang w:val="en-US"/>
        </w:rPr>
        <w:t xml:space="preserve">easy or hard is it for you to find the right service for your health needs, for example finding and booking a GP appointment? </w:t>
      </w:r>
      <w:r w:rsidRPr="00B83D14">
        <w:rPr>
          <w:rFonts w:eastAsiaTheme="minorEastAsia"/>
          <w:color w:val="595959" w:themeColor="text1" w:themeTint="A6"/>
          <w:lang w:val="en-US"/>
        </w:rPr>
        <w:t xml:space="preserve">[‘Very hard’, ‘Hard’, ‘Neutral’, ‘Easy’ or ‘Very </w:t>
      </w:r>
      <w:r w:rsidR="008B79C2" w:rsidRPr="00B83D14">
        <w:rPr>
          <w:rFonts w:eastAsiaTheme="minorEastAsia"/>
          <w:color w:val="595959" w:themeColor="text1" w:themeTint="A6"/>
          <w:lang w:val="en-US"/>
        </w:rPr>
        <w:t>Easy’.</w:t>
      </w:r>
      <w:r w:rsidRPr="00B83D14">
        <w:rPr>
          <w:rFonts w:eastAsiaTheme="minorEastAsia"/>
          <w:color w:val="595959" w:themeColor="text1" w:themeTint="A6"/>
          <w:lang w:val="en-US"/>
        </w:rPr>
        <w:t xml:space="preserve"> What makes it ‘[Easy/Hard]? [open response for any comments] </w:t>
      </w:r>
    </w:p>
    <w:p w14:paraId="34607BFD" w14:textId="26083B51"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lang w:val="en-US"/>
        </w:rPr>
        <w:t xml:space="preserve">How easy or hard did you find it to use EVA? </w:t>
      </w:r>
      <w:r w:rsidRPr="00B83D14">
        <w:rPr>
          <w:rFonts w:eastAsiaTheme="minorEastAsia"/>
          <w:color w:val="595959" w:themeColor="text1" w:themeTint="A6"/>
          <w:lang w:val="en-US"/>
        </w:rPr>
        <w:t xml:space="preserve">[‘Very hard’ ‘Hard ‘Neutral’ ‘Easy’ ‘Very easy’. If </w:t>
      </w:r>
      <w:r w:rsidR="008B79C2">
        <w:rPr>
          <w:rFonts w:eastAsiaTheme="minorEastAsia"/>
          <w:color w:val="595959" w:themeColor="text1" w:themeTint="A6"/>
          <w:lang w:val="en-US"/>
        </w:rPr>
        <w:t>‘</w:t>
      </w:r>
      <w:r w:rsidRPr="00B83D14">
        <w:rPr>
          <w:rFonts w:eastAsiaTheme="minorEastAsia"/>
          <w:color w:val="595959" w:themeColor="text1" w:themeTint="A6"/>
          <w:lang w:val="en-US"/>
        </w:rPr>
        <w:t>Hard</w:t>
      </w:r>
      <w:r w:rsidR="008B79C2">
        <w:rPr>
          <w:rFonts w:eastAsiaTheme="minorEastAsia"/>
          <w:color w:val="595959" w:themeColor="text1" w:themeTint="A6"/>
          <w:lang w:val="en-US"/>
        </w:rPr>
        <w:t>’ or ‘V</w:t>
      </w:r>
      <w:r w:rsidRPr="00B83D14">
        <w:rPr>
          <w:rFonts w:eastAsiaTheme="minorEastAsia"/>
          <w:color w:val="595959" w:themeColor="text1" w:themeTint="A6"/>
          <w:lang w:val="en-US"/>
        </w:rPr>
        <w:t>ery Hard</w:t>
      </w:r>
      <w:r w:rsidR="008B79C2">
        <w:rPr>
          <w:rFonts w:eastAsiaTheme="minorEastAsia"/>
          <w:color w:val="595959" w:themeColor="text1" w:themeTint="A6"/>
          <w:lang w:val="en-US"/>
        </w:rPr>
        <w:t>’</w:t>
      </w:r>
      <w:r w:rsidRPr="00B83D14">
        <w:rPr>
          <w:rFonts w:eastAsiaTheme="minorEastAsia"/>
          <w:color w:val="595959" w:themeColor="text1" w:themeTint="A6"/>
          <w:lang w:val="en-US"/>
        </w:rPr>
        <w:t>: “Please tell us how EVA could be improved?” [open response] ]</w:t>
      </w:r>
    </w:p>
    <w:p w14:paraId="74816470" w14:textId="3EF03983"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lang w:val="en-US"/>
        </w:rPr>
        <w:t xml:space="preserve">Why did you choose EVA over other ways to find [the information you needed / a vaccination service]? </w:t>
      </w:r>
      <w:r w:rsidRPr="00B83D14">
        <w:rPr>
          <w:rFonts w:eastAsiaTheme="minorEastAsia"/>
          <w:color w:val="595959" w:themeColor="text1" w:themeTint="A6"/>
          <w:lang w:val="en-US"/>
        </w:rPr>
        <w:t>[</w:t>
      </w:r>
      <w:r w:rsidR="008B79C2" w:rsidRPr="00B83D14">
        <w:rPr>
          <w:rFonts w:eastAsiaTheme="minorEastAsia"/>
          <w:color w:val="595959" w:themeColor="text1" w:themeTint="A6"/>
          <w:lang w:val="en-US"/>
        </w:rPr>
        <w:t>Open</w:t>
      </w:r>
      <w:r w:rsidRPr="00B83D14">
        <w:rPr>
          <w:rFonts w:eastAsiaTheme="minorEastAsia"/>
          <w:color w:val="595959" w:themeColor="text1" w:themeTint="A6"/>
          <w:lang w:val="en-US"/>
        </w:rPr>
        <w:t xml:space="preserve"> response for pilot test only. From pilot test, identify themes to create response option set]</w:t>
      </w:r>
    </w:p>
    <w:p w14:paraId="22F71121" w14:textId="77777777"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lang w:val="en-US"/>
        </w:rPr>
        <w:t xml:space="preserve">Did you try other ways to [find a place to get a vaccine/get the information you needed], before you contacted EVA? </w:t>
      </w:r>
      <w:r w:rsidRPr="00B83D14">
        <w:rPr>
          <w:rFonts w:eastAsiaTheme="minorEastAsia"/>
          <w:color w:val="595959" w:themeColor="text1" w:themeTint="A6"/>
          <w:lang w:val="en-US"/>
        </w:rPr>
        <w:t xml:space="preserve">[‘Yes’ ‘No’. If Yes: Please tell us what happened. [open response]] </w:t>
      </w:r>
    </w:p>
    <w:p w14:paraId="7B58DCF3" w14:textId="7C59E8B8"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lang w:val="en-US"/>
        </w:rPr>
        <w:t xml:space="preserve">What would you have done if EVA was not available? </w:t>
      </w:r>
      <w:r w:rsidRPr="00B83D14">
        <w:rPr>
          <w:rFonts w:eastAsiaTheme="minorEastAsia"/>
          <w:color w:val="595959" w:themeColor="text1" w:themeTint="A6"/>
          <w:lang w:val="en-US"/>
        </w:rPr>
        <w:t>[</w:t>
      </w:r>
      <w:r w:rsidR="008B79C2" w:rsidRPr="00B83D14">
        <w:rPr>
          <w:rFonts w:eastAsiaTheme="minorEastAsia"/>
          <w:color w:val="595959" w:themeColor="text1" w:themeTint="A6"/>
          <w:lang w:val="en-US"/>
        </w:rPr>
        <w:t>Open</w:t>
      </w:r>
      <w:r w:rsidRPr="00B83D14">
        <w:rPr>
          <w:rFonts w:eastAsiaTheme="minorEastAsia"/>
          <w:color w:val="595959" w:themeColor="text1" w:themeTint="A6"/>
          <w:lang w:val="en-US"/>
        </w:rPr>
        <w:t xml:space="preserve"> response for pilot test only. From pilot test, identify themes to create response option set]</w:t>
      </w:r>
    </w:p>
    <w:p w14:paraId="1B215ECD" w14:textId="1746CE92"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b/>
          <w:bCs/>
          <w:lang w:val="en-US"/>
        </w:rPr>
        <w:t>If custom</w:t>
      </w:r>
      <w:r w:rsidR="00816113">
        <w:rPr>
          <w:rFonts w:eastAsiaTheme="minorEastAsia"/>
          <w:b/>
          <w:bCs/>
          <w:lang w:val="en-US"/>
        </w:rPr>
        <w:t xml:space="preserve">er booked a vaccine appointment, to </w:t>
      </w:r>
      <w:r w:rsidRPr="00B83D14">
        <w:rPr>
          <w:rFonts w:eastAsiaTheme="minorEastAsia"/>
          <w:b/>
          <w:bCs/>
          <w:lang w:val="en-US"/>
        </w:rPr>
        <w:t>ask</w:t>
      </w:r>
      <w:r w:rsidRPr="00B83D14">
        <w:rPr>
          <w:rFonts w:eastAsiaTheme="minorEastAsia"/>
          <w:lang w:val="en-US"/>
        </w:rPr>
        <w:t xml:space="preserve">: Can we call you after your vaccine appointment, to check in with you about whether your needs were met?’ </w:t>
      </w:r>
      <w:r w:rsidRPr="00B83D14">
        <w:rPr>
          <w:rFonts w:eastAsiaTheme="minorEastAsia"/>
          <w:color w:val="595959" w:themeColor="text1" w:themeTint="A6"/>
          <w:lang w:val="en-US"/>
        </w:rPr>
        <w:t xml:space="preserve">[If yes, book a date/time for the ‘after vaccination call’ – see data collection point 2] </w:t>
      </w:r>
    </w:p>
    <w:p w14:paraId="6A3E9026" w14:textId="77777777" w:rsidR="00B83D14" w:rsidRPr="00B83D14" w:rsidRDefault="00B83D14" w:rsidP="00B83D14">
      <w:pPr>
        <w:pStyle w:val="Heading4"/>
      </w:pPr>
      <w:bookmarkStart w:id="44" w:name="_Toc144134267"/>
      <w:r w:rsidRPr="00B83D14">
        <w:t>Survey 2 questions: Script for EVA call handlers</w:t>
      </w:r>
      <w:bookmarkEnd w:id="44"/>
    </w:p>
    <w:p w14:paraId="7D2CEC0D" w14:textId="31528E9A" w:rsidR="00B83D14" w:rsidRPr="00B83D14" w:rsidRDefault="00B83D14" w:rsidP="00B83D14">
      <w:pPr>
        <w:spacing w:before="240" w:after="0" w:line="240" w:lineRule="auto"/>
        <w:rPr>
          <w:rFonts w:eastAsiaTheme="minorEastAsia"/>
          <w:szCs w:val="20"/>
        </w:rPr>
      </w:pPr>
      <w:r w:rsidRPr="00B83D14">
        <w:rPr>
          <w:rFonts w:eastAsiaTheme="minorEastAsia" w:hAnsi="Helvetica" w:cstheme="minorBidi"/>
          <w:b/>
          <w:bCs/>
          <w:kern w:val="24"/>
          <w:szCs w:val="20"/>
        </w:rPr>
        <w:t>For customers with a vaccine appointment, o</w:t>
      </w:r>
      <w:r w:rsidRPr="00B83D14">
        <w:rPr>
          <w:rFonts w:eastAsiaTheme="minorEastAsia"/>
          <w:b/>
          <w:szCs w:val="20"/>
        </w:rPr>
        <w:t>n the date/time agreed during the initial call back (Survey 1), call handlers state</w:t>
      </w:r>
      <w:r w:rsidR="00816113">
        <w:rPr>
          <w:rFonts w:eastAsiaTheme="minorEastAsia"/>
          <w:b/>
          <w:szCs w:val="20"/>
        </w:rPr>
        <w:t>d</w:t>
      </w:r>
      <w:r w:rsidRPr="00B83D14">
        <w:rPr>
          <w:rFonts w:eastAsiaTheme="minorEastAsia"/>
          <w:szCs w:val="20"/>
        </w:rPr>
        <w:t xml:space="preserve">: </w:t>
      </w:r>
    </w:p>
    <w:p w14:paraId="3F689E4B" w14:textId="75AC8E85" w:rsidR="00B83D14" w:rsidRPr="00B83D14" w:rsidRDefault="00B83D14" w:rsidP="00B83D14">
      <w:pPr>
        <w:spacing w:before="240" w:after="0" w:line="240" w:lineRule="auto"/>
        <w:rPr>
          <w:rFonts w:ascii="Times New Roman" w:hAnsi="Times New Roman"/>
          <w:color w:val="808080" w:themeColor="background1" w:themeShade="80"/>
          <w:szCs w:val="20"/>
        </w:rPr>
      </w:pPr>
      <w:r w:rsidRPr="00B83D14">
        <w:rPr>
          <w:rFonts w:eastAsiaTheme="minorEastAsia"/>
          <w:szCs w:val="20"/>
        </w:rPr>
        <w:t xml:space="preserve">“Hi [customer name]. My name is __. I’m calling from EVA </w:t>
      </w:r>
      <w:r w:rsidRPr="00B83D14">
        <w:rPr>
          <w:rFonts w:eastAsiaTheme="minorEastAsia"/>
          <w:color w:val="000000"/>
          <w:szCs w:val="20"/>
          <w:lang w:val="en-US"/>
        </w:rPr>
        <w:t>to see how your COVID vaccination appointment went.</w:t>
      </w:r>
      <w:r w:rsidRPr="00B83D14">
        <w:rPr>
          <w:rFonts w:eastAsiaTheme="minorEastAsia"/>
          <w:szCs w:val="20"/>
        </w:rPr>
        <w:t xml:space="preserve"> I’ve got 3-5 questions for you, and it should take no more than a couple of minutes. Is this still a good time for you? </w:t>
      </w:r>
      <w:r w:rsidRPr="00B83D14">
        <w:rPr>
          <w:rFonts w:eastAsiaTheme="minorEastAsia"/>
          <w:color w:val="808080" w:themeColor="background1" w:themeShade="80"/>
          <w:szCs w:val="20"/>
        </w:rPr>
        <w:t xml:space="preserve">[‘Yes’ ‘No’. If no, re-book a better time. If </w:t>
      </w:r>
      <w:r w:rsidR="008B79C2">
        <w:rPr>
          <w:rFonts w:eastAsiaTheme="minorEastAsia"/>
          <w:color w:val="808080" w:themeColor="background1" w:themeShade="80"/>
          <w:szCs w:val="20"/>
        </w:rPr>
        <w:t>‘</w:t>
      </w:r>
      <w:r w:rsidRPr="00B83D14">
        <w:rPr>
          <w:rFonts w:eastAsiaTheme="minorEastAsia"/>
          <w:color w:val="808080" w:themeColor="background1" w:themeShade="80"/>
          <w:szCs w:val="20"/>
        </w:rPr>
        <w:t>Yes</w:t>
      </w:r>
      <w:r w:rsidR="008B79C2">
        <w:rPr>
          <w:rFonts w:eastAsiaTheme="minorEastAsia"/>
          <w:color w:val="808080" w:themeColor="background1" w:themeShade="80"/>
          <w:szCs w:val="20"/>
        </w:rPr>
        <w:t>’</w:t>
      </w:r>
      <w:r w:rsidRPr="00B83D14">
        <w:rPr>
          <w:rFonts w:eastAsiaTheme="minorEastAsia"/>
          <w:color w:val="808080" w:themeColor="background1" w:themeShade="80"/>
          <w:szCs w:val="20"/>
        </w:rPr>
        <w:t>, ask]</w:t>
      </w:r>
    </w:p>
    <w:p w14:paraId="2B8D688E" w14:textId="0B24694C"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rPr>
        <w:t>Did you get vaccinated by the service recommended by EVA</w:t>
      </w:r>
      <w:r w:rsidRPr="00B83D14">
        <w:rPr>
          <w:rFonts w:eastAsiaTheme="minorEastAsia"/>
          <w:color w:val="595959" w:themeColor="text1" w:themeTint="A6"/>
        </w:rPr>
        <w:t>? [‘Yes’</w:t>
      </w:r>
      <w:r w:rsidR="008B79C2">
        <w:rPr>
          <w:rFonts w:eastAsiaTheme="minorEastAsia"/>
          <w:color w:val="595959" w:themeColor="text1" w:themeTint="A6"/>
        </w:rPr>
        <w:t>,</w:t>
      </w:r>
      <w:r w:rsidRPr="00B83D14">
        <w:rPr>
          <w:rFonts w:eastAsiaTheme="minorEastAsia"/>
          <w:color w:val="595959" w:themeColor="text1" w:themeTint="A6"/>
        </w:rPr>
        <w:t xml:space="preserve"> ‘Got vaccinated but different provider or appointment time’, ‘Did not get vaccinated’. If not ‘Yes’: Please tell us what happened? [open response]]</w:t>
      </w:r>
    </w:p>
    <w:p w14:paraId="6AF0EA19" w14:textId="77777777"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color w:val="595959" w:themeColor="text1" w:themeTint="A6"/>
          <w:lang w:val="en-US"/>
        </w:rPr>
        <w:t>[If customer answered ‘Yes’ to Q6]</w:t>
      </w:r>
      <w:r w:rsidRPr="00B83D14">
        <w:rPr>
          <w:rFonts w:eastAsiaTheme="minorEastAsia"/>
          <w:lang w:val="en-US"/>
        </w:rPr>
        <w:t xml:space="preserve"> </w:t>
      </w:r>
      <w:r w:rsidRPr="00B83D14">
        <w:rPr>
          <w:rFonts w:eastAsiaTheme="minorEastAsia"/>
        </w:rPr>
        <w:t xml:space="preserve">Did the service EVA booked for you, meet your needs? [‘Yes’ ‘No’. If No: Please tell us what happened. </w:t>
      </w:r>
      <w:r w:rsidRPr="00B83D14">
        <w:rPr>
          <w:rFonts w:eastAsiaTheme="minorEastAsia"/>
          <w:color w:val="595959" w:themeColor="text1" w:themeTint="A6"/>
        </w:rPr>
        <w:t>[open response]]</w:t>
      </w:r>
    </w:p>
    <w:p w14:paraId="3751AB1B" w14:textId="77777777" w:rsidR="00B83D14" w:rsidRPr="00B83D14" w:rsidRDefault="00B83D14" w:rsidP="00B83D14">
      <w:pPr>
        <w:numPr>
          <w:ilvl w:val="0"/>
          <w:numId w:val="2"/>
        </w:numPr>
        <w:rPr>
          <w:rFonts w:ascii="Times New Roman" w:hAnsi="Times New Roman"/>
          <w:color w:val="595959" w:themeColor="text1" w:themeTint="A6"/>
        </w:rPr>
      </w:pPr>
      <w:r w:rsidRPr="00B83D14">
        <w:rPr>
          <w:rFonts w:eastAsiaTheme="minorEastAsia"/>
        </w:rPr>
        <w:lastRenderedPageBreak/>
        <w:t xml:space="preserve">Is there anything we could do to make EVA easier or better for you? </w:t>
      </w:r>
      <w:r w:rsidRPr="00B83D14">
        <w:rPr>
          <w:rFonts w:eastAsiaTheme="minorEastAsia"/>
          <w:color w:val="595959" w:themeColor="text1" w:themeTint="A6"/>
        </w:rPr>
        <w:t>[open response]</w:t>
      </w:r>
    </w:p>
    <w:p w14:paraId="63F2D8E3" w14:textId="19D56360" w:rsidR="00352C81" w:rsidRDefault="00B83D14" w:rsidP="00404B00">
      <w:pPr>
        <w:rPr>
          <w:rFonts w:eastAsiaTheme="minorEastAsia"/>
          <w:szCs w:val="20"/>
        </w:rPr>
      </w:pPr>
      <w:r w:rsidRPr="00B83D14">
        <w:rPr>
          <w:rFonts w:eastAsiaTheme="minorEastAsia"/>
          <w:b/>
          <w:bCs/>
          <w:szCs w:val="20"/>
        </w:rPr>
        <w:t xml:space="preserve">If call handlers </w:t>
      </w:r>
      <w:r w:rsidR="00E12BB8">
        <w:rPr>
          <w:rFonts w:eastAsiaTheme="minorEastAsia"/>
          <w:b/>
          <w:bCs/>
          <w:szCs w:val="20"/>
        </w:rPr>
        <w:t>were</w:t>
      </w:r>
      <w:r w:rsidRPr="00B83D14">
        <w:rPr>
          <w:rFonts w:eastAsiaTheme="minorEastAsia"/>
          <w:b/>
          <w:bCs/>
          <w:szCs w:val="20"/>
        </w:rPr>
        <w:t xml:space="preserve"> unable to contact </w:t>
      </w:r>
      <w:r w:rsidR="00E12BB8">
        <w:rPr>
          <w:rFonts w:eastAsiaTheme="minorEastAsia"/>
          <w:b/>
          <w:bCs/>
          <w:szCs w:val="20"/>
        </w:rPr>
        <w:t xml:space="preserve">the </w:t>
      </w:r>
      <w:r w:rsidRPr="00B83D14">
        <w:rPr>
          <w:rFonts w:eastAsiaTheme="minorEastAsia"/>
          <w:b/>
          <w:bCs/>
          <w:szCs w:val="20"/>
        </w:rPr>
        <w:t xml:space="preserve">customer by phone: </w:t>
      </w:r>
      <w:r w:rsidRPr="00B83D14">
        <w:rPr>
          <w:rFonts w:eastAsiaTheme="minorEastAsia"/>
          <w:bCs/>
          <w:szCs w:val="20"/>
        </w:rPr>
        <w:t>Send</w:t>
      </w:r>
      <w:r w:rsidRPr="00B83D14">
        <w:rPr>
          <w:rFonts w:eastAsiaTheme="minorEastAsia"/>
          <w:b/>
          <w:bCs/>
          <w:szCs w:val="20"/>
        </w:rPr>
        <w:t xml:space="preserve"> </w:t>
      </w:r>
      <w:r w:rsidRPr="00B83D14">
        <w:rPr>
          <w:rFonts w:eastAsiaTheme="minorEastAsia"/>
          <w:bCs/>
          <w:szCs w:val="20"/>
        </w:rPr>
        <w:t>c</w:t>
      </w:r>
      <w:r w:rsidRPr="00B83D14">
        <w:rPr>
          <w:rFonts w:eastAsiaTheme="minorEastAsia"/>
          <w:szCs w:val="20"/>
        </w:rPr>
        <w:t>ustomers an SMS with a personalised link to the survey that says</w:t>
      </w:r>
      <w:r w:rsidRPr="00B83D14">
        <w:rPr>
          <w:rFonts w:eastAsiaTheme="minorEastAsia"/>
          <w:b/>
          <w:bCs/>
          <w:color w:val="26122F" w:themeColor="accent4" w:themeShade="80"/>
          <w:szCs w:val="20"/>
        </w:rPr>
        <w:t xml:space="preserve">: </w:t>
      </w:r>
      <w:r w:rsidRPr="00B83D14">
        <w:rPr>
          <w:rFonts w:eastAsiaTheme="minorEastAsia"/>
          <w:szCs w:val="20"/>
        </w:rPr>
        <w:t>“</w:t>
      </w:r>
      <w:r w:rsidRPr="00B83D14">
        <w:rPr>
          <w:rFonts w:eastAsiaTheme="minorEastAsia"/>
          <w:szCs w:val="20"/>
          <w:lang w:val="en-US"/>
        </w:rPr>
        <w:t>Hi [customer name]. This is EVA. I called about your COVID vaccine experience. If you still want to share your experience, please go to &lt;https://www.health.gov.au/EVA-survey&gt; Thanks</w:t>
      </w:r>
      <w:r w:rsidRPr="00B83D14">
        <w:rPr>
          <w:rFonts w:eastAsiaTheme="minorEastAsia"/>
          <w:szCs w:val="20"/>
        </w:rPr>
        <w:t>”</w:t>
      </w:r>
      <w:r w:rsidR="00352C81">
        <w:rPr>
          <w:rFonts w:eastAsiaTheme="minorEastAsia"/>
          <w:szCs w:val="20"/>
        </w:rPr>
        <w:br w:type="page"/>
      </w:r>
    </w:p>
    <w:p w14:paraId="562B08C1" w14:textId="5D8CDCEA" w:rsidR="007E42B7" w:rsidRDefault="007E42B7" w:rsidP="001D1BDE">
      <w:pPr>
        <w:pStyle w:val="Heading3"/>
        <w:spacing w:before="480"/>
        <w:contextualSpacing w:val="0"/>
      </w:pPr>
      <w:bookmarkStart w:id="45" w:name="_Toc144134268"/>
      <w:r w:rsidRPr="008D551E">
        <w:lastRenderedPageBreak/>
        <w:t xml:space="preserve">Appendix </w:t>
      </w:r>
      <w:r>
        <w:t>3: Customer demographics when Survey 1 and 2 were in field</w:t>
      </w:r>
    </w:p>
    <w:p w14:paraId="658DA265" w14:textId="2FFFE809" w:rsidR="00DD025C" w:rsidRPr="00210289" w:rsidRDefault="007E42B7" w:rsidP="00DD025C">
      <w:pPr>
        <w:spacing w:after="0"/>
        <w:rPr>
          <w:rFonts w:cstheme="minorHAnsi"/>
          <w:szCs w:val="20"/>
        </w:rPr>
      </w:pPr>
      <w:r w:rsidRPr="007E42B7">
        <w:t xml:space="preserve">The demographics of customers associated with a successful EVA call between 31 January 2023 and 15 May 2023 (when Survey 1 and 2 were in the field) are displayed in Table </w:t>
      </w:r>
      <w:r w:rsidR="00B73303">
        <w:t>8.</w:t>
      </w:r>
      <w:r w:rsidR="00DD025C">
        <w:t xml:space="preserve"> </w:t>
      </w:r>
      <w:r w:rsidR="00DD025C">
        <w:rPr>
          <w:rFonts w:cstheme="minorHAnsi"/>
          <w:szCs w:val="20"/>
        </w:rPr>
        <w:t xml:space="preserve">A portion of </w:t>
      </w:r>
      <w:r w:rsidR="00DD025C" w:rsidRPr="00210289">
        <w:rPr>
          <w:rFonts w:cstheme="minorHAnsi"/>
          <w:szCs w:val="20"/>
        </w:rPr>
        <w:t xml:space="preserve">EVA customers </w:t>
      </w:r>
      <w:r w:rsidR="00DD025C">
        <w:rPr>
          <w:rFonts w:cstheme="minorHAnsi"/>
          <w:szCs w:val="20"/>
        </w:rPr>
        <w:t xml:space="preserve">associated with a successful call </w:t>
      </w:r>
      <w:r w:rsidR="00DD025C" w:rsidRPr="00210289">
        <w:rPr>
          <w:rFonts w:cstheme="minorHAnsi"/>
          <w:szCs w:val="20"/>
        </w:rPr>
        <w:t xml:space="preserve">also reported having </w:t>
      </w:r>
      <w:r w:rsidR="00BE5CAF">
        <w:rPr>
          <w:rFonts w:cstheme="minorHAnsi"/>
          <w:szCs w:val="20"/>
        </w:rPr>
        <w:t>personalised</w:t>
      </w:r>
      <w:r w:rsidR="00DD025C" w:rsidRPr="00210289">
        <w:rPr>
          <w:rFonts w:cstheme="minorHAnsi"/>
          <w:szCs w:val="20"/>
        </w:rPr>
        <w:t xml:space="preserve"> needs, with 5% (144) requiring that EVA find a vaccination service that: </w:t>
      </w:r>
    </w:p>
    <w:p w14:paraId="059BE6F2" w14:textId="77777777" w:rsidR="00DD025C" w:rsidRPr="002D2858" w:rsidRDefault="00DD025C" w:rsidP="002D2858">
      <w:pPr>
        <w:pStyle w:val="ListBullet"/>
        <w:numPr>
          <w:ilvl w:val="0"/>
          <w:numId w:val="38"/>
        </w:numPr>
      </w:pPr>
      <w:r w:rsidRPr="004A131C">
        <w:t xml:space="preserve">could provide the vaccination right away or on/before a specific date, or needed a provider </w:t>
      </w:r>
      <w:r w:rsidRPr="002D2858">
        <w:t xml:space="preserve">outside of standard operating hours </w:t>
      </w:r>
    </w:p>
    <w:p w14:paraId="48F774C1" w14:textId="77777777" w:rsidR="00DD025C" w:rsidRPr="002D2858" w:rsidRDefault="00DD025C" w:rsidP="002D2858">
      <w:pPr>
        <w:pStyle w:val="ListBullet"/>
        <w:numPr>
          <w:ilvl w:val="0"/>
          <w:numId w:val="38"/>
        </w:numPr>
      </w:pPr>
      <w:r w:rsidRPr="002D2858">
        <w:t xml:space="preserve">was able to accommodate multiple bookings at once </w:t>
      </w:r>
    </w:p>
    <w:p w14:paraId="5846FBB6" w14:textId="77777777" w:rsidR="00DD025C" w:rsidRPr="00344F90" w:rsidRDefault="00DD025C" w:rsidP="002D2858">
      <w:pPr>
        <w:pStyle w:val="ListBullet"/>
        <w:numPr>
          <w:ilvl w:val="0"/>
          <w:numId w:val="38"/>
        </w:numPr>
      </w:pPr>
      <w:r w:rsidRPr="002D2858">
        <w:t xml:space="preserve">did not </w:t>
      </w:r>
      <w:r w:rsidRPr="00344F90">
        <w:t xml:space="preserve">require a Medicare card </w:t>
      </w:r>
    </w:p>
    <w:p w14:paraId="363348AA" w14:textId="77777777" w:rsidR="00DD025C" w:rsidRPr="00344F90" w:rsidRDefault="00DD025C" w:rsidP="002D2858">
      <w:pPr>
        <w:pStyle w:val="ListBullet"/>
        <w:numPr>
          <w:ilvl w:val="0"/>
          <w:numId w:val="38"/>
        </w:numPr>
      </w:pPr>
      <w:r w:rsidRPr="00344F90">
        <w:t>would attend the intended vaccination recipients home to provide the vaccination</w:t>
      </w:r>
    </w:p>
    <w:p w14:paraId="68776989" w14:textId="77777777" w:rsidR="00DD025C" w:rsidRPr="00344F90" w:rsidRDefault="00DD025C" w:rsidP="002D2858">
      <w:pPr>
        <w:pStyle w:val="ListBullet"/>
        <w:numPr>
          <w:ilvl w:val="0"/>
          <w:numId w:val="38"/>
        </w:numPr>
      </w:pPr>
      <w:r w:rsidRPr="00344F90">
        <w:t>was wheelchair accessible</w:t>
      </w:r>
    </w:p>
    <w:p w14:paraId="4818AD6C" w14:textId="77777777" w:rsidR="00DD025C" w:rsidRPr="00344F90" w:rsidRDefault="00DD025C" w:rsidP="002D2858">
      <w:pPr>
        <w:pStyle w:val="ListBullet"/>
        <w:numPr>
          <w:ilvl w:val="0"/>
          <w:numId w:val="38"/>
        </w:numPr>
      </w:pPr>
      <w:r w:rsidRPr="00344F90">
        <w:t>had an interpreter available</w:t>
      </w:r>
    </w:p>
    <w:p w14:paraId="75C1DD5A" w14:textId="77777777" w:rsidR="00DD025C" w:rsidRPr="00344F90" w:rsidRDefault="00DD025C" w:rsidP="002D2858">
      <w:pPr>
        <w:pStyle w:val="ListBullet"/>
        <w:numPr>
          <w:ilvl w:val="0"/>
          <w:numId w:val="38"/>
        </w:numPr>
      </w:pPr>
      <w:r w:rsidRPr="00344F90">
        <w:t>was at a hospital, or</w:t>
      </w:r>
    </w:p>
    <w:p w14:paraId="6EF2C7BB" w14:textId="12393C5C" w:rsidR="007E42B7" w:rsidRPr="00344F90" w:rsidRDefault="00DD025C" w:rsidP="002D2858">
      <w:pPr>
        <w:pStyle w:val="ListBullet"/>
        <w:numPr>
          <w:ilvl w:val="0"/>
          <w:numId w:val="38"/>
        </w:numPr>
      </w:pPr>
      <w:r w:rsidRPr="00344F90">
        <w:t>could give them a specific brand of vaccine.</w:t>
      </w:r>
    </w:p>
    <w:p w14:paraId="29286276" w14:textId="77777777" w:rsidR="00326E97" w:rsidRDefault="00326E97" w:rsidP="00326E97">
      <w:pPr>
        <w:pStyle w:val="Caption"/>
        <w:keepNext/>
      </w:pPr>
    </w:p>
    <w:p w14:paraId="02F17350" w14:textId="046E37CB" w:rsidR="00326E97" w:rsidRPr="00326E97" w:rsidRDefault="00326E97" w:rsidP="00326E97">
      <w:pPr>
        <w:pStyle w:val="Caption"/>
        <w:keepNext/>
        <w:rPr>
          <w:b/>
          <w:i w:val="0"/>
          <w:sz w:val="20"/>
          <w:szCs w:val="20"/>
        </w:rPr>
      </w:pPr>
      <w:r w:rsidRPr="00326E97">
        <w:rPr>
          <w:b/>
          <w:i w:val="0"/>
          <w:sz w:val="20"/>
          <w:szCs w:val="20"/>
        </w:rPr>
        <w:t xml:space="preserve">Table </w:t>
      </w:r>
      <w:r w:rsidR="00617F57">
        <w:rPr>
          <w:b/>
          <w:i w:val="0"/>
          <w:sz w:val="20"/>
          <w:szCs w:val="20"/>
        </w:rPr>
        <w:t>8</w:t>
      </w:r>
      <w:r w:rsidRPr="00326E97">
        <w:rPr>
          <w:b/>
          <w:i w:val="0"/>
          <w:sz w:val="20"/>
          <w:szCs w:val="20"/>
        </w:rPr>
        <w:t>. Customer demographics while the surveys were in the field</w:t>
      </w:r>
    </w:p>
    <w:tbl>
      <w:tblPr>
        <w:tblStyle w:val="DefaultTable"/>
        <w:tblW w:w="5812" w:type="dxa"/>
        <w:tblLayout w:type="fixed"/>
        <w:tblCellMar>
          <w:top w:w="85" w:type="dxa"/>
        </w:tblCellMar>
        <w:tblLook w:val="0420" w:firstRow="1" w:lastRow="0" w:firstColumn="0" w:lastColumn="0" w:noHBand="0" w:noVBand="1"/>
        <w:tblCaption w:val="Table 8 - Customer demographics while the surveys were in the field. "/>
        <w:tblDescription w:val="This table has two columns. The first is called 'Demographic description' and is broken down into priority cohort, aged over 60 years, immunocompromised, CALD status, had a disability, were carers, First Nations people, required an interpreter, male, female, gender unknown, lived in Victoria, lived in NSW, lived in SA, lived in QLD, lived in WA, lived in NT and lived in Tasmania. The second column has the percentage. "/>
      </w:tblPr>
      <w:tblGrid>
        <w:gridCol w:w="3544"/>
        <w:gridCol w:w="2268"/>
      </w:tblGrid>
      <w:tr w:rsidR="007E42B7" w14:paraId="51D20B8E" w14:textId="77777777" w:rsidTr="001D1BDE">
        <w:trPr>
          <w:cnfStyle w:val="100000000000" w:firstRow="1" w:lastRow="0" w:firstColumn="0" w:lastColumn="0" w:oddVBand="0" w:evenVBand="0" w:oddHBand="0" w:evenHBand="0" w:firstRowFirstColumn="0" w:firstRowLastColumn="0" w:lastRowFirstColumn="0" w:lastRowLastColumn="0"/>
          <w:tblHeader/>
        </w:trPr>
        <w:tc>
          <w:tcPr>
            <w:tcW w:w="3544" w:type="dxa"/>
            <w:tcBorders>
              <w:top w:val="nil"/>
              <w:bottom w:val="single" w:sz="18" w:space="0" w:color="142E3B" w:themeColor="accent6"/>
            </w:tcBorders>
            <w:shd w:val="clear" w:color="auto" w:fill="20B9A3" w:themeFill="accent1"/>
            <w:vAlign w:val="center"/>
          </w:tcPr>
          <w:p w14:paraId="13A44538" w14:textId="006E37A0" w:rsidR="007E42B7" w:rsidRPr="00FD2C46" w:rsidRDefault="007E42B7" w:rsidP="00706993">
            <w:pPr>
              <w:pStyle w:val="TableHeading"/>
              <w:spacing w:after="0"/>
              <w:jc w:val="center"/>
            </w:pPr>
            <w:r>
              <w:t>Demographic description</w:t>
            </w:r>
          </w:p>
        </w:tc>
        <w:tc>
          <w:tcPr>
            <w:tcW w:w="2268" w:type="dxa"/>
            <w:tcBorders>
              <w:top w:val="nil"/>
              <w:bottom w:val="single" w:sz="18" w:space="0" w:color="142E3B" w:themeColor="accent6"/>
            </w:tcBorders>
            <w:shd w:val="clear" w:color="auto" w:fill="20B9A3" w:themeFill="accent1"/>
            <w:vAlign w:val="center"/>
          </w:tcPr>
          <w:p w14:paraId="20002A3F" w14:textId="61E83639" w:rsidR="007E42B7" w:rsidRDefault="007E42B7">
            <w:pPr>
              <w:pStyle w:val="TableHeading"/>
              <w:spacing w:after="0"/>
              <w:jc w:val="center"/>
            </w:pPr>
            <w:r>
              <w:t>Percentage</w:t>
            </w:r>
            <w:r w:rsidRPr="00F44AB3">
              <w:t xml:space="preserve"> (%)</w:t>
            </w:r>
          </w:p>
        </w:tc>
      </w:tr>
      <w:tr w:rsidR="007E42B7" w14:paraId="21EECAFA" w14:textId="77777777" w:rsidTr="001D1BDE">
        <w:tc>
          <w:tcPr>
            <w:tcW w:w="3544" w:type="dxa"/>
            <w:tcBorders>
              <w:top w:val="single" w:sz="18" w:space="0" w:color="142E3B" w:themeColor="accent6"/>
            </w:tcBorders>
            <w:shd w:val="clear" w:color="auto" w:fill="auto"/>
          </w:tcPr>
          <w:p w14:paraId="02121C28" w14:textId="31ED4BDF" w:rsidR="007E42B7" w:rsidRPr="00D05ADD" w:rsidRDefault="007E42B7" w:rsidP="007E42B7">
            <w:pPr>
              <w:pStyle w:val="TableTextLeftAligned"/>
              <w:spacing w:after="0"/>
              <w:rPr>
                <w:szCs w:val="20"/>
              </w:rPr>
            </w:pPr>
            <w:r w:rsidRPr="004D537E">
              <w:t>Priority cohort</w:t>
            </w:r>
          </w:p>
        </w:tc>
        <w:tc>
          <w:tcPr>
            <w:tcW w:w="2268" w:type="dxa"/>
            <w:tcBorders>
              <w:top w:val="single" w:sz="18" w:space="0" w:color="142E3B" w:themeColor="accent6"/>
            </w:tcBorders>
          </w:tcPr>
          <w:p w14:paraId="0BCEEEA5" w14:textId="601ED9AF" w:rsidR="007E42B7" w:rsidRPr="00D05ADD" w:rsidRDefault="007E42B7" w:rsidP="007E42B7">
            <w:pPr>
              <w:pStyle w:val="TableTextRightAligned"/>
              <w:spacing w:after="0"/>
              <w:jc w:val="center"/>
              <w:rPr>
                <w:szCs w:val="20"/>
              </w:rPr>
            </w:pPr>
            <w:r w:rsidRPr="004D537E">
              <w:t>51%</w:t>
            </w:r>
          </w:p>
        </w:tc>
      </w:tr>
      <w:tr w:rsidR="007E42B7" w14:paraId="3020C5B1" w14:textId="77777777" w:rsidTr="001D1BDE">
        <w:tc>
          <w:tcPr>
            <w:tcW w:w="3544" w:type="dxa"/>
            <w:shd w:val="clear" w:color="auto" w:fill="auto"/>
          </w:tcPr>
          <w:p w14:paraId="60EDAB6D" w14:textId="3A388579" w:rsidR="007E42B7" w:rsidRPr="00D05ADD" w:rsidRDefault="007E42B7" w:rsidP="007E42B7">
            <w:pPr>
              <w:pStyle w:val="TableTextLeftAligned"/>
              <w:spacing w:after="0"/>
              <w:rPr>
                <w:szCs w:val="20"/>
              </w:rPr>
            </w:pPr>
            <w:r w:rsidRPr="004D537E">
              <w:t>Aged over 60 years</w:t>
            </w:r>
          </w:p>
        </w:tc>
        <w:tc>
          <w:tcPr>
            <w:tcW w:w="2268" w:type="dxa"/>
          </w:tcPr>
          <w:p w14:paraId="18D66B8D" w14:textId="25655185" w:rsidR="007E42B7" w:rsidRPr="00D05ADD" w:rsidRDefault="007E42B7" w:rsidP="007E42B7">
            <w:pPr>
              <w:pStyle w:val="TableTextRightAligned"/>
              <w:spacing w:after="0"/>
              <w:jc w:val="center"/>
              <w:rPr>
                <w:szCs w:val="20"/>
              </w:rPr>
            </w:pPr>
            <w:r w:rsidRPr="004D537E">
              <w:t>44%</w:t>
            </w:r>
          </w:p>
        </w:tc>
      </w:tr>
      <w:tr w:rsidR="007E42B7" w14:paraId="623B5B54" w14:textId="77777777" w:rsidTr="001D1BDE">
        <w:tc>
          <w:tcPr>
            <w:tcW w:w="3544" w:type="dxa"/>
            <w:shd w:val="clear" w:color="auto" w:fill="auto"/>
          </w:tcPr>
          <w:p w14:paraId="115C9D82" w14:textId="3AF517A2" w:rsidR="007E42B7" w:rsidRPr="00D05ADD" w:rsidRDefault="007E42B7" w:rsidP="007E42B7">
            <w:pPr>
              <w:pStyle w:val="TableTextLeftAligned"/>
              <w:spacing w:after="0"/>
              <w:rPr>
                <w:rFonts w:cstheme="minorHAnsi"/>
                <w:color w:val="000000"/>
                <w:szCs w:val="20"/>
              </w:rPr>
            </w:pPr>
            <w:r w:rsidRPr="004D537E">
              <w:t>Immunocompromised</w:t>
            </w:r>
          </w:p>
        </w:tc>
        <w:tc>
          <w:tcPr>
            <w:tcW w:w="2268" w:type="dxa"/>
          </w:tcPr>
          <w:p w14:paraId="29133DEC" w14:textId="67988428" w:rsidR="007E42B7" w:rsidRPr="00D05ADD" w:rsidRDefault="007E42B7" w:rsidP="007E42B7">
            <w:pPr>
              <w:pStyle w:val="TableTextRightAligned"/>
              <w:spacing w:after="0"/>
              <w:jc w:val="center"/>
              <w:rPr>
                <w:rFonts w:cstheme="minorHAnsi"/>
                <w:color w:val="000000"/>
                <w:szCs w:val="20"/>
              </w:rPr>
            </w:pPr>
            <w:r w:rsidRPr="004D537E">
              <w:t>5%</w:t>
            </w:r>
          </w:p>
        </w:tc>
      </w:tr>
      <w:tr w:rsidR="007E42B7" w14:paraId="3BD40701" w14:textId="77777777" w:rsidTr="001D1BDE">
        <w:tc>
          <w:tcPr>
            <w:tcW w:w="3544" w:type="dxa"/>
            <w:shd w:val="clear" w:color="auto" w:fill="auto"/>
          </w:tcPr>
          <w:p w14:paraId="4A85CB49" w14:textId="6112D85B" w:rsidR="007E42B7" w:rsidRPr="00D05ADD" w:rsidRDefault="007E42B7" w:rsidP="007E42B7">
            <w:pPr>
              <w:pStyle w:val="TableTextLeftAligned"/>
              <w:spacing w:after="0"/>
              <w:rPr>
                <w:rFonts w:cstheme="minorHAnsi"/>
                <w:color w:val="000000"/>
                <w:szCs w:val="20"/>
              </w:rPr>
            </w:pPr>
            <w:r w:rsidRPr="004D537E">
              <w:t>CALD status</w:t>
            </w:r>
          </w:p>
        </w:tc>
        <w:tc>
          <w:tcPr>
            <w:tcW w:w="2268" w:type="dxa"/>
          </w:tcPr>
          <w:p w14:paraId="09D497E6" w14:textId="2B03157E" w:rsidR="007E42B7" w:rsidRPr="00D05ADD" w:rsidRDefault="007E42B7" w:rsidP="007E42B7">
            <w:pPr>
              <w:pStyle w:val="TableTextRightAligned"/>
              <w:spacing w:after="0"/>
              <w:jc w:val="center"/>
              <w:rPr>
                <w:rFonts w:cstheme="minorHAnsi"/>
                <w:color w:val="000000"/>
                <w:szCs w:val="20"/>
              </w:rPr>
            </w:pPr>
            <w:r w:rsidRPr="004D537E">
              <w:t>2%</w:t>
            </w:r>
          </w:p>
        </w:tc>
      </w:tr>
      <w:tr w:rsidR="007E42B7" w14:paraId="4DE5BF7C" w14:textId="77777777" w:rsidTr="001D1BDE">
        <w:tc>
          <w:tcPr>
            <w:tcW w:w="3544" w:type="dxa"/>
            <w:shd w:val="clear" w:color="auto" w:fill="auto"/>
          </w:tcPr>
          <w:p w14:paraId="52D94101" w14:textId="305C54F9" w:rsidR="007E42B7" w:rsidRPr="00D05ADD" w:rsidRDefault="007E42B7" w:rsidP="007E42B7">
            <w:pPr>
              <w:pStyle w:val="TableTextLeftAligned"/>
              <w:spacing w:after="0"/>
              <w:rPr>
                <w:rFonts w:cstheme="minorHAnsi"/>
                <w:color w:val="000000"/>
                <w:szCs w:val="20"/>
              </w:rPr>
            </w:pPr>
            <w:r w:rsidRPr="004D537E">
              <w:t>Had a disability</w:t>
            </w:r>
          </w:p>
        </w:tc>
        <w:tc>
          <w:tcPr>
            <w:tcW w:w="2268" w:type="dxa"/>
          </w:tcPr>
          <w:p w14:paraId="739FA0B9" w14:textId="613491E6" w:rsidR="007E42B7" w:rsidRPr="00D05ADD" w:rsidRDefault="007E42B7" w:rsidP="007E42B7">
            <w:pPr>
              <w:pStyle w:val="TableTextRightAligned"/>
              <w:spacing w:after="0"/>
              <w:jc w:val="center"/>
              <w:rPr>
                <w:rFonts w:cstheme="minorHAnsi"/>
                <w:color w:val="000000"/>
                <w:szCs w:val="20"/>
              </w:rPr>
            </w:pPr>
            <w:r w:rsidRPr="004D537E">
              <w:t>2%</w:t>
            </w:r>
          </w:p>
        </w:tc>
      </w:tr>
      <w:tr w:rsidR="007E42B7" w14:paraId="2C265972" w14:textId="77777777" w:rsidTr="001D1BDE">
        <w:tc>
          <w:tcPr>
            <w:tcW w:w="3544" w:type="dxa"/>
            <w:shd w:val="clear" w:color="auto" w:fill="auto"/>
          </w:tcPr>
          <w:p w14:paraId="313ED605" w14:textId="38CDFC4C" w:rsidR="007E42B7" w:rsidRPr="00D05ADD" w:rsidRDefault="007E42B7" w:rsidP="007E42B7">
            <w:pPr>
              <w:pStyle w:val="TableTextLeftAligned"/>
              <w:spacing w:after="0"/>
              <w:rPr>
                <w:rFonts w:cstheme="minorHAnsi"/>
                <w:color w:val="000000"/>
                <w:szCs w:val="20"/>
              </w:rPr>
            </w:pPr>
            <w:r w:rsidRPr="004D537E">
              <w:t>Were carers</w:t>
            </w:r>
          </w:p>
        </w:tc>
        <w:tc>
          <w:tcPr>
            <w:tcW w:w="2268" w:type="dxa"/>
          </w:tcPr>
          <w:p w14:paraId="52A557CE" w14:textId="5154BDFC" w:rsidR="007E42B7" w:rsidRPr="00D05ADD" w:rsidRDefault="007E42B7" w:rsidP="007E42B7">
            <w:pPr>
              <w:pStyle w:val="TableTextRightAligned"/>
              <w:spacing w:after="0"/>
              <w:jc w:val="center"/>
              <w:rPr>
                <w:rFonts w:cstheme="minorHAnsi"/>
                <w:color w:val="000000"/>
                <w:szCs w:val="20"/>
              </w:rPr>
            </w:pPr>
            <w:r w:rsidRPr="004D537E">
              <w:t>2%</w:t>
            </w:r>
          </w:p>
        </w:tc>
      </w:tr>
      <w:tr w:rsidR="007E42B7" w14:paraId="45F3AA77" w14:textId="77777777" w:rsidTr="001D1BDE">
        <w:tc>
          <w:tcPr>
            <w:tcW w:w="3544" w:type="dxa"/>
            <w:shd w:val="clear" w:color="auto" w:fill="auto"/>
          </w:tcPr>
          <w:p w14:paraId="28608870" w14:textId="3B09463D" w:rsidR="007E42B7" w:rsidRPr="00D05ADD" w:rsidRDefault="007E42B7" w:rsidP="007E42B7">
            <w:pPr>
              <w:pStyle w:val="TableTextLeftAligned"/>
              <w:spacing w:after="0"/>
              <w:rPr>
                <w:rFonts w:cstheme="minorHAnsi"/>
                <w:color w:val="000000"/>
                <w:szCs w:val="20"/>
              </w:rPr>
            </w:pPr>
            <w:r w:rsidRPr="004D537E">
              <w:t>First Nations people</w:t>
            </w:r>
          </w:p>
        </w:tc>
        <w:tc>
          <w:tcPr>
            <w:tcW w:w="2268" w:type="dxa"/>
          </w:tcPr>
          <w:p w14:paraId="1A5EE7EA" w14:textId="6DD855E5" w:rsidR="007E42B7" w:rsidRPr="00D05ADD" w:rsidRDefault="007E42B7" w:rsidP="007E42B7">
            <w:pPr>
              <w:pStyle w:val="TableTextRightAligned"/>
              <w:spacing w:after="0"/>
              <w:jc w:val="center"/>
              <w:rPr>
                <w:rFonts w:cstheme="minorHAnsi"/>
                <w:color w:val="000000"/>
                <w:szCs w:val="20"/>
              </w:rPr>
            </w:pPr>
            <w:r w:rsidRPr="004D537E">
              <w:t>&lt;1%</w:t>
            </w:r>
          </w:p>
        </w:tc>
      </w:tr>
      <w:tr w:rsidR="007E42B7" w14:paraId="3B23A97F" w14:textId="77777777" w:rsidTr="001D1BDE">
        <w:tc>
          <w:tcPr>
            <w:tcW w:w="3544" w:type="dxa"/>
            <w:shd w:val="clear" w:color="auto" w:fill="auto"/>
          </w:tcPr>
          <w:p w14:paraId="4CDE7EA8" w14:textId="1F6413D3" w:rsidR="007E42B7" w:rsidRPr="00D05ADD" w:rsidRDefault="007E42B7" w:rsidP="007E42B7">
            <w:pPr>
              <w:pStyle w:val="TableTextLeftAligned"/>
              <w:spacing w:after="0"/>
              <w:rPr>
                <w:rFonts w:cstheme="minorHAnsi"/>
                <w:color w:val="000000"/>
                <w:szCs w:val="20"/>
              </w:rPr>
            </w:pPr>
            <w:r w:rsidRPr="004D537E">
              <w:t>Required an interpreter</w:t>
            </w:r>
          </w:p>
        </w:tc>
        <w:tc>
          <w:tcPr>
            <w:tcW w:w="2268" w:type="dxa"/>
          </w:tcPr>
          <w:p w14:paraId="0EADC322" w14:textId="5D595334" w:rsidR="007E42B7" w:rsidRPr="00D05ADD" w:rsidRDefault="007E42B7" w:rsidP="007E42B7">
            <w:pPr>
              <w:pStyle w:val="TableTextRightAligned"/>
              <w:spacing w:after="0"/>
              <w:jc w:val="center"/>
              <w:rPr>
                <w:rFonts w:cstheme="minorHAnsi"/>
                <w:color w:val="000000"/>
                <w:szCs w:val="20"/>
              </w:rPr>
            </w:pPr>
            <w:r w:rsidRPr="004D537E">
              <w:t>&lt;1%</w:t>
            </w:r>
          </w:p>
        </w:tc>
      </w:tr>
      <w:tr w:rsidR="007E42B7" w14:paraId="7B961744" w14:textId="77777777" w:rsidTr="001D1BDE">
        <w:tc>
          <w:tcPr>
            <w:tcW w:w="3544" w:type="dxa"/>
            <w:shd w:val="clear" w:color="auto" w:fill="auto"/>
          </w:tcPr>
          <w:p w14:paraId="6E0B88EA" w14:textId="46D9CBA8" w:rsidR="007E42B7" w:rsidRPr="00D05ADD" w:rsidRDefault="007E42B7" w:rsidP="007E42B7">
            <w:pPr>
              <w:pStyle w:val="TableTextLeftAligned"/>
              <w:spacing w:after="0"/>
              <w:rPr>
                <w:rFonts w:cstheme="minorHAnsi"/>
                <w:color w:val="000000"/>
                <w:szCs w:val="20"/>
              </w:rPr>
            </w:pPr>
            <w:r w:rsidRPr="004D537E">
              <w:t>Male</w:t>
            </w:r>
          </w:p>
        </w:tc>
        <w:tc>
          <w:tcPr>
            <w:tcW w:w="2268" w:type="dxa"/>
          </w:tcPr>
          <w:p w14:paraId="4B90583E" w14:textId="2C66B6BC" w:rsidR="007E42B7" w:rsidRPr="00D05ADD" w:rsidRDefault="007E42B7" w:rsidP="007E42B7">
            <w:pPr>
              <w:pStyle w:val="TableTextRightAligned"/>
              <w:spacing w:after="0"/>
              <w:jc w:val="center"/>
              <w:rPr>
                <w:rFonts w:cstheme="minorHAnsi"/>
                <w:color w:val="000000"/>
                <w:szCs w:val="20"/>
              </w:rPr>
            </w:pPr>
            <w:r w:rsidRPr="004D537E">
              <w:t>34%</w:t>
            </w:r>
          </w:p>
        </w:tc>
      </w:tr>
      <w:tr w:rsidR="007E42B7" w14:paraId="6280F4EC" w14:textId="77777777" w:rsidTr="001D1BDE">
        <w:tc>
          <w:tcPr>
            <w:tcW w:w="3544" w:type="dxa"/>
            <w:shd w:val="clear" w:color="auto" w:fill="auto"/>
          </w:tcPr>
          <w:p w14:paraId="29E69FD4" w14:textId="7B7D27CE" w:rsidR="007E42B7" w:rsidRPr="00D05ADD" w:rsidRDefault="007E42B7" w:rsidP="007E42B7">
            <w:pPr>
              <w:pStyle w:val="TableTextLeftAligned"/>
              <w:spacing w:after="0"/>
              <w:rPr>
                <w:rFonts w:cstheme="minorHAnsi"/>
                <w:color w:val="000000"/>
                <w:szCs w:val="20"/>
              </w:rPr>
            </w:pPr>
            <w:r w:rsidRPr="004D537E">
              <w:t>Female</w:t>
            </w:r>
          </w:p>
        </w:tc>
        <w:tc>
          <w:tcPr>
            <w:tcW w:w="2268" w:type="dxa"/>
          </w:tcPr>
          <w:p w14:paraId="0F8E55DF" w14:textId="0B6CFE0E" w:rsidR="007E42B7" w:rsidRPr="00D05ADD" w:rsidRDefault="007E42B7" w:rsidP="007E42B7">
            <w:pPr>
              <w:pStyle w:val="TableTextRightAligned"/>
              <w:spacing w:after="0"/>
              <w:jc w:val="center"/>
              <w:rPr>
                <w:rFonts w:cstheme="minorHAnsi"/>
                <w:color w:val="000000"/>
                <w:szCs w:val="20"/>
              </w:rPr>
            </w:pPr>
            <w:r w:rsidRPr="004D537E">
              <w:t>52%</w:t>
            </w:r>
          </w:p>
        </w:tc>
      </w:tr>
      <w:tr w:rsidR="007E42B7" w14:paraId="308E5E01" w14:textId="77777777" w:rsidTr="001D1BDE">
        <w:tc>
          <w:tcPr>
            <w:tcW w:w="3544" w:type="dxa"/>
            <w:shd w:val="clear" w:color="auto" w:fill="auto"/>
          </w:tcPr>
          <w:p w14:paraId="693F068E" w14:textId="6F5B0812" w:rsidR="007E42B7" w:rsidRPr="00D05ADD" w:rsidRDefault="007E42B7" w:rsidP="007E42B7">
            <w:pPr>
              <w:pStyle w:val="TableTextLeftAligned"/>
              <w:spacing w:after="0"/>
              <w:rPr>
                <w:rFonts w:cstheme="minorHAnsi"/>
                <w:color w:val="000000"/>
                <w:szCs w:val="20"/>
              </w:rPr>
            </w:pPr>
            <w:r w:rsidRPr="004D537E">
              <w:t>Gender unknown</w:t>
            </w:r>
          </w:p>
        </w:tc>
        <w:tc>
          <w:tcPr>
            <w:tcW w:w="2268" w:type="dxa"/>
          </w:tcPr>
          <w:p w14:paraId="31EB7258" w14:textId="12518218" w:rsidR="007E42B7" w:rsidRPr="00D05ADD" w:rsidRDefault="007E42B7" w:rsidP="007E42B7">
            <w:pPr>
              <w:pStyle w:val="TableTextRightAligned"/>
              <w:spacing w:after="0"/>
              <w:jc w:val="center"/>
              <w:rPr>
                <w:rFonts w:cstheme="minorHAnsi"/>
                <w:color w:val="000000"/>
                <w:szCs w:val="20"/>
              </w:rPr>
            </w:pPr>
            <w:r w:rsidRPr="004D537E">
              <w:t>13%</w:t>
            </w:r>
          </w:p>
        </w:tc>
      </w:tr>
      <w:tr w:rsidR="007E42B7" w14:paraId="10FC8CB9" w14:textId="77777777" w:rsidTr="001D1BDE">
        <w:tc>
          <w:tcPr>
            <w:tcW w:w="3544" w:type="dxa"/>
            <w:shd w:val="clear" w:color="auto" w:fill="auto"/>
          </w:tcPr>
          <w:p w14:paraId="01DE154A" w14:textId="5BF88764" w:rsidR="007E42B7" w:rsidRPr="00D05ADD" w:rsidRDefault="007E42B7" w:rsidP="007E42B7">
            <w:pPr>
              <w:pStyle w:val="TableTextLeftAligned"/>
              <w:spacing w:after="0"/>
              <w:rPr>
                <w:rFonts w:cstheme="minorHAnsi"/>
                <w:color w:val="000000"/>
                <w:szCs w:val="20"/>
              </w:rPr>
            </w:pPr>
            <w:r w:rsidRPr="004D537E">
              <w:t>Lived in Victoria</w:t>
            </w:r>
          </w:p>
        </w:tc>
        <w:tc>
          <w:tcPr>
            <w:tcW w:w="2268" w:type="dxa"/>
          </w:tcPr>
          <w:p w14:paraId="3FE36092" w14:textId="686EFBC4" w:rsidR="007E42B7" w:rsidRPr="00D05ADD" w:rsidRDefault="007E42B7" w:rsidP="007E42B7">
            <w:pPr>
              <w:pStyle w:val="TableTextRightAligned"/>
              <w:spacing w:after="0"/>
              <w:jc w:val="center"/>
              <w:rPr>
                <w:rFonts w:cstheme="minorHAnsi"/>
                <w:color w:val="000000"/>
                <w:szCs w:val="20"/>
              </w:rPr>
            </w:pPr>
            <w:r w:rsidRPr="004D537E">
              <w:t>36%</w:t>
            </w:r>
          </w:p>
        </w:tc>
      </w:tr>
      <w:tr w:rsidR="007E42B7" w14:paraId="69D523D4" w14:textId="77777777" w:rsidTr="001D1BDE">
        <w:tc>
          <w:tcPr>
            <w:tcW w:w="3544" w:type="dxa"/>
            <w:shd w:val="clear" w:color="auto" w:fill="auto"/>
          </w:tcPr>
          <w:p w14:paraId="546F4F60" w14:textId="04BD7263" w:rsidR="007E42B7" w:rsidRPr="00D05ADD" w:rsidRDefault="007E42B7" w:rsidP="007E42B7">
            <w:pPr>
              <w:pStyle w:val="TableTextLeftAligned"/>
              <w:spacing w:after="0"/>
              <w:rPr>
                <w:rFonts w:cstheme="minorHAnsi"/>
                <w:color w:val="000000"/>
                <w:szCs w:val="20"/>
              </w:rPr>
            </w:pPr>
            <w:r w:rsidRPr="004D537E">
              <w:t>Lived in NSW</w:t>
            </w:r>
          </w:p>
        </w:tc>
        <w:tc>
          <w:tcPr>
            <w:tcW w:w="2268" w:type="dxa"/>
          </w:tcPr>
          <w:p w14:paraId="4D44F76E" w14:textId="72D9EDD1" w:rsidR="007E42B7" w:rsidRPr="00D05ADD" w:rsidRDefault="007E42B7" w:rsidP="007E42B7">
            <w:pPr>
              <w:pStyle w:val="TableTextRightAligned"/>
              <w:spacing w:after="0"/>
              <w:jc w:val="center"/>
              <w:rPr>
                <w:rFonts w:cstheme="minorHAnsi"/>
                <w:color w:val="000000"/>
                <w:szCs w:val="20"/>
              </w:rPr>
            </w:pPr>
            <w:r w:rsidRPr="004D537E">
              <w:t>27%</w:t>
            </w:r>
          </w:p>
        </w:tc>
      </w:tr>
      <w:tr w:rsidR="007E42B7" w14:paraId="316FFC23" w14:textId="77777777" w:rsidTr="001D1BDE">
        <w:tc>
          <w:tcPr>
            <w:tcW w:w="3544" w:type="dxa"/>
            <w:shd w:val="clear" w:color="auto" w:fill="auto"/>
          </w:tcPr>
          <w:p w14:paraId="11E552EE" w14:textId="2D85716C" w:rsidR="007E42B7" w:rsidRPr="00D05ADD" w:rsidRDefault="007E42B7" w:rsidP="007E42B7">
            <w:pPr>
              <w:pStyle w:val="TableTextLeftAligned"/>
              <w:spacing w:after="0"/>
              <w:rPr>
                <w:rFonts w:cstheme="minorHAnsi"/>
                <w:color w:val="000000"/>
                <w:szCs w:val="20"/>
              </w:rPr>
            </w:pPr>
            <w:r w:rsidRPr="004D537E">
              <w:t>Lived in SA</w:t>
            </w:r>
          </w:p>
        </w:tc>
        <w:tc>
          <w:tcPr>
            <w:tcW w:w="2268" w:type="dxa"/>
          </w:tcPr>
          <w:p w14:paraId="25AB2325" w14:textId="735D17DE" w:rsidR="007E42B7" w:rsidRPr="00D05ADD" w:rsidRDefault="007E42B7" w:rsidP="007E42B7">
            <w:pPr>
              <w:pStyle w:val="TableTextRightAligned"/>
              <w:spacing w:after="0"/>
              <w:jc w:val="center"/>
              <w:rPr>
                <w:rFonts w:cstheme="minorHAnsi"/>
                <w:color w:val="000000"/>
                <w:szCs w:val="20"/>
              </w:rPr>
            </w:pPr>
            <w:r w:rsidRPr="004D537E">
              <w:t>10%</w:t>
            </w:r>
          </w:p>
        </w:tc>
      </w:tr>
      <w:tr w:rsidR="007E42B7" w14:paraId="0AFB840B" w14:textId="77777777" w:rsidTr="001D1BDE">
        <w:tc>
          <w:tcPr>
            <w:tcW w:w="3544" w:type="dxa"/>
            <w:shd w:val="clear" w:color="auto" w:fill="auto"/>
          </w:tcPr>
          <w:p w14:paraId="79192F99" w14:textId="5569A578" w:rsidR="007E42B7" w:rsidRPr="00D05ADD" w:rsidRDefault="007E42B7" w:rsidP="007E42B7">
            <w:pPr>
              <w:pStyle w:val="TableTextLeftAligned"/>
              <w:spacing w:after="0"/>
              <w:rPr>
                <w:rFonts w:cstheme="minorHAnsi"/>
                <w:color w:val="000000"/>
                <w:szCs w:val="20"/>
              </w:rPr>
            </w:pPr>
            <w:r w:rsidRPr="004D537E">
              <w:t>Lived in QLD</w:t>
            </w:r>
          </w:p>
        </w:tc>
        <w:tc>
          <w:tcPr>
            <w:tcW w:w="2268" w:type="dxa"/>
          </w:tcPr>
          <w:p w14:paraId="56440834" w14:textId="50FDD651" w:rsidR="007E42B7" w:rsidRPr="00D05ADD" w:rsidRDefault="007E42B7" w:rsidP="007E42B7">
            <w:pPr>
              <w:pStyle w:val="TableTextRightAligned"/>
              <w:spacing w:after="0"/>
              <w:jc w:val="center"/>
              <w:rPr>
                <w:rFonts w:cstheme="minorHAnsi"/>
                <w:color w:val="000000"/>
                <w:szCs w:val="20"/>
              </w:rPr>
            </w:pPr>
            <w:r w:rsidRPr="004D537E">
              <w:t>10%</w:t>
            </w:r>
          </w:p>
        </w:tc>
      </w:tr>
      <w:tr w:rsidR="007E42B7" w14:paraId="7D1FED40" w14:textId="77777777" w:rsidTr="001D1BDE">
        <w:tc>
          <w:tcPr>
            <w:tcW w:w="3544" w:type="dxa"/>
            <w:shd w:val="clear" w:color="auto" w:fill="auto"/>
          </w:tcPr>
          <w:p w14:paraId="4D1ADE06" w14:textId="3513C694" w:rsidR="007E42B7" w:rsidRPr="00D05ADD" w:rsidRDefault="007E42B7" w:rsidP="007E42B7">
            <w:pPr>
              <w:pStyle w:val="TableTextLeftAligned"/>
              <w:spacing w:after="0"/>
              <w:rPr>
                <w:rFonts w:cstheme="minorHAnsi"/>
                <w:color w:val="000000"/>
                <w:szCs w:val="20"/>
              </w:rPr>
            </w:pPr>
            <w:r w:rsidRPr="004D537E">
              <w:t>Lived in WA</w:t>
            </w:r>
          </w:p>
        </w:tc>
        <w:tc>
          <w:tcPr>
            <w:tcW w:w="2268" w:type="dxa"/>
          </w:tcPr>
          <w:p w14:paraId="1AC47096" w14:textId="52B5FDD9" w:rsidR="007E42B7" w:rsidRPr="00D05ADD" w:rsidRDefault="007E42B7" w:rsidP="007E42B7">
            <w:pPr>
              <w:pStyle w:val="TableTextRightAligned"/>
              <w:spacing w:after="0"/>
              <w:jc w:val="center"/>
              <w:rPr>
                <w:rFonts w:cstheme="minorHAnsi"/>
                <w:color w:val="000000"/>
                <w:szCs w:val="20"/>
              </w:rPr>
            </w:pPr>
            <w:r w:rsidRPr="004D537E">
              <w:t>7%</w:t>
            </w:r>
          </w:p>
        </w:tc>
      </w:tr>
      <w:tr w:rsidR="007E42B7" w14:paraId="7E102BA6" w14:textId="77777777" w:rsidTr="001D1BDE">
        <w:tc>
          <w:tcPr>
            <w:tcW w:w="3544" w:type="dxa"/>
            <w:shd w:val="clear" w:color="auto" w:fill="auto"/>
          </w:tcPr>
          <w:p w14:paraId="744CF6C2" w14:textId="37079348" w:rsidR="007E42B7" w:rsidRPr="00D05ADD" w:rsidRDefault="00706993" w:rsidP="007E42B7">
            <w:pPr>
              <w:pStyle w:val="TableTextLeftAligned"/>
              <w:spacing w:after="0"/>
              <w:rPr>
                <w:szCs w:val="20"/>
              </w:rPr>
            </w:pPr>
            <w:r>
              <w:rPr>
                <w:szCs w:val="20"/>
              </w:rPr>
              <w:t>Lived in NT</w:t>
            </w:r>
          </w:p>
        </w:tc>
        <w:tc>
          <w:tcPr>
            <w:tcW w:w="2268" w:type="dxa"/>
          </w:tcPr>
          <w:p w14:paraId="47A35A0D" w14:textId="05408DBD" w:rsidR="007E42B7" w:rsidRPr="00D05ADD" w:rsidRDefault="00706993" w:rsidP="007E42B7">
            <w:pPr>
              <w:pStyle w:val="TableTextRightAligned"/>
              <w:spacing w:after="0"/>
              <w:jc w:val="center"/>
              <w:rPr>
                <w:szCs w:val="20"/>
              </w:rPr>
            </w:pPr>
            <w:r>
              <w:rPr>
                <w:szCs w:val="20"/>
              </w:rPr>
              <w:t>&lt;1%</w:t>
            </w:r>
          </w:p>
        </w:tc>
      </w:tr>
      <w:tr w:rsidR="007E42B7" w14:paraId="3576A83D" w14:textId="77777777" w:rsidTr="001D1BDE">
        <w:tc>
          <w:tcPr>
            <w:tcW w:w="3544" w:type="dxa"/>
            <w:tcBorders>
              <w:top w:val="single" w:sz="4" w:space="0" w:color="808080" w:themeColor="background1" w:themeShade="80"/>
              <w:bottom w:val="single" w:sz="18" w:space="0" w:color="142E3B" w:themeColor="accent6"/>
            </w:tcBorders>
            <w:shd w:val="clear" w:color="auto" w:fill="auto"/>
          </w:tcPr>
          <w:p w14:paraId="4D678D85" w14:textId="3BBABB43" w:rsidR="007E42B7" w:rsidRPr="00E96BEF" w:rsidRDefault="007E42B7" w:rsidP="007E42B7">
            <w:pPr>
              <w:pStyle w:val="TableTextLeftAligned"/>
              <w:spacing w:after="0"/>
              <w:rPr>
                <w:szCs w:val="20"/>
              </w:rPr>
            </w:pPr>
            <w:r w:rsidRPr="004D537E">
              <w:t>Lived in Tasmania</w:t>
            </w:r>
          </w:p>
        </w:tc>
        <w:tc>
          <w:tcPr>
            <w:tcW w:w="2268" w:type="dxa"/>
            <w:tcBorders>
              <w:top w:val="single" w:sz="4" w:space="0" w:color="808080" w:themeColor="background1" w:themeShade="80"/>
              <w:bottom w:val="single" w:sz="18" w:space="0" w:color="142E3B" w:themeColor="accent6"/>
            </w:tcBorders>
          </w:tcPr>
          <w:p w14:paraId="18ACF7DE" w14:textId="1F051C18" w:rsidR="007E42B7" w:rsidRPr="00E96BEF" w:rsidRDefault="007E42B7" w:rsidP="007E42B7">
            <w:pPr>
              <w:pStyle w:val="TableTextRightAligned"/>
              <w:spacing w:after="0"/>
              <w:jc w:val="center"/>
              <w:rPr>
                <w:szCs w:val="20"/>
              </w:rPr>
            </w:pPr>
            <w:r w:rsidRPr="004D537E">
              <w:t>5%</w:t>
            </w:r>
          </w:p>
        </w:tc>
      </w:tr>
    </w:tbl>
    <w:p w14:paraId="4B51A1A3" w14:textId="45E5A522" w:rsidR="00B83D14" w:rsidRDefault="00B83D14" w:rsidP="001D1BDE">
      <w:pPr>
        <w:pStyle w:val="Heading3"/>
        <w:spacing w:before="600"/>
        <w:contextualSpacing w:val="0"/>
      </w:pPr>
      <w:r>
        <w:lastRenderedPageBreak/>
        <w:t xml:space="preserve">Technical </w:t>
      </w:r>
      <w:r w:rsidRPr="008D551E">
        <w:t>A</w:t>
      </w:r>
      <w:r>
        <w:t>ppendix</w:t>
      </w:r>
    </w:p>
    <w:p w14:paraId="72BDC7AB" w14:textId="77777777" w:rsidR="0006775F" w:rsidRDefault="0006775F" w:rsidP="003068FC">
      <w:pPr>
        <w:pStyle w:val="Heading4"/>
      </w:pPr>
      <w:bookmarkStart w:id="46" w:name="_Toc144134263"/>
      <w:r>
        <w:t>Ethics</w:t>
      </w:r>
      <w:bookmarkEnd w:id="46"/>
    </w:p>
    <w:p w14:paraId="75A1DD9C" w14:textId="77777777" w:rsidR="0006775F" w:rsidRDefault="0006775F" w:rsidP="0006775F">
      <w:r>
        <w:t>This project was approved through BETA’s ethics approval process, with risk assessed by Macquarie University in accordance with the guidelines outlined in the National Statement of Ethical Conduct in Human Research. Macquarie University Ethics’ project Id:</w:t>
      </w:r>
      <w:r w:rsidRPr="004C23F1">
        <w:t xml:space="preserve"> </w:t>
      </w:r>
      <w:r>
        <w:t>12815, and Reference No: 520221281544874.</w:t>
      </w:r>
    </w:p>
    <w:p w14:paraId="11D8AF62" w14:textId="77777777" w:rsidR="00FA71A0" w:rsidRPr="00FA71A0" w:rsidRDefault="00FA71A0" w:rsidP="003068FC">
      <w:pPr>
        <w:pStyle w:val="Heading4"/>
      </w:pPr>
      <w:bookmarkStart w:id="47" w:name="_Toc144134264"/>
      <w:r w:rsidRPr="00FA71A0">
        <w:t>Data collection platforms</w:t>
      </w:r>
      <w:bookmarkEnd w:id="47"/>
    </w:p>
    <w:p w14:paraId="40CD0FB4" w14:textId="66D04334" w:rsidR="00FA71A0" w:rsidRPr="00FA71A0" w:rsidRDefault="00FA71A0" w:rsidP="00FA71A0">
      <w:r w:rsidRPr="00FA71A0">
        <w:t xml:space="preserve">A core feature of the EVA service was to limit questions asked of customers. This meant that for this evaluation, wherever possible we used data collected as part of Business As Usual (BAU) to limit the impact of EVA’s evaluation on customers. </w:t>
      </w:r>
      <w:r w:rsidR="00AE1082">
        <w:t>In particular, we used the demographic information collected as BAU instead of re-asking customers for this information.</w:t>
      </w:r>
    </w:p>
    <w:p w14:paraId="15E042B6" w14:textId="1F511B1B" w:rsidR="00FA71A0" w:rsidRPr="00FA71A0" w:rsidRDefault="00FA71A0" w:rsidP="00FA71A0">
      <w:pPr>
        <w:rPr>
          <w:rFonts w:ascii="Helvetica" w:hAnsi="Helvetica"/>
        </w:rPr>
      </w:pPr>
      <w:r w:rsidRPr="00FA71A0">
        <w:t xml:space="preserve">The EVA service </w:t>
      </w:r>
      <w:r w:rsidR="002307FA">
        <w:t>used</w:t>
      </w:r>
      <w:r w:rsidRPr="00FA71A0">
        <w:t xml:space="preserve"> two independent systems to capture customer BAU data: the CRM </w:t>
      </w:r>
      <w:r w:rsidR="007360DF">
        <w:t xml:space="preserve">(Client Relationship Management) </w:t>
      </w:r>
      <w:r w:rsidRPr="00FA71A0">
        <w:t xml:space="preserve">and a configurable Form. The CRM has been in place from EVA’s conception, and contains demographic data for all customer contacts with the EVA service. However, the CRM data fields could not be readily customised for EVA. With the uncertain and rapidly changing context of the COVID-19 pandemic and the swift development and implementation of EVA to support Australians, a readily configurable Form was introduced on 11 May 2022. This Form allowed additional data pertaining to the EVA call itself (such as the success of the EVA call, and whether the intended vaccination recipients belonged to an identified priority cohort) to be captured. Data for Survey 1 and Survey 2 were also collected using </w:t>
      </w:r>
      <w:r w:rsidR="00AE1082">
        <w:t>a</w:t>
      </w:r>
      <w:r w:rsidR="00AE1082" w:rsidRPr="00FA71A0">
        <w:t xml:space="preserve"> </w:t>
      </w:r>
      <w:r w:rsidRPr="00FA71A0">
        <w:t xml:space="preserve">Form, but were captured </w:t>
      </w:r>
      <w:r w:rsidR="00AE1082">
        <w:t>in</w:t>
      </w:r>
      <w:r w:rsidRPr="00FA71A0">
        <w:t xml:space="preserve"> separate Forms. </w:t>
      </w:r>
      <w:r w:rsidRPr="00FA71A0">
        <w:rPr>
          <w:rFonts w:ascii="Helvetica" w:hAnsi="Helvetica"/>
        </w:rPr>
        <w:t xml:space="preserve">In addition, the Qualtrics platform was used to collect the data of customers who consented to participate in Survey 2, though were not contactable by phone, and so were sent a text message with an </w:t>
      </w:r>
      <w:r w:rsidR="00F309B6" w:rsidRPr="00FA71A0">
        <w:rPr>
          <w:rFonts w:ascii="Helvetica" w:hAnsi="Helvetica"/>
        </w:rPr>
        <w:t>individuali</w:t>
      </w:r>
      <w:r w:rsidR="00F309B6">
        <w:rPr>
          <w:rFonts w:ascii="Helvetica" w:hAnsi="Helvetica"/>
        </w:rPr>
        <w:t>s</w:t>
      </w:r>
      <w:r w:rsidR="00F309B6" w:rsidRPr="00FA71A0">
        <w:rPr>
          <w:rFonts w:ascii="Helvetica" w:hAnsi="Helvetica"/>
        </w:rPr>
        <w:t xml:space="preserve">ed </w:t>
      </w:r>
      <w:r w:rsidRPr="00FA71A0">
        <w:rPr>
          <w:rFonts w:ascii="Helvetica" w:hAnsi="Helvetica"/>
        </w:rPr>
        <w:t>link.</w:t>
      </w:r>
    </w:p>
    <w:p w14:paraId="576BFD2F" w14:textId="68C3A9F3" w:rsidR="00FA71A0" w:rsidRDefault="009818C8" w:rsidP="009818C8">
      <w:r>
        <w:t>W</w:t>
      </w:r>
      <w:r w:rsidRPr="00FA71A0">
        <w:t xml:space="preserve">e were unable to successfully link data between the CRM and Forms, or between the </w:t>
      </w:r>
      <w:r w:rsidR="00AE1082">
        <w:t>survey</w:t>
      </w:r>
      <w:r w:rsidR="00AE1082" w:rsidRPr="00FA71A0">
        <w:t xml:space="preserve"> </w:t>
      </w:r>
      <w:r w:rsidRPr="00FA71A0">
        <w:t xml:space="preserve">Forms in a way that we could confidently interpret. </w:t>
      </w:r>
      <w:r>
        <w:t>This is because</w:t>
      </w:r>
      <w:r w:rsidRPr="00FA71A0">
        <w:t xml:space="preserve"> </w:t>
      </w:r>
      <w:r>
        <w:t>t</w:t>
      </w:r>
      <w:r w:rsidR="00FA71A0" w:rsidRPr="00FA71A0">
        <w:t xml:space="preserve">he base unit of analysis and the definition of ‘an EVA customer’ differed between the BAU data capture systems and between call handlers, and there was a lack of clarity around which customers’ unique identifier call handlers should record in Form data when there were multiple intended customers within a single EVA call. For instance, CRM data capture is primarily at the unit level of an individual contact per customer (where a customer can be identified) – which includes both the person contacting EVA as well as intended service recipients. Sometimes the caller and the intended recipient were equivalent, however in circumstances where someone calls EVA on behalf of another, they are distinct. It is not possible in the CRM to distinguish between an intended recipient and caller. Whereas, Forms data capture was often on the level of an EVA call, and the data contained within pertains to intended service recipients (one or multiple) involved in the call – with customers defined here more narrowly as only the service recipient/s. Call handlers differed in how they logged calls in the Forms that involved multiple recipients. Some chose to record only one of the customer’s unique identifiers for the call (and there is no way of telling whether they chose the unique identifier for the caller or service recipients), some logged multiple unique identifiers (though for the most part it was unclear which data in the MS form related to which unique identifier). </w:t>
      </w:r>
      <w:r w:rsidR="00FA71A0" w:rsidRPr="00FA71A0">
        <w:lastRenderedPageBreak/>
        <w:t>However, the Forms data did capture how many service recipients within the call for whom the call handler supported a vaccination booking appointment for.</w:t>
      </w:r>
    </w:p>
    <w:p w14:paraId="448F4038" w14:textId="2BF05F7E" w:rsidR="009818C8" w:rsidRDefault="009818C8" w:rsidP="009818C8">
      <w:r>
        <w:t xml:space="preserve">The demographic data </w:t>
      </w:r>
      <w:r w:rsidRPr="00FA71A0">
        <w:t xml:space="preserve">presented in this report </w:t>
      </w:r>
      <w:r>
        <w:t xml:space="preserve">pertains to </w:t>
      </w:r>
      <w:r w:rsidRPr="00FA71A0">
        <w:t>customers captured in the CRM</w:t>
      </w:r>
      <w:r>
        <w:t xml:space="preserve"> for whom an EVA call was scheduled. It was not possible from these data to determine whether the EVA call was ultimately successful (i.e. the call handler spoke with the customer)</w:t>
      </w:r>
      <w:r w:rsidRPr="00FA71A0">
        <w:t xml:space="preserve">, </w:t>
      </w:r>
      <w:r>
        <w:t xml:space="preserve">as this data was captured in the Form (which we were unable to reliably link). </w:t>
      </w:r>
      <w:r w:rsidR="00B8718E">
        <w:t xml:space="preserve">Form data indicated that 7,394 customers had a successful EVA call recorded against their name. </w:t>
      </w:r>
    </w:p>
    <w:p w14:paraId="576C5EA6" w14:textId="3F8C407C" w:rsidR="00B8718E" w:rsidRPr="00FA71A0" w:rsidRDefault="00B8718E" w:rsidP="009818C8">
      <w:r>
        <w:t xml:space="preserve">The inability to reliably link the CRM and Form data also meant that while we had demographic data for EVA customers during the time period when the customer surveys were in the field, we were unable to link demographic information with the customers who completed the surveys.  </w:t>
      </w:r>
    </w:p>
    <w:p w14:paraId="6E07D785" w14:textId="77777777" w:rsidR="00FA71A0" w:rsidRPr="00FA71A0" w:rsidRDefault="00FA71A0" w:rsidP="001D1BDE">
      <w:pPr>
        <w:pStyle w:val="Heading4"/>
      </w:pPr>
      <w:bookmarkStart w:id="48" w:name="_Data_cleaning_business"/>
      <w:bookmarkStart w:id="49" w:name="_Toc144134265"/>
      <w:bookmarkEnd w:id="48"/>
      <w:r w:rsidRPr="00FA71A0">
        <w:t>Data cleaning business rules</w:t>
      </w:r>
      <w:bookmarkEnd w:id="49"/>
      <w:r w:rsidRPr="00FA71A0">
        <w:t xml:space="preserve"> </w:t>
      </w:r>
    </w:p>
    <w:p w14:paraId="3DE40506" w14:textId="77777777" w:rsidR="00FA71A0" w:rsidRPr="00FA71A0" w:rsidRDefault="00FA71A0" w:rsidP="00FA71A0">
      <w:r w:rsidRPr="00FA71A0">
        <w:t>Data cleaning and analysis occurred using R. The following business case rules were applied when cleaning the data:</w:t>
      </w:r>
    </w:p>
    <w:p w14:paraId="6FA18CD2" w14:textId="0CE40ECE" w:rsidR="00FA71A0" w:rsidRPr="00FA71A0" w:rsidRDefault="00FA71A0" w:rsidP="004A131C">
      <w:pPr>
        <w:pStyle w:val="ListParagraph"/>
        <w:numPr>
          <w:ilvl w:val="0"/>
          <w:numId w:val="36"/>
        </w:numPr>
      </w:pPr>
      <w:r w:rsidRPr="00FA71A0">
        <w:t>Nonsensical data (e.g. customers state = “VICWA”) was re-coded as “NA</w:t>
      </w:r>
      <w:r w:rsidRPr="0098317A">
        <w:t>”</w:t>
      </w:r>
      <w:r w:rsidR="0098317A">
        <w:t>.</w:t>
      </w:r>
    </w:p>
    <w:p w14:paraId="23A445BC" w14:textId="13797F4E" w:rsidR="00FA71A0" w:rsidRPr="00FA71A0" w:rsidRDefault="00FA71A0" w:rsidP="004A131C">
      <w:pPr>
        <w:pStyle w:val="ListParagraph"/>
        <w:numPr>
          <w:ilvl w:val="0"/>
          <w:numId w:val="36"/>
        </w:numPr>
      </w:pPr>
      <w:r w:rsidRPr="00FA71A0">
        <w:t>Responses where the customer declined to answer or where the call handler recorded variations of “unkno</w:t>
      </w:r>
      <w:r w:rsidR="002307FA">
        <w:t xml:space="preserve">wn” </w:t>
      </w:r>
      <w:r w:rsidRPr="00FA71A0">
        <w:t>were recoded as “NA</w:t>
      </w:r>
      <w:r w:rsidRPr="00D94195">
        <w:t>”</w:t>
      </w:r>
      <w:r w:rsidR="0098317A">
        <w:t>.</w:t>
      </w:r>
    </w:p>
    <w:p w14:paraId="7013F112" w14:textId="1153D919" w:rsidR="00FA71A0" w:rsidRPr="00FA71A0" w:rsidRDefault="00FA71A0" w:rsidP="004A131C">
      <w:pPr>
        <w:pStyle w:val="ListParagraph"/>
        <w:numPr>
          <w:ilvl w:val="0"/>
          <w:numId w:val="36"/>
        </w:numPr>
      </w:pPr>
      <w:r w:rsidRPr="00FA71A0">
        <w:t>Date/times were converted to a consistent format</w:t>
      </w:r>
      <w:r w:rsidR="0098317A">
        <w:t>.</w:t>
      </w:r>
    </w:p>
    <w:p w14:paraId="48142D16" w14:textId="6EAE43CB" w:rsidR="00FA71A0" w:rsidRPr="00FA71A0" w:rsidRDefault="00FA71A0" w:rsidP="004A131C">
      <w:pPr>
        <w:pStyle w:val="ListParagraph"/>
        <w:numPr>
          <w:ilvl w:val="0"/>
          <w:numId w:val="36"/>
        </w:numPr>
      </w:pPr>
      <w:r w:rsidRPr="00FA71A0">
        <w:t>When data was clearly identifiable as correct, but was recorded in the wrong field, we moved the data into the correct field</w:t>
      </w:r>
      <w:r w:rsidR="0098317A">
        <w:t>.</w:t>
      </w:r>
    </w:p>
    <w:p w14:paraId="49126E0C" w14:textId="77777777" w:rsidR="00FA71A0" w:rsidRPr="00FA71A0" w:rsidRDefault="00FA71A0" w:rsidP="004A131C">
      <w:pPr>
        <w:pStyle w:val="ListParagraph"/>
        <w:numPr>
          <w:ilvl w:val="0"/>
          <w:numId w:val="36"/>
        </w:numPr>
      </w:pPr>
      <w:r w:rsidRPr="00FA71A0">
        <w:t>For observations where two different columns had inconsistent values, we updated one of the columns to ensure consistency. For example, if call back success was ‘Yes’ then we set the variable interaction type to be ‘EVA call’.</w:t>
      </w:r>
    </w:p>
    <w:p w14:paraId="6314A005" w14:textId="206FA082" w:rsidR="00FA71A0" w:rsidRPr="00FA71A0" w:rsidRDefault="0098317A" w:rsidP="004A131C">
      <w:pPr>
        <w:pStyle w:val="ListParagraph"/>
        <w:numPr>
          <w:ilvl w:val="0"/>
          <w:numId w:val="36"/>
        </w:numPr>
      </w:pPr>
      <w:r>
        <w:t>C</w:t>
      </w:r>
      <w:r w:rsidR="00FA71A0" w:rsidRPr="00D94195">
        <w:t>ustomer</w:t>
      </w:r>
      <w:r w:rsidR="00FA71A0" w:rsidRPr="00FA71A0">
        <w:t xml:space="preserve"> unique identifier numbers</w:t>
      </w:r>
      <w:r>
        <w:t>:</w:t>
      </w:r>
      <w:r w:rsidR="00FA71A0" w:rsidRPr="00FA71A0">
        <w:t xml:space="preserve"> </w:t>
      </w:r>
    </w:p>
    <w:p w14:paraId="294BBB9B" w14:textId="77777777" w:rsidR="00FA71A0" w:rsidRPr="00FA71A0" w:rsidRDefault="00FA71A0" w:rsidP="004A131C">
      <w:pPr>
        <w:pStyle w:val="ListParagraph"/>
        <w:numPr>
          <w:ilvl w:val="1"/>
          <w:numId w:val="36"/>
        </w:numPr>
      </w:pPr>
      <w:r w:rsidRPr="00FA71A0">
        <w:t>We first created a separate row for each unique identifier number for the observations where there were multiple unique identifier numbers in a single row.</w:t>
      </w:r>
    </w:p>
    <w:p w14:paraId="5968F057" w14:textId="77777777" w:rsidR="00FA71A0" w:rsidRPr="00FA71A0" w:rsidRDefault="00FA71A0" w:rsidP="004A131C">
      <w:pPr>
        <w:pStyle w:val="ListParagraph"/>
        <w:numPr>
          <w:ilvl w:val="1"/>
          <w:numId w:val="36"/>
        </w:numPr>
      </w:pPr>
      <w:r w:rsidRPr="00FA71A0">
        <w:t>Where the same unique identifier number appeared in more than one row, we combined data to form a single row. For example, we combined free text responses into a single response, and we updated the column ‘How many people were they booking for’ to be the maximum of this quantity in each row.</w:t>
      </w:r>
    </w:p>
    <w:p w14:paraId="29D91AF0" w14:textId="77777777" w:rsidR="00FA71A0" w:rsidRPr="00FA71A0" w:rsidRDefault="00FA71A0" w:rsidP="004A131C">
      <w:pPr>
        <w:pStyle w:val="ListParagraph"/>
        <w:numPr>
          <w:ilvl w:val="1"/>
          <w:numId w:val="36"/>
        </w:numPr>
      </w:pPr>
      <w:r w:rsidRPr="00FA71A0">
        <w:t xml:space="preserve">Customers who had a successful EVA call were identified as ‘Vaccination supported’ when the identified purpose of the call was “Vaccine or booster booking” AND they were identified as being eligible for the vaccine (in any row for that customer). All other customers who had a successful call (in any row) were categorised as receiving ‘Information only’. </w:t>
      </w:r>
    </w:p>
    <w:p w14:paraId="08EB4128" w14:textId="77777777" w:rsidR="00FA71A0" w:rsidRPr="00FA71A0" w:rsidRDefault="00FA71A0" w:rsidP="004A131C">
      <w:pPr>
        <w:pStyle w:val="ListParagraph"/>
        <w:numPr>
          <w:ilvl w:val="0"/>
          <w:numId w:val="36"/>
        </w:numPr>
      </w:pPr>
      <w:r w:rsidRPr="00FA71A0">
        <w:t xml:space="preserve">To identify callers booking for family or friends, we analysed the ‘Who was booking for’ column and classified callers based on semantically related words. Similarly, we used the ‘Priority Cohort’ column to identify semantically related cohorts. </w:t>
      </w:r>
    </w:p>
    <w:p w14:paraId="41C7A46D" w14:textId="21B8BF72" w:rsidR="00B83D14" w:rsidRPr="00B83D14" w:rsidRDefault="00B83D14" w:rsidP="00B83D14">
      <w:pPr>
        <w:pStyle w:val="Heading4"/>
      </w:pPr>
      <w:r w:rsidRPr="00B83D14">
        <w:lastRenderedPageBreak/>
        <w:t>Training for EVA call handlers to administer Survey 1 and 2</w:t>
      </w:r>
      <w:bookmarkEnd w:id="45"/>
      <w:r w:rsidRPr="00B83D14">
        <w:t xml:space="preserve"> </w:t>
      </w:r>
    </w:p>
    <w:p w14:paraId="22FBB7E6" w14:textId="77777777" w:rsidR="00B83D14" w:rsidRDefault="00B83D14" w:rsidP="00B83D14">
      <w:r w:rsidRPr="00B83D14">
        <w:t>Staff from BETA and Healthdirect Australia created and presented training materials to EVA call handlers in the week prior to the launch of the Surveys in the field. The training aimed to assist call handlers to administer the Surveys and record data with fidelity. This training was recorded and distributed to call handlers for subsequent reference. Call handlers were encouraged to reach out to the researchers if they had further questions.</w:t>
      </w:r>
    </w:p>
    <w:p w14:paraId="2CEA6D97" w14:textId="77777777" w:rsidR="007E42B7" w:rsidRDefault="007E42B7" w:rsidP="001D1BDE">
      <w:pPr>
        <w:pStyle w:val="Heading4"/>
      </w:pPr>
      <w:r>
        <w:t>Pilot survey</w:t>
      </w:r>
    </w:p>
    <w:p w14:paraId="387B0C21" w14:textId="1410E9F4" w:rsidR="007E42B7" w:rsidRDefault="00D94195" w:rsidP="007E42B7">
      <w:pPr>
        <w:rPr>
          <w:rFonts w:ascii="Helvetica" w:eastAsiaTheme="minorEastAsia" w:hAnsi="Helvetica" w:cstheme="minorBidi"/>
          <w:color w:val="000000"/>
          <w:kern w:val="24"/>
          <w:szCs w:val="20"/>
        </w:rPr>
      </w:pPr>
      <w:r>
        <w:rPr>
          <w:rFonts w:ascii="Helvetica" w:eastAsiaTheme="minorEastAsia" w:hAnsi="Helvetica" w:cstheme="minorBidi"/>
          <w:color w:val="000000" w:themeColor="text1"/>
          <w:kern w:val="24"/>
          <w:szCs w:val="20"/>
        </w:rPr>
        <w:t>F</w:t>
      </w:r>
      <w:r w:rsidR="007E42B7" w:rsidRPr="007F7E2A">
        <w:rPr>
          <w:rFonts w:ascii="Helvetica" w:eastAsiaTheme="minorEastAsia" w:hAnsi="Helvetica" w:cstheme="minorBidi"/>
          <w:color w:val="000000" w:themeColor="text1"/>
          <w:kern w:val="24"/>
          <w:szCs w:val="20"/>
        </w:rPr>
        <w:t xml:space="preserve">rom </w:t>
      </w:r>
      <w:r w:rsidR="007E42B7" w:rsidRPr="001D0D24">
        <w:rPr>
          <w:rFonts w:ascii="Helvetica" w:eastAsiaTheme="minorEastAsia" w:hAnsi="Helvetica" w:cstheme="minorBidi"/>
          <w:color w:val="000000" w:themeColor="text1"/>
          <w:kern w:val="24"/>
          <w:szCs w:val="20"/>
        </w:rPr>
        <w:t xml:space="preserve">1 February </w:t>
      </w:r>
      <w:r w:rsidR="007E42B7" w:rsidRPr="007F7E2A">
        <w:rPr>
          <w:rFonts w:ascii="Helvetica" w:eastAsiaTheme="minorEastAsia" w:hAnsi="Helvetica" w:cstheme="minorBidi"/>
          <w:color w:val="000000" w:themeColor="text1"/>
          <w:kern w:val="24"/>
          <w:szCs w:val="20"/>
        </w:rPr>
        <w:t xml:space="preserve">to </w:t>
      </w:r>
      <w:r w:rsidR="007E42B7" w:rsidRPr="001D0D24">
        <w:rPr>
          <w:rFonts w:ascii="Helvetica" w:eastAsiaTheme="minorEastAsia" w:hAnsi="Helvetica" w:cstheme="minorBidi"/>
          <w:color w:val="000000" w:themeColor="text1"/>
          <w:kern w:val="24"/>
          <w:szCs w:val="20"/>
        </w:rPr>
        <w:t>19 February 2023</w:t>
      </w:r>
      <w:r w:rsidR="007E42B7">
        <w:rPr>
          <w:rFonts w:ascii="Helvetica" w:eastAsiaTheme="minorEastAsia" w:hAnsi="Helvetica" w:cstheme="minorBidi"/>
          <w:color w:val="000000" w:themeColor="text1"/>
          <w:kern w:val="24"/>
          <w:szCs w:val="20"/>
        </w:rPr>
        <w:t xml:space="preserve"> </w:t>
      </w:r>
      <w:r w:rsidR="007E42B7" w:rsidRPr="00E2596F">
        <w:rPr>
          <w:rFonts w:ascii="Helvetica" w:eastAsiaTheme="minorEastAsia" w:hAnsi="Helvetica" w:cstheme="minorBidi"/>
          <w:color w:val="000000"/>
          <w:kern w:val="24"/>
          <w:szCs w:val="20"/>
        </w:rPr>
        <w:t>the survey</w:t>
      </w:r>
      <w:r w:rsidR="007E42B7">
        <w:rPr>
          <w:rFonts w:ascii="Helvetica" w:eastAsiaTheme="minorEastAsia" w:hAnsi="Helvetica" w:cstheme="minorBidi"/>
          <w:color w:val="000000"/>
          <w:kern w:val="24"/>
          <w:szCs w:val="20"/>
        </w:rPr>
        <w:t>s in the field functioned as</w:t>
      </w:r>
      <w:r w:rsidR="007E42B7" w:rsidRPr="00E2596F">
        <w:rPr>
          <w:rFonts w:ascii="Helvetica" w:eastAsiaTheme="minorEastAsia" w:hAnsi="Helvetica" w:cstheme="minorBidi"/>
          <w:color w:val="000000"/>
          <w:kern w:val="24"/>
          <w:szCs w:val="20"/>
        </w:rPr>
        <w:t xml:space="preserve"> a pilot. At the end of the pilot, </w:t>
      </w:r>
      <w:r w:rsidR="007E42B7">
        <w:rPr>
          <w:rFonts w:ascii="Helvetica" w:eastAsiaTheme="minorEastAsia" w:hAnsi="Helvetica" w:cstheme="minorBidi"/>
          <w:color w:val="000000"/>
          <w:kern w:val="24"/>
          <w:szCs w:val="20"/>
        </w:rPr>
        <w:t>BETA staff</w:t>
      </w:r>
      <w:r>
        <w:rPr>
          <w:rFonts w:ascii="Helvetica" w:eastAsiaTheme="minorEastAsia" w:hAnsi="Helvetica" w:cstheme="minorBidi"/>
          <w:color w:val="000000"/>
          <w:kern w:val="24"/>
          <w:szCs w:val="20"/>
        </w:rPr>
        <w:t>:</w:t>
      </w:r>
      <w:r w:rsidR="007E42B7" w:rsidRPr="00E2596F">
        <w:rPr>
          <w:rFonts w:ascii="Helvetica" w:eastAsiaTheme="minorEastAsia" w:hAnsi="Helvetica" w:cstheme="minorBidi"/>
          <w:color w:val="000000"/>
          <w:kern w:val="24"/>
          <w:szCs w:val="20"/>
        </w:rPr>
        <w:t xml:space="preserve"> </w:t>
      </w:r>
    </w:p>
    <w:p w14:paraId="638D1265" w14:textId="3B1DBF77" w:rsidR="007E42B7" w:rsidRPr="00BC559D" w:rsidRDefault="00D94195" w:rsidP="004A131C">
      <w:pPr>
        <w:pStyle w:val="ListParagraph"/>
        <w:numPr>
          <w:ilvl w:val="0"/>
          <w:numId w:val="36"/>
        </w:numPr>
      </w:pPr>
      <w:r w:rsidRPr="004A131C">
        <w:t>E</w:t>
      </w:r>
      <w:r w:rsidR="007E42B7" w:rsidRPr="004A131C">
        <w:t>xamined</w:t>
      </w:r>
      <w:r w:rsidR="007E42B7" w:rsidRPr="004A131C">
        <w:rPr>
          <w:rFonts w:eastAsiaTheme="minorEastAsia"/>
        </w:rPr>
        <w:t xml:space="preserve"> data from the open responses to identify whether response options could be created (for easier data collection and analysis). Participants’ responses to these questions varied too widely to create response option sets that were operationally viable. As such, customers’ responses to these questions were analysed using the qualitative methodology as outlined in the ‘</w:t>
      </w:r>
      <w:hyperlink w:anchor="_Qualitative_methodology" w:history="1">
        <w:r w:rsidR="007E42B7" w:rsidRPr="004A131C">
          <w:rPr>
            <w:rFonts w:eastAsiaTheme="minorEastAsia"/>
          </w:rPr>
          <w:t>Qualitative methodology</w:t>
        </w:r>
      </w:hyperlink>
      <w:r w:rsidR="007E42B7" w:rsidRPr="004A131C">
        <w:rPr>
          <w:rFonts w:eastAsiaTheme="minorEastAsia"/>
        </w:rPr>
        <w:t>’ section within this technical appendix.</w:t>
      </w:r>
    </w:p>
    <w:p w14:paraId="3607A6AD" w14:textId="1A27582A" w:rsidR="007E42B7" w:rsidRPr="00BC559D" w:rsidRDefault="00D94195" w:rsidP="004A131C">
      <w:pPr>
        <w:pStyle w:val="ListParagraph"/>
        <w:numPr>
          <w:ilvl w:val="0"/>
          <w:numId w:val="36"/>
        </w:numPr>
      </w:pPr>
      <w:r w:rsidRPr="004A131C">
        <w:t>S</w:t>
      </w:r>
      <w:r w:rsidR="007E42B7" w:rsidRPr="004A131C">
        <w:t>ought</w:t>
      </w:r>
      <w:r w:rsidR="007E42B7" w:rsidRPr="004A131C">
        <w:rPr>
          <w:rFonts w:eastAsiaTheme="minorEastAsia"/>
        </w:rPr>
        <w:t xml:space="preserve"> call handler feedback as to the flow of customer experience to determine if revision to the questions or process was required. Call handlers noted that</w:t>
      </w:r>
      <w:r w:rsidRPr="004A131C">
        <w:t>:</w:t>
      </w:r>
      <w:r w:rsidR="007E42B7" w:rsidRPr="004A131C">
        <w:rPr>
          <w:rFonts w:eastAsiaTheme="minorEastAsia"/>
        </w:rPr>
        <w:t xml:space="preserve"> </w:t>
      </w:r>
    </w:p>
    <w:p w14:paraId="5E920999" w14:textId="77777777" w:rsidR="007E42B7" w:rsidRPr="00BC559D" w:rsidRDefault="007E42B7" w:rsidP="004A131C">
      <w:pPr>
        <w:pStyle w:val="ListParagraph"/>
        <w:numPr>
          <w:ilvl w:val="1"/>
          <w:numId w:val="36"/>
        </w:numPr>
      </w:pPr>
      <w:r w:rsidRPr="004A131C">
        <w:rPr>
          <w:rFonts w:eastAsiaTheme="minorEastAsia"/>
        </w:rPr>
        <w:t xml:space="preserve">Survey 1 was taking longer than originally predicted, and that for most customers, they were asking the additional follow-up questions. As such, the initial blurb for Survey 1 was updated from “We’d like to ask you 5 questions about your experience finding the right health services for you. It should take no more than 3 minutes. Is it okay if you stay on the line to answer these questions right now“ to “We’d like to ask you 8 questions about your experience finding the right health services for you. It should take around 4 to 8 minutes. Is it okay if you stay on the line to answer these questions right now?”  </w:t>
      </w:r>
    </w:p>
    <w:p w14:paraId="238708C0" w14:textId="7AC1FF28" w:rsidR="007E42B7" w:rsidRPr="00BC559D" w:rsidRDefault="00D94195" w:rsidP="004A131C">
      <w:pPr>
        <w:pStyle w:val="ListParagraph"/>
        <w:numPr>
          <w:ilvl w:val="1"/>
          <w:numId w:val="36"/>
        </w:numPr>
      </w:pPr>
      <w:r w:rsidRPr="004A131C">
        <w:t>S</w:t>
      </w:r>
      <w:r w:rsidR="007E42B7" w:rsidRPr="004A131C">
        <w:t>ome</w:t>
      </w:r>
      <w:r w:rsidR="007E42B7" w:rsidRPr="004A131C">
        <w:rPr>
          <w:rFonts w:eastAsiaTheme="minorEastAsia"/>
        </w:rPr>
        <w:t xml:space="preserve"> customers would benefit from greater context for Survey 1 question 1 to assist them to understand that the first question was about their access to health services more generally. As such, question 1 was re-worded from “How easy or hard is it for you to find the right service for your general health needs?“ to “Before I ask you about the service you received from us today, in general, how easy or hard is it for you to find the right service for your health needs, for example finding and booking a GP appointment?”. For this question, pilot data was removed for the final analysis. </w:t>
      </w:r>
    </w:p>
    <w:p w14:paraId="0E67833F" w14:textId="77777777" w:rsidR="007E42B7" w:rsidRDefault="007E42B7" w:rsidP="007E42B7">
      <w:pPr>
        <w:rPr>
          <w:szCs w:val="20"/>
        </w:rPr>
      </w:pPr>
      <w:r>
        <w:rPr>
          <w:szCs w:val="20"/>
        </w:rPr>
        <w:t xml:space="preserve">In addition, during the pilot, customers were asked whether they had tried alternatives before they were asked why they chose to use EVA. However, pilot data indicated that an unexpectedly high number of customers reported having tried alternatives prior to contacting EVA, and were subsequently responding that this was the reason why they chose to use EVA. To ensure that participants responses to the question about alternatives tried was not unnecessarily restricting their responses to the ‘why EVA’ question, the order of these questions was reversed. After the pilot, customers were first asked ‘why EVA’ and were then subsequently asked the more specific questions about any alternatives they had tried prior to contacting EVA. </w:t>
      </w:r>
    </w:p>
    <w:p w14:paraId="3422C507" w14:textId="77777777" w:rsidR="007E42B7" w:rsidRPr="005F1C2A" w:rsidRDefault="007E42B7" w:rsidP="007E42B7">
      <w:pPr>
        <w:rPr>
          <w:szCs w:val="20"/>
        </w:rPr>
      </w:pPr>
      <w:r>
        <w:rPr>
          <w:szCs w:val="20"/>
        </w:rPr>
        <w:t xml:space="preserve">All other aspects of the Surveys remained the same at the end of the pilot. As such, for most of the data analyses, pilot data was included in the final analysis. </w:t>
      </w:r>
    </w:p>
    <w:p w14:paraId="34ED7FC6" w14:textId="77777777" w:rsidR="007E42B7" w:rsidRDefault="007E42B7" w:rsidP="001D1BDE">
      <w:pPr>
        <w:pStyle w:val="Heading4"/>
      </w:pPr>
      <w:r>
        <w:lastRenderedPageBreak/>
        <w:t>Survey sample size considerations</w:t>
      </w:r>
    </w:p>
    <w:p w14:paraId="164BADCB" w14:textId="2217FAAE" w:rsidR="007E42B7" w:rsidRDefault="007E42B7" w:rsidP="007E42B7">
      <w:pPr>
        <w:rPr>
          <w:rFonts w:ascii="Helvetica" w:hAnsi="Helvetica"/>
        </w:rPr>
      </w:pPr>
      <w:r w:rsidRPr="006D684F">
        <w:rPr>
          <w:rFonts w:ascii="Helvetica" w:hAnsi="Helvetica"/>
        </w:rPr>
        <w:t xml:space="preserve">For the </w:t>
      </w:r>
      <w:r>
        <w:rPr>
          <w:rFonts w:ascii="Helvetica" w:hAnsi="Helvetica"/>
        </w:rPr>
        <w:t>EVA customer surveys, our goal wa</w:t>
      </w:r>
      <w:r w:rsidRPr="006D684F">
        <w:rPr>
          <w:rFonts w:ascii="Helvetica" w:hAnsi="Helvetica"/>
        </w:rPr>
        <w:t>s to maximi</w:t>
      </w:r>
      <w:r w:rsidR="00BC37E9">
        <w:rPr>
          <w:rFonts w:ascii="Helvetica" w:hAnsi="Helvetica"/>
        </w:rPr>
        <w:t>s</w:t>
      </w:r>
      <w:r w:rsidRPr="006D684F">
        <w:rPr>
          <w:rFonts w:ascii="Helvetica" w:hAnsi="Helvetica"/>
        </w:rPr>
        <w:t>e the number of participants given time constraints. B</w:t>
      </w:r>
      <w:r>
        <w:rPr>
          <w:rFonts w:ascii="Helvetica" w:hAnsi="Helvetica"/>
        </w:rPr>
        <w:t>ased on previous</w:t>
      </w:r>
      <w:r w:rsidRPr="006D684F">
        <w:rPr>
          <w:rFonts w:ascii="Helvetica" w:hAnsi="Helvetica"/>
        </w:rPr>
        <w:t xml:space="preserve"> call volume</w:t>
      </w:r>
      <w:r>
        <w:rPr>
          <w:rFonts w:ascii="Helvetica" w:hAnsi="Helvetica"/>
        </w:rPr>
        <w:t>s</w:t>
      </w:r>
      <w:r w:rsidRPr="006D684F">
        <w:rPr>
          <w:rFonts w:ascii="Helvetica" w:hAnsi="Helvetica"/>
        </w:rPr>
        <w:t xml:space="preserve"> and the participation rate in a similar survey run</w:t>
      </w:r>
      <w:r>
        <w:rPr>
          <w:rFonts w:ascii="Helvetica" w:hAnsi="Helvetica"/>
        </w:rPr>
        <w:t xml:space="preserve"> in 2022</w:t>
      </w:r>
      <w:r w:rsidRPr="006D684F">
        <w:rPr>
          <w:rFonts w:ascii="Helvetica" w:hAnsi="Helvetica"/>
        </w:rPr>
        <w:t xml:space="preserve"> by Healthdirect </w:t>
      </w:r>
      <w:r>
        <w:rPr>
          <w:rFonts w:ascii="Helvetica" w:hAnsi="Helvetica"/>
        </w:rPr>
        <w:t xml:space="preserve">Australia </w:t>
      </w:r>
      <w:r w:rsidRPr="006D684F">
        <w:rPr>
          <w:rFonts w:ascii="Helvetica" w:hAnsi="Helvetica"/>
        </w:rPr>
        <w:t>(where participation rate = 45%), we anticipate</w:t>
      </w:r>
      <w:r>
        <w:rPr>
          <w:rFonts w:ascii="Helvetica" w:hAnsi="Helvetica"/>
        </w:rPr>
        <w:t>d</w:t>
      </w:r>
      <w:r w:rsidRPr="006D684F">
        <w:rPr>
          <w:rFonts w:ascii="Helvetica" w:hAnsi="Helvetica"/>
        </w:rPr>
        <w:t xml:space="preserve"> that we </w:t>
      </w:r>
      <w:r>
        <w:rPr>
          <w:rFonts w:ascii="Helvetica" w:hAnsi="Helvetica"/>
        </w:rPr>
        <w:t>would</w:t>
      </w:r>
      <w:r w:rsidRPr="006D684F">
        <w:rPr>
          <w:rFonts w:ascii="Helvetica" w:hAnsi="Helvetica"/>
        </w:rPr>
        <w:t xml:space="preserve"> recruit approximately 40-50 participants per week. By </w:t>
      </w:r>
      <w:r>
        <w:rPr>
          <w:rFonts w:ascii="Helvetica" w:hAnsi="Helvetica"/>
        </w:rPr>
        <w:t xml:space="preserve">recruiting survey participants </w:t>
      </w:r>
      <w:r w:rsidRPr="006D684F">
        <w:rPr>
          <w:rFonts w:ascii="Helvetica" w:hAnsi="Helvetica"/>
        </w:rPr>
        <w:t xml:space="preserve">from </w:t>
      </w:r>
      <w:r>
        <w:rPr>
          <w:rFonts w:ascii="Helvetica" w:hAnsi="Helvetica"/>
        </w:rPr>
        <w:t>1 February</w:t>
      </w:r>
      <w:r w:rsidRPr="006D684F">
        <w:rPr>
          <w:rFonts w:ascii="Helvetica" w:hAnsi="Helvetica"/>
        </w:rPr>
        <w:t xml:space="preserve"> 2023 to end April 2023</w:t>
      </w:r>
      <w:r>
        <w:rPr>
          <w:rFonts w:ascii="Helvetica" w:hAnsi="Helvetica"/>
        </w:rPr>
        <w:t xml:space="preserve"> (with Survey 2 completion before 14 May)</w:t>
      </w:r>
      <w:r w:rsidRPr="006D684F">
        <w:rPr>
          <w:rFonts w:ascii="Helvetica" w:hAnsi="Helvetica"/>
        </w:rPr>
        <w:t>, we hope</w:t>
      </w:r>
      <w:r>
        <w:rPr>
          <w:rFonts w:ascii="Helvetica" w:hAnsi="Helvetica"/>
        </w:rPr>
        <w:t>d</w:t>
      </w:r>
      <w:r w:rsidRPr="006D684F">
        <w:rPr>
          <w:rFonts w:ascii="Helvetica" w:hAnsi="Helvetica"/>
        </w:rPr>
        <w:t xml:space="preserve"> to recruit at least 500 participants.</w:t>
      </w:r>
      <w:r>
        <w:rPr>
          <w:rFonts w:ascii="Helvetica" w:hAnsi="Helvetica"/>
        </w:rPr>
        <w:t xml:space="preserve"> As our participation rates were much higher than anticipated</w:t>
      </w:r>
      <w:r w:rsidR="00BC37E9">
        <w:rPr>
          <w:rFonts w:ascii="Helvetica" w:hAnsi="Helvetica"/>
        </w:rPr>
        <w:t>.</w:t>
      </w:r>
    </w:p>
    <w:p w14:paraId="7056F692" w14:textId="5D322C3C" w:rsidR="007E42B7" w:rsidRDefault="007E42B7" w:rsidP="007E42B7">
      <w:pPr>
        <w:rPr>
          <w:rFonts w:ascii="Helvetica" w:hAnsi="Helvetica"/>
        </w:rPr>
      </w:pPr>
      <w:r>
        <w:rPr>
          <w:rFonts w:ascii="Helvetica" w:hAnsi="Helvetica"/>
        </w:rPr>
        <w:t>The primary consideration for the length of time the surveys were in the field was to ensure we captured the views of:</w:t>
      </w:r>
    </w:p>
    <w:p w14:paraId="533E3739" w14:textId="1886BA36" w:rsidR="007E42B7" w:rsidRPr="004A131C" w:rsidRDefault="00BC37E9" w:rsidP="004A131C">
      <w:pPr>
        <w:pStyle w:val="ListParagraph"/>
        <w:numPr>
          <w:ilvl w:val="0"/>
          <w:numId w:val="36"/>
        </w:numPr>
      </w:pPr>
      <w:r>
        <w:t>T</w:t>
      </w:r>
      <w:r w:rsidR="007E42B7" w:rsidRPr="004A131C">
        <w:t xml:space="preserve">hose whose wanted a vaccine prior to, or post, the release of a new booster dose. The 5th booster dose was rolled out from 20 February 2023, which meant our survey captured the views of those who were eligible for previous doses, as well as those who were immediately ready to get the 5th booster. </w:t>
      </w:r>
    </w:p>
    <w:p w14:paraId="7438B840" w14:textId="268748C3" w:rsidR="007E42B7" w:rsidRPr="004A131C" w:rsidRDefault="00BC37E9" w:rsidP="004A131C">
      <w:pPr>
        <w:pStyle w:val="ListParagraph"/>
        <w:numPr>
          <w:ilvl w:val="0"/>
          <w:numId w:val="36"/>
        </w:numPr>
      </w:pPr>
      <w:r>
        <w:t>T</w:t>
      </w:r>
      <w:r w:rsidR="007E42B7" w:rsidRPr="004A131C">
        <w:t xml:space="preserve">hose who might be prompted to get the vaccine during prior to going on holidays/public holidays, during school holidays, or during school term. Term 1 school holidays occurred during our sampling period. </w:t>
      </w:r>
    </w:p>
    <w:p w14:paraId="3F01621E" w14:textId="77777777" w:rsidR="007E42B7" w:rsidRDefault="007E42B7" w:rsidP="001D1BDE">
      <w:pPr>
        <w:pStyle w:val="Heading4"/>
      </w:pPr>
      <w:bookmarkStart w:id="50" w:name="_Qualitative_methodology"/>
      <w:bookmarkEnd w:id="50"/>
      <w:r>
        <w:t>Qualitative methodology</w:t>
      </w:r>
    </w:p>
    <w:p w14:paraId="331DDDE9" w14:textId="2A5F3EC6" w:rsidR="007E42B7" w:rsidRDefault="007E42B7" w:rsidP="007E42B7">
      <w:r>
        <w:t xml:space="preserve">To analyse responses from the two open-ended questions in Survey 1 (“Why choose EVA?” and “What would you do if EVA was not available?”) we took a subset of 178 participants data and scanned their responses to identify common themes to form the basis of our coding system. To test the coding system, we had two </w:t>
      </w:r>
      <w:r w:rsidR="0059584A">
        <w:t>staff members</w:t>
      </w:r>
      <w:r>
        <w:t xml:space="preserve"> independently rate whether each theme was present or absent in the responses of the sample of 178 participants. We then compared ratings and discussed differences to clarify the definitions and scope of each theme, and determine whether additional themes needed to be added. Of the 2500 data points examined, the raters formed a consensus for all but two data points (both within the same question/theme). As part of standard interrater reliability procedures, a 3</w:t>
      </w:r>
      <w:r>
        <w:rPr>
          <w:vertAlign w:val="superscript"/>
        </w:rPr>
        <w:t>rd</w:t>
      </w:r>
      <w:r>
        <w:t xml:space="preserve"> team member was consulted to make the final determination. One </w:t>
      </w:r>
      <w:r w:rsidR="0059584A">
        <w:t>staff members</w:t>
      </w:r>
      <w:r>
        <w:t xml:space="preserve"> subsequently rated whether each theme was present or absent in each participants’ response for the rest of the data.  For all other qualitative responses to questions in Survey 1 and 2, one </w:t>
      </w:r>
      <w:r w:rsidR="0059584A">
        <w:t xml:space="preserve">staff member </w:t>
      </w:r>
      <w:r>
        <w:t xml:space="preserve">identified and analysed themes using NVivo in consultation with a second </w:t>
      </w:r>
      <w:r w:rsidR="0059584A">
        <w:t>staff member</w:t>
      </w:r>
      <w:r>
        <w:t xml:space="preserve">. </w:t>
      </w:r>
    </w:p>
    <w:p w14:paraId="2CB7825F" w14:textId="6286DBD2" w:rsidR="001D1BDE" w:rsidRDefault="007E42B7" w:rsidP="00344F90">
      <w:pPr>
        <w:rPr>
          <w:rFonts w:asciiTheme="majorHAnsi" w:hAnsiTheme="majorHAnsi"/>
          <w:b/>
          <w:sz w:val="72"/>
          <w:szCs w:val="44"/>
        </w:rPr>
      </w:pPr>
      <w:r>
        <w:t xml:space="preserve">Themes arising from participants’ responses were identified for specific questions, as well as across questions. </w:t>
      </w:r>
      <w:r w:rsidRPr="00096AB8">
        <w:t>This was because there were some themes that occurred across all of the questions but not enough occurrences in one question to warrant a theme by itself (e.g. survey participants contacting their MP’s, emotional responses, a survey participant stating that they were from a rural or remote area).</w:t>
      </w:r>
      <w:r>
        <w:t xml:space="preserve"> For example, the NVivo Concept Mapping tool was used on responses across both surveys to identify the pathways that customers took to find and use EVA</w:t>
      </w:r>
      <w:r w:rsidR="007360DF">
        <w:t xml:space="preserve">. </w:t>
      </w:r>
      <w:r>
        <w:t xml:space="preserve"> </w:t>
      </w:r>
    </w:p>
    <w:p w14:paraId="0240BD7B" w14:textId="55E0D0CF" w:rsidR="001E6A27" w:rsidRDefault="00C67F21" w:rsidP="00191A5D">
      <w:pPr>
        <w:pStyle w:val="Heading2"/>
      </w:pPr>
      <w:bookmarkStart w:id="51" w:name="_Toc145085930"/>
      <w:bookmarkStart w:id="52" w:name="_Toc145368207"/>
      <w:bookmarkStart w:id="53" w:name="_Toc145415482"/>
      <w:bookmarkStart w:id="54" w:name="_Toc145421682"/>
      <w:bookmarkStart w:id="55" w:name="_Toc145422539"/>
      <w:r>
        <w:lastRenderedPageBreak/>
        <w:t>References</w:t>
      </w:r>
      <w:bookmarkEnd w:id="51"/>
      <w:bookmarkEnd w:id="52"/>
      <w:bookmarkEnd w:id="53"/>
      <w:bookmarkEnd w:id="54"/>
      <w:bookmarkEnd w:id="55"/>
    </w:p>
    <w:p w14:paraId="7E7E90CF" w14:textId="77777777" w:rsidR="00596204" w:rsidRDefault="00596204" w:rsidP="00596204">
      <w:r>
        <w:t>ABS (Australian Bureau of Statistics) (2011)</w:t>
      </w:r>
      <w:r w:rsidRPr="00A5168C">
        <w:t xml:space="preserve"> </w:t>
      </w:r>
      <w:hyperlink r:id="rId24" w:history="1">
        <w:r w:rsidRPr="00E0094E">
          <w:rPr>
            <w:rStyle w:val="Hyperlink"/>
            <w:i/>
            <w:iCs/>
          </w:rPr>
          <w:t>Information Paper: Me</w:t>
        </w:r>
        <w:r>
          <w:rPr>
            <w:rStyle w:val="Hyperlink"/>
            <w:i/>
            <w:iCs/>
          </w:rPr>
          <w:t xml:space="preserve">asures of Socioeconomic Status, </w:t>
        </w:r>
        <w:r w:rsidRPr="00E0094E">
          <w:rPr>
            <w:rStyle w:val="Hyperlink"/>
            <w:i/>
            <w:iCs/>
          </w:rPr>
          <w:t>New Issue for June 2011</w:t>
        </w:r>
      </w:hyperlink>
      <w:r>
        <w:t xml:space="preserve"> [Information Paper], accessed 28 May 2023.</w:t>
      </w:r>
    </w:p>
    <w:p w14:paraId="58864AE9" w14:textId="77777777" w:rsidR="00596204" w:rsidRDefault="00596204" w:rsidP="00596204">
      <w:r>
        <w:t xml:space="preserve">ABS (Australian Bureau of Statistics) (2016) </w:t>
      </w:r>
      <w:hyperlink r:id="rId25" w:history="1">
        <w:r w:rsidRPr="00E0094E">
          <w:rPr>
            <w:rStyle w:val="Hyperlink"/>
            <w:i/>
            <w:iCs/>
          </w:rPr>
          <w:t>Technical Paper: Socio-Economic Indexes for Areas (SEIFA)</w:t>
        </w:r>
      </w:hyperlink>
      <w:r>
        <w:t xml:space="preserve"> [Technical Paper], accessed 28 May 2023.</w:t>
      </w:r>
    </w:p>
    <w:p w14:paraId="32F4B445" w14:textId="77777777" w:rsidR="00596204" w:rsidRDefault="00596204" w:rsidP="00596204">
      <w:r>
        <w:t xml:space="preserve">ABS (Australian Bureau of Statistics) (2018) </w:t>
      </w:r>
      <w:hyperlink r:id="rId26" w:history="1">
        <w:r w:rsidRPr="00D001A8">
          <w:rPr>
            <w:rStyle w:val="Hyperlink"/>
          </w:rPr>
          <w:t>Postcode 2017 to Remoteness Area 2016</w:t>
        </w:r>
      </w:hyperlink>
      <w:r>
        <w:t xml:space="preserve"> [data set]. Accessed 28 May 2023.</w:t>
      </w:r>
    </w:p>
    <w:p w14:paraId="70B49CEC" w14:textId="77777777" w:rsidR="00596204" w:rsidRDefault="00596204" w:rsidP="00596204">
      <w:r>
        <w:t>ABS (Australian Bureau of Statistics) (2019) ‘</w:t>
      </w:r>
      <w:hyperlink r:id="rId27" w:history="1">
        <w:r w:rsidRPr="00E0094E">
          <w:rPr>
            <w:rStyle w:val="Hyperlink"/>
          </w:rPr>
          <w:t>National Health Survey: Health literacy</w:t>
        </w:r>
      </w:hyperlink>
      <w:r>
        <w:t>', Australia's health, ABS, Australian Government, accessed 11 July 2023.</w:t>
      </w:r>
    </w:p>
    <w:p w14:paraId="5BF4EC1D" w14:textId="77777777" w:rsidR="00596204" w:rsidRDefault="00596204" w:rsidP="00596204">
      <w:r>
        <w:t>ABS (Australian Bureau of Statistics) (2022a) ‘</w:t>
      </w:r>
      <w:hyperlink r:id="rId28" w:history="1">
        <w:r w:rsidRPr="00292314">
          <w:rPr>
            <w:rStyle w:val="Hyperlink"/>
            <w:i/>
          </w:rPr>
          <w:t>Population Census’</w:t>
        </w:r>
      </w:hyperlink>
      <w:r>
        <w:rPr>
          <w:i/>
        </w:rPr>
        <w:t xml:space="preserve">, </w:t>
      </w:r>
      <w:r>
        <w:t>ABS, Australian Government, accessed 11 July 2023.</w:t>
      </w:r>
    </w:p>
    <w:p w14:paraId="5E130168" w14:textId="77777777" w:rsidR="00596204" w:rsidRDefault="00596204" w:rsidP="00596204">
      <w:r>
        <w:t>ABS (Australian Bureau of Statistics) (2022b) ‘</w:t>
      </w:r>
      <w:hyperlink r:id="rId29" w:history="1">
        <w:r w:rsidRPr="00292314">
          <w:rPr>
            <w:rStyle w:val="Hyperlink"/>
            <w:i/>
          </w:rPr>
          <w:t>Cultural diversity of Australia’</w:t>
        </w:r>
      </w:hyperlink>
      <w:r>
        <w:rPr>
          <w:i/>
        </w:rPr>
        <w:t xml:space="preserve">, </w:t>
      </w:r>
      <w:r>
        <w:t xml:space="preserve">Articles, Australian Government, accessed 13 July 2023. </w:t>
      </w:r>
    </w:p>
    <w:p w14:paraId="1A29C9B3" w14:textId="77777777" w:rsidR="00596204" w:rsidRDefault="00596204" w:rsidP="00596204">
      <w:r>
        <w:t>ABS (Australian Bureau of Statistics) (2022c) ‘</w:t>
      </w:r>
      <w:hyperlink r:id="rId30" w:anchor="data-download" w:history="1">
        <w:r w:rsidRPr="00743EF0">
          <w:rPr>
            <w:rStyle w:val="Hyperlink"/>
            <w:i/>
          </w:rPr>
          <w:t>Aboriginal and Torres Strait Islander people: Census</w:t>
        </w:r>
      </w:hyperlink>
      <w:r>
        <w:t xml:space="preserve">’, People, ABS, Australian Government, accessed 13 July 2023. </w:t>
      </w:r>
    </w:p>
    <w:p w14:paraId="502BA67A" w14:textId="77777777" w:rsidR="00596204" w:rsidRDefault="00596204" w:rsidP="00596204">
      <w:r>
        <w:t>ABS (Australian Bureau of Statistics) (2022d) ‘</w:t>
      </w:r>
      <w:hyperlink r:id="rId31" w:history="1">
        <w:r w:rsidRPr="007D7974">
          <w:rPr>
            <w:rStyle w:val="Hyperlink"/>
            <w:i/>
          </w:rPr>
          <w:t>Patient Experiences</w:t>
        </w:r>
      </w:hyperlink>
      <w:r>
        <w:t>’, Patient Experiences, ABS, Australian Government, accessed 8 July 2023.</w:t>
      </w:r>
    </w:p>
    <w:p w14:paraId="359E76FB" w14:textId="77777777" w:rsidR="00596204" w:rsidRDefault="00596204" w:rsidP="00596204">
      <w:r>
        <w:t xml:space="preserve">ABS (Australian Bureau of Statistics) (2022e) </w:t>
      </w:r>
      <w:hyperlink r:id="rId32" w:history="1">
        <w:r w:rsidRPr="00A5168C">
          <w:rPr>
            <w:rStyle w:val="Hyperlink"/>
          </w:rPr>
          <w:t>Cultural diversity: Census</w:t>
        </w:r>
      </w:hyperlink>
      <w:r>
        <w:t xml:space="preserve"> [data set], accessed 11 July 2023.</w:t>
      </w:r>
    </w:p>
    <w:p w14:paraId="1B473ACD" w14:textId="77A976F9" w:rsidR="00596204" w:rsidRDefault="00596204" w:rsidP="00596204">
      <w:r>
        <w:t>ABS (Australian Bureau of Statistics) (2023</w:t>
      </w:r>
      <w:r w:rsidR="008A5D98">
        <w:t>a</w:t>
      </w:r>
      <w:r>
        <w:t xml:space="preserve">) </w:t>
      </w:r>
      <w:hyperlink r:id="rId33" w:history="1">
        <w:r w:rsidRPr="00A5168C">
          <w:rPr>
            <w:rStyle w:val="Hyperlink"/>
          </w:rPr>
          <w:t>Temporary visa holders in Australia</w:t>
        </w:r>
      </w:hyperlink>
      <w:r>
        <w:t xml:space="preserve"> [data set], accessed 11 July 2023. </w:t>
      </w:r>
    </w:p>
    <w:p w14:paraId="16A7861E" w14:textId="77777777" w:rsidR="00596204" w:rsidRDefault="00596204" w:rsidP="00596204">
      <w:r>
        <w:t xml:space="preserve">ABS (Australian Bureau of Statistics) (2023b) </w:t>
      </w:r>
      <w:hyperlink r:id="rId34" w:anchor="data-downloads" w:history="1">
        <w:r w:rsidRPr="00606536">
          <w:rPr>
            <w:rStyle w:val="Hyperlink"/>
          </w:rPr>
          <w:t>Socio-Economic Indexes for Australia (SEIFA), 2021</w:t>
        </w:r>
      </w:hyperlink>
      <w:r>
        <w:t xml:space="preserve"> [data set]. Accessed 28 May 2023.</w:t>
      </w:r>
    </w:p>
    <w:p w14:paraId="33D0F6DB" w14:textId="77777777" w:rsidR="00596204" w:rsidRDefault="00596204" w:rsidP="00596204">
      <w:r>
        <w:t xml:space="preserve">ADII (Australian Digital Inclusion Index) (2023) </w:t>
      </w:r>
      <w:hyperlink r:id="rId35" w:history="1">
        <w:r w:rsidRPr="00E0094E">
          <w:rPr>
            <w:rStyle w:val="Hyperlink"/>
            <w:i/>
            <w:iCs/>
          </w:rPr>
          <w:t>Digital inclusion: the Australian Context in 2023</w:t>
        </w:r>
      </w:hyperlink>
      <w:r>
        <w:t>, ADII website, accessed 28 July 2023.</w:t>
      </w:r>
    </w:p>
    <w:p w14:paraId="729AEDBF" w14:textId="77777777" w:rsidR="00596204" w:rsidRDefault="00596204" w:rsidP="00596204">
      <w:r>
        <w:t>AIHW (Australian Institute of Health and Welfare) (2015) ‘</w:t>
      </w:r>
      <w:hyperlink r:id="rId36" w:history="1">
        <w:r w:rsidRPr="00A5168C">
          <w:rPr>
            <w:rStyle w:val="Hyperlink"/>
            <w:i/>
          </w:rPr>
          <w:t>The health and welfare of Australia’s Aboriginal and Torres Strait Islander peoples: 2015</w:t>
        </w:r>
      </w:hyperlink>
      <w:r>
        <w:t>’, Indigenous Australians, AIHW, Australian Government.</w:t>
      </w:r>
    </w:p>
    <w:p w14:paraId="3C9FAF73" w14:textId="77777777" w:rsidR="00596204" w:rsidRDefault="00596204" w:rsidP="00596204">
      <w:r>
        <w:t>AIHW (Australian Institute of Health and Welfare) (2017) '</w:t>
      </w:r>
      <w:hyperlink r:id="rId37" w:history="1">
        <w:r w:rsidRPr="0053138F">
          <w:rPr>
            <w:rStyle w:val="Hyperlink"/>
            <w:i/>
          </w:rPr>
          <w:t>Potentially preventable hospitalisations 2015-16</w:t>
        </w:r>
      </w:hyperlink>
      <w:r>
        <w:t>‘,</w:t>
      </w:r>
      <w:r>
        <w:rPr>
          <w:i/>
        </w:rPr>
        <w:t xml:space="preserve"> </w:t>
      </w:r>
      <w:r>
        <w:t xml:space="preserve">Primary Healthcare, AIHW, Australian Government. </w:t>
      </w:r>
    </w:p>
    <w:p w14:paraId="551A9A61" w14:textId="77777777" w:rsidR="00596204" w:rsidRDefault="00596204" w:rsidP="00596204">
      <w:r>
        <w:t>AIHW (Australian Institute of Health and Welfare) (2019) '</w:t>
      </w:r>
      <w:hyperlink r:id="rId38" w:history="1">
        <w:r w:rsidRPr="0053138F">
          <w:rPr>
            <w:rStyle w:val="Hyperlink"/>
            <w:i/>
          </w:rPr>
          <w:t>People in short-term or emergency accommodation: a profile of Specialist Homelessness Services clients</w:t>
        </w:r>
      </w:hyperlink>
      <w:r>
        <w:t xml:space="preserve">', Homelessness services, AIHW, Australian Government. </w:t>
      </w:r>
    </w:p>
    <w:p w14:paraId="78A15FA4" w14:textId="77777777" w:rsidR="00596204" w:rsidRDefault="00596204" w:rsidP="00596204">
      <w:r>
        <w:lastRenderedPageBreak/>
        <w:t xml:space="preserve">AIHW (Australian Institute of Health and Welfare) (2020) </w:t>
      </w:r>
      <w:r w:rsidRPr="00E0094E">
        <w:rPr>
          <w:i/>
          <w:iCs/>
        </w:rPr>
        <w:t>‘</w:t>
      </w:r>
      <w:hyperlink r:id="rId39" w:history="1">
        <w:r w:rsidRPr="00E0094E">
          <w:rPr>
            <w:rStyle w:val="Hyperlink"/>
            <w:i/>
            <w:iCs/>
          </w:rPr>
          <w:t>Coordination of healthcare: Experiences of barriers to accessing health services among patients aged 45 and over 2016</w:t>
        </w:r>
      </w:hyperlink>
      <w:r w:rsidRPr="00E0094E">
        <w:t>’,</w:t>
      </w:r>
      <w:r>
        <w:t xml:space="preserve">Primary Healthcare, AIHW, Australian Government. </w:t>
      </w:r>
    </w:p>
    <w:p w14:paraId="61DEFFB3" w14:textId="77777777" w:rsidR="00596204" w:rsidRDefault="00596204" w:rsidP="00596204">
      <w:r>
        <w:t>AIHW (Australian Institute of Health and Welfare) (2021) ‘</w:t>
      </w:r>
      <w:hyperlink r:id="rId40" w:history="1">
        <w:r w:rsidRPr="00E3455E">
          <w:rPr>
            <w:rStyle w:val="Hyperlink"/>
            <w:i/>
          </w:rPr>
          <w:t>Health of people experiencing homelessness</w:t>
        </w:r>
      </w:hyperlink>
      <w:r>
        <w:t xml:space="preserve">’, Australia’s Health, AIHW, Australian Government. </w:t>
      </w:r>
    </w:p>
    <w:p w14:paraId="4304703C" w14:textId="77777777" w:rsidR="00596204" w:rsidRPr="00124D1E" w:rsidRDefault="00596204" w:rsidP="00596204">
      <w:r>
        <w:t>AIHW (Australian Institute of Health and Welfare) (2022a) ‘</w:t>
      </w:r>
      <w:hyperlink r:id="rId41" w:history="1">
        <w:r w:rsidRPr="00124D1E">
          <w:rPr>
            <w:rStyle w:val="Hyperlink"/>
            <w:i/>
          </w:rPr>
          <w:t>Rural and Remote Health</w:t>
        </w:r>
      </w:hyperlink>
      <w:r>
        <w:t>’, Rural and Remote Health, AIHW, Australian Government, accessed 7 July 2023.</w:t>
      </w:r>
    </w:p>
    <w:p w14:paraId="1C529174" w14:textId="77777777" w:rsidR="00596204" w:rsidRDefault="00596204" w:rsidP="00596204">
      <w:r>
        <w:t>AIHW (Australian Institute of Health and Welfare) (2022b) ‘</w:t>
      </w:r>
      <w:hyperlink r:id="rId42" w:history="1">
        <w:r w:rsidRPr="00E3455E">
          <w:rPr>
            <w:rStyle w:val="Hyperlink"/>
            <w:i/>
          </w:rPr>
          <w:t>Health across socioeconomic groups</w:t>
        </w:r>
      </w:hyperlink>
      <w:r>
        <w:t>,’ Australia's health, AIHW, Australian Government, accessed 7 July 2023.</w:t>
      </w:r>
    </w:p>
    <w:p w14:paraId="26A2D8F2" w14:textId="77777777" w:rsidR="00596204" w:rsidRDefault="00596204" w:rsidP="00596204">
      <w:r>
        <w:t>AIHW (Australian Institute of Health and Welfare) (2022c) ‘</w:t>
      </w:r>
      <w:hyperlink r:id="rId43" w:history="1">
        <w:r w:rsidRPr="00E3455E">
          <w:rPr>
            <w:rStyle w:val="Hyperlink"/>
            <w:i/>
          </w:rPr>
          <w:t>Rural and remote health</w:t>
        </w:r>
      </w:hyperlink>
      <w:r>
        <w:t xml:space="preserve">,’ Australia's health, AIHW, Australian Government, accessed 18 July 2023. </w:t>
      </w:r>
    </w:p>
    <w:p w14:paraId="50699288" w14:textId="77777777" w:rsidR="00596204" w:rsidRDefault="00596204" w:rsidP="00596204">
      <w:r>
        <w:t>AIHW (Australian Institute of Health and Welfare) (2022d) ‘</w:t>
      </w:r>
      <w:hyperlink r:id="rId44" w:history="1">
        <w:r w:rsidRPr="00E3455E">
          <w:rPr>
            <w:rStyle w:val="Hyperlink"/>
            <w:i/>
          </w:rPr>
          <w:t>Australia's hospitals at a glance</w:t>
        </w:r>
      </w:hyperlink>
      <w:r>
        <w:t>,’ Hospitals, AIHW, Australian Government, accessed 11 July 2023.</w:t>
      </w:r>
    </w:p>
    <w:p w14:paraId="7D274458" w14:textId="152FB960" w:rsidR="00596204" w:rsidRDefault="00596204" w:rsidP="00596204">
      <w:r>
        <w:t>AIHW (Australian Institute of Health and Welfare) (2022e) ‘</w:t>
      </w:r>
      <w:hyperlink r:id="rId45" w:history="1">
        <w:r w:rsidRPr="00E3455E">
          <w:rPr>
            <w:rStyle w:val="Hyperlink"/>
            <w:i/>
          </w:rPr>
          <w:t>People with disability in Australia</w:t>
        </w:r>
      </w:hyperlink>
      <w:r>
        <w:t>,’ Disability, AIHW, accessed 11 July 2023.</w:t>
      </w:r>
    </w:p>
    <w:p w14:paraId="62E754F1" w14:textId="09B2A865" w:rsidR="005B570F" w:rsidRDefault="005B570F" w:rsidP="00596204">
      <w:r w:rsidRPr="005B570F">
        <w:t xml:space="preserve">AIHW </w:t>
      </w:r>
      <w:r>
        <w:t>(</w:t>
      </w:r>
      <w:r w:rsidRPr="005B570F">
        <w:t>Australian Institu</w:t>
      </w:r>
      <w:r>
        <w:t>te of Health and Welfare</w:t>
      </w:r>
      <w:r w:rsidRPr="005B570F">
        <w:t xml:space="preserve">) </w:t>
      </w:r>
      <w:r>
        <w:t>(</w:t>
      </w:r>
      <w:r w:rsidRPr="005B570F">
        <w:t>2023</w:t>
      </w:r>
      <w:r>
        <w:t>)</w:t>
      </w:r>
      <w:r w:rsidRPr="005B570F">
        <w:t> </w:t>
      </w:r>
      <w:r>
        <w:t>‘</w:t>
      </w:r>
      <w:hyperlink r:id="rId46" w:history="1">
        <w:r w:rsidRPr="00720DDA">
          <w:rPr>
            <w:rStyle w:val="Hyperlink"/>
            <w:i/>
            <w:iCs/>
          </w:rPr>
          <w:t>Cultural safety in health care for Indigenous Australians: monitoring framework</w:t>
        </w:r>
      </w:hyperlink>
      <w:r w:rsidR="00720DDA">
        <w:t>’,</w:t>
      </w:r>
      <w:r w:rsidRPr="005B570F">
        <w:t xml:space="preserve"> </w:t>
      </w:r>
      <w:r w:rsidR="00720DDA">
        <w:t>AIHW, Australian Government, accessed</w:t>
      </w:r>
      <w:r w:rsidRPr="005B570F">
        <w:t xml:space="preserve"> 15 Septe</w:t>
      </w:r>
      <w:r w:rsidR="00720DDA">
        <w:t>mber 2023.</w:t>
      </w:r>
      <w:r w:rsidRPr="005B570F">
        <w:t xml:space="preserve"> </w:t>
      </w:r>
    </w:p>
    <w:p w14:paraId="6675D51C" w14:textId="77777777" w:rsidR="00596204" w:rsidRDefault="00596204" w:rsidP="00596204">
      <w:r>
        <w:t>Andreas M, Iannizzi C, Bohndorf E, Monsef I, Piechotta V, Meerpohl JJ, and Skoetz N (2022) 'Interventions to increase COVID-19 vaccine uptake: a scoping review', Cochrane Database of Systematic Reviews, 8, doi: 10.1002/14651858.CD015270.</w:t>
      </w:r>
    </w:p>
    <w:p w14:paraId="517D77CD" w14:textId="77777777" w:rsidR="00596204" w:rsidRDefault="00596204" w:rsidP="00596204">
      <w:r>
        <w:t xml:space="preserve">Angeles MR, Crosland P, and Hensher, M (2023) 'Challenges for Medicare and universal health care in Australia since 2000', </w:t>
      </w:r>
      <w:r w:rsidRPr="00B65102">
        <w:rPr>
          <w:i/>
        </w:rPr>
        <w:t>The Medical Journal of Australia</w:t>
      </w:r>
      <w:r>
        <w:t>, 218(7):322-329, doi: 10.5694/mja2.51844.</w:t>
      </w:r>
    </w:p>
    <w:p w14:paraId="5569CB23" w14:textId="77777777" w:rsidR="00596204" w:rsidRDefault="00596204" w:rsidP="00596204">
      <w:r>
        <w:t xml:space="preserve">Arora M, Walker K, Luu J, Duvivier RJ, Dune T and Wynne K (2019) ‘Education of the medical profession to facilitate delivery of transgender health care in an Australian health district’, </w:t>
      </w:r>
      <w:r w:rsidRPr="000A4729">
        <w:rPr>
          <w:i/>
        </w:rPr>
        <w:t>Australian Journal of Primary Health</w:t>
      </w:r>
      <w:r>
        <w:t>, 26(1):17-23, doi:</w:t>
      </w:r>
      <w:r w:rsidRPr="000A4729">
        <w:t>10.1071/PY19102</w:t>
      </w:r>
    </w:p>
    <w:p w14:paraId="56A2EB7C" w14:textId="77777777" w:rsidR="00596204" w:rsidRDefault="00596204" w:rsidP="00596204">
      <w:r>
        <w:t>Calder R, Dunkin R, Rochford C, and Nichols, T (2019) ‘</w:t>
      </w:r>
      <w:hyperlink r:id="rId47" w:history="1">
        <w:r w:rsidRPr="00E0094E">
          <w:rPr>
            <w:rStyle w:val="Hyperlink"/>
          </w:rPr>
          <w:t>Australian health services: too complex to navigate [PDF 2405KB]</w:t>
        </w:r>
      </w:hyperlink>
      <w:r>
        <w:t>', Australian Health Policy Collaboration Policy Issues Paper No. 1, Mitchell Institute, Victoria University, accessed 15 July 2023.</w:t>
      </w:r>
    </w:p>
    <w:p w14:paraId="4330D1DB" w14:textId="77777777" w:rsidR="00596204" w:rsidRDefault="00596204" w:rsidP="00596204">
      <w:r>
        <w:t xml:space="preserve">Clifford B, Van Gordon K, Magee F, Malone V, Siefried KJ, Graham D and Ezard N (2023) ‘”There’s a big tag on my head”: exploring barriers to treatment seeking with women who use methamphetamine in Sydney, Australia’, </w:t>
      </w:r>
      <w:r w:rsidRPr="00246B7D">
        <w:rPr>
          <w:i/>
        </w:rPr>
        <w:t>BMC Health Services Research</w:t>
      </w:r>
      <w:r>
        <w:t xml:space="preserve">, 23(1):162, doi: </w:t>
      </w:r>
      <w:r w:rsidRPr="00246B7D">
        <w:t>10.1186/s12913-023-09125-z.</w:t>
      </w:r>
    </w:p>
    <w:p w14:paraId="42EFA848" w14:textId="77777777" w:rsidR="00596204" w:rsidRDefault="00596204" w:rsidP="00596204">
      <w:r>
        <w:t xml:space="preserve">Conner-Simonds A (2022) </w:t>
      </w:r>
      <w:hyperlink r:id="rId48" w:history="1">
        <w:r w:rsidRPr="00E0094E">
          <w:rPr>
            <w:rStyle w:val="Hyperlink"/>
            <w:i/>
            <w:iCs/>
          </w:rPr>
          <w:t>Computer-security researchers aim to prevent tech abuse</w:t>
        </w:r>
      </w:hyperlink>
      <w:r>
        <w:t>, Cornell University, accessed 25 June 2023.</w:t>
      </w:r>
    </w:p>
    <w:p w14:paraId="7F17B74E" w14:textId="77777777" w:rsidR="00596204" w:rsidRDefault="00596204" w:rsidP="00596204">
      <w:r>
        <w:t xml:space="preserve">COSSI (Collaboration on Social Science and Immunisation) and NCIRS (National Centre for Immunisation Research and Surveillance) (2022) </w:t>
      </w:r>
      <w:r w:rsidRPr="00E0094E">
        <w:t>'</w:t>
      </w:r>
      <w:hyperlink r:id="rId49" w:history="1">
        <w:r w:rsidRPr="00E0094E">
          <w:rPr>
            <w:rStyle w:val="Hyperlink"/>
          </w:rPr>
          <w:t>Increasing COVID-19 vaccine uptake in children aged 5–11 years: behavioural insights from the field [PDF 5,600KB]</w:t>
        </w:r>
      </w:hyperlink>
      <w:r>
        <w:t xml:space="preserve">', NCIRS and COSSI. </w:t>
      </w:r>
    </w:p>
    <w:p w14:paraId="4BE033C8" w14:textId="77777777" w:rsidR="00596204" w:rsidRDefault="00596204" w:rsidP="00596204">
      <w:r>
        <w:lastRenderedPageBreak/>
        <w:t>da Silva Rebelo M J, Fernández M and Achotegui J (2018) 'Mistrust, anger, and hostility in refugees, asylum seekers, and immigrants: A systematic review', Canadian Psychology/Psychologie Canadienne, 59(3): 239, doi:10.1037/cap0000131.</w:t>
      </w:r>
    </w:p>
    <w:p w14:paraId="732F50A7" w14:textId="77777777" w:rsidR="00596204" w:rsidRDefault="00596204" w:rsidP="00596204">
      <w:r>
        <w:t xml:space="preserve">Dai H, Saccardo S, Han MA, Roh L, Raja N, Vangala S, Modi H, Pandya S, Sloyan M and Croymans DM (2021) 'Behavioural nudges increase COVID-19 vaccinations', </w:t>
      </w:r>
      <w:r w:rsidRPr="00B65102">
        <w:rPr>
          <w:i/>
        </w:rPr>
        <w:t>Nature</w:t>
      </w:r>
      <w:r>
        <w:t>, 597(7876):404-409, doi: 10.1038/s41586-021-03843-2.</w:t>
      </w:r>
    </w:p>
    <w:p w14:paraId="7935FE11" w14:textId="77777777" w:rsidR="00596204" w:rsidRDefault="00596204" w:rsidP="00596204">
      <w:r>
        <w:t>Davidson P, Bradbury B and Wong, M (2023)</w:t>
      </w:r>
      <w:r w:rsidRPr="007268ED">
        <w:t xml:space="preserve"> </w:t>
      </w:r>
      <w:r w:rsidRPr="00E0094E">
        <w:t>'</w:t>
      </w:r>
      <w:hyperlink r:id="rId50" w:history="1">
        <w:r w:rsidRPr="00E0094E">
          <w:rPr>
            <w:rStyle w:val="Hyperlink"/>
          </w:rPr>
          <w:t>Poverty in Australia 2023: Who is affected?</w:t>
        </w:r>
      </w:hyperlink>
      <w:r>
        <w:t>’, Poverty and Inequality Partnership Report no. 20, Australian Council of Social Service and UNSW Sydney, accessed 8 July 2023.</w:t>
      </w:r>
    </w:p>
    <w:p w14:paraId="2760C57E" w14:textId="77777777" w:rsidR="00596204" w:rsidRDefault="00596204" w:rsidP="00596204">
      <w:r>
        <w:t>DHAC (Department of Health and Aged Care) (2021) Op COVID SHIELD National COVID Vaccine Campaign Plan, Department of Health and Aged Care, Australian Government.</w:t>
      </w:r>
    </w:p>
    <w:p w14:paraId="46853B3B" w14:textId="77777777" w:rsidR="00596204" w:rsidRDefault="00596204" w:rsidP="00596204">
      <w:r>
        <w:t xml:space="preserve">Good Things Foundation (2021) </w:t>
      </w:r>
      <w:r w:rsidRPr="00B65102">
        <w:rPr>
          <w:i/>
        </w:rPr>
        <w:t>Digital Nation Australia 2021</w:t>
      </w:r>
      <w:r>
        <w:t xml:space="preserve">, Good Things Foundation. </w:t>
      </w:r>
    </w:p>
    <w:p w14:paraId="003E12B7" w14:textId="77777777" w:rsidR="00596204" w:rsidRDefault="00596204" w:rsidP="00596204">
      <w:r>
        <w:t>Heron RL, and Eisma MC (2021) 'Barriers and facilitators of disclosing domestic violence to the healthcare service: a systematic review of qualitative research', </w:t>
      </w:r>
      <w:r w:rsidRPr="00B65102">
        <w:rPr>
          <w:i/>
        </w:rPr>
        <w:t>Health &amp; Social Care in the Community</w:t>
      </w:r>
      <w:r>
        <w:t>, 29(3):612-630, doi:10.1111/hsc.13282.</w:t>
      </w:r>
    </w:p>
    <w:p w14:paraId="6860A682" w14:textId="77777777" w:rsidR="00596204" w:rsidRDefault="00596204" w:rsidP="00596204">
      <w:r>
        <w:t>Jin D, Brener L, and Treloar C (2022) 'Trust in healthcare providers among Chinese immigrants living with hepatitis B virus in Australia: A qualitative study', </w:t>
      </w:r>
      <w:r w:rsidRPr="00B65102">
        <w:rPr>
          <w:i/>
        </w:rPr>
        <w:t>Journal of Viral Hepatitis</w:t>
      </w:r>
      <w:r>
        <w:t>, 29(11):968-975, doi:10.1111/jvh.13736.</w:t>
      </w:r>
    </w:p>
    <w:p w14:paraId="5EE0B3A0" w14:textId="77777777" w:rsidR="00596204" w:rsidRDefault="00596204" w:rsidP="00596204">
      <w:r>
        <w:t>Jrood TA (29 August 2022) ‘</w:t>
      </w:r>
      <w:hyperlink r:id="rId51" w:history="1">
        <w:r w:rsidRPr="00F73AE1">
          <w:rPr>
            <w:rStyle w:val="Hyperlink"/>
          </w:rPr>
          <w:t>Patients changed expensive out-of-pocket fees as doctors stop bulk billing</w:t>
        </w:r>
      </w:hyperlink>
      <w:r>
        <w:t xml:space="preserve">’, </w:t>
      </w:r>
      <w:r w:rsidRPr="00F73AE1">
        <w:rPr>
          <w:i/>
        </w:rPr>
        <w:t>ABC News</w:t>
      </w:r>
      <w:r>
        <w:t>, accessed 5 June 2023.</w:t>
      </w:r>
    </w:p>
    <w:p w14:paraId="6D57E6A7" w14:textId="77777777" w:rsidR="00596204" w:rsidRDefault="00596204" w:rsidP="00596204">
      <w:r>
        <w:t xml:space="preserve">Kennedy EL, Gordon BA, Ng AH, Smith G and Forsyth AK (2021) 'Barriers and enablers to health service access amongst people with diabetes: An exploration of the perceptions of health care staff in regional Australia', </w:t>
      </w:r>
      <w:r w:rsidRPr="00B65102">
        <w:rPr>
          <w:i/>
        </w:rPr>
        <w:t>Health and Social Care in the Communit</w:t>
      </w:r>
      <w:r>
        <w:t>y, 20(1):234-244, doi: 10.1111/hsc.13433.</w:t>
      </w:r>
    </w:p>
    <w:p w14:paraId="6038733A" w14:textId="77777777" w:rsidR="00596204" w:rsidRDefault="00596204" w:rsidP="00596204">
      <w:r>
        <w:t xml:space="preserve">Li JL (2017) 'Cultural barriers lead to inequitable healthcare access for Aboriginal Australians and Torres Strait Islanders', </w:t>
      </w:r>
      <w:r w:rsidRPr="00B65102">
        <w:rPr>
          <w:i/>
        </w:rPr>
        <w:t>Chinese Nursing Research</w:t>
      </w:r>
      <w:r>
        <w:t>, 4(4):207-210, doi: 10.1016/j.cnre.2017.10.009.</w:t>
      </w:r>
    </w:p>
    <w:p w14:paraId="70A95AE6" w14:textId="77777777" w:rsidR="00596204" w:rsidRDefault="00596204" w:rsidP="00596204">
      <w:r>
        <w:t>Macri J (2016) 'Australia’s health system: Some issues and challenges', Journal of Health and Medical Economics, 2(2), doi: 10.21767/2471-9927.100015</w:t>
      </w:r>
    </w:p>
    <w:p w14:paraId="2C1119CC" w14:textId="77777777" w:rsidR="00596204" w:rsidRDefault="00596204" w:rsidP="00596204">
      <w:r>
        <w:t xml:space="preserve">McIntyre D and Chow C (2020) ‘Waiting Time as an Indicator for Health Services Under Strain: A Narrative Review’, </w:t>
      </w:r>
      <w:r w:rsidRPr="004F0B55">
        <w:rPr>
          <w:i/>
        </w:rPr>
        <w:t>The Journal of Health Care Organization, Provision and Financing</w:t>
      </w:r>
      <w:r>
        <w:t xml:space="preserve">, 2020;57, </w:t>
      </w:r>
      <w:r w:rsidRPr="004F0B55">
        <w:t xml:space="preserve"> doi:10.1177/0046958020910305</w:t>
      </w:r>
    </w:p>
    <w:p w14:paraId="271784D9" w14:textId="77777777" w:rsidR="00596204" w:rsidRDefault="00596204" w:rsidP="00596204">
      <w:r>
        <w:t xml:space="preserve">McMaughan DJ, Oloruntoba O, and Smith ML (2020) 'Socioeconomic Status and Access to Healthcare: Interrelated Drivers for Healthy Aging', </w:t>
      </w:r>
      <w:r w:rsidRPr="00882352">
        <w:rPr>
          <w:i/>
        </w:rPr>
        <w:t>Front Public Health</w:t>
      </w:r>
      <w:r>
        <w:t>, 18(8):231. doi: 10.3389/fpubh.2020.00231.</w:t>
      </w:r>
    </w:p>
    <w:p w14:paraId="4C503539" w14:textId="77777777" w:rsidR="00596204" w:rsidRDefault="00596204" w:rsidP="00596204">
      <w:r>
        <w:t xml:space="preserve">Morgan RO, Teal CR, Hasche JC, Peterson LA, Byrne MM, Paterniti DA and Virnig BA (2008) ‘Does Poorer Familiarity with Medicare Translate into Worse Access to Health Care?’ </w:t>
      </w:r>
      <w:r w:rsidRPr="00600B65">
        <w:rPr>
          <w:i/>
        </w:rPr>
        <w:t>Journal of the American Geriatrics Society</w:t>
      </w:r>
      <w:r>
        <w:t>, 56(11):2053-2060, doi:</w:t>
      </w:r>
      <w:r w:rsidRPr="00600B65">
        <w:t>10.1111/j.1532-5415.2008.01993.x</w:t>
      </w:r>
    </w:p>
    <w:p w14:paraId="3C16B4FB" w14:textId="77777777" w:rsidR="00596204" w:rsidRDefault="00596204" w:rsidP="00596204">
      <w:r>
        <w:lastRenderedPageBreak/>
        <w:t>NHRA (National Health Reform Agreement) (2020) Addendum to National Health Reform Agreement 2020-2025, Federal Financial Relations, Australian Government.</w:t>
      </w:r>
    </w:p>
    <w:p w14:paraId="4E29E2E4" w14:textId="77777777" w:rsidR="00596204" w:rsidRDefault="00596204" w:rsidP="00596204">
      <w:r>
        <w:t xml:space="preserve">Nolan-Isles D, Macniven R, Hunter K, Gwynn J, Lincoln M, Moir R, Dimitropoulos Y, Taylor D, Agius T, Finlayson H, Martin R, Ward K, Tobin S and Gwynne K (2021) 'Enablers and Barriers to Accessing Healthcare Services for Aboriginal People in New South Wales, Australia,' </w:t>
      </w:r>
      <w:r w:rsidRPr="00882352">
        <w:rPr>
          <w:i/>
        </w:rPr>
        <w:t>International Journal of Environmental Research and Public Health</w:t>
      </w:r>
      <w:r>
        <w:t xml:space="preserve">, 18(6):3014, doi:10.3390/ijerph18063014. </w:t>
      </w:r>
    </w:p>
    <w:p w14:paraId="37F21946" w14:textId="77777777" w:rsidR="00596204" w:rsidRPr="007268ED" w:rsidRDefault="00596204" w:rsidP="00596204">
      <w:r w:rsidRPr="007268ED">
        <w:t xml:space="preserve">Norton, H (2022) </w:t>
      </w:r>
      <w:hyperlink r:id="rId52" w:history="1">
        <w:r w:rsidRPr="007268ED">
          <w:rPr>
            <w:i/>
            <w:iCs/>
            <w:color w:val="20B9A3" w:themeColor="hyperlink"/>
            <w:u w:val="single"/>
          </w:rPr>
          <w:t>How our trust in medical professionals has changed throughout COVID-19</w:t>
        </w:r>
      </w:hyperlink>
      <w:r w:rsidRPr="007268ED">
        <w:t xml:space="preserve">, Compare the Market, accessed </w:t>
      </w:r>
      <w:r>
        <w:t>9 June 2023.</w:t>
      </w:r>
    </w:p>
    <w:p w14:paraId="5DC0611A" w14:textId="77777777" w:rsidR="00596204" w:rsidRPr="007268ED" w:rsidRDefault="00596204" w:rsidP="00596204">
      <w:r w:rsidRPr="007268ED">
        <w:t xml:space="preserve">OECD (2015) </w:t>
      </w:r>
      <w:hyperlink r:id="rId53" w:history="1">
        <w:r w:rsidRPr="007268ED">
          <w:rPr>
            <w:i/>
            <w:iCs/>
            <w:color w:val="20B9A3" w:themeColor="hyperlink"/>
            <w:u w:val="single"/>
          </w:rPr>
          <w:t>OECD Reviews of Health Care Quality: Australia 2015: Raising Standards</w:t>
        </w:r>
      </w:hyperlink>
      <w:r w:rsidRPr="007268ED">
        <w:t xml:space="preserve">, OECD Reviews of Health Care Quality, OECD Publishing, Paris. </w:t>
      </w:r>
    </w:p>
    <w:p w14:paraId="385A1802" w14:textId="4A169FF1" w:rsidR="00596204" w:rsidRDefault="00596204" w:rsidP="00596204">
      <w:r w:rsidRPr="007268ED">
        <w:t xml:space="preserve">OECD (2017) </w:t>
      </w:r>
      <w:hyperlink r:id="rId54" w:history="1">
        <w:r w:rsidRPr="007268ED">
          <w:rPr>
            <w:i/>
            <w:iCs/>
            <w:color w:val="20B9A3" w:themeColor="hyperlink"/>
            <w:u w:val="single"/>
          </w:rPr>
          <w:t>Health at a glance 2017: OECD Indicators</w:t>
        </w:r>
      </w:hyperlink>
      <w:r w:rsidRPr="007268ED">
        <w:t>, OECD Publishing, Paris.</w:t>
      </w:r>
    </w:p>
    <w:p w14:paraId="68C3C867" w14:textId="2AC6E1F1" w:rsidR="00054088" w:rsidRDefault="00054088" w:rsidP="00054088">
      <w:r>
        <w:t xml:space="preserve">OECD (2021) </w:t>
      </w:r>
      <w:hyperlink r:id="rId55" w:history="1">
        <w:r w:rsidRPr="001956ED">
          <w:rPr>
            <w:rStyle w:val="Hyperlink"/>
            <w:i/>
          </w:rPr>
          <w:t>Health at a Glance 2021: OECD Indicators</w:t>
        </w:r>
      </w:hyperlink>
      <w:r>
        <w:rPr>
          <w:i/>
        </w:rPr>
        <w:t>,</w:t>
      </w:r>
      <w:r w:rsidRPr="00054088">
        <w:t xml:space="preserve"> </w:t>
      </w:r>
      <w:r w:rsidRPr="007268ED">
        <w:t>OECD Publishing, Paris.</w:t>
      </w:r>
    </w:p>
    <w:p w14:paraId="7357DE57" w14:textId="77777777" w:rsidR="00596204" w:rsidRDefault="00596204" w:rsidP="00596204">
      <w:r>
        <w:t>Pathirana TI, and Jackson CA (2018) 'Socioeconomic status and multimorbidity: a systematic review and meta-analysis', </w:t>
      </w:r>
      <w:r w:rsidRPr="00882352">
        <w:rPr>
          <w:i/>
        </w:rPr>
        <w:t>Australian and New Zealand Journal of Public Health</w:t>
      </w:r>
      <w:r>
        <w:t xml:space="preserve">, 42(2):186-194, doi:10.1111/1753-6405.12762. </w:t>
      </w:r>
    </w:p>
    <w:p w14:paraId="0CF992BD" w14:textId="77777777" w:rsidR="00596204" w:rsidRDefault="00596204" w:rsidP="00596204">
      <w:r>
        <w:t xml:space="preserve">Puljević C, Massi L, Brown R, Mills R, Turner L, Smirnov A and Selvey LA (2022) 'Barriers and enablers to hepatitis C treatment among clients of Aboriginal Community Controlled Health Services in South East Queensland, Australia: a qualitative enquiry', </w:t>
      </w:r>
      <w:r w:rsidRPr="00882352">
        <w:rPr>
          <w:i/>
        </w:rPr>
        <w:t>Australian Journal of Primary Health</w:t>
      </w:r>
      <w:r>
        <w:t xml:space="preserve">, 28(3):239-246, doi:10.1071/py21055. </w:t>
      </w:r>
    </w:p>
    <w:p w14:paraId="5D7F1C1F" w14:textId="77777777" w:rsidR="00596204" w:rsidRDefault="00596204" w:rsidP="00596204">
      <w:r>
        <w:t xml:space="preserve">Saberi S, Wachtler C and Lau P (2021) ‘Are we on the same page? Mental health literacy and access to care: a qualitative study in young Hazara refugees in Melbourne’, </w:t>
      </w:r>
      <w:r w:rsidRPr="00254C79">
        <w:rPr>
          <w:i/>
        </w:rPr>
        <w:t>Australian Journal of Primary Health</w:t>
      </w:r>
      <w:r>
        <w:t>, 27(6):450-455, doi:</w:t>
      </w:r>
      <w:r w:rsidRPr="00254C79">
        <w:t>10.1071/PY21017.</w:t>
      </w:r>
    </w:p>
    <w:p w14:paraId="7066CBB1" w14:textId="77777777" w:rsidR="00596204" w:rsidRDefault="00596204" w:rsidP="00596204">
      <w:r>
        <w:t>Sanders R (2020</w:t>
      </w:r>
      <w:r w:rsidRPr="00600B65">
        <w:t>)</w:t>
      </w:r>
      <w:r w:rsidRPr="003722F4">
        <w:rPr>
          <w:i/>
        </w:rPr>
        <w:t xml:space="preserve"> Digital inclusion, exclusion and participation</w:t>
      </w:r>
      <w:r>
        <w:t>, IRISS (The Institute for Research and Innovation in Social Services).</w:t>
      </w:r>
    </w:p>
    <w:p w14:paraId="32A13DDD" w14:textId="77777777" w:rsidR="00596204" w:rsidRDefault="00596204" w:rsidP="00596204">
      <w:r>
        <w:t xml:space="preserve">Sheikh-Mohammed M, MacIntyre RC, Wood NJ and Leask J (2006) 'Barriers to access to health care for newly resettled sub-Saharan refugees in Australia', </w:t>
      </w:r>
      <w:r w:rsidRPr="00882352">
        <w:rPr>
          <w:i/>
        </w:rPr>
        <w:t>Medical Journal of Australia</w:t>
      </w:r>
      <w:r>
        <w:t>, 185(11-12):594-597, doi: 10.5694/j.1326-5377.2006.tb00721.x</w:t>
      </w:r>
    </w:p>
    <w:p w14:paraId="6ECF04CC" w14:textId="77777777" w:rsidR="00596204" w:rsidRDefault="00596204" w:rsidP="00596204">
      <w:r>
        <w:t xml:space="preserve">Shukla N, Pradhan B, Dikshit A, Chakraborty S and Alamri AM (2020) 'A Review of Models Used for Investigating Barriers to Healthcare Access in Australia', </w:t>
      </w:r>
      <w:r w:rsidRPr="00882352">
        <w:rPr>
          <w:i/>
        </w:rPr>
        <w:t>International Journal of Environmental Research and Public Health</w:t>
      </w:r>
      <w:r>
        <w:t>, 17(4087):4087, doi: 10.3390/ijerph17114087.</w:t>
      </w:r>
    </w:p>
    <w:p w14:paraId="16F80B2F" w14:textId="77777777" w:rsidR="00596204" w:rsidRDefault="00596204" w:rsidP="00596204">
      <w:r>
        <w:t>Smith R (2004) ‘Criminal forfeiture and restriction-of-use orders in sentencing high tech offenders’, Australian Institute of Criminology, Australian Government.</w:t>
      </w:r>
    </w:p>
    <w:p w14:paraId="44D1D454" w14:textId="77777777" w:rsidR="00596204" w:rsidRDefault="00596204" w:rsidP="00596204">
      <w:r>
        <w:t>Swami M, Gravelle H, Scott A, and Williams J (2018) 'Hours worked by general practitioners and waiting times for primary care', </w:t>
      </w:r>
      <w:r w:rsidRPr="00882352">
        <w:rPr>
          <w:i/>
        </w:rPr>
        <w:t>Health Econ</w:t>
      </w:r>
      <w:r>
        <w:t>, 27(10):1513-1532, doi: 10.1002/hec.3782.</w:t>
      </w:r>
    </w:p>
    <w:p w14:paraId="40CB7494" w14:textId="77777777" w:rsidR="00596204" w:rsidRDefault="00596204" w:rsidP="00596204">
      <w:r>
        <w:t xml:space="preserve">UN (United Nations) (2015) Transforming our world: the 2030 Agenda for Sustainable Development, Department of Economic and Social Affairs, United Nations. </w:t>
      </w:r>
    </w:p>
    <w:p w14:paraId="58443857" w14:textId="77777777" w:rsidR="00596204" w:rsidRDefault="00596204" w:rsidP="00596204">
      <w:r>
        <w:t xml:space="preserve">WHO (World Health Organisation) (2016) Global diffusion of eHealth: making universal health coverage achievable: report of the third global survey on eHealth, World Health Organisation. </w:t>
      </w:r>
    </w:p>
    <w:p w14:paraId="4C3254FF" w14:textId="77777777" w:rsidR="00596204" w:rsidRDefault="00596204" w:rsidP="00596204">
      <w:r>
        <w:lastRenderedPageBreak/>
        <w:t>WHO (World Health Organisation) (2020a) ‘</w:t>
      </w:r>
      <w:hyperlink r:id="rId56" w:history="1">
        <w:r w:rsidRPr="00E0094E">
          <w:rPr>
            <w:rStyle w:val="Hyperlink"/>
            <w:i/>
            <w:iCs/>
          </w:rPr>
          <w:t>Coronavirus disease (COVID-19): Herd immunity, lockdowns and COVID-19</w:t>
        </w:r>
      </w:hyperlink>
      <w:r>
        <w:t>', WHO, accessed 28 March 2023.</w:t>
      </w:r>
    </w:p>
    <w:p w14:paraId="41F389FC" w14:textId="77777777" w:rsidR="00596204" w:rsidRDefault="00596204" w:rsidP="00596204">
      <w:r>
        <w:t>WHO (World Health Organisation) (2020b)</w:t>
      </w:r>
      <w:r w:rsidRPr="007268ED">
        <w:t xml:space="preserve"> </w:t>
      </w:r>
      <w:r w:rsidRPr="00E0094E">
        <w:t>'</w:t>
      </w:r>
      <w:hyperlink r:id="rId57" w:history="1">
        <w:r w:rsidRPr="00E0094E">
          <w:rPr>
            <w:rStyle w:val="Hyperlink"/>
            <w:i/>
            <w:iCs/>
          </w:rPr>
          <w:t>Behavioural considerations for acceptance and uptake of COVID-19 vaccines</w:t>
        </w:r>
      </w:hyperlink>
      <w:r>
        <w:t xml:space="preserve">', World Health Organisation. </w:t>
      </w:r>
    </w:p>
    <w:p w14:paraId="37017019" w14:textId="77777777" w:rsidR="00596204" w:rsidRDefault="00596204" w:rsidP="00596204">
      <w:r>
        <w:t>Wu MJ, Zhao K, and Fils-Aime F (2022) 'Response rates of online surveys in published research: A meta-analysis', </w:t>
      </w:r>
      <w:r w:rsidRPr="00882352">
        <w:rPr>
          <w:i/>
        </w:rPr>
        <w:t>Computers in Human Behavior Reports</w:t>
      </w:r>
      <w:r>
        <w:t>, 7:100206, doi:10.1016/j.chbr.2022.100206</w:t>
      </w:r>
    </w:p>
    <w:p w14:paraId="4D3649F8" w14:textId="77777777" w:rsidR="00596204" w:rsidRDefault="00596204" w:rsidP="00596204">
      <w:pPr>
        <w:spacing w:after="0" w:line="240" w:lineRule="auto"/>
      </w:pPr>
      <w:r>
        <w:t xml:space="preserve">Zhao J, Chapman E and O'Neill M (2022) 'Mental health risks for Chinese international students in Australia: Enduring problems, possible solutions', </w:t>
      </w:r>
      <w:r w:rsidRPr="00882352">
        <w:rPr>
          <w:i/>
        </w:rPr>
        <w:t>Education Research and Perspectives</w:t>
      </w:r>
      <w:r>
        <w:t>, 49:1-28.</w:t>
      </w:r>
    </w:p>
    <w:p w14:paraId="1124FB4F" w14:textId="77777777" w:rsidR="007F24BF" w:rsidRDefault="007F24BF" w:rsidP="007F24BF">
      <w:r>
        <w:br w:type="page"/>
      </w:r>
    </w:p>
    <w:p w14:paraId="52C9BAAC" w14:textId="77777777" w:rsidR="007F24BF" w:rsidRDefault="007F24BF" w:rsidP="007F24BF"/>
    <w:p w14:paraId="200B426F" w14:textId="1EB40563" w:rsidR="00EB0609" w:rsidRPr="00A96B0F" w:rsidRDefault="00EB0609" w:rsidP="007F24BF">
      <w:pPr>
        <w:spacing w:before="5000" w:after="120"/>
        <w:outlineLvl w:val="1"/>
        <w:rPr>
          <w:b/>
          <w:color w:val="117479" w:themeColor="accent2"/>
          <w:sz w:val="22"/>
        </w:rPr>
      </w:pPr>
      <w:r w:rsidRPr="00A96B0F">
        <w:rPr>
          <w:b/>
          <w:color w:val="117479" w:themeColor="accent2"/>
          <w:sz w:val="22"/>
        </w:rPr>
        <w:t xml:space="preserve">© </w:t>
      </w:r>
      <w:r w:rsidR="002B2858" w:rsidRPr="00A96B0F">
        <w:rPr>
          <w:b/>
          <w:color w:val="117479" w:themeColor="accent2"/>
          <w:sz w:val="22"/>
        </w:rPr>
        <w:t>Commonwealth of Australia 202</w:t>
      </w:r>
      <w:r w:rsidR="00BC5F0D">
        <w:rPr>
          <w:b/>
          <w:color w:val="117479" w:themeColor="accent2"/>
          <w:sz w:val="22"/>
        </w:rPr>
        <w:t>1</w:t>
      </w:r>
    </w:p>
    <w:p w14:paraId="2AA957ED" w14:textId="46CD8809" w:rsidR="00BC5F0D" w:rsidRDefault="003A6EB9" w:rsidP="001540CB">
      <w:r>
        <w:t>ISBN</w:t>
      </w:r>
      <w:r w:rsidR="00E05C13" w:rsidRPr="00E05C13">
        <w:t xml:space="preserve"> 978-1-925365-40-5</w:t>
      </w:r>
      <w:r>
        <w:t xml:space="preserve"> </w:t>
      </w:r>
      <w:r w:rsidR="00E05C13">
        <w:t>Evaluating EVA: Perusing universal healthcare coverage with a personalised COVID-19 vaccine booking service.</w:t>
      </w:r>
      <w:r w:rsidR="00EB0609">
        <w:t xml:space="preserve"> </w:t>
      </w:r>
    </w:p>
    <w:p w14:paraId="59366A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58"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should be attributed as follows: </w:t>
      </w:r>
    </w:p>
    <w:p w14:paraId="446D37F1" w14:textId="78BFFC4B" w:rsidR="00EB0609" w:rsidRDefault="003A6EB9" w:rsidP="00EB0609">
      <w:r>
        <w:t xml:space="preserve">© </w:t>
      </w:r>
      <w:r w:rsidR="00EB0609">
        <w:t xml:space="preserve">Commonwealth of Australia, Department of the Prime Minister and Cabinet, </w:t>
      </w:r>
      <w:r w:rsidR="00156525">
        <w:t xml:space="preserve">Evaluating EVA: </w:t>
      </w:r>
      <w:r w:rsidR="00156525" w:rsidRPr="00156525">
        <w:rPr>
          <w:i/>
        </w:rPr>
        <w:t>Pursuing universal healthcare coverage with a personalised COVID-19 vaccine booking servic</w:t>
      </w:r>
      <w:r w:rsidR="00156525" w:rsidRPr="00716F0F">
        <w:rPr>
          <w:i/>
        </w:rPr>
        <w:t>e</w:t>
      </w:r>
      <w:r w:rsidR="00EB0609" w:rsidRPr="00716F0F">
        <w:t>.</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0"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61"/>
          <w:footerReference w:type="default" r:id="rId62"/>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lastRenderedPageBreak/>
        <w:drawing>
          <wp:inline distT="0" distB="0" distL="0" distR="0" wp14:anchorId="5142E6F6" wp14:editId="0EA3510C">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3">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64"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65"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66" w:history="1">
        <w:r w:rsidRPr="004A4D74">
          <w:rPr>
            <w:rStyle w:val="Hyperlink"/>
          </w:rPr>
          <w:t>www.pmc.gov.au/beta</w:t>
        </w:r>
      </w:hyperlink>
    </w:p>
    <w:sectPr w:rsidR="00037F3D" w:rsidRPr="00037F3D" w:rsidSect="00F202CA">
      <w:headerReference w:type="default" r:id="rId67"/>
      <w:footerReference w:type="default" r:id="rId68"/>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490633" w16cex:dateUtc="2024-01-10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5EE742" w16cid:durableId="294906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ACBE9" w14:textId="77777777" w:rsidR="002E61C1" w:rsidRDefault="002E61C1">
      <w:r>
        <w:separator/>
      </w:r>
    </w:p>
  </w:endnote>
  <w:endnote w:type="continuationSeparator" w:id="0">
    <w:p w14:paraId="3CACD957" w14:textId="77777777" w:rsidR="002E61C1" w:rsidRDefault="002E61C1">
      <w:r>
        <w:continuationSeparator/>
      </w:r>
    </w:p>
  </w:endnote>
  <w:endnote w:type="continuationNotice" w:id="1">
    <w:p w14:paraId="6F513F8B" w14:textId="77777777" w:rsidR="002E61C1" w:rsidRDefault="002E61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040630" w:rsidRDefault="00040630" w:rsidP="00A00EEB">
    <w:pPr>
      <w:pStyle w:val="Footer"/>
    </w:pPr>
  </w:p>
  <w:p w14:paraId="6A5C1FA9" w14:textId="18042406" w:rsidR="00040630" w:rsidRDefault="00040630" w:rsidP="00A00EEB">
    <w:pPr>
      <w:pStyle w:val="Footer"/>
    </w:pPr>
    <w:r w:rsidRPr="003F31E6">
      <w:rPr>
        <w:noProof/>
      </w:rPr>
      <mc:AlternateContent>
        <mc:Choice Requires="wps">
          <w:drawing>
            <wp:anchor distT="0" distB="0" distL="114300" distR="114300" simplePos="0" relativeHeight="251657216" behindDoc="1" locked="0" layoutInCell="1" allowOverlap="1" wp14:anchorId="648AFE0D" wp14:editId="43413840">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4EA64" id="Rectangle 4"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B67CB8">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00B67E46" w:rsidR="00040630" w:rsidRPr="008253C4" w:rsidRDefault="00040630" w:rsidP="00A00EEB">
    <w:pPr>
      <w:pStyle w:val="Footer"/>
      <w:rPr>
        <w:color w:val="FFFFFF" w:themeColor="background1"/>
      </w:rPr>
    </w:pPr>
    <w:r w:rsidRPr="003F31E6">
      <w:rPr>
        <w:noProof/>
      </w:rPr>
      <mc:AlternateContent>
        <mc:Choice Requires="wps">
          <w:drawing>
            <wp:anchor distT="0" distB="0" distL="114300" distR="114300" simplePos="0" relativeHeight="251656192" behindDoc="1" locked="0" layoutInCell="1" allowOverlap="1" wp14:anchorId="64F8A81E" wp14:editId="325679FD">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39416" id="Rectangle 3" o:spid="_x0000_s1026" style="position:absolute;margin-left:0;margin-top:0;width:595.3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B67CB8">
      <w:rPr>
        <w:noProof/>
        <w:color w:val="FFFFFF" w:themeColor="background1"/>
      </w:rPr>
      <w:t>2</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74312" w14:textId="6BEA3C75" w:rsidR="00040630" w:rsidRDefault="0004063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B67CB8">
      <w:rPr>
        <w:noProof/>
      </w:rPr>
      <w:t>21</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040630" w:rsidRPr="00F202CA" w:rsidRDefault="00040630"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DB776" w14:textId="77777777" w:rsidR="002E61C1" w:rsidRDefault="002E61C1">
      <w:r>
        <w:separator/>
      </w:r>
    </w:p>
  </w:footnote>
  <w:footnote w:type="continuationSeparator" w:id="0">
    <w:p w14:paraId="4A124391" w14:textId="77777777" w:rsidR="002E61C1" w:rsidRDefault="002E61C1">
      <w:r>
        <w:continuationSeparator/>
      </w:r>
    </w:p>
  </w:footnote>
  <w:footnote w:type="continuationNotice" w:id="1">
    <w:p w14:paraId="3B9AFFED" w14:textId="77777777" w:rsidR="002E61C1" w:rsidRDefault="002E61C1">
      <w:pPr>
        <w:spacing w:after="0" w:line="240" w:lineRule="auto"/>
      </w:pPr>
    </w:p>
  </w:footnote>
  <w:footnote w:id="2">
    <w:p w14:paraId="55B8B638" w14:textId="271B7734" w:rsidR="00040630" w:rsidRDefault="00040630">
      <w:pPr>
        <w:pStyle w:val="FootnoteText"/>
      </w:pPr>
      <w:r>
        <w:rPr>
          <w:rStyle w:val="FootnoteReference"/>
        </w:rPr>
        <w:footnoteRef/>
      </w:r>
      <w:r>
        <w:t xml:space="preserve"> Survey questions and customer demographics are presented in the </w:t>
      </w:r>
      <w:hyperlink w:anchor="_Appendix_2:_Survey" w:history="1">
        <w:r w:rsidRPr="00D105DD">
          <w:rPr>
            <w:rStyle w:val="Hyperlink"/>
            <w:rFonts w:ascii="Helvetica" w:hAnsi="Helvetica"/>
          </w:rPr>
          <w:t>appendix</w:t>
        </w:r>
      </w:hyperlink>
      <w:r>
        <w:t>.</w:t>
      </w:r>
    </w:p>
  </w:footnote>
  <w:footnote w:id="3">
    <w:p w14:paraId="46DDD714" w14:textId="2668DCC2" w:rsidR="00040630" w:rsidRDefault="00040630">
      <w:pPr>
        <w:pStyle w:val="FootnoteText"/>
      </w:pPr>
      <w:r>
        <w:rPr>
          <w:rStyle w:val="FootnoteReference"/>
        </w:rPr>
        <w:footnoteRef/>
      </w:r>
      <w:r>
        <w:t xml:space="preserve"> For more information, see the </w:t>
      </w:r>
      <w:hyperlink w:anchor="_Data_cleaning_business" w:history="1">
        <w:r w:rsidRPr="003126DF">
          <w:rPr>
            <w:rStyle w:val="Hyperlink"/>
          </w:rPr>
          <w:t>technical appendix</w:t>
        </w:r>
      </w:hyperlink>
      <w:r>
        <w:t>.</w:t>
      </w:r>
    </w:p>
  </w:footnote>
  <w:footnote w:id="4">
    <w:p w14:paraId="505304A0" w14:textId="41CBD63C" w:rsidR="00040630" w:rsidRDefault="00040630">
      <w:pPr>
        <w:pStyle w:val="FootnoteText"/>
      </w:pPr>
      <w:r>
        <w:rPr>
          <w:rStyle w:val="FootnoteReference"/>
        </w:rPr>
        <w:footnoteRef/>
      </w:r>
      <w:r>
        <w:t xml:space="preserve"> The Index of Relative Socio-economic Advantage and Disadvantage summarises information about the economic and social conditions of people and households in an area. This score is broken into 10 deciles, with lower scores indicating relatively greater disadvantage and a lack of advantage overall. A higher score indicates a relative lack of disadvantage and greater advantage in general (ABS 2023b).</w:t>
      </w:r>
      <w:r w:rsidRPr="00662420">
        <w:rPr>
          <w:sz w:val="20"/>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040630" w:rsidRDefault="00040630"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4E04942C" wp14:editId="20B540FD">
          <wp:simplePos x="0" y="0"/>
          <wp:positionH relativeFrom="page">
            <wp:align>left</wp:align>
          </wp:positionH>
          <wp:positionV relativeFrom="page">
            <wp:align>top</wp:align>
          </wp:positionV>
          <wp:extent cx="7558721" cy="10690735"/>
          <wp:effectExtent l="0" t="0" r="4445" b="0"/>
          <wp:wrapNone/>
          <wp:docPr id="27" name="Picture 27"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040630" w:rsidRDefault="000406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5CA3C662" w:rsidR="00040630" w:rsidRPr="004909C3" w:rsidRDefault="00040630" w:rsidP="008253C4">
    <w:pPr>
      <w:pStyle w:val="Header"/>
      <w:rPr>
        <w:color w:val="FFFFFF" w:themeColor="background1"/>
      </w:rPr>
    </w:pPr>
    <w:r>
      <w:rPr>
        <w:color w:val="FFFFFF" w:themeColor="background1"/>
      </w:rPr>
      <w:t xml:space="preserve">Evaluating EVA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11706064" w:rsidR="00040630" w:rsidRPr="00925A96" w:rsidRDefault="00040630">
    <w:pPr>
      <w:pStyle w:val="Header"/>
    </w:pPr>
    <w:r w:rsidRPr="00925A96">
      <w:t xml:space="preserve">Evaluating EVA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040630" w:rsidRPr="00F202CA" w:rsidRDefault="00040630"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A185FD2"/>
    <w:lvl w:ilvl="0">
      <w:start w:val="1"/>
      <w:numFmt w:val="decimal"/>
      <w:lvlText w:val="%1."/>
      <w:lvlJc w:val="left"/>
      <w:pPr>
        <w:tabs>
          <w:tab w:val="num" w:pos="8154"/>
        </w:tabs>
        <w:ind w:left="8154" w:hanging="360"/>
      </w:pPr>
    </w:lvl>
  </w:abstractNum>
  <w:abstractNum w:abstractNumId="1" w15:restartNumberingAfterBreak="0">
    <w:nsid w:val="FFFFFF7D"/>
    <w:multiLevelType w:val="singleLevel"/>
    <w:tmpl w:val="7C5AEA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22A3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083D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5C29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8EC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D1E40"/>
    <w:multiLevelType w:val="hybridMultilevel"/>
    <w:tmpl w:val="48FE8CD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2"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7461FE5"/>
    <w:multiLevelType w:val="hybridMultilevel"/>
    <w:tmpl w:val="11EA8E88"/>
    <w:lvl w:ilvl="0" w:tplc="87FC2FB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6"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D573E85"/>
    <w:multiLevelType w:val="multilevel"/>
    <w:tmpl w:val="4754E0B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Helvetica" w:hAnsi="Helvetica"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DF616C7"/>
    <w:multiLevelType w:val="hybridMultilevel"/>
    <w:tmpl w:val="E814F86E"/>
    <w:lvl w:ilvl="0" w:tplc="F54AC08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326801"/>
    <w:multiLevelType w:val="multilevel"/>
    <w:tmpl w:val="9202EF04"/>
    <w:lvl w:ilvl="0">
      <w:start w:val="1"/>
      <w:numFmt w:val="bullet"/>
      <w:lvlText w:val="•"/>
      <w:lvlJc w:val="left"/>
      <w:pPr>
        <w:ind w:left="360" w:hanging="360"/>
      </w:pPr>
      <w:rPr>
        <w:rFonts w:ascii="Helvetica" w:hAnsi="Helvetica" w:hint="default"/>
      </w:rPr>
    </w:lvl>
    <w:lvl w:ilvl="1">
      <w:start w:val="1"/>
      <w:numFmt w:val="bullet"/>
      <w:lvlText w:val="–"/>
      <w:lvlJc w:val="left"/>
      <w:pPr>
        <w:ind w:left="720" w:hanging="360"/>
      </w:pPr>
      <w:rPr>
        <w:rFonts w:ascii="Helvetica" w:hAnsi="Helvetica"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46A3667"/>
    <w:multiLevelType w:val="hybridMultilevel"/>
    <w:tmpl w:val="6080920A"/>
    <w:lvl w:ilvl="0" w:tplc="580C23F2">
      <w:start w:val="1"/>
      <w:numFmt w:val="decimal"/>
      <w:pStyle w:val="HeadingTable"/>
      <w:lvlText w:val="Table %1."/>
      <w:lvlJc w:val="left"/>
      <w:pPr>
        <w:ind w:left="644"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C74484"/>
    <w:multiLevelType w:val="hybridMultilevel"/>
    <w:tmpl w:val="48FE8CD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AD019F6"/>
    <w:multiLevelType w:val="hybridMultilevel"/>
    <w:tmpl w:val="38A46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6" w15:restartNumberingAfterBreak="0">
    <w:nsid w:val="36883148"/>
    <w:multiLevelType w:val="hybridMultilevel"/>
    <w:tmpl w:val="A0CAE9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E6437F5"/>
    <w:multiLevelType w:val="hybridMultilevel"/>
    <w:tmpl w:val="BFBC2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6A7891"/>
    <w:multiLevelType w:val="multilevel"/>
    <w:tmpl w:val="8F9E2D72"/>
    <w:lvl w:ilvl="0">
      <w:start w:val="1"/>
      <w:numFmt w:val="decimal"/>
      <w:pStyle w:val="FigureHeading"/>
      <w:lvlText w:val="Figure %1."/>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D946F46"/>
    <w:multiLevelType w:val="multilevel"/>
    <w:tmpl w:val="9202EF04"/>
    <w:lvl w:ilvl="0">
      <w:start w:val="1"/>
      <w:numFmt w:val="bullet"/>
      <w:lvlText w:val="•"/>
      <w:lvlJc w:val="left"/>
      <w:pPr>
        <w:ind w:left="360" w:hanging="360"/>
      </w:pPr>
      <w:rPr>
        <w:rFonts w:ascii="Helvetica" w:hAnsi="Helvetica" w:hint="default"/>
      </w:rPr>
    </w:lvl>
    <w:lvl w:ilvl="1">
      <w:start w:val="1"/>
      <w:numFmt w:val="bullet"/>
      <w:lvlText w:val="–"/>
      <w:lvlJc w:val="left"/>
      <w:pPr>
        <w:ind w:left="720" w:hanging="360"/>
      </w:pPr>
      <w:rPr>
        <w:rFonts w:ascii="Helvetica" w:hAnsi="Helvetica"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17C5320"/>
    <w:multiLevelType w:val="multilevel"/>
    <w:tmpl w:val="5BCE4D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785" w:hanging="360"/>
      </w:pPr>
      <w:rPr>
        <w:rFonts w:ascii="Symbol" w:hAnsi="Symbol"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1"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2" w15:restartNumberingAfterBreak="0">
    <w:nsid w:val="53D4352A"/>
    <w:multiLevelType w:val="hybridMultilevel"/>
    <w:tmpl w:val="762E32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5351F90"/>
    <w:multiLevelType w:val="hybridMultilevel"/>
    <w:tmpl w:val="0CB6E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9C6C6B"/>
    <w:multiLevelType w:val="multilevel"/>
    <w:tmpl w:val="BB343CE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5" w15:restartNumberingAfterBreak="0">
    <w:nsid w:val="5DF71073"/>
    <w:multiLevelType w:val="hybridMultilevel"/>
    <w:tmpl w:val="65D2B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7" w15:restartNumberingAfterBreak="0">
    <w:nsid w:val="6AD52F7E"/>
    <w:multiLevelType w:val="hybridMultilevel"/>
    <w:tmpl w:val="81C281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6655F2"/>
    <w:multiLevelType w:val="hybridMultilevel"/>
    <w:tmpl w:val="D82CC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1F1319"/>
    <w:multiLevelType w:val="hybridMultilevel"/>
    <w:tmpl w:val="A83A21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4"/>
  </w:num>
  <w:num w:numId="2">
    <w:abstractNumId w:val="34"/>
  </w:num>
  <w:num w:numId="3">
    <w:abstractNumId w:val="28"/>
  </w:num>
  <w:num w:numId="4">
    <w:abstractNumId w:val="14"/>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5"/>
  </w:num>
  <w:num w:numId="14">
    <w:abstractNumId w:val="40"/>
  </w:num>
  <w:num w:numId="15">
    <w:abstractNumId w:val="16"/>
  </w:num>
  <w:num w:numId="16">
    <w:abstractNumId w:val="11"/>
  </w:num>
  <w:num w:numId="17">
    <w:abstractNumId w:val="36"/>
  </w:num>
  <w:num w:numId="18">
    <w:abstractNumId w:val="31"/>
  </w:num>
  <w:num w:numId="19">
    <w:abstractNumId w:val="15"/>
  </w:num>
  <w:num w:numId="20">
    <w:abstractNumId w:val="12"/>
  </w:num>
  <w:num w:numId="21">
    <w:abstractNumId w:val="20"/>
  </w:num>
  <w:num w:numId="22">
    <w:abstractNumId w:val="21"/>
  </w:num>
  <w:num w:numId="23">
    <w:abstractNumId w:val="13"/>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7"/>
  </w:num>
  <w:num w:numId="27">
    <w:abstractNumId w:val="33"/>
  </w:num>
  <w:num w:numId="28">
    <w:abstractNumId w:val="30"/>
  </w:num>
  <w:num w:numId="29">
    <w:abstractNumId w:val="10"/>
  </w:num>
  <w:num w:numId="30">
    <w:abstractNumId w:val="9"/>
  </w:num>
  <w:num w:numId="31">
    <w:abstractNumId w:val="26"/>
  </w:num>
  <w:num w:numId="32">
    <w:abstractNumId w:val="18"/>
  </w:num>
  <w:num w:numId="33">
    <w:abstractNumId w:val="32"/>
  </w:num>
  <w:num w:numId="34">
    <w:abstractNumId w:val="19"/>
  </w:num>
  <w:num w:numId="35">
    <w:abstractNumId w:val="29"/>
  </w:num>
  <w:num w:numId="36">
    <w:abstractNumId w:val="17"/>
  </w:num>
  <w:num w:numId="37">
    <w:abstractNumId w:val="38"/>
  </w:num>
  <w:num w:numId="38">
    <w:abstractNumId w:val="39"/>
  </w:num>
  <w:num w:numId="39">
    <w:abstractNumId w:val="27"/>
  </w:num>
  <w:num w:numId="40">
    <w:abstractNumId w:val="23"/>
  </w:num>
  <w:num w:numId="41">
    <w:abstractNumId w:val="35"/>
  </w:num>
  <w:num w:numId="4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3633F1E-C34A-43DB-8D82-D5434E2FFDE2}"/>
    <w:docVar w:name="dgnword-eventsink" w:val="689554072"/>
  </w:docVars>
  <w:rsids>
    <w:rsidRoot w:val="00BE0BBA"/>
    <w:rsid w:val="00003BFA"/>
    <w:rsid w:val="00003CCA"/>
    <w:rsid w:val="00005553"/>
    <w:rsid w:val="00005785"/>
    <w:rsid w:val="00006876"/>
    <w:rsid w:val="000079AD"/>
    <w:rsid w:val="00007D1F"/>
    <w:rsid w:val="00010D84"/>
    <w:rsid w:val="00010F15"/>
    <w:rsid w:val="00011946"/>
    <w:rsid w:val="00011CE3"/>
    <w:rsid w:val="00011FC0"/>
    <w:rsid w:val="000131D0"/>
    <w:rsid w:val="00014E39"/>
    <w:rsid w:val="00016A91"/>
    <w:rsid w:val="000174A3"/>
    <w:rsid w:val="000176B5"/>
    <w:rsid w:val="0001771B"/>
    <w:rsid w:val="0002046A"/>
    <w:rsid w:val="00021660"/>
    <w:rsid w:val="0002202F"/>
    <w:rsid w:val="00022E9C"/>
    <w:rsid w:val="000249CC"/>
    <w:rsid w:val="00024EF0"/>
    <w:rsid w:val="00025631"/>
    <w:rsid w:val="0002742D"/>
    <w:rsid w:val="00027B26"/>
    <w:rsid w:val="00030705"/>
    <w:rsid w:val="000310DC"/>
    <w:rsid w:val="00032861"/>
    <w:rsid w:val="00032B77"/>
    <w:rsid w:val="00033105"/>
    <w:rsid w:val="000338FA"/>
    <w:rsid w:val="00033BCE"/>
    <w:rsid w:val="00033E95"/>
    <w:rsid w:val="00036D7F"/>
    <w:rsid w:val="0003755B"/>
    <w:rsid w:val="00037C74"/>
    <w:rsid w:val="00037F3D"/>
    <w:rsid w:val="00040630"/>
    <w:rsid w:val="000415A3"/>
    <w:rsid w:val="00042285"/>
    <w:rsid w:val="00043256"/>
    <w:rsid w:val="00045A89"/>
    <w:rsid w:val="0004635E"/>
    <w:rsid w:val="00046F8E"/>
    <w:rsid w:val="00047261"/>
    <w:rsid w:val="00047524"/>
    <w:rsid w:val="0005040E"/>
    <w:rsid w:val="0005087D"/>
    <w:rsid w:val="00050F9E"/>
    <w:rsid w:val="00051761"/>
    <w:rsid w:val="000519BB"/>
    <w:rsid w:val="00054088"/>
    <w:rsid w:val="000547EF"/>
    <w:rsid w:val="00056004"/>
    <w:rsid w:val="00056B9D"/>
    <w:rsid w:val="00057CFE"/>
    <w:rsid w:val="0006075A"/>
    <w:rsid w:val="00060E11"/>
    <w:rsid w:val="00061C84"/>
    <w:rsid w:val="00062484"/>
    <w:rsid w:val="00063129"/>
    <w:rsid w:val="000638E0"/>
    <w:rsid w:val="0006489E"/>
    <w:rsid w:val="00064EE9"/>
    <w:rsid w:val="00065022"/>
    <w:rsid w:val="00065088"/>
    <w:rsid w:val="00065A5E"/>
    <w:rsid w:val="00066C01"/>
    <w:rsid w:val="0006775F"/>
    <w:rsid w:val="00067A01"/>
    <w:rsid w:val="00070681"/>
    <w:rsid w:val="0007097B"/>
    <w:rsid w:val="00070F67"/>
    <w:rsid w:val="00072DA5"/>
    <w:rsid w:val="00075E45"/>
    <w:rsid w:val="00076053"/>
    <w:rsid w:val="000768A2"/>
    <w:rsid w:val="00077165"/>
    <w:rsid w:val="00080A09"/>
    <w:rsid w:val="00081366"/>
    <w:rsid w:val="0008174B"/>
    <w:rsid w:val="00081B05"/>
    <w:rsid w:val="00081CEB"/>
    <w:rsid w:val="00082C85"/>
    <w:rsid w:val="00083082"/>
    <w:rsid w:val="00083F36"/>
    <w:rsid w:val="00086D9F"/>
    <w:rsid w:val="00087B2C"/>
    <w:rsid w:val="00087D4E"/>
    <w:rsid w:val="00087DBD"/>
    <w:rsid w:val="00090718"/>
    <w:rsid w:val="00091B4E"/>
    <w:rsid w:val="00091B67"/>
    <w:rsid w:val="00091CD7"/>
    <w:rsid w:val="00093DD5"/>
    <w:rsid w:val="00095DE6"/>
    <w:rsid w:val="00097AB1"/>
    <w:rsid w:val="000A03DD"/>
    <w:rsid w:val="000A0579"/>
    <w:rsid w:val="000A1193"/>
    <w:rsid w:val="000A1257"/>
    <w:rsid w:val="000A1A09"/>
    <w:rsid w:val="000A1B0D"/>
    <w:rsid w:val="000A1EC3"/>
    <w:rsid w:val="000A47A8"/>
    <w:rsid w:val="000A48B2"/>
    <w:rsid w:val="000A4C19"/>
    <w:rsid w:val="000A73FB"/>
    <w:rsid w:val="000B0129"/>
    <w:rsid w:val="000B218A"/>
    <w:rsid w:val="000B2372"/>
    <w:rsid w:val="000B34AB"/>
    <w:rsid w:val="000B39C7"/>
    <w:rsid w:val="000C014D"/>
    <w:rsid w:val="000C29B4"/>
    <w:rsid w:val="000C3EA2"/>
    <w:rsid w:val="000C49B2"/>
    <w:rsid w:val="000C521F"/>
    <w:rsid w:val="000C5CD8"/>
    <w:rsid w:val="000C7597"/>
    <w:rsid w:val="000C7A69"/>
    <w:rsid w:val="000D1158"/>
    <w:rsid w:val="000D26F3"/>
    <w:rsid w:val="000D4703"/>
    <w:rsid w:val="000E1287"/>
    <w:rsid w:val="000E12D4"/>
    <w:rsid w:val="000E1A44"/>
    <w:rsid w:val="000E37E4"/>
    <w:rsid w:val="000E39EF"/>
    <w:rsid w:val="000E442B"/>
    <w:rsid w:val="000E51CE"/>
    <w:rsid w:val="000E5730"/>
    <w:rsid w:val="000E57FF"/>
    <w:rsid w:val="000E620E"/>
    <w:rsid w:val="000E7A32"/>
    <w:rsid w:val="000F0399"/>
    <w:rsid w:val="000F0ADF"/>
    <w:rsid w:val="000F2063"/>
    <w:rsid w:val="000F32F2"/>
    <w:rsid w:val="000F36BE"/>
    <w:rsid w:val="000F3D28"/>
    <w:rsid w:val="000F5C1F"/>
    <w:rsid w:val="000F63C4"/>
    <w:rsid w:val="000F7463"/>
    <w:rsid w:val="000F762E"/>
    <w:rsid w:val="00100200"/>
    <w:rsid w:val="0010263D"/>
    <w:rsid w:val="00102824"/>
    <w:rsid w:val="0010300A"/>
    <w:rsid w:val="00104CF7"/>
    <w:rsid w:val="00105DAD"/>
    <w:rsid w:val="00107EE0"/>
    <w:rsid w:val="001131F0"/>
    <w:rsid w:val="001139C7"/>
    <w:rsid w:val="00114A1A"/>
    <w:rsid w:val="00114EBC"/>
    <w:rsid w:val="0011614A"/>
    <w:rsid w:val="001167CB"/>
    <w:rsid w:val="001204CC"/>
    <w:rsid w:val="0012073F"/>
    <w:rsid w:val="001239B3"/>
    <w:rsid w:val="0012427E"/>
    <w:rsid w:val="001247E0"/>
    <w:rsid w:val="001252F6"/>
    <w:rsid w:val="001259CB"/>
    <w:rsid w:val="00126750"/>
    <w:rsid w:val="001271A1"/>
    <w:rsid w:val="00127ADC"/>
    <w:rsid w:val="0013076E"/>
    <w:rsid w:val="00131C0F"/>
    <w:rsid w:val="0013212C"/>
    <w:rsid w:val="001325BF"/>
    <w:rsid w:val="00132BEC"/>
    <w:rsid w:val="00132F0D"/>
    <w:rsid w:val="0013370E"/>
    <w:rsid w:val="00133713"/>
    <w:rsid w:val="00133A4A"/>
    <w:rsid w:val="0013507E"/>
    <w:rsid w:val="00135B7E"/>
    <w:rsid w:val="00135C0B"/>
    <w:rsid w:val="00137FDB"/>
    <w:rsid w:val="00140FC9"/>
    <w:rsid w:val="001413C5"/>
    <w:rsid w:val="0014231B"/>
    <w:rsid w:val="00142956"/>
    <w:rsid w:val="00142D10"/>
    <w:rsid w:val="001432B0"/>
    <w:rsid w:val="0014374D"/>
    <w:rsid w:val="00144868"/>
    <w:rsid w:val="00144949"/>
    <w:rsid w:val="00144C95"/>
    <w:rsid w:val="00144EB4"/>
    <w:rsid w:val="001452BC"/>
    <w:rsid w:val="001478FD"/>
    <w:rsid w:val="001509DF"/>
    <w:rsid w:val="00150D2A"/>
    <w:rsid w:val="00150E25"/>
    <w:rsid w:val="00150EA9"/>
    <w:rsid w:val="001512BB"/>
    <w:rsid w:val="00151650"/>
    <w:rsid w:val="001540CB"/>
    <w:rsid w:val="0015459E"/>
    <w:rsid w:val="00155968"/>
    <w:rsid w:val="00155B98"/>
    <w:rsid w:val="00156525"/>
    <w:rsid w:val="00157001"/>
    <w:rsid w:val="00157709"/>
    <w:rsid w:val="001577EF"/>
    <w:rsid w:val="00160B66"/>
    <w:rsid w:val="00160E91"/>
    <w:rsid w:val="00160F63"/>
    <w:rsid w:val="001617D7"/>
    <w:rsid w:val="00164D8E"/>
    <w:rsid w:val="00165320"/>
    <w:rsid w:val="00165626"/>
    <w:rsid w:val="00165F27"/>
    <w:rsid w:val="00166272"/>
    <w:rsid w:val="00166AE5"/>
    <w:rsid w:val="001671D2"/>
    <w:rsid w:val="00167CF4"/>
    <w:rsid w:val="00170BE9"/>
    <w:rsid w:val="0017147C"/>
    <w:rsid w:val="0017194E"/>
    <w:rsid w:val="001719E9"/>
    <w:rsid w:val="0017249B"/>
    <w:rsid w:val="001727A4"/>
    <w:rsid w:val="00174571"/>
    <w:rsid w:val="00176148"/>
    <w:rsid w:val="00177EC4"/>
    <w:rsid w:val="00181533"/>
    <w:rsid w:val="001824C8"/>
    <w:rsid w:val="00182698"/>
    <w:rsid w:val="00183B83"/>
    <w:rsid w:val="001864FD"/>
    <w:rsid w:val="0019158D"/>
    <w:rsid w:val="001916EC"/>
    <w:rsid w:val="00191A5D"/>
    <w:rsid w:val="00191DCA"/>
    <w:rsid w:val="00192D96"/>
    <w:rsid w:val="001936A7"/>
    <w:rsid w:val="001943DD"/>
    <w:rsid w:val="001956ED"/>
    <w:rsid w:val="001959C4"/>
    <w:rsid w:val="0019600C"/>
    <w:rsid w:val="00196BAC"/>
    <w:rsid w:val="001A009A"/>
    <w:rsid w:val="001A0BF0"/>
    <w:rsid w:val="001A13F6"/>
    <w:rsid w:val="001A1957"/>
    <w:rsid w:val="001A281E"/>
    <w:rsid w:val="001A2D78"/>
    <w:rsid w:val="001A3CFD"/>
    <w:rsid w:val="001A4B54"/>
    <w:rsid w:val="001A4E3C"/>
    <w:rsid w:val="001A50A2"/>
    <w:rsid w:val="001A614B"/>
    <w:rsid w:val="001A61C4"/>
    <w:rsid w:val="001A7249"/>
    <w:rsid w:val="001B1EA0"/>
    <w:rsid w:val="001B385A"/>
    <w:rsid w:val="001B3904"/>
    <w:rsid w:val="001B3AEC"/>
    <w:rsid w:val="001B3E8D"/>
    <w:rsid w:val="001B4966"/>
    <w:rsid w:val="001B5259"/>
    <w:rsid w:val="001B53B8"/>
    <w:rsid w:val="001B5403"/>
    <w:rsid w:val="001B5A8E"/>
    <w:rsid w:val="001B60D4"/>
    <w:rsid w:val="001B6F28"/>
    <w:rsid w:val="001C0248"/>
    <w:rsid w:val="001C12DB"/>
    <w:rsid w:val="001C35DA"/>
    <w:rsid w:val="001C38BA"/>
    <w:rsid w:val="001C4C8F"/>
    <w:rsid w:val="001C4F4F"/>
    <w:rsid w:val="001C6BA1"/>
    <w:rsid w:val="001C6F22"/>
    <w:rsid w:val="001D0962"/>
    <w:rsid w:val="001D11A6"/>
    <w:rsid w:val="001D141C"/>
    <w:rsid w:val="001D1BDE"/>
    <w:rsid w:val="001D2904"/>
    <w:rsid w:val="001D38E8"/>
    <w:rsid w:val="001D5BD9"/>
    <w:rsid w:val="001D652D"/>
    <w:rsid w:val="001D693F"/>
    <w:rsid w:val="001D6EDF"/>
    <w:rsid w:val="001D6F9E"/>
    <w:rsid w:val="001E38FB"/>
    <w:rsid w:val="001E52C2"/>
    <w:rsid w:val="001E5940"/>
    <w:rsid w:val="001E6A27"/>
    <w:rsid w:val="001F0BE1"/>
    <w:rsid w:val="001F101A"/>
    <w:rsid w:val="001F1F42"/>
    <w:rsid w:val="001F21A0"/>
    <w:rsid w:val="001F22C5"/>
    <w:rsid w:val="001F24EF"/>
    <w:rsid w:val="001F56C7"/>
    <w:rsid w:val="001F7838"/>
    <w:rsid w:val="001F7945"/>
    <w:rsid w:val="0020005E"/>
    <w:rsid w:val="002009B1"/>
    <w:rsid w:val="002016DE"/>
    <w:rsid w:val="00202BC8"/>
    <w:rsid w:val="00203039"/>
    <w:rsid w:val="002033C1"/>
    <w:rsid w:val="00203529"/>
    <w:rsid w:val="00203A42"/>
    <w:rsid w:val="00204B17"/>
    <w:rsid w:val="00205E75"/>
    <w:rsid w:val="002069D2"/>
    <w:rsid w:val="0020700A"/>
    <w:rsid w:val="002111E1"/>
    <w:rsid w:val="00211DA2"/>
    <w:rsid w:val="00213210"/>
    <w:rsid w:val="00213693"/>
    <w:rsid w:val="00213E8F"/>
    <w:rsid w:val="00214BF9"/>
    <w:rsid w:val="00215137"/>
    <w:rsid w:val="00215479"/>
    <w:rsid w:val="00215CCB"/>
    <w:rsid w:val="00216CF5"/>
    <w:rsid w:val="0022037B"/>
    <w:rsid w:val="00220574"/>
    <w:rsid w:val="00222C8D"/>
    <w:rsid w:val="002256A8"/>
    <w:rsid w:val="00225A61"/>
    <w:rsid w:val="002263AE"/>
    <w:rsid w:val="00226D96"/>
    <w:rsid w:val="00230261"/>
    <w:rsid w:val="002307FA"/>
    <w:rsid w:val="00230E6B"/>
    <w:rsid w:val="002319A3"/>
    <w:rsid w:val="002320BC"/>
    <w:rsid w:val="00232B97"/>
    <w:rsid w:val="00232F8A"/>
    <w:rsid w:val="00233077"/>
    <w:rsid w:val="002331EF"/>
    <w:rsid w:val="00233A81"/>
    <w:rsid w:val="0023523A"/>
    <w:rsid w:val="00236691"/>
    <w:rsid w:val="002367FA"/>
    <w:rsid w:val="0023757C"/>
    <w:rsid w:val="00237C47"/>
    <w:rsid w:val="00237D82"/>
    <w:rsid w:val="002402E4"/>
    <w:rsid w:val="002413B1"/>
    <w:rsid w:val="00241960"/>
    <w:rsid w:val="002421A0"/>
    <w:rsid w:val="002428A1"/>
    <w:rsid w:val="00242B98"/>
    <w:rsid w:val="002445A1"/>
    <w:rsid w:val="00246FE6"/>
    <w:rsid w:val="002470E3"/>
    <w:rsid w:val="002472F2"/>
    <w:rsid w:val="002476E4"/>
    <w:rsid w:val="00247879"/>
    <w:rsid w:val="00251626"/>
    <w:rsid w:val="00251695"/>
    <w:rsid w:val="0025207D"/>
    <w:rsid w:val="002535AE"/>
    <w:rsid w:val="0025407D"/>
    <w:rsid w:val="00254D41"/>
    <w:rsid w:val="00254DE9"/>
    <w:rsid w:val="00255DD8"/>
    <w:rsid w:val="00257A66"/>
    <w:rsid w:val="002602FC"/>
    <w:rsid w:val="002615D3"/>
    <w:rsid w:val="00261C1F"/>
    <w:rsid w:val="0026268A"/>
    <w:rsid w:val="00262845"/>
    <w:rsid w:val="00263232"/>
    <w:rsid w:val="00263335"/>
    <w:rsid w:val="00265941"/>
    <w:rsid w:val="00266D10"/>
    <w:rsid w:val="00267231"/>
    <w:rsid w:val="002672F1"/>
    <w:rsid w:val="00267D37"/>
    <w:rsid w:val="00271414"/>
    <w:rsid w:val="002716D9"/>
    <w:rsid w:val="00271922"/>
    <w:rsid w:val="00271935"/>
    <w:rsid w:val="00273412"/>
    <w:rsid w:val="0027373F"/>
    <w:rsid w:val="00274ACF"/>
    <w:rsid w:val="002753CD"/>
    <w:rsid w:val="00276A9D"/>
    <w:rsid w:val="00277388"/>
    <w:rsid w:val="00277C8F"/>
    <w:rsid w:val="0028039E"/>
    <w:rsid w:val="0028159B"/>
    <w:rsid w:val="0028182A"/>
    <w:rsid w:val="00282671"/>
    <w:rsid w:val="00282861"/>
    <w:rsid w:val="002843E2"/>
    <w:rsid w:val="00285CAD"/>
    <w:rsid w:val="00286BC6"/>
    <w:rsid w:val="00286D7C"/>
    <w:rsid w:val="002876D5"/>
    <w:rsid w:val="00287B4B"/>
    <w:rsid w:val="00287BAA"/>
    <w:rsid w:val="0029180D"/>
    <w:rsid w:val="00293489"/>
    <w:rsid w:val="002947B9"/>
    <w:rsid w:val="0029560B"/>
    <w:rsid w:val="00295B30"/>
    <w:rsid w:val="00296654"/>
    <w:rsid w:val="00296F5E"/>
    <w:rsid w:val="00297640"/>
    <w:rsid w:val="00297A8D"/>
    <w:rsid w:val="002A1509"/>
    <w:rsid w:val="002A1BE8"/>
    <w:rsid w:val="002A1D40"/>
    <w:rsid w:val="002A2F10"/>
    <w:rsid w:val="002A30F0"/>
    <w:rsid w:val="002A364D"/>
    <w:rsid w:val="002A38A4"/>
    <w:rsid w:val="002A5254"/>
    <w:rsid w:val="002A6377"/>
    <w:rsid w:val="002A6DF5"/>
    <w:rsid w:val="002A73D9"/>
    <w:rsid w:val="002B085C"/>
    <w:rsid w:val="002B26CE"/>
    <w:rsid w:val="002B2858"/>
    <w:rsid w:val="002B50E6"/>
    <w:rsid w:val="002B6406"/>
    <w:rsid w:val="002B6809"/>
    <w:rsid w:val="002C15B5"/>
    <w:rsid w:val="002C1B32"/>
    <w:rsid w:val="002C372A"/>
    <w:rsid w:val="002C3771"/>
    <w:rsid w:val="002C4231"/>
    <w:rsid w:val="002C43A5"/>
    <w:rsid w:val="002C44DD"/>
    <w:rsid w:val="002C46B9"/>
    <w:rsid w:val="002C5531"/>
    <w:rsid w:val="002C7080"/>
    <w:rsid w:val="002C76BF"/>
    <w:rsid w:val="002C7AF3"/>
    <w:rsid w:val="002D00B0"/>
    <w:rsid w:val="002D2364"/>
    <w:rsid w:val="002D2858"/>
    <w:rsid w:val="002D2E16"/>
    <w:rsid w:val="002D533A"/>
    <w:rsid w:val="002D6050"/>
    <w:rsid w:val="002D6E3E"/>
    <w:rsid w:val="002D76DA"/>
    <w:rsid w:val="002E0C16"/>
    <w:rsid w:val="002E21D6"/>
    <w:rsid w:val="002E378D"/>
    <w:rsid w:val="002E45F0"/>
    <w:rsid w:val="002E528F"/>
    <w:rsid w:val="002E5381"/>
    <w:rsid w:val="002E55D6"/>
    <w:rsid w:val="002E61C1"/>
    <w:rsid w:val="002E7778"/>
    <w:rsid w:val="002F1ABA"/>
    <w:rsid w:val="002F4AAD"/>
    <w:rsid w:val="002F6187"/>
    <w:rsid w:val="002F680D"/>
    <w:rsid w:val="002F68E2"/>
    <w:rsid w:val="002F6CF0"/>
    <w:rsid w:val="00302C34"/>
    <w:rsid w:val="0030384A"/>
    <w:rsid w:val="00304011"/>
    <w:rsid w:val="003041A2"/>
    <w:rsid w:val="00304B3E"/>
    <w:rsid w:val="00304D97"/>
    <w:rsid w:val="0030652C"/>
    <w:rsid w:val="003068FC"/>
    <w:rsid w:val="00310E44"/>
    <w:rsid w:val="0031139E"/>
    <w:rsid w:val="0031180A"/>
    <w:rsid w:val="003122C7"/>
    <w:rsid w:val="0031246D"/>
    <w:rsid w:val="00312837"/>
    <w:rsid w:val="00313127"/>
    <w:rsid w:val="00313304"/>
    <w:rsid w:val="00314DDC"/>
    <w:rsid w:val="003155F4"/>
    <w:rsid w:val="003158EE"/>
    <w:rsid w:val="00320309"/>
    <w:rsid w:val="00320F37"/>
    <w:rsid w:val="003213A1"/>
    <w:rsid w:val="00321D1E"/>
    <w:rsid w:val="00324FDC"/>
    <w:rsid w:val="0032501D"/>
    <w:rsid w:val="0032530E"/>
    <w:rsid w:val="00325A61"/>
    <w:rsid w:val="00325EF5"/>
    <w:rsid w:val="00326976"/>
    <w:rsid w:val="00326B01"/>
    <w:rsid w:val="00326E1C"/>
    <w:rsid w:val="00326E97"/>
    <w:rsid w:val="003279E4"/>
    <w:rsid w:val="00327B45"/>
    <w:rsid w:val="00330274"/>
    <w:rsid w:val="003303D9"/>
    <w:rsid w:val="003308B0"/>
    <w:rsid w:val="003311D7"/>
    <w:rsid w:val="00332B8B"/>
    <w:rsid w:val="0033319B"/>
    <w:rsid w:val="00333384"/>
    <w:rsid w:val="0033351C"/>
    <w:rsid w:val="0033521E"/>
    <w:rsid w:val="00335B97"/>
    <w:rsid w:val="003364C7"/>
    <w:rsid w:val="00336AC3"/>
    <w:rsid w:val="00336DD6"/>
    <w:rsid w:val="00336F44"/>
    <w:rsid w:val="00337912"/>
    <w:rsid w:val="00337CA2"/>
    <w:rsid w:val="003402FB"/>
    <w:rsid w:val="003404A4"/>
    <w:rsid w:val="003413CA"/>
    <w:rsid w:val="003418E4"/>
    <w:rsid w:val="00343179"/>
    <w:rsid w:val="003435DA"/>
    <w:rsid w:val="00344820"/>
    <w:rsid w:val="00344956"/>
    <w:rsid w:val="00344A3F"/>
    <w:rsid w:val="00344F90"/>
    <w:rsid w:val="0034614B"/>
    <w:rsid w:val="00346843"/>
    <w:rsid w:val="00347104"/>
    <w:rsid w:val="00347B06"/>
    <w:rsid w:val="00350852"/>
    <w:rsid w:val="0035096E"/>
    <w:rsid w:val="00350FC0"/>
    <w:rsid w:val="0035129C"/>
    <w:rsid w:val="0035219F"/>
    <w:rsid w:val="00352C81"/>
    <w:rsid w:val="00353F3A"/>
    <w:rsid w:val="00354FE3"/>
    <w:rsid w:val="00355D01"/>
    <w:rsid w:val="003564AA"/>
    <w:rsid w:val="003566B0"/>
    <w:rsid w:val="00356AE6"/>
    <w:rsid w:val="0036021F"/>
    <w:rsid w:val="00360B81"/>
    <w:rsid w:val="00361DAB"/>
    <w:rsid w:val="00365A09"/>
    <w:rsid w:val="00366283"/>
    <w:rsid w:val="0036777E"/>
    <w:rsid w:val="00367DAE"/>
    <w:rsid w:val="00367F7D"/>
    <w:rsid w:val="003701FA"/>
    <w:rsid w:val="0037271A"/>
    <w:rsid w:val="00372A26"/>
    <w:rsid w:val="00372EC7"/>
    <w:rsid w:val="003733DE"/>
    <w:rsid w:val="0037484C"/>
    <w:rsid w:val="003749CD"/>
    <w:rsid w:val="00374A6C"/>
    <w:rsid w:val="00375356"/>
    <w:rsid w:val="0038045A"/>
    <w:rsid w:val="00380FC0"/>
    <w:rsid w:val="003816C8"/>
    <w:rsid w:val="00382718"/>
    <w:rsid w:val="00382792"/>
    <w:rsid w:val="00382B3B"/>
    <w:rsid w:val="00383501"/>
    <w:rsid w:val="00385ED2"/>
    <w:rsid w:val="003866D6"/>
    <w:rsid w:val="0038714A"/>
    <w:rsid w:val="003915B5"/>
    <w:rsid w:val="00391B9A"/>
    <w:rsid w:val="00391ECD"/>
    <w:rsid w:val="00391F86"/>
    <w:rsid w:val="003923FB"/>
    <w:rsid w:val="00393060"/>
    <w:rsid w:val="003931C7"/>
    <w:rsid w:val="00393F00"/>
    <w:rsid w:val="003945C0"/>
    <w:rsid w:val="00396AE2"/>
    <w:rsid w:val="003979F0"/>
    <w:rsid w:val="003A25A7"/>
    <w:rsid w:val="003A4360"/>
    <w:rsid w:val="003A4874"/>
    <w:rsid w:val="003A65D4"/>
    <w:rsid w:val="003A6EB9"/>
    <w:rsid w:val="003B1AA7"/>
    <w:rsid w:val="003B1E01"/>
    <w:rsid w:val="003B209A"/>
    <w:rsid w:val="003B21AD"/>
    <w:rsid w:val="003B28CC"/>
    <w:rsid w:val="003B46D7"/>
    <w:rsid w:val="003B499C"/>
    <w:rsid w:val="003B4EE0"/>
    <w:rsid w:val="003B52CE"/>
    <w:rsid w:val="003B535C"/>
    <w:rsid w:val="003B5F0C"/>
    <w:rsid w:val="003B7372"/>
    <w:rsid w:val="003C2120"/>
    <w:rsid w:val="003C30F0"/>
    <w:rsid w:val="003C45B7"/>
    <w:rsid w:val="003C47C0"/>
    <w:rsid w:val="003C4BB1"/>
    <w:rsid w:val="003C53AF"/>
    <w:rsid w:val="003C63A3"/>
    <w:rsid w:val="003C6F95"/>
    <w:rsid w:val="003D030E"/>
    <w:rsid w:val="003D040D"/>
    <w:rsid w:val="003D1CA2"/>
    <w:rsid w:val="003D1F49"/>
    <w:rsid w:val="003D2061"/>
    <w:rsid w:val="003D3DED"/>
    <w:rsid w:val="003D543B"/>
    <w:rsid w:val="003D6AE7"/>
    <w:rsid w:val="003D6C1F"/>
    <w:rsid w:val="003D78A6"/>
    <w:rsid w:val="003D7E3D"/>
    <w:rsid w:val="003E02C5"/>
    <w:rsid w:val="003E15A5"/>
    <w:rsid w:val="003E1FE3"/>
    <w:rsid w:val="003E24F1"/>
    <w:rsid w:val="003E32A7"/>
    <w:rsid w:val="003E3C34"/>
    <w:rsid w:val="003E6102"/>
    <w:rsid w:val="003E6A9B"/>
    <w:rsid w:val="003E74AE"/>
    <w:rsid w:val="003E7D56"/>
    <w:rsid w:val="003F1269"/>
    <w:rsid w:val="003F1A33"/>
    <w:rsid w:val="003F3072"/>
    <w:rsid w:val="003F31E6"/>
    <w:rsid w:val="003F415B"/>
    <w:rsid w:val="003F5EC6"/>
    <w:rsid w:val="003F67D7"/>
    <w:rsid w:val="003F719F"/>
    <w:rsid w:val="004004C3"/>
    <w:rsid w:val="00401057"/>
    <w:rsid w:val="004011C0"/>
    <w:rsid w:val="0040207C"/>
    <w:rsid w:val="004024E4"/>
    <w:rsid w:val="00402F4B"/>
    <w:rsid w:val="00404B00"/>
    <w:rsid w:val="00404E66"/>
    <w:rsid w:val="004061B4"/>
    <w:rsid w:val="00406289"/>
    <w:rsid w:val="00406578"/>
    <w:rsid w:val="00406701"/>
    <w:rsid w:val="004069C1"/>
    <w:rsid w:val="004074EF"/>
    <w:rsid w:val="004078CC"/>
    <w:rsid w:val="00407B6F"/>
    <w:rsid w:val="00407BF1"/>
    <w:rsid w:val="004102C3"/>
    <w:rsid w:val="00412789"/>
    <w:rsid w:val="0041307C"/>
    <w:rsid w:val="00413699"/>
    <w:rsid w:val="00413BCF"/>
    <w:rsid w:val="00414DBC"/>
    <w:rsid w:val="004167B4"/>
    <w:rsid w:val="004167BC"/>
    <w:rsid w:val="00416B8B"/>
    <w:rsid w:val="00416D8E"/>
    <w:rsid w:val="00417B87"/>
    <w:rsid w:val="004201AA"/>
    <w:rsid w:val="0042032D"/>
    <w:rsid w:val="00421CD6"/>
    <w:rsid w:val="004225DC"/>
    <w:rsid w:val="00422931"/>
    <w:rsid w:val="004230C3"/>
    <w:rsid w:val="00423A41"/>
    <w:rsid w:val="00423B02"/>
    <w:rsid w:val="00425339"/>
    <w:rsid w:val="00425FBA"/>
    <w:rsid w:val="00426956"/>
    <w:rsid w:val="00426CF8"/>
    <w:rsid w:val="0042730F"/>
    <w:rsid w:val="00427402"/>
    <w:rsid w:val="00427C7D"/>
    <w:rsid w:val="00430D7E"/>
    <w:rsid w:val="004319CF"/>
    <w:rsid w:val="00432332"/>
    <w:rsid w:val="00432368"/>
    <w:rsid w:val="00433A61"/>
    <w:rsid w:val="00433B04"/>
    <w:rsid w:val="0043536B"/>
    <w:rsid w:val="0043585B"/>
    <w:rsid w:val="00435CAB"/>
    <w:rsid w:val="004360BB"/>
    <w:rsid w:val="004364D8"/>
    <w:rsid w:val="00436F73"/>
    <w:rsid w:val="0043784D"/>
    <w:rsid w:val="00437899"/>
    <w:rsid w:val="00440256"/>
    <w:rsid w:val="00440E22"/>
    <w:rsid w:val="0044273D"/>
    <w:rsid w:val="0044547D"/>
    <w:rsid w:val="00446F93"/>
    <w:rsid w:val="00447220"/>
    <w:rsid w:val="00447A62"/>
    <w:rsid w:val="00451A74"/>
    <w:rsid w:val="004533A1"/>
    <w:rsid w:val="00453DDF"/>
    <w:rsid w:val="004552AB"/>
    <w:rsid w:val="004553FF"/>
    <w:rsid w:val="0045622C"/>
    <w:rsid w:val="00457970"/>
    <w:rsid w:val="00461E30"/>
    <w:rsid w:val="0046211F"/>
    <w:rsid w:val="00464B51"/>
    <w:rsid w:val="00464FB1"/>
    <w:rsid w:val="00466320"/>
    <w:rsid w:val="00466461"/>
    <w:rsid w:val="00467185"/>
    <w:rsid w:val="00467543"/>
    <w:rsid w:val="0046765A"/>
    <w:rsid w:val="00467736"/>
    <w:rsid w:val="004700D7"/>
    <w:rsid w:val="0047050C"/>
    <w:rsid w:val="00470B86"/>
    <w:rsid w:val="00472272"/>
    <w:rsid w:val="00472A45"/>
    <w:rsid w:val="0047313B"/>
    <w:rsid w:val="00473540"/>
    <w:rsid w:val="00473930"/>
    <w:rsid w:val="0047492C"/>
    <w:rsid w:val="00474D25"/>
    <w:rsid w:val="004750DB"/>
    <w:rsid w:val="004750FB"/>
    <w:rsid w:val="0047649C"/>
    <w:rsid w:val="00476E52"/>
    <w:rsid w:val="00477EC1"/>
    <w:rsid w:val="00480F21"/>
    <w:rsid w:val="0048108E"/>
    <w:rsid w:val="00481389"/>
    <w:rsid w:val="00481E49"/>
    <w:rsid w:val="004821BA"/>
    <w:rsid w:val="00482CAF"/>
    <w:rsid w:val="0048537F"/>
    <w:rsid w:val="0048555A"/>
    <w:rsid w:val="004874E5"/>
    <w:rsid w:val="00487885"/>
    <w:rsid w:val="004909C3"/>
    <w:rsid w:val="00490A65"/>
    <w:rsid w:val="00491038"/>
    <w:rsid w:val="0049116C"/>
    <w:rsid w:val="00491968"/>
    <w:rsid w:val="00492484"/>
    <w:rsid w:val="004930C9"/>
    <w:rsid w:val="00493EAC"/>
    <w:rsid w:val="00493F62"/>
    <w:rsid w:val="00494832"/>
    <w:rsid w:val="004957C2"/>
    <w:rsid w:val="00495AF1"/>
    <w:rsid w:val="00497A89"/>
    <w:rsid w:val="004A131C"/>
    <w:rsid w:val="004A45B5"/>
    <w:rsid w:val="004A4CED"/>
    <w:rsid w:val="004A4D74"/>
    <w:rsid w:val="004A655D"/>
    <w:rsid w:val="004A6BE6"/>
    <w:rsid w:val="004A6D72"/>
    <w:rsid w:val="004A6EAB"/>
    <w:rsid w:val="004A75A2"/>
    <w:rsid w:val="004A7B60"/>
    <w:rsid w:val="004B047F"/>
    <w:rsid w:val="004B0828"/>
    <w:rsid w:val="004B3304"/>
    <w:rsid w:val="004B3DF1"/>
    <w:rsid w:val="004B4BC0"/>
    <w:rsid w:val="004B5555"/>
    <w:rsid w:val="004B5656"/>
    <w:rsid w:val="004B6F4B"/>
    <w:rsid w:val="004C011C"/>
    <w:rsid w:val="004C0484"/>
    <w:rsid w:val="004C259B"/>
    <w:rsid w:val="004C35FD"/>
    <w:rsid w:val="004C486D"/>
    <w:rsid w:val="004C50C1"/>
    <w:rsid w:val="004C755D"/>
    <w:rsid w:val="004C777E"/>
    <w:rsid w:val="004D0605"/>
    <w:rsid w:val="004D0C54"/>
    <w:rsid w:val="004D10E0"/>
    <w:rsid w:val="004D16A4"/>
    <w:rsid w:val="004D3F41"/>
    <w:rsid w:val="004D3F44"/>
    <w:rsid w:val="004D44DA"/>
    <w:rsid w:val="004D4E63"/>
    <w:rsid w:val="004D6420"/>
    <w:rsid w:val="004D7B05"/>
    <w:rsid w:val="004E6682"/>
    <w:rsid w:val="004E6D8A"/>
    <w:rsid w:val="004F0411"/>
    <w:rsid w:val="004F10C1"/>
    <w:rsid w:val="004F15EF"/>
    <w:rsid w:val="004F1A0A"/>
    <w:rsid w:val="004F1F67"/>
    <w:rsid w:val="004F22FE"/>
    <w:rsid w:val="004F5789"/>
    <w:rsid w:val="004F774D"/>
    <w:rsid w:val="004F7D37"/>
    <w:rsid w:val="005002FC"/>
    <w:rsid w:val="005011F0"/>
    <w:rsid w:val="005013B0"/>
    <w:rsid w:val="005015E4"/>
    <w:rsid w:val="005017A6"/>
    <w:rsid w:val="0050291D"/>
    <w:rsid w:val="005064CD"/>
    <w:rsid w:val="00506C00"/>
    <w:rsid w:val="0050783B"/>
    <w:rsid w:val="00511016"/>
    <w:rsid w:val="00511FFA"/>
    <w:rsid w:val="005125E0"/>
    <w:rsid w:val="0051367D"/>
    <w:rsid w:val="005146FC"/>
    <w:rsid w:val="00514D8C"/>
    <w:rsid w:val="005159B3"/>
    <w:rsid w:val="005162B5"/>
    <w:rsid w:val="00517E0A"/>
    <w:rsid w:val="00517F56"/>
    <w:rsid w:val="00520FB1"/>
    <w:rsid w:val="00522C03"/>
    <w:rsid w:val="00523110"/>
    <w:rsid w:val="00524C88"/>
    <w:rsid w:val="00524CEA"/>
    <w:rsid w:val="00525E94"/>
    <w:rsid w:val="00525EA4"/>
    <w:rsid w:val="00526448"/>
    <w:rsid w:val="005276B7"/>
    <w:rsid w:val="005278F0"/>
    <w:rsid w:val="0052791F"/>
    <w:rsid w:val="00532CFF"/>
    <w:rsid w:val="00534B24"/>
    <w:rsid w:val="00534D3D"/>
    <w:rsid w:val="00536880"/>
    <w:rsid w:val="0053759C"/>
    <w:rsid w:val="00537CEC"/>
    <w:rsid w:val="005407CE"/>
    <w:rsid w:val="00540803"/>
    <w:rsid w:val="00540AD0"/>
    <w:rsid w:val="005419CB"/>
    <w:rsid w:val="005426E0"/>
    <w:rsid w:val="00542E69"/>
    <w:rsid w:val="0054350C"/>
    <w:rsid w:val="0054357A"/>
    <w:rsid w:val="00543A76"/>
    <w:rsid w:val="00544EFB"/>
    <w:rsid w:val="00546464"/>
    <w:rsid w:val="00547738"/>
    <w:rsid w:val="005522F3"/>
    <w:rsid w:val="005523D1"/>
    <w:rsid w:val="0055401F"/>
    <w:rsid w:val="00554A1D"/>
    <w:rsid w:val="00554E2F"/>
    <w:rsid w:val="0055532E"/>
    <w:rsid w:val="00555BC3"/>
    <w:rsid w:val="00555F17"/>
    <w:rsid w:val="00557C8E"/>
    <w:rsid w:val="00561B2B"/>
    <w:rsid w:val="0056357E"/>
    <w:rsid w:val="00564952"/>
    <w:rsid w:val="0056645F"/>
    <w:rsid w:val="00570D64"/>
    <w:rsid w:val="00571AB1"/>
    <w:rsid w:val="00572E69"/>
    <w:rsid w:val="00573797"/>
    <w:rsid w:val="00573D0A"/>
    <w:rsid w:val="00573E52"/>
    <w:rsid w:val="005759CE"/>
    <w:rsid w:val="00577E1C"/>
    <w:rsid w:val="00580964"/>
    <w:rsid w:val="00580DB1"/>
    <w:rsid w:val="005814AC"/>
    <w:rsid w:val="005824BA"/>
    <w:rsid w:val="005845D1"/>
    <w:rsid w:val="00584676"/>
    <w:rsid w:val="00584923"/>
    <w:rsid w:val="005854B7"/>
    <w:rsid w:val="00585708"/>
    <w:rsid w:val="00585B6F"/>
    <w:rsid w:val="00585D9E"/>
    <w:rsid w:val="005871C1"/>
    <w:rsid w:val="00587AB1"/>
    <w:rsid w:val="0059070B"/>
    <w:rsid w:val="0059112F"/>
    <w:rsid w:val="00591CEE"/>
    <w:rsid w:val="0059283C"/>
    <w:rsid w:val="00593098"/>
    <w:rsid w:val="0059352B"/>
    <w:rsid w:val="00595082"/>
    <w:rsid w:val="0059584A"/>
    <w:rsid w:val="00596204"/>
    <w:rsid w:val="00596824"/>
    <w:rsid w:val="005973B4"/>
    <w:rsid w:val="005A0D95"/>
    <w:rsid w:val="005A224B"/>
    <w:rsid w:val="005A2741"/>
    <w:rsid w:val="005A3A77"/>
    <w:rsid w:val="005A4B70"/>
    <w:rsid w:val="005A5EAE"/>
    <w:rsid w:val="005A68E9"/>
    <w:rsid w:val="005B04B5"/>
    <w:rsid w:val="005B1225"/>
    <w:rsid w:val="005B14C3"/>
    <w:rsid w:val="005B17D8"/>
    <w:rsid w:val="005B1D82"/>
    <w:rsid w:val="005B4077"/>
    <w:rsid w:val="005B4427"/>
    <w:rsid w:val="005B570F"/>
    <w:rsid w:val="005B65E5"/>
    <w:rsid w:val="005C03BE"/>
    <w:rsid w:val="005C28B0"/>
    <w:rsid w:val="005C2F01"/>
    <w:rsid w:val="005C5F3C"/>
    <w:rsid w:val="005C7791"/>
    <w:rsid w:val="005C797C"/>
    <w:rsid w:val="005D01BE"/>
    <w:rsid w:val="005D1177"/>
    <w:rsid w:val="005D1D13"/>
    <w:rsid w:val="005D254A"/>
    <w:rsid w:val="005D4B78"/>
    <w:rsid w:val="005D51DE"/>
    <w:rsid w:val="005D5460"/>
    <w:rsid w:val="005E08CD"/>
    <w:rsid w:val="005E2F90"/>
    <w:rsid w:val="005E3511"/>
    <w:rsid w:val="005E37E8"/>
    <w:rsid w:val="005E3B81"/>
    <w:rsid w:val="005E74C5"/>
    <w:rsid w:val="005F0232"/>
    <w:rsid w:val="005F219D"/>
    <w:rsid w:val="005F23A6"/>
    <w:rsid w:val="005F2437"/>
    <w:rsid w:val="005F295C"/>
    <w:rsid w:val="005F318A"/>
    <w:rsid w:val="005F76F4"/>
    <w:rsid w:val="005F7710"/>
    <w:rsid w:val="006004F7"/>
    <w:rsid w:val="00603261"/>
    <w:rsid w:val="00603689"/>
    <w:rsid w:val="00607597"/>
    <w:rsid w:val="00607A01"/>
    <w:rsid w:val="00610F93"/>
    <w:rsid w:val="006127CC"/>
    <w:rsid w:val="00614056"/>
    <w:rsid w:val="00614661"/>
    <w:rsid w:val="006156AD"/>
    <w:rsid w:val="0061628C"/>
    <w:rsid w:val="00617F57"/>
    <w:rsid w:val="00620702"/>
    <w:rsid w:val="00620D05"/>
    <w:rsid w:val="00621634"/>
    <w:rsid w:val="0062239F"/>
    <w:rsid w:val="00623D88"/>
    <w:rsid w:val="006243C6"/>
    <w:rsid w:val="006255BC"/>
    <w:rsid w:val="006260AC"/>
    <w:rsid w:val="006273BC"/>
    <w:rsid w:val="00632009"/>
    <w:rsid w:val="006322CF"/>
    <w:rsid w:val="00632D70"/>
    <w:rsid w:val="00633180"/>
    <w:rsid w:val="006337C0"/>
    <w:rsid w:val="00633CF1"/>
    <w:rsid w:val="00635A6C"/>
    <w:rsid w:val="00635CBE"/>
    <w:rsid w:val="006363C1"/>
    <w:rsid w:val="00637091"/>
    <w:rsid w:val="006401D5"/>
    <w:rsid w:val="006409A1"/>
    <w:rsid w:val="00641717"/>
    <w:rsid w:val="00641B8E"/>
    <w:rsid w:val="006424E0"/>
    <w:rsid w:val="00642839"/>
    <w:rsid w:val="006450EB"/>
    <w:rsid w:val="006457F8"/>
    <w:rsid w:val="00645CCB"/>
    <w:rsid w:val="00646E20"/>
    <w:rsid w:val="0064700E"/>
    <w:rsid w:val="006472A3"/>
    <w:rsid w:val="006474E0"/>
    <w:rsid w:val="006478CB"/>
    <w:rsid w:val="00650B88"/>
    <w:rsid w:val="00650E2C"/>
    <w:rsid w:val="0065263E"/>
    <w:rsid w:val="00652C58"/>
    <w:rsid w:val="006530EF"/>
    <w:rsid w:val="00653C63"/>
    <w:rsid w:val="00655361"/>
    <w:rsid w:val="006554DD"/>
    <w:rsid w:val="006557EC"/>
    <w:rsid w:val="006604AD"/>
    <w:rsid w:val="00660951"/>
    <w:rsid w:val="00662420"/>
    <w:rsid w:val="0066248C"/>
    <w:rsid w:val="00662661"/>
    <w:rsid w:val="006636E2"/>
    <w:rsid w:val="00664969"/>
    <w:rsid w:val="00664C4E"/>
    <w:rsid w:val="0066537C"/>
    <w:rsid w:val="0066558F"/>
    <w:rsid w:val="00666273"/>
    <w:rsid w:val="00667FA9"/>
    <w:rsid w:val="0067233D"/>
    <w:rsid w:val="0067289A"/>
    <w:rsid w:val="00672B2E"/>
    <w:rsid w:val="006745AE"/>
    <w:rsid w:val="00674834"/>
    <w:rsid w:val="00675563"/>
    <w:rsid w:val="00676870"/>
    <w:rsid w:val="00676AF3"/>
    <w:rsid w:val="00677895"/>
    <w:rsid w:val="0067791B"/>
    <w:rsid w:val="00677BEF"/>
    <w:rsid w:val="006809C2"/>
    <w:rsid w:val="006814A3"/>
    <w:rsid w:val="00682AFC"/>
    <w:rsid w:val="00682B77"/>
    <w:rsid w:val="00683344"/>
    <w:rsid w:val="00683E4A"/>
    <w:rsid w:val="0068479D"/>
    <w:rsid w:val="00684FC9"/>
    <w:rsid w:val="00686FD4"/>
    <w:rsid w:val="0068788C"/>
    <w:rsid w:val="0069072B"/>
    <w:rsid w:val="006909F1"/>
    <w:rsid w:val="0069174B"/>
    <w:rsid w:val="00693340"/>
    <w:rsid w:val="00694024"/>
    <w:rsid w:val="0069483B"/>
    <w:rsid w:val="006A04C7"/>
    <w:rsid w:val="006A4287"/>
    <w:rsid w:val="006A56B5"/>
    <w:rsid w:val="006A7CFE"/>
    <w:rsid w:val="006B05E3"/>
    <w:rsid w:val="006B09BC"/>
    <w:rsid w:val="006B0E79"/>
    <w:rsid w:val="006B24D9"/>
    <w:rsid w:val="006B28F5"/>
    <w:rsid w:val="006B2ACA"/>
    <w:rsid w:val="006B5D1F"/>
    <w:rsid w:val="006B6D5D"/>
    <w:rsid w:val="006B7B5A"/>
    <w:rsid w:val="006C04D7"/>
    <w:rsid w:val="006C0801"/>
    <w:rsid w:val="006C08D3"/>
    <w:rsid w:val="006C0C2C"/>
    <w:rsid w:val="006C1BF8"/>
    <w:rsid w:val="006C1EAA"/>
    <w:rsid w:val="006C216F"/>
    <w:rsid w:val="006C26BB"/>
    <w:rsid w:val="006C37F8"/>
    <w:rsid w:val="006C45D4"/>
    <w:rsid w:val="006C570F"/>
    <w:rsid w:val="006C5C01"/>
    <w:rsid w:val="006C6C13"/>
    <w:rsid w:val="006D0D86"/>
    <w:rsid w:val="006D11BD"/>
    <w:rsid w:val="006D2042"/>
    <w:rsid w:val="006D5C54"/>
    <w:rsid w:val="006D66E3"/>
    <w:rsid w:val="006D75BA"/>
    <w:rsid w:val="006D7855"/>
    <w:rsid w:val="006D7BED"/>
    <w:rsid w:val="006E010C"/>
    <w:rsid w:val="006E1003"/>
    <w:rsid w:val="006E16BF"/>
    <w:rsid w:val="006E18F0"/>
    <w:rsid w:val="006E2C89"/>
    <w:rsid w:val="006E38AF"/>
    <w:rsid w:val="006E3993"/>
    <w:rsid w:val="006E4F93"/>
    <w:rsid w:val="006E5016"/>
    <w:rsid w:val="006E5BFD"/>
    <w:rsid w:val="006E641A"/>
    <w:rsid w:val="006E6493"/>
    <w:rsid w:val="006E7F4D"/>
    <w:rsid w:val="006F0852"/>
    <w:rsid w:val="006F0EA4"/>
    <w:rsid w:val="006F10FE"/>
    <w:rsid w:val="006F1174"/>
    <w:rsid w:val="006F3304"/>
    <w:rsid w:val="006F4780"/>
    <w:rsid w:val="006F5465"/>
    <w:rsid w:val="006F5592"/>
    <w:rsid w:val="006F6D11"/>
    <w:rsid w:val="006F72CE"/>
    <w:rsid w:val="00700135"/>
    <w:rsid w:val="007002C5"/>
    <w:rsid w:val="00701802"/>
    <w:rsid w:val="007020E4"/>
    <w:rsid w:val="0070212F"/>
    <w:rsid w:val="007023AB"/>
    <w:rsid w:val="007034D5"/>
    <w:rsid w:val="00703C41"/>
    <w:rsid w:val="00704C40"/>
    <w:rsid w:val="00705180"/>
    <w:rsid w:val="007051E6"/>
    <w:rsid w:val="00705D90"/>
    <w:rsid w:val="00706917"/>
    <w:rsid w:val="00706993"/>
    <w:rsid w:val="0070749B"/>
    <w:rsid w:val="00710A39"/>
    <w:rsid w:val="00711397"/>
    <w:rsid w:val="00711605"/>
    <w:rsid w:val="00711DF6"/>
    <w:rsid w:val="00713211"/>
    <w:rsid w:val="00716F0F"/>
    <w:rsid w:val="00716FBC"/>
    <w:rsid w:val="00717090"/>
    <w:rsid w:val="00717A40"/>
    <w:rsid w:val="00720739"/>
    <w:rsid w:val="00720DDA"/>
    <w:rsid w:val="0072253E"/>
    <w:rsid w:val="0072389A"/>
    <w:rsid w:val="00723E1F"/>
    <w:rsid w:val="0072443D"/>
    <w:rsid w:val="007247E5"/>
    <w:rsid w:val="007248B7"/>
    <w:rsid w:val="007254CA"/>
    <w:rsid w:val="007263CA"/>
    <w:rsid w:val="007267D2"/>
    <w:rsid w:val="00730CF8"/>
    <w:rsid w:val="00731A90"/>
    <w:rsid w:val="00732608"/>
    <w:rsid w:val="00733251"/>
    <w:rsid w:val="0073375B"/>
    <w:rsid w:val="00734083"/>
    <w:rsid w:val="007347A8"/>
    <w:rsid w:val="007347E7"/>
    <w:rsid w:val="007354C1"/>
    <w:rsid w:val="007360DF"/>
    <w:rsid w:val="00736DCA"/>
    <w:rsid w:val="00740117"/>
    <w:rsid w:val="00740A69"/>
    <w:rsid w:val="00740E4B"/>
    <w:rsid w:val="00745C47"/>
    <w:rsid w:val="00745E49"/>
    <w:rsid w:val="00747EB2"/>
    <w:rsid w:val="0075003D"/>
    <w:rsid w:val="00750277"/>
    <w:rsid w:val="00750747"/>
    <w:rsid w:val="00751C98"/>
    <w:rsid w:val="00751D97"/>
    <w:rsid w:val="00752C55"/>
    <w:rsid w:val="00753608"/>
    <w:rsid w:val="007542DD"/>
    <w:rsid w:val="007562D4"/>
    <w:rsid w:val="0075654B"/>
    <w:rsid w:val="007573FA"/>
    <w:rsid w:val="0075791B"/>
    <w:rsid w:val="00757EF9"/>
    <w:rsid w:val="0076157B"/>
    <w:rsid w:val="00761DBF"/>
    <w:rsid w:val="00761FCF"/>
    <w:rsid w:val="00762295"/>
    <w:rsid w:val="0076424B"/>
    <w:rsid w:val="007653F2"/>
    <w:rsid w:val="00765503"/>
    <w:rsid w:val="00765B9C"/>
    <w:rsid w:val="00766C93"/>
    <w:rsid w:val="007672CC"/>
    <w:rsid w:val="00767327"/>
    <w:rsid w:val="00767B7E"/>
    <w:rsid w:val="007705E9"/>
    <w:rsid w:val="00771D7D"/>
    <w:rsid w:val="0077257C"/>
    <w:rsid w:val="007727C4"/>
    <w:rsid w:val="007730D5"/>
    <w:rsid w:val="007745B7"/>
    <w:rsid w:val="007750C8"/>
    <w:rsid w:val="007751A7"/>
    <w:rsid w:val="00775D15"/>
    <w:rsid w:val="00776538"/>
    <w:rsid w:val="007765CC"/>
    <w:rsid w:val="00776691"/>
    <w:rsid w:val="0077682A"/>
    <w:rsid w:val="0077714E"/>
    <w:rsid w:val="00777CFD"/>
    <w:rsid w:val="007802BE"/>
    <w:rsid w:val="00780BB1"/>
    <w:rsid w:val="00780EEF"/>
    <w:rsid w:val="0078134C"/>
    <w:rsid w:val="00781A73"/>
    <w:rsid w:val="00781C47"/>
    <w:rsid w:val="00782189"/>
    <w:rsid w:val="007837C7"/>
    <w:rsid w:val="00784B44"/>
    <w:rsid w:val="00784FC0"/>
    <w:rsid w:val="00785465"/>
    <w:rsid w:val="00787656"/>
    <w:rsid w:val="00787702"/>
    <w:rsid w:val="00790C7F"/>
    <w:rsid w:val="00791767"/>
    <w:rsid w:val="00791FBB"/>
    <w:rsid w:val="0079268A"/>
    <w:rsid w:val="00792C27"/>
    <w:rsid w:val="0079350F"/>
    <w:rsid w:val="00794859"/>
    <w:rsid w:val="0079488D"/>
    <w:rsid w:val="0079623B"/>
    <w:rsid w:val="00797C88"/>
    <w:rsid w:val="007A0EF1"/>
    <w:rsid w:val="007A1013"/>
    <w:rsid w:val="007A235B"/>
    <w:rsid w:val="007A2527"/>
    <w:rsid w:val="007A4CA9"/>
    <w:rsid w:val="007A5330"/>
    <w:rsid w:val="007A60B4"/>
    <w:rsid w:val="007A7D19"/>
    <w:rsid w:val="007A7EC2"/>
    <w:rsid w:val="007B0116"/>
    <w:rsid w:val="007B042D"/>
    <w:rsid w:val="007B05BB"/>
    <w:rsid w:val="007B2F12"/>
    <w:rsid w:val="007B3DEA"/>
    <w:rsid w:val="007B5566"/>
    <w:rsid w:val="007B6E0A"/>
    <w:rsid w:val="007B764C"/>
    <w:rsid w:val="007C118A"/>
    <w:rsid w:val="007C2007"/>
    <w:rsid w:val="007C2CA9"/>
    <w:rsid w:val="007C636F"/>
    <w:rsid w:val="007C6C73"/>
    <w:rsid w:val="007C7899"/>
    <w:rsid w:val="007D01E4"/>
    <w:rsid w:val="007D0FC7"/>
    <w:rsid w:val="007D102B"/>
    <w:rsid w:val="007D16C2"/>
    <w:rsid w:val="007D3025"/>
    <w:rsid w:val="007D33F6"/>
    <w:rsid w:val="007D39EB"/>
    <w:rsid w:val="007D4512"/>
    <w:rsid w:val="007D565D"/>
    <w:rsid w:val="007D71EC"/>
    <w:rsid w:val="007D7C0F"/>
    <w:rsid w:val="007E42B7"/>
    <w:rsid w:val="007E48D2"/>
    <w:rsid w:val="007E4BD9"/>
    <w:rsid w:val="007E55CC"/>
    <w:rsid w:val="007E6241"/>
    <w:rsid w:val="007E69DD"/>
    <w:rsid w:val="007E7319"/>
    <w:rsid w:val="007E74E1"/>
    <w:rsid w:val="007E77A8"/>
    <w:rsid w:val="007F24BF"/>
    <w:rsid w:val="007F2C11"/>
    <w:rsid w:val="007F3BE6"/>
    <w:rsid w:val="007F491C"/>
    <w:rsid w:val="007F4D65"/>
    <w:rsid w:val="007F5A12"/>
    <w:rsid w:val="00800231"/>
    <w:rsid w:val="00800D07"/>
    <w:rsid w:val="008025F3"/>
    <w:rsid w:val="00802BE1"/>
    <w:rsid w:val="00803BF8"/>
    <w:rsid w:val="00804452"/>
    <w:rsid w:val="00804D3D"/>
    <w:rsid w:val="008059CA"/>
    <w:rsid w:val="008061C9"/>
    <w:rsid w:val="008066D8"/>
    <w:rsid w:val="008074BB"/>
    <w:rsid w:val="00811A18"/>
    <w:rsid w:val="008121AF"/>
    <w:rsid w:val="00812CAE"/>
    <w:rsid w:val="00812E18"/>
    <w:rsid w:val="008133B0"/>
    <w:rsid w:val="00813711"/>
    <w:rsid w:val="00816113"/>
    <w:rsid w:val="008179B6"/>
    <w:rsid w:val="00821E64"/>
    <w:rsid w:val="00821EDD"/>
    <w:rsid w:val="008223E9"/>
    <w:rsid w:val="00822A77"/>
    <w:rsid w:val="00822AF8"/>
    <w:rsid w:val="008253C4"/>
    <w:rsid w:val="008263C2"/>
    <w:rsid w:val="008277BE"/>
    <w:rsid w:val="008307DB"/>
    <w:rsid w:val="00830C6E"/>
    <w:rsid w:val="00831A7E"/>
    <w:rsid w:val="00833398"/>
    <w:rsid w:val="00835D9D"/>
    <w:rsid w:val="00835FC9"/>
    <w:rsid w:val="008368F6"/>
    <w:rsid w:val="008368F8"/>
    <w:rsid w:val="008370E3"/>
    <w:rsid w:val="00837342"/>
    <w:rsid w:val="008409B8"/>
    <w:rsid w:val="008418FA"/>
    <w:rsid w:val="00842959"/>
    <w:rsid w:val="0084315F"/>
    <w:rsid w:val="00843390"/>
    <w:rsid w:val="00844374"/>
    <w:rsid w:val="00845C31"/>
    <w:rsid w:val="0084645A"/>
    <w:rsid w:val="0084664E"/>
    <w:rsid w:val="008479FB"/>
    <w:rsid w:val="00847E3D"/>
    <w:rsid w:val="0085021B"/>
    <w:rsid w:val="00851F0F"/>
    <w:rsid w:val="0085235A"/>
    <w:rsid w:val="00852F69"/>
    <w:rsid w:val="008533E3"/>
    <w:rsid w:val="00853F8F"/>
    <w:rsid w:val="00853FDD"/>
    <w:rsid w:val="00854138"/>
    <w:rsid w:val="00854410"/>
    <w:rsid w:val="008544DF"/>
    <w:rsid w:val="008552D0"/>
    <w:rsid w:val="00855B28"/>
    <w:rsid w:val="008566A5"/>
    <w:rsid w:val="0085673A"/>
    <w:rsid w:val="008571BA"/>
    <w:rsid w:val="00857953"/>
    <w:rsid w:val="008602B6"/>
    <w:rsid w:val="00860474"/>
    <w:rsid w:val="00860AAD"/>
    <w:rsid w:val="00861AA6"/>
    <w:rsid w:val="008633C0"/>
    <w:rsid w:val="0086547A"/>
    <w:rsid w:val="00870322"/>
    <w:rsid w:val="008708F3"/>
    <w:rsid w:val="00870B50"/>
    <w:rsid w:val="00871354"/>
    <w:rsid w:val="008725E9"/>
    <w:rsid w:val="0087288B"/>
    <w:rsid w:val="00873611"/>
    <w:rsid w:val="00873C8F"/>
    <w:rsid w:val="00874596"/>
    <w:rsid w:val="008745FE"/>
    <w:rsid w:val="00874FB3"/>
    <w:rsid w:val="00875441"/>
    <w:rsid w:val="00876012"/>
    <w:rsid w:val="00877F7C"/>
    <w:rsid w:val="00880BE3"/>
    <w:rsid w:val="00881359"/>
    <w:rsid w:val="00882093"/>
    <w:rsid w:val="00882588"/>
    <w:rsid w:val="00883967"/>
    <w:rsid w:val="00884ADE"/>
    <w:rsid w:val="008856CF"/>
    <w:rsid w:val="00885864"/>
    <w:rsid w:val="008859F3"/>
    <w:rsid w:val="00887014"/>
    <w:rsid w:val="008871D4"/>
    <w:rsid w:val="00890A1D"/>
    <w:rsid w:val="00891D5B"/>
    <w:rsid w:val="0089282C"/>
    <w:rsid w:val="0089383B"/>
    <w:rsid w:val="00893E2B"/>
    <w:rsid w:val="00894323"/>
    <w:rsid w:val="00894858"/>
    <w:rsid w:val="0089534B"/>
    <w:rsid w:val="0089616F"/>
    <w:rsid w:val="008A0232"/>
    <w:rsid w:val="008A142B"/>
    <w:rsid w:val="008A15EE"/>
    <w:rsid w:val="008A1CD1"/>
    <w:rsid w:val="008A5A38"/>
    <w:rsid w:val="008A5D98"/>
    <w:rsid w:val="008A5FEA"/>
    <w:rsid w:val="008A6E73"/>
    <w:rsid w:val="008A7468"/>
    <w:rsid w:val="008A7A68"/>
    <w:rsid w:val="008B0470"/>
    <w:rsid w:val="008B0536"/>
    <w:rsid w:val="008B05E7"/>
    <w:rsid w:val="008B06C5"/>
    <w:rsid w:val="008B164E"/>
    <w:rsid w:val="008B4923"/>
    <w:rsid w:val="008B4F06"/>
    <w:rsid w:val="008B502A"/>
    <w:rsid w:val="008B57D8"/>
    <w:rsid w:val="008B608E"/>
    <w:rsid w:val="008B65CF"/>
    <w:rsid w:val="008B79C2"/>
    <w:rsid w:val="008B7A65"/>
    <w:rsid w:val="008B7C97"/>
    <w:rsid w:val="008C0473"/>
    <w:rsid w:val="008C0CB7"/>
    <w:rsid w:val="008C1219"/>
    <w:rsid w:val="008C123E"/>
    <w:rsid w:val="008C1372"/>
    <w:rsid w:val="008C137D"/>
    <w:rsid w:val="008C22DD"/>
    <w:rsid w:val="008C3DFD"/>
    <w:rsid w:val="008C3E28"/>
    <w:rsid w:val="008C3ED0"/>
    <w:rsid w:val="008C4203"/>
    <w:rsid w:val="008C53D1"/>
    <w:rsid w:val="008C5DA5"/>
    <w:rsid w:val="008C5E94"/>
    <w:rsid w:val="008C5EFF"/>
    <w:rsid w:val="008D115B"/>
    <w:rsid w:val="008D15C4"/>
    <w:rsid w:val="008D196A"/>
    <w:rsid w:val="008D27BC"/>
    <w:rsid w:val="008D551E"/>
    <w:rsid w:val="008D757B"/>
    <w:rsid w:val="008D79F8"/>
    <w:rsid w:val="008D7F42"/>
    <w:rsid w:val="008E110E"/>
    <w:rsid w:val="008E14F7"/>
    <w:rsid w:val="008E1C82"/>
    <w:rsid w:val="008E2170"/>
    <w:rsid w:val="008E3DBA"/>
    <w:rsid w:val="008E3EF2"/>
    <w:rsid w:val="008E51C9"/>
    <w:rsid w:val="008E5875"/>
    <w:rsid w:val="008E5BEB"/>
    <w:rsid w:val="008E6306"/>
    <w:rsid w:val="008E694C"/>
    <w:rsid w:val="008E6F55"/>
    <w:rsid w:val="008E7639"/>
    <w:rsid w:val="008F2FC4"/>
    <w:rsid w:val="008F3583"/>
    <w:rsid w:val="008F3C26"/>
    <w:rsid w:val="008F3F6A"/>
    <w:rsid w:val="008F6355"/>
    <w:rsid w:val="008F68F7"/>
    <w:rsid w:val="008F6FD8"/>
    <w:rsid w:val="009005A6"/>
    <w:rsid w:val="009006CF"/>
    <w:rsid w:val="00900C71"/>
    <w:rsid w:val="0090264F"/>
    <w:rsid w:val="00902A1C"/>
    <w:rsid w:val="009037B6"/>
    <w:rsid w:val="00905190"/>
    <w:rsid w:val="009063F3"/>
    <w:rsid w:val="00906CBE"/>
    <w:rsid w:val="00907A90"/>
    <w:rsid w:val="00910024"/>
    <w:rsid w:val="00910384"/>
    <w:rsid w:val="00910DFB"/>
    <w:rsid w:val="00911EE9"/>
    <w:rsid w:val="00914B0C"/>
    <w:rsid w:val="0091643D"/>
    <w:rsid w:val="00916E33"/>
    <w:rsid w:val="009175A6"/>
    <w:rsid w:val="0092093B"/>
    <w:rsid w:val="0092185E"/>
    <w:rsid w:val="00922A94"/>
    <w:rsid w:val="00924123"/>
    <w:rsid w:val="00925A96"/>
    <w:rsid w:val="00927AC3"/>
    <w:rsid w:val="00927D47"/>
    <w:rsid w:val="00930669"/>
    <w:rsid w:val="00930A46"/>
    <w:rsid w:val="009323E3"/>
    <w:rsid w:val="00932C33"/>
    <w:rsid w:val="0093755B"/>
    <w:rsid w:val="009377E7"/>
    <w:rsid w:val="00937C63"/>
    <w:rsid w:val="0094012A"/>
    <w:rsid w:val="009401B7"/>
    <w:rsid w:val="009426D4"/>
    <w:rsid w:val="009426FD"/>
    <w:rsid w:val="009427A1"/>
    <w:rsid w:val="00942FFE"/>
    <w:rsid w:val="00945EC5"/>
    <w:rsid w:val="00950875"/>
    <w:rsid w:val="00950CAF"/>
    <w:rsid w:val="009551E0"/>
    <w:rsid w:val="00955B98"/>
    <w:rsid w:val="00955DC1"/>
    <w:rsid w:val="0095654E"/>
    <w:rsid w:val="00956F3C"/>
    <w:rsid w:val="0096054C"/>
    <w:rsid w:val="00960CFB"/>
    <w:rsid w:val="00961064"/>
    <w:rsid w:val="00963070"/>
    <w:rsid w:val="0096408E"/>
    <w:rsid w:val="00966F63"/>
    <w:rsid w:val="00970678"/>
    <w:rsid w:val="00971C34"/>
    <w:rsid w:val="00972488"/>
    <w:rsid w:val="009726D0"/>
    <w:rsid w:val="00973B23"/>
    <w:rsid w:val="0097421D"/>
    <w:rsid w:val="00974803"/>
    <w:rsid w:val="009753F9"/>
    <w:rsid w:val="00976117"/>
    <w:rsid w:val="00976A23"/>
    <w:rsid w:val="00976CD3"/>
    <w:rsid w:val="0097749C"/>
    <w:rsid w:val="00977F22"/>
    <w:rsid w:val="009800BC"/>
    <w:rsid w:val="00980575"/>
    <w:rsid w:val="009816F6"/>
    <w:rsid w:val="009818C8"/>
    <w:rsid w:val="0098317A"/>
    <w:rsid w:val="009843BA"/>
    <w:rsid w:val="0098456D"/>
    <w:rsid w:val="00986E9D"/>
    <w:rsid w:val="009900F0"/>
    <w:rsid w:val="00990B52"/>
    <w:rsid w:val="00990B9B"/>
    <w:rsid w:val="00991370"/>
    <w:rsid w:val="00991769"/>
    <w:rsid w:val="00991ACA"/>
    <w:rsid w:val="009928B5"/>
    <w:rsid w:val="00992B96"/>
    <w:rsid w:val="00993236"/>
    <w:rsid w:val="00993D8C"/>
    <w:rsid w:val="00994405"/>
    <w:rsid w:val="00994E3D"/>
    <w:rsid w:val="00997DCA"/>
    <w:rsid w:val="009A066C"/>
    <w:rsid w:val="009A297E"/>
    <w:rsid w:val="009A35D9"/>
    <w:rsid w:val="009A3906"/>
    <w:rsid w:val="009A5C78"/>
    <w:rsid w:val="009A6127"/>
    <w:rsid w:val="009A6EEE"/>
    <w:rsid w:val="009A706D"/>
    <w:rsid w:val="009A79A4"/>
    <w:rsid w:val="009B005D"/>
    <w:rsid w:val="009B08CA"/>
    <w:rsid w:val="009B0CC1"/>
    <w:rsid w:val="009B0DF0"/>
    <w:rsid w:val="009B2C7D"/>
    <w:rsid w:val="009B4EAE"/>
    <w:rsid w:val="009B69F0"/>
    <w:rsid w:val="009B713C"/>
    <w:rsid w:val="009C0F18"/>
    <w:rsid w:val="009C12C6"/>
    <w:rsid w:val="009C19D4"/>
    <w:rsid w:val="009C2555"/>
    <w:rsid w:val="009C2858"/>
    <w:rsid w:val="009C2DA6"/>
    <w:rsid w:val="009C408A"/>
    <w:rsid w:val="009C5B4F"/>
    <w:rsid w:val="009C6EE7"/>
    <w:rsid w:val="009C705A"/>
    <w:rsid w:val="009C7778"/>
    <w:rsid w:val="009C7EE6"/>
    <w:rsid w:val="009D0511"/>
    <w:rsid w:val="009D06AE"/>
    <w:rsid w:val="009D09E2"/>
    <w:rsid w:val="009D1E42"/>
    <w:rsid w:val="009D2205"/>
    <w:rsid w:val="009D282B"/>
    <w:rsid w:val="009D5C90"/>
    <w:rsid w:val="009D6646"/>
    <w:rsid w:val="009D69D0"/>
    <w:rsid w:val="009D7148"/>
    <w:rsid w:val="009E02FD"/>
    <w:rsid w:val="009E13C8"/>
    <w:rsid w:val="009E256C"/>
    <w:rsid w:val="009E2902"/>
    <w:rsid w:val="009E34FA"/>
    <w:rsid w:val="009E4C74"/>
    <w:rsid w:val="009E56CC"/>
    <w:rsid w:val="009E59F1"/>
    <w:rsid w:val="009E62B6"/>
    <w:rsid w:val="009F04CA"/>
    <w:rsid w:val="009F05CF"/>
    <w:rsid w:val="009F06C4"/>
    <w:rsid w:val="009F0A1A"/>
    <w:rsid w:val="009F0EA5"/>
    <w:rsid w:val="009F26CA"/>
    <w:rsid w:val="009F35DA"/>
    <w:rsid w:val="009F3C0D"/>
    <w:rsid w:val="009F4034"/>
    <w:rsid w:val="009F43D0"/>
    <w:rsid w:val="009F4641"/>
    <w:rsid w:val="009F7A37"/>
    <w:rsid w:val="00A000F0"/>
    <w:rsid w:val="00A00568"/>
    <w:rsid w:val="00A00884"/>
    <w:rsid w:val="00A00D7D"/>
    <w:rsid w:val="00A00EEB"/>
    <w:rsid w:val="00A0116C"/>
    <w:rsid w:val="00A01FCE"/>
    <w:rsid w:val="00A020CE"/>
    <w:rsid w:val="00A02F62"/>
    <w:rsid w:val="00A02FA3"/>
    <w:rsid w:val="00A030C3"/>
    <w:rsid w:val="00A04803"/>
    <w:rsid w:val="00A04E27"/>
    <w:rsid w:val="00A06EBF"/>
    <w:rsid w:val="00A07201"/>
    <w:rsid w:val="00A10147"/>
    <w:rsid w:val="00A10EDE"/>
    <w:rsid w:val="00A11331"/>
    <w:rsid w:val="00A12348"/>
    <w:rsid w:val="00A131E6"/>
    <w:rsid w:val="00A132E1"/>
    <w:rsid w:val="00A13843"/>
    <w:rsid w:val="00A13B11"/>
    <w:rsid w:val="00A13CBF"/>
    <w:rsid w:val="00A13E65"/>
    <w:rsid w:val="00A146A5"/>
    <w:rsid w:val="00A1552C"/>
    <w:rsid w:val="00A15CB7"/>
    <w:rsid w:val="00A17466"/>
    <w:rsid w:val="00A204B3"/>
    <w:rsid w:val="00A20576"/>
    <w:rsid w:val="00A21593"/>
    <w:rsid w:val="00A221F7"/>
    <w:rsid w:val="00A2227F"/>
    <w:rsid w:val="00A227BB"/>
    <w:rsid w:val="00A22C21"/>
    <w:rsid w:val="00A23412"/>
    <w:rsid w:val="00A24AFA"/>
    <w:rsid w:val="00A25CA2"/>
    <w:rsid w:val="00A2604E"/>
    <w:rsid w:val="00A26597"/>
    <w:rsid w:val="00A27F08"/>
    <w:rsid w:val="00A3091A"/>
    <w:rsid w:val="00A30D8C"/>
    <w:rsid w:val="00A31057"/>
    <w:rsid w:val="00A31CCE"/>
    <w:rsid w:val="00A32896"/>
    <w:rsid w:val="00A32FF5"/>
    <w:rsid w:val="00A33C95"/>
    <w:rsid w:val="00A34FF3"/>
    <w:rsid w:val="00A35351"/>
    <w:rsid w:val="00A3602E"/>
    <w:rsid w:val="00A361C7"/>
    <w:rsid w:val="00A36723"/>
    <w:rsid w:val="00A37197"/>
    <w:rsid w:val="00A3783D"/>
    <w:rsid w:val="00A40BA0"/>
    <w:rsid w:val="00A43140"/>
    <w:rsid w:val="00A43A7F"/>
    <w:rsid w:val="00A43AAC"/>
    <w:rsid w:val="00A44593"/>
    <w:rsid w:val="00A44C03"/>
    <w:rsid w:val="00A44C7B"/>
    <w:rsid w:val="00A45225"/>
    <w:rsid w:val="00A45C1A"/>
    <w:rsid w:val="00A46319"/>
    <w:rsid w:val="00A46DF5"/>
    <w:rsid w:val="00A50FFE"/>
    <w:rsid w:val="00A5149A"/>
    <w:rsid w:val="00A52DAF"/>
    <w:rsid w:val="00A53650"/>
    <w:rsid w:val="00A53E3F"/>
    <w:rsid w:val="00A53E51"/>
    <w:rsid w:val="00A55E07"/>
    <w:rsid w:val="00A56B89"/>
    <w:rsid w:val="00A56F51"/>
    <w:rsid w:val="00A57183"/>
    <w:rsid w:val="00A60693"/>
    <w:rsid w:val="00A6196D"/>
    <w:rsid w:val="00A619C0"/>
    <w:rsid w:val="00A61ADF"/>
    <w:rsid w:val="00A62012"/>
    <w:rsid w:val="00A624CB"/>
    <w:rsid w:val="00A62AC0"/>
    <w:rsid w:val="00A642BF"/>
    <w:rsid w:val="00A7006C"/>
    <w:rsid w:val="00A70992"/>
    <w:rsid w:val="00A71E6C"/>
    <w:rsid w:val="00A72A9C"/>
    <w:rsid w:val="00A739B0"/>
    <w:rsid w:val="00A74706"/>
    <w:rsid w:val="00A74A03"/>
    <w:rsid w:val="00A74FE6"/>
    <w:rsid w:val="00A75118"/>
    <w:rsid w:val="00A761A1"/>
    <w:rsid w:val="00A7697B"/>
    <w:rsid w:val="00A76BD2"/>
    <w:rsid w:val="00A8249F"/>
    <w:rsid w:val="00A8267D"/>
    <w:rsid w:val="00A82E14"/>
    <w:rsid w:val="00A83770"/>
    <w:rsid w:val="00A84315"/>
    <w:rsid w:val="00A84E85"/>
    <w:rsid w:val="00A85146"/>
    <w:rsid w:val="00A85279"/>
    <w:rsid w:val="00A85862"/>
    <w:rsid w:val="00A85F13"/>
    <w:rsid w:val="00A8688E"/>
    <w:rsid w:val="00A86CFE"/>
    <w:rsid w:val="00A8722B"/>
    <w:rsid w:val="00A901E9"/>
    <w:rsid w:val="00A910B9"/>
    <w:rsid w:val="00A9129D"/>
    <w:rsid w:val="00A917B6"/>
    <w:rsid w:val="00A91831"/>
    <w:rsid w:val="00A91B3B"/>
    <w:rsid w:val="00A91EAC"/>
    <w:rsid w:val="00A93B4F"/>
    <w:rsid w:val="00A94F7A"/>
    <w:rsid w:val="00A95D3B"/>
    <w:rsid w:val="00A969CC"/>
    <w:rsid w:val="00A96B0F"/>
    <w:rsid w:val="00A97341"/>
    <w:rsid w:val="00AA0081"/>
    <w:rsid w:val="00AA05D6"/>
    <w:rsid w:val="00AA4E4D"/>
    <w:rsid w:val="00AA57EC"/>
    <w:rsid w:val="00AA5973"/>
    <w:rsid w:val="00AA5E38"/>
    <w:rsid w:val="00AA6841"/>
    <w:rsid w:val="00AA6AD9"/>
    <w:rsid w:val="00AB0308"/>
    <w:rsid w:val="00AB09ED"/>
    <w:rsid w:val="00AB1901"/>
    <w:rsid w:val="00AB2319"/>
    <w:rsid w:val="00AB3007"/>
    <w:rsid w:val="00AB3DC0"/>
    <w:rsid w:val="00AB4A82"/>
    <w:rsid w:val="00AB4CBB"/>
    <w:rsid w:val="00AB56DD"/>
    <w:rsid w:val="00AC09FC"/>
    <w:rsid w:val="00AC125E"/>
    <w:rsid w:val="00AC1BF9"/>
    <w:rsid w:val="00AC3E43"/>
    <w:rsid w:val="00AC4271"/>
    <w:rsid w:val="00AC45DF"/>
    <w:rsid w:val="00AC474D"/>
    <w:rsid w:val="00AC4C08"/>
    <w:rsid w:val="00AC4DFD"/>
    <w:rsid w:val="00AC4F47"/>
    <w:rsid w:val="00AC5663"/>
    <w:rsid w:val="00AC58FD"/>
    <w:rsid w:val="00AD0F6D"/>
    <w:rsid w:val="00AD1156"/>
    <w:rsid w:val="00AD1166"/>
    <w:rsid w:val="00AD19D2"/>
    <w:rsid w:val="00AD1A96"/>
    <w:rsid w:val="00AD1CAD"/>
    <w:rsid w:val="00AD235A"/>
    <w:rsid w:val="00AD246E"/>
    <w:rsid w:val="00AD2AFB"/>
    <w:rsid w:val="00AD3042"/>
    <w:rsid w:val="00AD4A9A"/>
    <w:rsid w:val="00AD5732"/>
    <w:rsid w:val="00AD793A"/>
    <w:rsid w:val="00AE0120"/>
    <w:rsid w:val="00AE0622"/>
    <w:rsid w:val="00AE0725"/>
    <w:rsid w:val="00AE1082"/>
    <w:rsid w:val="00AE185F"/>
    <w:rsid w:val="00AE3038"/>
    <w:rsid w:val="00AE3D4A"/>
    <w:rsid w:val="00AE3E49"/>
    <w:rsid w:val="00AE5956"/>
    <w:rsid w:val="00AE619F"/>
    <w:rsid w:val="00AE7A88"/>
    <w:rsid w:val="00AF060F"/>
    <w:rsid w:val="00AF0EA6"/>
    <w:rsid w:val="00AF13D2"/>
    <w:rsid w:val="00AF2A56"/>
    <w:rsid w:val="00AF45B0"/>
    <w:rsid w:val="00AF51D1"/>
    <w:rsid w:val="00AF54E4"/>
    <w:rsid w:val="00AF6321"/>
    <w:rsid w:val="00AF63AB"/>
    <w:rsid w:val="00B002B0"/>
    <w:rsid w:val="00B00988"/>
    <w:rsid w:val="00B00A43"/>
    <w:rsid w:val="00B01784"/>
    <w:rsid w:val="00B0388B"/>
    <w:rsid w:val="00B03BEE"/>
    <w:rsid w:val="00B0517E"/>
    <w:rsid w:val="00B07081"/>
    <w:rsid w:val="00B0788C"/>
    <w:rsid w:val="00B1069A"/>
    <w:rsid w:val="00B11314"/>
    <w:rsid w:val="00B113E3"/>
    <w:rsid w:val="00B1156A"/>
    <w:rsid w:val="00B11743"/>
    <w:rsid w:val="00B125CF"/>
    <w:rsid w:val="00B12757"/>
    <w:rsid w:val="00B133C2"/>
    <w:rsid w:val="00B138E3"/>
    <w:rsid w:val="00B13FB5"/>
    <w:rsid w:val="00B14898"/>
    <w:rsid w:val="00B178FA"/>
    <w:rsid w:val="00B17D8E"/>
    <w:rsid w:val="00B207C3"/>
    <w:rsid w:val="00B21443"/>
    <w:rsid w:val="00B22468"/>
    <w:rsid w:val="00B229FD"/>
    <w:rsid w:val="00B23267"/>
    <w:rsid w:val="00B23906"/>
    <w:rsid w:val="00B23A12"/>
    <w:rsid w:val="00B23F96"/>
    <w:rsid w:val="00B24BA5"/>
    <w:rsid w:val="00B257BF"/>
    <w:rsid w:val="00B27149"/>
    <w:rsid w:val="00B30AB2"/>
    <w:rsid w:val="00B3200F"/>
    <w:rsid w:val="00B32456"/>
    <w:rsid w:val="00B3279A"/>
    <w:rsid w:val="00B32AFA"/>
    <w:rsid w:val="00B34BB7"/>
    <w:rsid w:val="00B35B4D"/>
    <w:rsid w:val="00B362F0"/>
    <w:rsid w:val="00B36652"/>
    <w:rsid w:val="00B4016B"/>
    <w:rsid w:val="00B425AB"/>
    <w:rsid w:val="00B42B94"/>
    <w:rsid w:val="00B43417"/>
    <w:rsid w:val="00B4358B"/>
    <w:rsid w:val="00B4504F"/>
    <w:rsid w:val="00B45279"/>
    <w:rsid w:val="00B47090"/>
    <w:rsid w:val="00B47096"/>
    <w:rsid w:val="00B5096E"/>
    <w:rsid w:val="00B52ABC"/>
    <w:rsid w:val="00B532D1"/>
    <w:rsid w:val="00B57925"/>
    <w:rsid w:val="00B601BB"/>
    <w:rsid w:val="00B602A5"/>
    <w:rsid w:val="00B61E3E"/>
    <w:rsid w:val="00B6432A"/>
    <w:rsid w:val="00B669FC"/>
    <w:rsid w:val="00B67824"/>
    <w:rsid w:val="00B67A79"/>
    <w:rsid w:val="00B67CB8"/>
    <w:rsid w:val="00B67E62"/>
    <w:rsid w:val="00B70227"/>
    <w:rsid w:val="00B70852"/>
    <w:rsid w:val="00B71E9A"/>
    <w:rsid w:val="00B722AE"/>
    <w:rsid w:val="00B72335"/>
    <w:rsid w:val="00B72D62"/>
    <w:rsid w:val="00B73303"/>
    <w:rsid w:val="00B746E7"/>
    <w:rsid w:val="00B75571"/>
    <w:rsid w:val="00B767AF"/>
    <w:rsid w:val="00B77388"/>
    <w:rsid w:val="00B77926"/>
    <w:rsid w:val="00B80511"/>
    <w:rsid w:val="00B80798"/>
    <w:rsid w:val="00B80876"/>
    <w:rsid w:val="00B80F1E"/>
    <w:rsid w:val="00B82C3C"/>
    <w:rsid w:val="00B82DE6"/>
    <w:rsid w:val="00B831CD"/>
    <w:rsid w:val="00B83D14"/>
    <w:rsid w:val="00B846F6"/>
    <w:rsid w:val="00B85329"/>
    <w:rsid w:val="00B85446"/>
    <w:rsid w:val="00B8701A"/>
    <w:rsid w:val="00B8718E"/>
    <w:rsid w:val="00B91B73"/>
    <w:rsid w:val="00B91B9D"/>
    <w:rsid w:val="00B91D66"/>
    <w:rsid w:val="00B930C4"/>
    <w:rsid w:val="00B94B01"/>
    <w:rsid w:val="00B965B5"/>
    <w:rsid w:val="00B97BCF"/>
    <w:rsid w:val="00BA1334"/>
    <w:rsid w:val="00BA1B71"/>
    <w:rsid w:val="00BA2F9E"/>
    <w:rsid w:val="00BA3176"/>
    <w:rsid w:val="00BA5CA0"/>
    <w:rsid w:val="00BA5E20"/>
    <w:rsid w:val="00BA607C"/>
    <w:rsid w:val="00BA60E5"/>
    <w:rsid w:val="00BA656F"/>
    <w:rsid w:val="00BA6734"/>
    <w:rsid w:val="00BB22C2"/>
    <w:rsid w:val="00BB264F"/>
    <w:rsid w:val="00BB3E2A"/>
    <w:rsid w:val="00BB48A7"/>
    <w:rsid w:val="00BB7121"/>
    <w:rsid w:val="00BC0479"/>
    <w:rsid w:val="00BC1651"/>
    <w:rsid w:val="00BC16F5"/>
    <w:rsid w:val="00BC18FF"/>
    <w:rsid w:val="00BC287D"/>
    <w:rsid w:val="00BC2A38"/>
    <w:rsid w:val="00BC37E9"/>
    <w:rsid w:val="00BC4315"/>
    <w:rsid w:val="00BC46EB"/>
    <w:rsid w:val="00BC559D"/>
    <w:rsid w:val="00BC57FE"/>
    <w:rsid w:val="00BC5F0D"/>
    <w:rsid w:val="00BC62D8"/>
    <w:rsid w:val="00BC643B"/>
    <w:rsid w:val="00BC6E42"/>
    <w:rsid w:val="00BD0246"/>
    <w:rsid w:val="00BD25F6"/>
    <w:rsid w:val="00BD2A41"/>
    <w:rsid w:val="00BD32E5"/>
    <w:rsid w:val="00BD36C4"/>
    <w:rsid w:val="00BD4443"/>
    <w:rsid w:val="00BD48FC"/>
    <w:rsid w:val="00BD4BC6"/>
    <w:rsid w:val="00BD57D3"/>
    <w:rsid w:val="00BD63E0"/>
    <w:rsid w:val="00BD6E1A"/>
    <w:rsid w:val="00BD79DE"/>
    <w:rsid w:val="00BE0BBA"/>
    <w:rsid w:val="00BE1095"/>
    <w:rsid w:val="00BE150A"/>
    <w:rsid w:val="00BE5CAF"/>
    <w:rsid w:val="00BE6767"/>
    <w:rsid w:val="00BE686C"/>
    <w:rsid w:val="00BE6E58"/>
    <w:rsid w:val="00BE77DC"/>
    <w:rsid w:val="00BE78EC"/>
    <w:rsid w:val="00BF07CA"/>
    <w:rsid w:val="00BF1EB9"/>
    <w:rsid w:val="00BF46EE"/>
    <w:rsid w:val="00BF646E"/>
    <w:rsid w:val="00BF785A"/>
    <w:rsid w:val="00BF7A5D"/>
    <w:rsid w:val="00C037D6"/>
    <w:rsid w:val="00C04C1A"/>
    <w:rsid w:val="00C05041"/>
    <w:rsid w:val="00C05333"/>
    <w:rsid w:val="00C05E81"/>
    <w:rsid w:val="00C0613C"/>
    <w:rsid w:val="00C0683F"/>
    <w:rsid w:val="00C07DD1"/>
    <w:rsid w:val="00C07F61"/>
    <w:rsid w:val="00C10D05"/>
    <w:rsid w:val="00C13970"/>
    <w:rsid w:val="00C13DF9"/>
    <w:rsid w:val="00C14265"/>
    <w:rsid w:val="00C14FBA"/>
    <w:rsid w:val="00C15484"/>
    <w:rsid w:val="00C15EA1"/>
    <w:rsid w:val="00C16621"/>
    <w:rsid w:val="00C16B4D"/>
    <w:rsid w:val="00C174DB"/>
    <w:rsid w:val="00C174ED"/>
    <w:rsid w:val="00C178EB"/>
    <w:rsid w:val="00C17A8E"/>
    <w:rsid w:val="00C205CC"/>
    <w:rsid w:val="00C217E5"/>
    <w:rsid w:val="00C2378F"/>
    <w:rsid w:val="00C23D6B"/>
    <w:rsid w:val="00C24F70"/>
    <w:rsid w:val="00C25615"/>
    <w:rsid w:val="00C25DC2"/>
    <w:rsid w:val="00C26A06"/>
    <w:rsid w:val="00C27806"/>
    <w:rsid w:val="00C30C67"/>
    <w:rsid w:val="00C328CB"/>
    <w:rsid w:val="00C33479"/>
    <w:rsid w:val="00C3649A"/>
    <w:rsid w:val="00C36D5B"/>
    <w:rsid w:val="00C40ED2"/>
    <w:rsid w:val="00C41F10"/>
    <w:rsid w:val="00C432D0"/>
    <w:rsid w:val="00C432DD"/>
    <w:rsid w:val="00C4423A"/>
    <w:rsid w:val="00C450CC"/>
    <w:rsid w:val="00C46950"/>
    <w:rsid w:val="00C4748A"/>
    <w:rsid w:val="00C501FE"/>
    <w:rsid w:val="00C50CC4"/>
    <w:rsid w:val="00C516DB"/>
    <w:rsid w:val="00C51FAB"/>
    <w:rsid w:val="00C5665C"/>
    <w:rsid w:val="00C56957"/>
    <w:rsid w:val="00C5784B"/>
    <w:rsid w:val="00C6031A"/>
    <w:rsid w:val="00C639FF"/>
    <w:rsid w:val="00C63C60"/>
    <w:rsid w:val="00C63CB4"/>
    <w:rsid w:val="00C6442A"/>
    <w:rsid w:val="00C6492D"/>
    <w:rsid w:val="00C64D15"/>
    <w:rsid w:val="00C66088"/>
    <w:rsid w:val="00C67651"/>
    <w:rsid w:val="00C67AFB"/>
    <w:rsid w:val="00C67C4C"/>
    <w:rsid w:val="00C67F21"/>
    <w:rsid w:val="00C711A6"/>
    <w:rsid w:val="00C71359"/>
    <w:rsid w:val="00C71F64"/>
    <w:rsid w:val="00C7208A"/>
    <w:rsid w:val="00C74B5D"/>
    <w:rsid w:val="00C74F74"/>
    <w:rsid w:val="00C7554B"/>
    <w:rsid w:val="00C75F9D"/>
    <w:rsid w:val="00C76CFF"/>
    <w:rsid w:val="00C80158"/>
    <w:rsid w:val="00C8094C"/>
    <w:rsid w:val="00C80951"/>
    <w:rsid w:val="00C81813"/>
    <w:rsid w:val="00C8205E"/>
    <w:rsid w:val="00C8223A"/>
    <w:rsid w:val="00C82EB5"/>
    <w:rsid w:val="00C83D1A"/>
    <w:rsid w:val="00C8529C"/>
    <w:rsid w:val="00C85D24"/>
    <w:rsid w:val="00C85E65"/>
    <w:rsid w:val="00C863E3"/>
    <w:rsid w:val="00C869FB"/>
    <w:rsid w:val="00C86D1E"/>
    <w:rsid w:val="00C86D20"/>
    <w:rsid w:val="00C87710"/>
    <w:rsid w:val="00C87966"/>
    <w:rsid w:val="00C87A01"/>
    <w:rsid w:val="00C901E9"/>
    <w:rsid w:val="00C902DE"/>
    <w:rsid w:val="00C916AE"/>
    <w:rsid w:val="00C91C74"/>
    <w:rsid w:val="00C93AAA"/>
    <w:rsid w:val="00C93C24"/>
    <w:rsid w:val="00C94794"/>
    <w:rsid w:val="00C94F85"/>
    <w:rsid w:val="00C95EC4"/>
    <w:rsid w:val="00C95FCD"/>
    <w:rsid w:val="00C97188"/>
    <w:rsid w:val="00C97A59"/>
    <w:rsid w:val="00C97C5A"/>
    <w:rsid w:val="00CA0639"/>
    <w:rsid w:val="00CA11D0"/>
    <w:rsid w:val="00CA246C"/>
    <w:rsid w:val="00CA2E02"/>
    <w:rsid w:val="00CA32D9"/>
    <w:rsid w:val="00CA583A"/>
    <w:rsid w:val="00CA5EC6"/>
    <w:rsid w:val="00CA787C"/>
    <w:rsid w:val="00CA7E62"/>
    <w:rsid w:val="00CB1E33"/>
    <w:rsid w:val="00CB1ED4"/>
    <w:rsid w:val="00CB392F"/>
    <w:rsid w:val="00CB502C"/>
    <w:rsid w:val="00CB5145"/>
    <w:rsid w:val="00CB5744"/>
    <w:rsid w:val="00CB5842"/>
    <w:rsid w:val="00CB7022"/>
    <w:rsid w:val="00CB7272"/>
    <w:rsid w:val="00CB7336"/>
    <w:rsid w:val="00CB7BC5"/>
    <w:rsid w:val="00CC1369"/>
    <w:rsid w:val="00CC141E"/>
    <w:rsid w:val="00CC18DD"/>
    <w:rsid w:val="00CC2C04"/>
    <w:rsid w:val="00CC39AC"/>
    <w:rsid w:val="00CC3C11"/>
    <w:rsid w:val="00CC586D"/>
    <w:rsid w:val="00CC7103"/>
    <w:rsid w:val="00CC7C02"/>
    <w:rsid w:val="00CC7DBC"/>
    <w:rsid w:val="00CD00CB"/>
    <w:rsid w:val="00CD083D"/>
    <w:rsid w:val="00CD1BA3"/>
    <w:rsid w:val="00CD1D23"/>
    <w:rsid w:val="00CD3612"/>
    <w:rsid w:val="00CD3E69"/>
    <w:rsid w:val="00CD4224"/>
    <w:rsid w:val="00CD4948"/>
    <w:rsid w:val="00CD648B"/>
    <w:rsid w:val="00CD6B7D"/>
    <w:rsid w:val="00CD7CE8"/>
    <w:rsid w:val="00CD7D29"/>
    <w:rsid w:val="00CE0847"/>
    <w:rsid w:val="00CE0B6C"/>
    <w:rsid w:val="00CE11D0"/>
    <w:rsid w:val="00CE2037"/>
    <w:rsid w:val="00CE3E2B"/>
    <w:rsid w:val="00CE4708"/>
    <w:rsid w:val="00CE4C50"/>
    <w:rsid w:val="00CE58D5"/>
    <w:rsid w:val="00CE6858"/>
    <w:rsid w:val="00CE7450"/>
    <w:rsid w:val="00CE770C"/>
    <w:rsid w:val="00CF10DC"/>
    <w:rsid w:val="00CF1B0E"/>
    <w:rsid w:val="00CF2260"/>
    <w:rsid w:val="00CF2AC7"/>
    <w:rsid w:val="00CF2B91"/>
    <w:rsid w:val="00CF4D73"/>
    <w:rsid w:val="00CF50BE"/>
    <w:rsid w:val="00CF538C"/>
    <w:rsid w:val="00CF6639"/>
    <w:rsid w:val="00CF7625"/>
    <w:rsid w:val="00D0143E"/>
    <w:rsid w:val="00D01E66"/>
    <w:rsid w:val="00D0506A"/>
    <w:rsid w:val="00D05ADD"/>
    <w:rsid w:val="00D066FB"/>
    <w:rsid w:val="00D105DD"/>
    <w:rsid w:val="00D10FA1"/>
    <w:rsid w:val="00D11B48"/>
    <w:rsid w:val="00D1289C"/>
    <w:rsid w:val="00D151DC"/>
    <w:rsid w:val="00D1666F"/>
    <w:rsid w:val="00D2071A"/>
    <w:rsid w:val="00D22485"/>
    <w:rsid w:val="00D22F44"/>
    <w:rsid w:val="00D2350E"/>
    <w:rsid w:val="00D23D2E"/>
    <w:rsid w:val="00D25177"/>
    <w:rsid w:val="00D30F73"/>
    <w:rsid w:val="00D30F97"/>
    <w:rsid w:val="00D313A0"/>
    <w:rsid w:val="00D321B0"/>
    <w:rsid w:val="00D322A1"/>
    <w:rsid w:val="00D36FE0"/>
    <w:rsid w:val="00D40799"/>
    <w:rsid w:val="00D41A06"/>
    <w:rsid w:val="00D42424"/>
    <w:rsid w:val="00D42ABF"/>
    <w:rsid w:val="00D42F40"/>
    <w:rsid w:val="00D45B67"/>
    <w:rsid w:val="00D5034A"/>
    <w:rsid w:val="00D50F23"/>
    <w:rsid w:val="00D5119A"/>
    <w:rsid w:val="00D51F49"/>
    <w:rsid w:val="00D52AE4"/>
    <w:rsid w:val="00D52DED"/>
    <w:rsid w:val="00D55C6E"/>
    <w:rsid w:val="00D55EE8"/>
    <w:rsid w:val="00D560D1"/>
    <w:rsid w:val="00D562CB"/>
    <w:rsid w:val="00D569D1"/>
    <w:rsid w:val="00D56AD8"/>
    <w:rsid w:val="00D56C05"/>
    <w:rsid w:val="00D5785A"/>
    <w:rsid w:val="00D60A01"/>
    <w:rsid w:val="00D60D0F"/>
    <w:rsid w:val="00D61652"/>
    <w:rsid w:val="00D62769"/>
    <w:rsid w:val="00D63293"/>
    <w:rsid w:val="00D63705"/>
    <w:rsid w:val="00D6375F"/>
    <w:rsid w:val="00D63E44"/>
    <w:rsid w:val="00D64C48"/>
    <w:rsid w:val="00D65D47"/>
    <w:rsid w:val="00D66670"/>
    <w:rsid w:val="00D6680B"/>
    <w:rsid w:val="00D66E74"/>
    <w:rsid w:val="00D67513"/>
    <w:rsid w:val="00D707CA"/>
    <w:rsid w:val="00D71A66"/>
    <w:rsid w:val="00D72F4F"/>
    <w:rsid w:val="00D73105"/>
    <w:rsid w:val="00D731C4"/>
    <w:rsid w:val="00D7368A"/>
    <w:rsid w:val="00D7370E"/>
    <w:rsid w:val="00D74284"/>
    <w:rsid w:val="00D74EB4"/>
    <w:rsid w:val="00D80151"/>
    <w:rsid w:val="00D801FC"/>
    <w:rsid w:val="00D814B0"/>
    <w:rsid w:val="00D81532"/>
    <w:rsid w:val="00D85042"/>
    <w:rsid w:val="00D85BE0"/>
    <w:rsid w:val="00D876C5"/>
    <w:rsid w:val="00D87959"/>
    <w:rsid w:val="00D87FD7"/>
    <w:rsid w:val="00D90D3C"/>
    <w:rsid w:val="00D91466"/>
    <w:rsid w:val="00D915ED"/>
    <w:rsid w:val="00D91DE4"/>
    <w:rsid w:val="00D921FD"/>
    <w:rsid w:val="00D92300"/>
    <w:rsid w:val="00D925ED"/>
    <w:rsid w:val="00D94195"/>
    <w:rsid w:val="00D942A3"/>
    <w:rsid w:val="00D94AFC"/>
    <w:rsid w:val="00D950E6"/>
    <w:rsid w:val="00D95774"/>
    <w:rsid w:val="00D966BA"/>
    <w:rsid w:val="00D97047"/>
    <w:rsid w:val="00D971DF"/>
    <w:rsid w:val="00D97FA2"/>
    <w:rsid w:val="00DA30F2"/>
    <w:rsid w:val="00DA3619"/>
    <w:rsid w:val="00DA4E8C"/>
    <w:rsid w:val="00DA5429"/>
    <w:rsid w:val="00DA603C"/>
    <w:rsid w:val="00DA7AE4"/>
    <w:rsid w:val="00DB0B88"/>
    <w:rsid w:val="00DB126B"/>
    <w:rsid w:val="00DB1652"/>
    <w:rsid w:val="00DB203E"/>
    <w:rsid w:val="00DB2ABF"/>
    <w:rsid w:val="00DB4195"/>
    <w:rsid w:val="00DB5773"/>
    <w:rsid w:val="00DB58A6"/>
    <w:rsid w:val="00DB6B99"/>
    <w:rsid w:val="00DB716F"/>
    <w:rsid w:val="00DC001A"/>
    <w:rsid w:val="00DC10BD"/>
    <w:rsid w:val="00DC2749"/>
    <w:rsid w:val="00DC290B"/>
    <w:rsid w:val="00DC399D"/>
    <w:rsid w:val="00DC3A4F"/>
    <w:rsid w:val="00DC6FB1"/>
    <w:rsid w:val="00DD025C"/>
    <w:rsid w:val="00DD1B33"/>
    <w:rsid w:val="00DD22BB"/>
    <w:rsid w:val="00DD2952"/>
    <w:rsid w:val="00DD3217"/>
    <w:rsid w:val="00DD4F44"/>
    <w:rsid w:val="00DD615F"/>
    <w:rsid w:val="00DD686C"/>
    <w:rsid w:val="00DD7A3E"/>
    <w:rsid w:val="00DD7C07"/>
    <w:rsid w:val="00DD7E0C"/>
    <w:rsid w:val="00DE0E76"/>
    <w:rsid w:val="00DE1D7E"/>
    <w:rsid w:val="00DE2AC3"/>
    <w:rsid w:val="00DE2E40"/>
    <w:rsid w:val="00DE3598"/>
    <w:rsid w:val="00DE3FBD"/>
    <w:rsid w:val="00DE43F5"/>
    <w:rsid w:val="00DE4952"/>
    <w:rsid w:val="00DE65FB"/>
    <w:rsid w:val="00DF234F"/>
    <w:rsid w:val="00DF2AE1"/>
    <w:rsid w:val="00DF396D"/>
    <w:rsid w:val="00DF420A"/>
    <w:rsid w:val="00DF4BD6"/>
    <w:rsid w:val="00DF52A2"/>
    <w:rsid w:val="00E01356"/>
    <w:rsid w:val="00E018D6"/>
    <w:rsid w:val="00E01B0D"/>
    <w:rsid w:val="00E02472"/>
    <w:rsid w:val="00E037EC"/>
    <w:rsid w:val="00E041F0"/>
    <w:rsid w:val="00E05C13"/>
    <w:rsid w:val="00E074A9"/>
    <w:rsid w:val="00E128D8"/>
    <w:rsid w:val="00E12BB8"/>
    <w:rsid w:val="00E130C3"/>
    <w:rsid w:val="00E131A9"/>
    <w:rsid w:val="00E13629"/>
    <w:rsid w:val="00E14EB8"/>
    <w:rsid w:val="00E170ED"/>
    <w:rsid w:val="00E17EDF"/>
    <w:rsid w:val="00E17F93"/>
    <w:rsid w:val="00E2082D"/>
    <w:rsid w:val="00E20EB7"/>
    <w:rsid w:val="00E221E2"/>
    <w:rsid w:val="00E2330D"/>
    <w:rsid w:val="00E24303"/>
    <w:rsid w:val="00E247C1"/>
    <w:rsid w:val="00E256D8"/>
    <w:rsid w:val="00E25868"/>
    <w:rsid w:val="00E27623"/>
    <w:rsid w:val="00E27A16"/>
    <w:rsid w:val="00E320C4"/>
    <w:rsid w:val="00E3249B"/>
    <w:rsid w:val="00E328D9"/>
    <w:rsid w:val="00E341A2"/>
    <w:rsid w:val="00E344B0"/>
    <w:rsid w:val="00E351A9"/>
    <w:rsid w:val="00E356F8"/>
    <w:rsid w:val="00E375B4"/>
    <w:rsid w:val="00E37978"/>
    <w:rsid w:val="00E406FC"/>
    <w:rsid w:val="00E40F7B"/>
    <w:rsid w:val="00E419C1"/>
    <w:rsid w:val="00E43E48"/>
    <w:rsid w:val="00E4529B"/>
    <w:rsid w:val="00E464F4"/>
    <w:rsid w:val="00E46CB5"/>
    <w:rsid w:val="00E46D60"/>
    <w:rsid w:val="00E478F2"/>
    <w:rsid w:val="00E47C33"/>
    <w:rsid w:val="00E47F58"/>
    <w:rsid w:val="00E50A3B"/>
    <w:rsid w:val="00E51094"/>
    <w:rsid w:val="00E51375"/>
    <w:rsid w:val="00E54BB5"/>
    <w:rsid w:val="00E54BFC"/>
    <w:rsid w:val="00E55248"/>
    <w:rsid w:val="00E56D9D"/>
    <w:rsid w:val="00E60E2E"/>
    <w:rsid w:val="00E62F4C"/>
    <w:rsid w:val="00E63459"/>
    <w:rsid w:val="00E67F58"/>
    <w:rsid w:val="00E71A2D"/>
    <w:rsid w:val="00E724C5"/>
    <w:rsid w:val="00E72621"/>
    <w:rsid w:val="00E728FF"/>
    <w:rsid w:val="00E72FB3"/>
    <w:rsid w:val="00E745A4"/>
    <w:rsid w:val="00E7466B"/>
    <w:rsid w:val="00E74A73"/>
    <w:rsid w:val="00E75CA7"/>
    <w:rsid w:val="00E7660D"/>
    <w:rsid w:val="00E76EF6"/>
    <w:rsid w:val="00E77B59"/>
    <w:rsid w:val="00E77ED7"/>
    <w:rsid w:val="00E8095E"/>
    <w:rsid w:val="00E823C1"/>
    <w:rsid w:val="00E827FB"/>
    <w:rsid w:val="00E82DB7"/>
    <w:rsid w:val="00E83C85"/>
    <w:rsid w:val="00E84443"/>
    <w:rsid w:val="00E84ADB"/>
    <w:rsid w:val="00E8579C"/>
    <w:rsid w:val="00E865FE"/>
    <w:rsid w:val="00E90586"/>
    <w:rsid w:val="00E91408"/>
    <w:rsid w:val="00E91759"/>
    <w:rsid w:val="00E934ED"/>
    <w:rsid w:val="00E9571C"/>
    <w:rsid w:val="00E95A8E"/>
    <w:rsid w:val="00E9654B"/>
    <w:rsid w:val="00E96BEF"/>
    <w:rsid w:val="00EA02A2"/>
    <w:rsid w:val="00EA07A4"/>
    <w:rsid w:val="00EA0E1B"/>
    <w:rsid w:val="00EA13E4"/>
    <w:rsid w:val="00EA18DB"/>
    <w:rsid w:val="00EA1A7C"/>
    <w:rsid w:val="00EA2FBA"/>
    <w:rsid w:val="00EA3970"/>
    <w:rsid w:val="00EA3F54"/>
    <w:rsid w:val="00EA4DC5"/>
    <w:rsid w:val="00EA5664"/>
    <w:rsid w:val="00EA64C9"/>
    <w:rsid w:val="00EA66DF"/>
    <w:rsid w:val="00EA6ADC"/>
    <w:rsid w:val="00EA799C"/>
    <w:rsid w:val="00EB0609"/>
    <w:rsid w:val="00EB0872"/>
    <w:rsid w:val="00EB13A7"/>
    <w:rsid w:val="00EB1429"/>
    <w:rsid w:val="00EB14DF"/>
    <w:rsid w:val="00EB1A4D"/>
    <w:rsid w:val="00EB23AC"/>
    <w:rsid w:val="00EB2BAA"/>
    <w:rsid w:val="00EB34EC"/>
    <w:rsid w:val="00EB3A07"/>
    <w:rsid w:val="00EB54FA"/>
    <w:rsid w:val="00EB5539"/>
    <w:rsid w:val="00EC05BA"/>
    <w:rsid w:val="00EC20B8"/>
    <w:rsid w:val="00EC39C4"/>
    <w:rsid w:val="00EC3F31"/>
    <w:rsid w:val="00EC4558"/>
    <w:rsid w:val="00EC52E7"/>
    <w:rsid w:val="00EC7E0E"/>
    <w:rsid w:val="00ED1EA1"/>
    <w:rsid w:val="00ED3698"/>
    <w:rsid w:val="00ED38DF"/>
    <w:rsid w:val="00ED4794"/>
    <w:rsid w:val="00ED5D8E"/>
    <w:rsid w:val="00ED726D"/>
    <w:rsid w:val="00ED7B59"/>
    <w:rsid w:val="00EE265C"/>
    <w:rsid w:val="00EE3A4E"/>
    <w:rsid w:val="00EE5A60"/>
    <w:rsid w:val="00EE5C63"/>
    <w:rsid w:val="00EE6041"/>
    <w:rsid w:val="00EE606E"/>
    <w:rsid w:val="00EE67D7"/>
    <w:rsid w:val="00EE7683"/>
    <w:rsid w:val="00EF2054"/>
    <w:rsid w:val="00EF298D"/>
    <w:rsid w:val="00EF359C"/>
    <w:rsid w:val="00EF3F61"/>
    <w:rsid w:val="00EF416F"/>
    <w:rsid w:val="00EF7E1D"/>
    <w:rsid w:val="00F00449"/>
    <w:rsid w:val="00F006D7"/>
    <w:rsid w:val="00F0095C"/>
    <w:rsid w:val="00F01129"/>
    <w:rsid w:val="00F01CCA"/>
    <w:rsid w:val="00F01F2C"/>
    <w:rsid w:val="00F02104"/>
    <w:rsid w:val="00F03656"/>
    <w:rsid w:val="00F0485D"/>
    <w:rsid w:val="00F04EF6"/>
    <w:rsid w:val="00F06C02"/>
    <w:rsid w:val="00F06C17"/>
    <w:rsid w:val="00F1089A"/>
    <w:rsid w:val="00F121B2"/>
    <w:rsid w:val="00F12454"/>
    <w:rsid w:val="00F12ED1"/>
    <w:rsid w:val="00F135F2"/>
    <w:rsid w:val="00F138B4"/>
    <w:rsid w:val="00F13AD0"/>
    <w:rsid w:val="00F13C82"/>
    <w:rsid w:val="00F13F5C"/>
    <w:rsid w:val="00F151C9"/>
    <w:rsid w:val="00F1615D"/>
    <w:rsid w:val="00F1632B"/>
    <w:rsid w:val="00F202CA"/>
    <w:rsid w:val="00F2130F"/>
    <w:rsid w:val="00F223A7"/>
    <w:rsid w:val="00F2253A"/>
    <w:rsid w:val="00F23A01"/>
    <w:rsid w:val="00F24E24"/>
    <w:rsid w:val="00F26A64"/>
    <w:rsid w:val="00F27D87"/>
    <w:rsid w:val="00F309B6"/>
    <w:rsid w:val="00F334CB"/>
    <w:rsid w:val="00F33EAC"/>
    <w:rsid w:val="00F3489B"/>
    <w:rsid w:val="00F3495A"/>
    <w:rsid w:val="00F34E2C"/>
    <w:rsid w:val="00F3520C"/>
    <w:rsid w:val="00F370BC"/>
    <w:rsid w:val="00F37143"/>
    <w:rsid w:val="00F41E08"/>
    <w:rsid w:val="00F430C2"/>
    <w:rsid w:val="00F43397"/>
    <w:rsid w:val="00F47C78"/>
    <w:rsid w:val="00F50562"/>
    <w:rsid w:val="00F507D0"/>
    <w:rsid w:val="00F50A92"/>
    <w:rsid w:val="00F50B0B"/>
    <w:rsid w:val="00F50D01"/>
    <w:rsid w:val="00F50F5E"/>
    <w:rsid w:val="00F528BE"/>
    <w:rsid w:val="00F52D4E"/>
    <w:rsid w:val="00F546B9"/>
    <w:rsid w:val="00F56BC1"/>
    <w:rsid w:val="00F60856"/>
    <w:rsid w:val="00F618C4"/>
    <w:rsid w:val="00F622F9"/>
    <w:rsid w:val="00F64731"/>
    <w:rsid w:val="00F64C8B"/>
    <w:rsid w:val="00F6544B"/>
    <w:rsid w:val="00F65774"/>
    <w:rsid w:val="00F65A34"/>
    <w:rsid w:val="00F65F4C"/>
    <w:rsid w:val="00F715E9"/>
    <w:rsid w:val="00F71A60"/>
    <w:rsid w:val="00F71EF9"/>
    <w:rsid w:val="00F7242B"/>
    <w:rsid w:val="00F725DA"/>
    <w:rsid w:val="00F72720"/>
    <w:rsid w:val="00F72A59"/>
    <w:rsid w:val="00F73D2E"/>
    <w:rsid w:val="00F7536E"/>
    <w:rsid w:val="00F75652"/>
    <w:rsid w:val="00F76137"/>
    <w:rsid w:val="00F773F2"/>
    <w:rsid w:val="00F7782D"/>
    <w:rsid w:val="00F8168B"/>
    <w:rsid w:val="00F81CF2"/>
    <w:rsid w:val="00F81F93"/>
    <w:rsid w:val="00F857D1"/>
    <w:rsid w:val="00F858B9"/>
    <w:rsid w:val="00F86296"/>
    <w:rsid w:val="00F86FD9"/>
    <w:rsid w:val="00F91DCC"/>
    <w:rsid w:val="00F930BC"/>
    <w:rsid w:val="00F9323F"/>
    <w:rsid w:val="00F941E0"/>
    <w:rsid w:val="00F943FE"/>
    <w:rsid w:val="00F95814"/>
    <w:rsid w:val="00F95CE9"/>
    <w:rsid w:val="00F96D04"/>
    <w:rsid w:val="00F97100"/>
    <w:rsid w:val="00FA01D9"/>
    <w:rsid w:val="00FA46BA"/>
    <w:rsid w:val="00FA473D"/>
    <w:rsid w:val="00FA4795"/>
    <w:rsid w:val="00FA63A8"/>
    <w:rsid w:val="00FA6FA0"/>
    <w:rsid w:val="00FA71A0"/>
    <w:rsid w:val="00FB0401"/>
    <w:rsid w:val="00FB1BA0"/>
    <w:rsid w:val="00FB2C1C"/>
    <w:rsid w:val="00FB4538"/>
    <w:rsid w:val="00FB56CC"/>
    <w:rsid w:val="00FC1DFB"/>
    <w:rsid w:val="00FC1EF2"/>
    <w:rsid w:val="00FC30C9"/>
    <w:rsid w:val="00FC3343"/>
    <w:rsid w:val="00FC33BA"/>
    <w:rsid w:val="00FC35AB"/>
    <w:rsid w:val="00FC4E9F"/>
    <w:rsid w:val="00FC6134"/>
    <w:rsid w:val="00FC64D1"/>
    <w:rsid w:val="00FC654D"/>
    <w:rsid w:val="00FC77CF"/>
    <w:rsid w:val="00FD02EC"/>
    <w:rsid w:val="00FD0555"/>
    <w:rsid w:val="00FD06F5"/>
    <w:rsid w:val="00FD144B"/>
    <w:rsid w:val="00FD1F02"/>
    <w:rsid w:val="00FD2C46"/>
    <w:rsid w:val="00FD440B"/>
    <w:rsid w:val="00FD4CF7"/>
    <w:rsid w:val="00FD5303"/>
    <w:rsid w:val="00FD5961"/>
    <w:rsid w:val="00FD7B9E"/>
    <w:rsid w:val="00FE2F57"/>
    <w:rsid w:val="00FE3EFA"/>
    <w:rsid w:val="00FE4035"/>
    <w:rsid w:val="00FE5C56"/>
    <w:rsid w:val="00FE5E20"/>
    <w:rsid w:val="00FE70C2"/>
    <w:rsid w:val="00FE7AAC"/>
    <w:rsid w:val="00FE7B06"/>
    <w:rsid w:val="00FE7E98"/>
    <w:rsid w:val="00FF0276"/>
    <w:rsid w:val="00FF06BC"/>
    <w:rsid w:val="00FF06E2"/>
    <w:rsid w:val="00FF09B6"/>
    <w:rsid w:val="00FF20AC"/>
    <w:rsid w:val="00FF3801"/>
    <w:rsid w:val="00FF3A27"/>
    <w:rsid w:val="00FF3B27"/>
    <w:rsid w:val="00FF3BFA"/>
    <w:rsid w:val="00FF4E8D"/>
    <w:rsid w:val="00FF5CFA"/>
    <w:rsid w:val="00FF606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2B8C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link w:val="Heading3Char"/>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ind w:hanging="360"/>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DF4BD6"/>
    <w:pPr>
      <w:pBdr>
        <w:top w:val="single" w:sz="24" w:space="10" w:color="20B9A3" w:themeColor="accent1"/>
        <w:between w:val="single" w:sz="24" w:space="10" w:color="20B9A3" w:themeColor="accent1"/>
      </w:pBdr>
      <w:tabs>
        <w:tab w:val="right" w:pos="6577"/>
      </w:tabs>
      <w:spacing w:after="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72389A"/>
    <w:pPr>
      <w:keepNext/>
      <w:keepLines/>
      <w:numPr>
        <w:numId w:val="3"/>
      </w:numPr>
      <w:tabs>
        <w:tab w:val="left" w:pos="1361"/>
      </w:tabs>
      <w:spacing w:before="120" w:after="240"/>
      <w:ind w:left="357" w:hanging="357"/>
      <w:contextualSpacing/>
      <w:outlineLvl w:val="3"/>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ind w:left="360" w:hanging="360"/>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747EB2"/>
    <w:pPr>
      <w:ind w:left="714" w:hanging="357"/>
    </w:pPr>
    <w:rPr>
      <w:color w:val="000000" w:themeColor="text1"/>
    </w:rPr>
  </w:style>
  <w:style w:type="paragraph" w:styleId="ListNumber3">
    <w:name w:val="List Number 3"/>
    <w:basedOn w:val="Normal"/>
    <w:uiPriority w:val="5"/>
    <w:qFormat/>
    <w:rsid w:val="00422931"/>
    <w:pPr>
      <w:ind w:left="1077" w:hanging="357"/>
    </w:pPr>
    <w:rPr>
      <w:color w:val="000000" w:themeColor="text1"/>
    </w:r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ind w:left="360"/>
    </w:pPr>
  </w:style>
  <w:style w:type="character" w:customStyle="1" w:styleId="FigureHeadingChar">
    <w:name w:val="Figure Heading Char"/>
    <w:basedOn w:val="DefaultParagraphFont"/>
    <w:link w:val="FigureHeading"/>
    <w:uiPriority w:val="48"/>
    <w:rsid w:val="0072389A"/>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ui-provider">
    <w:name w:val="ui-provider"/>
    <w:basedOn w:val="DefaultParagraphFont"/>
    <w:rsid w:val="001B5403"/>
  </w:style>
  <w:style w:type="character" w:customStyle="1" w:styleId="Heading3Char">
    <w:name w:val="Heading 3 Char"/>
    <w:basedOn w:val="DefaultParagraphFont"/>
    <w:link w:val="Heading3"/>
    <w:uiPriority w:val="4"/>
    <w:rsid w:val="000A1257"/>
    <w:rPr>
      <w:rFonts w:asciiTheme="majorHAnsi" w:hAnsiTheme="majorHAnsi"/>
      <w:b/>
      <w:color w:val="117479" w:themeColor="accent2"/>
      <w:sz w:val="24"/>
      <w:szCs w:val="44"/>
    </w:rPr>
  </w:style>
  <w:style w:type="character" w:customStyle="1" w:styleId="Heading4Char">
    <w:name w:val="Heading 4 Char"/>
    <w:basedOn w:val="DefaultParagraphFont"/>
    <w:link w:val="Heading4"/>
    <w:uiPriority w:val="4"/>
    <w:rsid w:val="00570D64"/>
    <w:rPr>
      <w:rFonts w:asciiTheme="majorHAnsi" w:hAnsiTheme="majorHAnsi"/>
      <w:b/>
      <w:color w:val="117479" w:themeColor="accent2"/>
      <w:szCs w:val="24"/>
    </w:rPr>
  </w:style>
  <w:style w:type="paragraph" w:styleId="NormalWeb">
    <w:name w:val="Normal (Web)"/>
    <w:basedOn w:val="Normal"/>
    <w:uiPriority w:val="99"/>
    <w:semiHidden/>
    <w:unhideWhenUsed/>
    <w:rsid w:val="00E13629"/>
    <w:pPr>
      <w:spacing w:before="100" w:beforeAutospacing="1" w:after="100" w:afterAutospacing="1" w:line="240" w:lineRule="auto"/>
    </w:pPr>
    <w:rPr>
      <w:rFonts w:ascii="Times New Roman" w:hAnsi="Times New Roman"/>
      <w:sz w:val="24"/>
    </w:rPr>
  </w:style>
  <w:style w:type="paragraph" w:styleId="Revision">
    <w:name w:val="Revision"/>
    <w:hidden/>
    <w:uiPriority w:val="99"/>
    <w:semiHidden/>
    <w:rsid w:val="008E2170"/>
    <w:rPr>
      <w:rFonts w:asciiTheme="minorHAnsi" w:hAnsiTheme="minorHAnsi"/>
      <w:szCs w:val="24"/>
    </w:rPr>
  </w:style>
  <w:style w:type="paragraph" w:customStyle="1" w:styleId="Default">
    <w:name w:val="Default"/>
    <w:rsid w:val="004069C1"/>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99"/>
    <w:unhideWhenUsed/>
    <w:qFormat/>
    <w:rsid w:val="007D33F6"/>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5707">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56771192">
      <w:bodyDiv w:val="1"/>
      <w:marLeft w:val="0"/>
      <w:marRight w:val="0"/>
      <w:marTop w:val="0"/>
      <w:marBottom w:val="0"/>
      <w:divBdr>
        <w:top w:val="none" w:sz="0" w:space="0" w:color="auto"/>
        <w:left w:val="none" w:sz="0" w:space="0" w:color="auto"/>
        <w:bottom w:val="none" w:sz="0" w:space="0" w:color="auto"/>
        <w:right w:val="none" w:sz="0" w:space="0" w:color="auto"/>
      </w:divBdr>
    </w:div>
    <w:div w:id="161081433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2071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s.gov.au/AUSSTATS/abs@.nsf/DetailsPage/1270.0.55.005July%202016?OpenDocument" TargetMode="External"/><Relationship Id="rId21" Type="http://schemas.openxmlformats.org/officeDocument/2006/relationships/image" Target="media/image5.png"/><Relationship Id="rId42" Type="http://schemas.openxmlformats.org/officeDocument/2006/relationships/hyperlink" Target="https://www.aihw.gov.au/reports/australias-health/health-across-socioeconomic-groups" TargetMode="External"/><Relationship Id="rId47" Type="http://schemas.openxmlformats.org/officeDocument/2006/relationships/hyperlink" Target="https://www.vu.edu.au/sites/default/files/australian-health-services-too-complex-to-navigate.pdf" TargetMode="External"/><Relationship Id="rId63" Type="http://schemas.openxmlformats.org/officeDocument/2006/relationships/image" Target="media/image8.png"/><Relationship Id="rId6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abs.gov.au/articles/cultural-diversity-australia" TargetMode="External"/><Relationship Id="rId11" Type="http://schemas.openxmlformats.org/officeDocument/2006/relationships/image" Target="media/image1.png"/><Relationship Id="rId24" Type="http://schemas.openxmlformats.org/officeDocument/2006/relationships/hyperlink" Target="https://www.abs.gov.au/AUSSTATS/abs@.nsf/DetailsPage/1244.0.55.001New%20Issue%20for%20June%202011?OpenDocument" TargetMode="External"/><Relationship Id="rId32" Type="http://schemas.openxmlformats.org/officeDocument/2006/relationships/hyperlink" Target="https://www.abs.gov.au/statistics/people/people-and-communities/cultural-diversity-census/2021" TargetMode="External"/><Relationship Id="rId37" Type="http://schemas.openxmlformats.org/officeDocument/2006/relationships/hyperlink" Target="https://www.aihw.gov.au/reports/hospitals/potentially-preventable-hospitalisations-2015-16/contents/about" TargetMode="External"/><Relationship Id="rId40" Type="http://schemas.openxmlformats.org/officeDocument/2006/relationships/hyperlink" Target="https://www.aihw.gov.au/reports/australias-health/health-of-people-experiencing-homelessness" TargetMode="External"/><Relationship Id="rId45" Type="http://schemas.openxmlformats.org/officeDocument/2006/relationships/hyperlink" Target="https://www.aihw.gov.au/reports/disability/people-with-disability-in-australia/contents/people-with-disability/prevalence-of-disability" TargetMode="External"/><Relationship Id="rId53" Type="http://schemas.openxmlformats.org/officeDocument/2006/relationships/hyperlink" Target="https://www.oecd.org/australia/oecd-reviews-of-health-care-quality-australia-2015-9789264233836-en.htm" TargetMode="External"/><Relationship Id="rId58" Type="http://schemas.openxmlformats.org/officeDocument/2006/relationships/hyperlink" Target="https://creativecommons.org/licenses/by/4.0/" TargetMode="External"/><Relationship Id="rId66" Type="http://schemas.openxmlformats.org/officeDocument/2006/relationships/hyperlink" Target="http://www.pmc.gov.au/beta" TargetMode="External"/><Relationship Id="rId79"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ww.abs.gov.au/statistics/health/health-conditions-and-risks/national-health-survey-health-literacy/latest-release" TargetMode="External"/><Relationship Id="rId30" Type="http://schemas.openxmlformats.org/officeDocument/2006/relationships/hyperlink" Target="https://www.abs.gov.au/statistics/people/aboriginal-and-torres-strait-islander-peoples/aboriginal-and-torres-strait-islander-people-census/2021" TargetMode="External"/><Relationship Id="rId35" Type="http://schemas.openxmlformats.org/officeDocument/2006/relationships/hyperlink" Target="https://www.digitalinclusionindex.org.au/digital-inclusion-the-australian-context-in-2023/" TargetMode="External"/><Relationship Id="rId43" Type="http://schemas.openxmlformats.org/officeDocument/2006/relationships/hyperlink" Target="https://www.aihw.gov.au/reports/rural-remote-australians/rural-and-remote-health" TargetMode="External"/><Relationship Id="rId48" Type="http://schemas.openxmlformats.org/officeDocument/2006/relationships/hyperlink" Target="https://news.cornell.edu/stories/2022/02/computer-security-researchers-aim-prevent-tech-abuse" TargetMode="External"/><Relationship Id="rId56" Type="http://schemas.openxmlformats.org/officeDocument/2006/relationships/hyperlink" Target="https://www.who.int/news-room/questions-and-answers/item/herd-immunity-lockdowns-and-covid-19" TargetMode="External"/><Relationship Id="rId64" Type="http://schemas.openxmlformats.org/officeDocument/2006/relationships/hyperlink" Target="mailto:beta@pmc.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bc.net.au/news/2022-08-29/fears-for-patients-as-doctors-move-away-from-bulk-billing/101359360" TargetMode="External"/><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abs.gov.au/AUSSTATS/abs@.nsf/DetailsPage/2033.0.55.0012016?OpenDocument" TargetMode="External"/><Relationship Id="rId33" Type="http://schemas.openxmlformats.org/officeDocument/2006/relationships/hyperlink" Target="https://www.abs.gov.au/statistics/people/people-and-communities/temporary-visa-holders-australia/2021" TargetMode="External"/><Relationship Id="rId38" Type="http://schemas.openxmlformats.org/officeDocument/2006/relationships/hyperlink" Target="https://www.aihw.gov.au/reports/homelessness-services/people-short-term-or-emergency-accommodation-shs/data" TargetMode="External"/><Relationship Id="rId46" Type="http://schemas.openxmlformats.org/officeDocument/2006/relationships/hyperlink" Target="https://www.aihw.gov.au/reports/indigenous-australians/cultural-safety-health-care-framework" TargetMode="External"/><Relationship Id="rId59" Type="http://schemas.openxmlformats.org/officeDocument/2006/relationships/image" Target="media/image7.png"/><Relationship Id="rId67" Type="http://schemas.openxmlformats.org/officeDocument/2006/relationships/header" Target="header5.xml"/><Relationship Id="rId20" Type="http://schemas.openxmlformats.org/officeDocument/2006/relationships/hyperlink" Target="https://www.abs.gov.au/ausstats/abs@.nsf/Lookup/by%20Subject/2033.0.55.001~2016~Main%20Features~IRSAD~20" TargetMode="External"/><Relationship Id="rId41" Type="http://schemas.openxmlformats.org/officeDocument/2006/relationships/hyperlink" Target="https://www.aihw.gov.au/reports/rural-remote-australians/rural-and-remote-health" TargetMode="External"/><Relationship Id="rId54" Type="http://schemas.openxmlformats.org/officeDocument/2006/relationships/hyperlink" Target="https://www.oecd-ilibrary.org/social-issues-migration-health/health-at-a-glance-2017_health_glance-2017-en" TargetMode="External"/><Relationship Id="rId62" Type="http://schemas.openxmlformats.org/officeDocument/2006/relationships/footer" Target="footer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abs.gov.au/ausstats/abs@.nsf/Lookup/by%20Subject/2033.0.55.001~2016~Main%20Features~IRSAD~20" TargetMode="External"/><Relationship Id="rId28" Type="http://schemas.openxmlformats.org/officeDocument/2006/relationships/hyperlink" Target="https://www.abs.gov.au/statistics/people/population/population-census/latest-release" TargetMode="External"/><Relationship Id="rId36" Type="http://schemas.openxmlformats.org/officeDocument/2006/relationships/hyperlink" Target="https://www.aihw.gov.au/reports/indigenous-australians/indigenous-health-welfare-2015/contents/overview" TargetMode="External"/><Relationship Id="rId49" Type="http://schemas.openxmlformats.org/officeDocument/2006/relationships/hyperlink" Target="https://ncirs.org.au/sites/default/files/2022-03/Increasing%20COVID-19%20vaccine%20uptake%20in%20children_open%20forum_summary%20report_21%20March%202022_Final_0.pdf" TargetMode="External"/><Relationship Id="rId57" Type="http://schemas.openxmlformats.org/officeDocument/2006/relationships/hyperlink" Target="https://www.who.int/publications/i/item/9789240016927" TargetMode="External"/><Relationship Id="rId10" Type="http://schemas.openxmlformats.org/officeDocument/2006/relationships/endnotes" Target="endnotes.xml"/><Relationship Id="rId31" Type="http://schemas.openxmlformats.org/officeDocument/2006/relationships/hyperlink" Target="https://www.abs.gov.au/statistics/health/health-services/patient-experiences/latest-release" TargetMode="External"/><Relationship Id="rId44" Type="http://schemas.openxmlformats.org/officeDocument/2006/relationships/hyperlink" Target="https://www.aihw.gov.au/reports/hospitals/australias-hospitals-at-a-glance/contents/access-to-hospitals" TargetMode="External"/><Relationship Id="rId52" Type="http://schemas.openxmlformats.org/officeDocument/2006/relationships/hyperlink" Target="https://www.comparethemarket.com.au/health-insurance/features/trust-in-medical-professionals/" TargetMode="External"/><Relationship Id="rId60" Type="http://schemas.openxmlformats.org/officeDocument/2006/relationships/hyperlink" Target="https://pmc.gov.au/cca" TargetMode="External"/><Relationship Id="rId65" Type="http://schemas.openxmlformats.org/officeDocument/2006/relationships/hyperlink" Target="mailto:media@pmc.gov.au" TargetMode="Externa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eta@pmc.gov.au" TargetMode="External"/><Relationship Id="rId18" Type="http://schemas.openxmlformats.org/officeDocument/2006/relationships/image" Target="media/image3.png"/><Relationship Id="rId39" Type="http://schemas.openxmlformats.org/officeDocument/2006/relationships/hyperlink" Target="https://www.aihw.gov.au/reports/primary-health-care/coordination-of-health-care-experiences-barriers/summary" TargetMode="External"/><Relationship Id="rId34" Type="http://schemas.openxmlformats.org/officeDocument/2006/relationships/hyperlink" Target="https://www.abs.gov.au/statistics/people/people-and-communities/socio-economic-indexes-areas-seifa-australia/latest-release" TargetMode="External"/><Relationship Id="rId50" Type="http://schemas.openxmlformats.org/officeDocument/2006/relationships/hyperlink" Target="https://povertyandinequality.acoss.org.au/poverty-in-australia-2023-who-is-affected/" TargetMode="External"/><Relationship Id="rId55" Type="http://schemas.openxmlformats.org/officeDocument/2006/relationships/hyperlink" Target="https://www.oecd.org/health/health-at-a-glance.htm" TargetMode="External"/><Relationship Id="rId7"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dfa800-9ef0-44cb-8a12-633e29de1e0b">
      <Value>1</Value>
    </TaxCatchAll>
    <ShareHubID xmlns="e771ab56-0c5d-40e7-b080-2686d2b89623">DOC24-62058</ShareHubID>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PMCdoc-213507164-64404</_dlc_DocId>
    <_dlc_DocIdUrl xmlns="d0dfa800-9ef0-44cb-8a12-633e29de1e0b">
      <Url>https://pmc01.sharepoint.com/sites/pmc-ms-cb/_layouts/15/DocIdRedir.aspx?ID=PMCdoc-213507164-64404</Url>
      <Description>PMCdoc-213507164-64404</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2.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3.xml><?xml version="1.0" encoding="utf-8"?>
<ds:datastoreItem xmlns:ds="http://schemas.openxmlformats.org/officeDocument/2006/customXml" ds:itemID="{11BBB6FE-C428-4448-98E5-3C5B86003DDF}"/>
</file>

<file path=customXml/itemProps4.xml><?xml version="1.0" encoding="utf-8"?>
<ds:datastoreItem xmlns:ds="http://schemas.openxmlformats.org/officeDocument/2006/customXml" ds:itemID="{763E57A1-4D49-4FFF-BC1A-D963789A680C}">
  <ds:schemaRefs>
    <ds:schemaRef ds:uri="http://schemas.openxmlformats.org/officeDocument/2006/bibliography"/>
  </ds:schemaRefs>
</ds:datastoreItem>
</file>

<file path=customXml/itemProps5.xml><?xml version="1.0" encoding="utf-8"?>
<ds:datastoreItem xmlns:ds="http://schemas.openxmlformats.org/officeDocument/2006/customXml" ds:itemID="{80BE0905-3C3C-4E39-9165-D8F6FAC09B98}"/>
</file>

<file path=docProps/app.xml><?xml version="1.0" encoding="utf-8"?>
<Properties xmlns="http://schemas.openxmlformats.org/officeDocument/2006/extended-properties" xmlns:vt="http://schemas.openxmlformats.org/officeDocument/2006/docPropsVTypes">
  <Template>Normal.dotm</Template>
  <TotalTime>1</TotalTime>
  <Pages>39</Pages>
  <Words>11784</Words>
  <Characters>67170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EVA: Pursuing universal healthcare coverage with a personalised COVID-19 vaccine booking service</dc:title>
  <dc:subject/>
  <dc:creator>Behavioural Economics Team of the Australian Government</dc:creator>
  <cp:keywords/>
  <dc:description/>
  <dcterms:created xsi:type="dcterms:W3CDTF">2024-02-27T22:07:00Z</dcterms:created>
  <dcterms:modified xsi:type="dcterms:W3CDTF">2024-02-28T04:38:00Z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2023-09-19T14:01:18</vt:lpwstr>
  </property>
  <property fmtid="{D5CDD505-2E9C-101B-9397-08002B2CF9AE}" pid="7" name="SecurityClassification">
    <vt:i4>1</vt:i4>
  </property>
  <property fmtid="{D5CDD505-2E9C-101B-9397-08002B2CF9AE}" pid="8" name="_dlc_DocIdItemGuid">
    <vt:lpwstr>c8c47ea5-f1c6-47aa-81e7-09cf95b1dbb0</vt:lpwstr>
  </property>
</Properties>
</file>