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2437392" w:displacedByCustomXml="next"/>
    <w:sdt>
      <w:sdtPr>
        <w:rPr>
          <w:b/>
          <w:color w:val="000000" w:themeColor="text2"/>
        </w:rPr>
        <w:id w:val="-388730264"/>
        <w:docPartObj>
          <w:docPartGallery w:val="Cover Pages"/>
          <w:docPartUnique/>
        </w:docPartObj>
      </w:sdtPr>
      <w:sdtEndPr>
        <w:rPr>
          <w:b w:val="0"/>
          <w:color w:val="3F3F3F" w:themeColor="text1"/>
        </w:rPr>
      </w:sdtEndPr>
      <w:sdtContent>
        <w:p w14:paraId="7ED769F0" w14:textId="3302C5E1" w:rsidR="007D0FC7" w:rsidRDefault="007D0FC7" w:rsidP="00991370">
          <w:r w:rsidRPr="001727A4">
            <w:rPr>
              <w:noProof/>
            </w:rPr>
            <w:drawing>
              <wp:anchor distT="0" distB="0" distL="114300" distR="114300" simplePos="0" relativeHeight="251659264" behindDoc="1" locked="0" layoutInCell="0" allowOverlap="1" wp14:anchorId="19989DE7" wp14:editId="44D8F88A">
                <wp:simplePos x="0" y="0"/>
                <wp:positionH relativeFrom="page">
                  <wp:posOffset>951</wp:posOffset>
                </wp:positionH>
                <wp:positionV relativeFrom="page">
                  <wp:posOffset>-3115339</wp:posOffset>
                </wp:positionV>
                <wp:extent cx="7557454" cy="4699000"/>
                <wp:effectExtent l="0" t="0" r="5715" b="6350"/>
                <wp:wrapNone/>
                <wp:docPr id="1" name="Picture 1" descr="Department of the Prime Minister and Cabinet"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rotWithShape="1">
                        <a:blip r:embed="rId11" cstate="print">
                          <a:extLst>
                            <a:ext uri="{28A0092B-C50C-407E-A947-70E740481C1C}">
                              <a14:useLocalDpi xmlns:a14="http://schemas.microsoft.com/office/drawing/2010/main" val="0"/>
                            </a:ext>
                          </a:extLst>
                        </a:blip>
                        <a:srcRect l="13" t="-29142" r="-13" b="85186"/>
                        <a:stretch/>
                      </pic:blipFill>
                      <pic:spPr bwMode="auto">
                        <a:xfrm>
                          <a:off x="0" y="0"/>
                          <a:ext cx="7558768" cy="46998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7BE00060" w14:textId="73195361" w:rsidR="006916F7" w:rsidRDefault="00140B3B" w:rsidP="006916F7">
      <w:pPr>
        <w:pStyle w:val="Heading1"/>
        <w:rPr>
          <w:rFonts w:ascii="Times New Roman" w:hAnsi="Times New Roman"/>
          <w:sz w:val="24"/>
        </w:rPr>
      </w:pPr>
      <w:bookmarkStart w:id="1" w:name="_Toc501621869"/>
      <w:bookmarkEnd w:id="0"/>
      <w:bookmarkEnd w:id="1"/>
      <w:r>
        <w:t>AER Energy Price Fact Sheet Study</w:t>
      </w:r>
    </w:p>
    <w:p w14:paraId="5B7B6626" w14:textId="15062D03" w:rsidR="006916F7" w:rsidRDefault="00140B3B" w:rsidP="006916F7">
      <w:pPr>
        <w:pStyle w:val="Heading2"/>
        <w:rPr>
          <w:caps/>
        </w:rPr>
      </w:pPr>
      <w:r w:rsidRPr="000670B8">
        <w:rPr>
          <w:caps/>
        </w:rPr>
        <w:t>Pre-analysis plan</w:t>
      </w:r>
    </w:p>
    <w:p w14:paraId="28F98EB4" w14:textId="043DAD2F" w:rsidR="00E43C41" w:rsidRPr="00E43C41" w:rsidRDefault="00E43C41" w:rsidP="00E43C41">
      <w:r>
        <w:t>23 November 2017</w:t>
      </w:r>
    </w:p>
    <w:p w14:paraId="214C8C28" w14:textId="67F9F837" w:rsidR="008D3188" w:rsidRDefault="008D3188" w:rsidP="000670B8">
      <w:pPr>
        <w:pStyle w:val="Heading3"/>
      </w:pPr>
      <w:r>
        <w:t>1. Introduction</w:t>
      </w:r>
    </w:p>
    <w:p w14:paraId="10A9A0D1" w14:textId="77777777" w:rsidR="008D3188" w:rsidRDefault="008D3188" w:rsidP="000670B8">
      <w:pPr>
        <w:pStyle w:val="Heading4"/>
      </w:pPr>
      <w:r>
        <w:t>1.1 Abstract and motivation</w:t>
      </w:r>
    </w:p>
    <w:p w14:paraId="35545900" w14:textId="0A00B414" w:rsidR="008D3188" w:rsidRPr="000670B8" w:rsidRDefault="008D3188" w:rsidP="000670B8">
      <w:pPr>
        <w:rPr>
          <w:lang w:val="en-GB"/>
        </w:rPr>
      </w:pPr>
      <w:r w:rsidRPr="004D3637">
        <w:rPr>
          <w:lang w:val="en-GB"/>
        </w:rPr>
        <w:t xml:space="preserve">The Behavioural Economics Team of the Australian Government (BETA) </w:t>
      </w:r>
      <w:r>
        <w:rPr>
          <w:lang w:val="en-GB"/>
        </w:rPr>
        <w:t>will prepare</w:t>
      </w:r>
      <w:r w:rsidRPr="004D3637">
        <w:rPr>
          <w:lang w:val="en-GB"/>
        </w:rPr>
        <w:t xml:space="preserve"> advice for the Australian Energy Regulator (AER). The advice concerns energy price fact sheets (EPFSs) and responds to the AER’s Consumer Price Information Issues Paper.</w:t>
      </w:r>
      <w:r>
        <w:rPr>
          <w:lang w:val="en-GB"/>
        </w:rPr>
        <w:t xml:space="preserve"> BETA recom</w:t>
      </w:r>
      <w:bookmarkStart w:id="2" w:name="_GoBack"/>
      <w:bookmarkEnd w:id="2"/>
      <w:r>
        <w:rPr>
          <w:lang w:val="en-GB"/>
        </w:rPr>
        <w:t>mendations will follow from this</w:t>
      </w:r>
      <w:r>
        <w:t xml:space="preserve"> mixed method study, constituted of a framed field experiment of the current EPFS design and five behaviourally informed EPFS designs as well as qualitative focus groups</w:t>
      </w:r>
      <w:r w:rsidRPr="00BA7E19">
        <w:t xml:space="preserve"> </w:t>
      </w:r>
      <w:r>
        <w:t>assessing EPFS content and design.</w:t>
      </w:r>
    </w:p>
    <w:p w14:paraId="7FE73488" w14:textId="77777777" w:rsidR="008D3188" w:rsidRDefault="008D3188" w:rsidP="000670B8">
      <w:pPr>
        <w:pStyle w:val="Heading4"/>
      </w:pPr>
      <w:r>
        <w:t>1.2 Experimental groups</w:t>
      </w:r>
    </w:p>
    <w:p w14:paraId="63D735F2" w14:textId="77777777" w:rsidR="008D3188" w:rsidRPr="004D3637" w:rsidRDefault="008D3188" w:rsidP="000670B8">
      <w:pPr>
        <w:pStyle w:val="ListBullet"/>
      </w:pPr>
      <w:r>
        <w:rPr>
          <w:b/>
        </w:rPr>
        <w:t>Status quo</w:t>
      </w:r>
      <w:r w:rsidRPr="004D3637">
        <w:rPr>
          <w:b/>
        </w:rPr>
        <w:t xml:space="preserve"> </w:t>
      </w:r>
      <w:r w:rsidRPr="004D3637">
        <w:t xml:space="preserve">– </w:t>
      </w:r>
      <w:r>
        <w:t>current</w:t>
      </w:r>
      <w:r w:rsidRPr="004D3637">
        <w:t xml:space="preserve"> EPFS sample design provided by AER</w:t>
      </w:r>
    </w:p>
    <w:p w14:paraId="523D7E86" w14:textId="77777777" w:rsidR="008D3188" w:rsidRPr="004D3637" w:rsidRDefault="008D3188" w:rsidP="000670B8">
      <w:pPr>
        <w:pStyle w:val="ListBullet"/>
      </w:pPr>
      <w:r w:rsidRPr="004D3637">
        <w:rPr>
          <w:b/>
        </w:rPr>
        <w:t xml:space="preserve">Bar graph </w:t>
      </w:r>
      <w:r w:rsidRPr="004D3637">
        <w:t>– behaviourally informed EPFS design incorporating a household consumption bar graph to aid respondents in making comparisons</w:t>
      </w:r>
    </w:p>
    <w:p w14:paraId="1C2BACF4" w14:textId="77777777" w:rsidR="008D3188" w:rsidRPr="004D3637" w:rsidRDefault="008D3188" w:rsidP="000670B8">
      <w:pPr>
        <w:pStyle w:val="ListBullet"/>
      </w:pPr>
      <w:r w:rsidRPr="004D3637">
        <w:rPr>
          <w:b/>
        </w:rPr>
        <w:t xml:space="preserve">Base rate + houses </w:t>
      </w:r>
      <w:r w:rsidRPr="004D3637">
        <w:t>– behaviourally informed EPFS design incorporating the graphical representation of a house as well as the base annual bill rate to aid respondents in making comparisons</w:t>
      </w:r>
    </w:p>
    <w:p w14:paraId="5296D10D" w14:textId="77777777" w:rsidR="008D3188" w:rsidRPr="004D3637" w:rsidRDefault="008D3188" w:rsidP="000670B8">
      <w:pPr>
        <w:pStyle w:val="ListBullet"/>
      </w:pPr>
      <w:r w:rsidRPr="004D3637">
        <w:rPr>
          <w:b/>
        </w:rPr>
        <w:t xml:space="preserve">Base rate + household items </w:t>
      </w:r>
      <w:r w:rsidRPr="004D3637">
        <w:t>– behaviourally informed EPFS design incorporating the graphical representation of household items as well as the base annual bill rate to aid respondents in making comparisons</w:t>
      </w:r>
    </w:p>
    <w:p w14:paraId="7EDEB357" w14:textId="77777777" w:rsidR="008D3188" w:rsidRPr="004D3637" w:rsidRDefault="008D3188" w:rsidP="000670B8">
      <w:pPr>
        <w:pStyle w:val="ListBullet"/>
      </w:pPr>
      <w:r w:rsidRPr="004D3637">
        <w:rPr>
          <w:b/>
        </w:rPr>
        <w:t xml:space="preserve">Base rate / discount rate + houses </w:t>
      </w:r>
      <w:r w:rsidRPr="004D3637">
        <w:t>– behaviourally informed EPFS design incorporating the graphical representation of a house as well as the base annual and discounted annual bill rates to aid respondents in making comparisons</w:t>
      </w:r>
    </w:p>
    <w:p w14:paraId="714F48C5" w14:textId="77777777" w:rsidR="00F67DBC" w:rsidRDefault="00F67DBC">
      <w:pPr>
        <w:spacing w:before="0" w:after="0" w:line="240" w:lineRule="auto"/>
        <w:rPr>
          <w:b/>
        </w:rPr>
      </w:pPr>
      <w:r>
        <w:rPr>
          <w:b/>
        </w:rPr>
        <w:br w:type="page"/>
      </w:r>
    </w:p>
    <w:p w14:paraId="634F3A16" w14:textId="64677DBB" w:rsidR="008D3188" w:rsidRPr="00296089" w:rsidRDefault="008D3188" w:rsidP="008C3A3A">
      <w:pPr>
        <w:pStyle w:val="ListBullet"/>
      </w:pPr>
      <w:r w:rsidRPr="004D3637">
        <w:rPr>
          <w:b/>
        </w:rPr>
        <w:lastRenderedPageBreak/>
        <w:t xml:space="preserve">Base rate / discount rate + household items </w:t>
      </w:r>
      <w:r w:rsidRPr="004D3637">
        <w:t>– behaviourally informed EPFS design incorporating the graphical representation of household items as well as the base annual and discounted annual bill rates to aid respondents in making comparisons</w:t>
      </w:r>
    </w:p>
    <w:p w14:paraId="71743A73" w14:textId="18E79593" w:rsidR="008D3188" w:rsidRDefault="008C3A3A" w:rsidP="000670B8">
      <w:pPr>
        <w:pStyle w:val="Heading4"/>
      </w:pPr>
      <w:r>
        <w:t xml:space="preserve">1.3 </w:t>
      </w:r>
      <w:r w:rsidR="008D3188">
        <w:t>Research questions</w:t>
      </w:r>
    </w:p>
    <w:p w14:paraId="12F35387" w14:textId="77777777" w:rsidR="008D3188" w:rsidRPr="004D3637" w:rsidRDefault="008D3188" w:rsidP="00E43C41">
      <w:pPr>
        <w:pStyle w:val="ListNumber"/>
      </w:pPr>
      <w:r>
        <w:t>Of available options, what is the preferred</w:t>
      </w:r>
      <w:r w:rsidRPr="004D3637">
        <w:t xml:space="preserve"> design and content for a one-page EPFS?</w:t>
      </w:r>
    </w:p>
    <w:p w14:paraId="1BD81E5D" w14:textId="77777777" w:rsidR="008D3188" w:rsidRPr="004D3637" w:rsidRDefault="008D3188" w:rsidP="00E43C41">
      <w:pPr>
        <w:pStyle w:val="ListNumber"/>
      </w:pPr>
      <w:r w:rsidRPr="004D3637">
        <w:t>Among behavi</w:t>
      </w:r>
      <w:r>
        <w:t>ourally informed EPFS designs, w</w:t>
      </w:r>
      <w:r w:rsidRPr="004D3637">
        <w:t xml:space="preserve">ill </w:t>
      </w:r>
      <w:r>
        <w:t>study participants</w:t>
      </w:r>
      <w:r w:rsidRPr="004D3637">
        <w:t xml:space="preserve"> prefer to examine </w:t>
      </w:r>
      <w:proofErr w:type="gramStart"/>
      <w:r w:rsidRPr="004D3637">
        <w:t>both base annual bill rate as well</w:t>
      </w:r>
      <w:r>
        <w:t xml:space="preserve"> as discounted annual bill rate or</w:t>
      </w:r>
      <w:proofErr w:type="gramEnd"/>
      <w:r>
        <w:t xml:space="preserve"> just</w:t>
      </w:r>
      <w:r w:rsidRPr="004D3637">
        <w:t xml:space="preserve"> base annual bill rate alone?</w:t>
      </w:r>
    </w:p>
    <w:p w14:paraId="36107266" w14:textId="04BD08B6" w:rsidR="008D3188" w:rsidRDefault="008D3188" w:rsidP="00E43C41">
      <w:pPr>
        <w:pStyle w:val="ListNumber"/>
      </w:pPr>
      <w:r w:rsidRPr="004D3637">
        <w:t xml:space="preserve">Among behaviourally informed EPFS designs, will </w:t>
      </w:r>
      <w:r>
        <w:t>study participants</w:t>
      </w:r>
      <w:r w:rsidRPr="004D3637">
        <w:t xml:space="preserve"> prefer the graphical representations of houses, household items, or a bar graph?</w:t>
      </w:r>
    </w:p>
    <w:p w14:paraId="30018720" w14:textId="77777777" w:rsidR="008D3188" w:rsidRDefault="008D3188" w:rsidP="000670B8">
      <w:pPr>
        <w:pStyle w:val="Heading4"/>
      </w:pPr>
      <w:r>
        <w:t>1.4 Limitations</w:t>
      </w:r>
    </w:p>
    <w:p w14:paraId="18BE6419" w14:textId="5A5C0A84" w:rsidR="008D3188" w:rsidRDefault="008D3188" w:rsidP="00E43C41">
      <w:r>
        <w:t xml:space="preserve">There are several limitations associated with this mixed methods design. First, interpreting a primary outcome (engagement with and preference for an EPFS design) will be complex and nuanced because there is no single primary outcome measure: ‘engagement’ is difficult to measure in this experimental context. Second, some framed field questions will be purely hypothetical (e.g. “how likely is it you might change energy plans if you observed a fact sheet like this one that indicated you would be better off”). Thus, from the perspective of revealed preferences it will be difficult to tell how much of an effect the treatment fact sheets would have on ‘actual’ energy literacy or energy-related decision-making. Third, a very small subset of framed field questions is differentiated by experimental group. This is because we wanted to ask one bespoke survey question about each EPFS design. </w:t>
      </w:r>
    </w:p>
    <w:p w14:paraId="7A07B13D" w14:textId="446114C4" w:rsidR="008D3188" w:rsidRDefault="008D3188" w:rsidP="000670B8">
      <w:pPr>
        <w:pStyle w:val="Heading3"/>
      </w:pPr>
      <w:r>
        <w:t>2. Methods</w:t>
      </w:r>
    </w:p>
    <w:p w14:paraId="14277137" w14:textId="77777777" w:rsidR="008D3188" w:rsidRDefault="008D3188" w:rsidP="000670B8">
      <w:pPr>
        <w:pStyle w:val="Heading4"/>
      </w:pPr>
      <w:r>
        <w:t>2.1 Framed field experiment</w:t>
      </w:r>
    </w:p>
    <w:p w14:paraId="505743FB" w14:textId="3AC5421E" w:rsidR="008D3188" w:rsidRPr="00BF4F69" w:rsidRDefault="008D3188" w:rsidP="00E43C41">
      <w:pPr>
        <w:rPr>
          <w:iCs/>
        </w:rPr>
      </w:pPr>
      <w:r>
        <w:t xml:space="preserve">Our study is interested in testing EPFS designs across a representative sample of Australia that is 21 years or older. The sample is drawn from the 300,000-person Online Research Unit survey panel. ORU attempts to recruit a nationally representative sample of the Australian population through online and offline (telephone and post) recruitment methods. </w:t>
      </w:r>
      <w:r>
        <w:rPr>
          <w:iCs/>
        </w:rPr>
        <w:t xml:space="preserve">The survey mandates age, sex, and postcode location quotas to generate a nationally representative sample. </w:t>
      </w:r>
      <w:r>
        <w:t xml:space="preserve">Survey respondents receive a financial incentive at a physical Australian post to ensure they are Australian residents. For this survey, respondents receive approximately AUD 1.50. </w:t>
      </w:r>
      <w:r>
        <w:rPr>
          <w:iCs/>
        </w:rPr>
        <w:t xml:space="preserve">To address the possibility of missing data, respondents are replaced if they do not complete the survey. </w:t>
      </w:r>
    </w:p>
    <w:p w14:paraId="3ED7E3E7" w14:textId="77777777" w:rsidR="008D3188" w:rsidRPr="007309C3" w:rsidRDefault="008D3188" w:rsidP="00E43C41">
      <w:pPr>
        <w:pStyle w:val="Heading4"/>
      </w:pPr>
      <w:r>
        <w:lastRenderedPageBreak/>
        <w:t>2.1.1 Power</w:t>
      </w:r>
    </w:p>
    <w:p w14:paraId="1D2A85A9" w14:textId="1AD96E3D" w:rsidR="008D3188" w:rsidRPr="00E43C41" w:rsidRDefault="008D3188" w:rsidP="00E43C41">
      <w:pPr>
        <w:rPr>
          <w:iCs/>
        </w:rPr>
      </w:pPr>
      <w:r w:rsidRPr="00AA3368">
        <w:t xml:space="preserve">We calculate that a sample size of approximately 750 per experimental group provides 80% power at a 5% significance level with a </w:t>
      </w:r>
      <w:r>
        <w:t>margin of error</w:t>
      </w:r>
      <w:r w:rsidRPr="00AA3368">
        <w:t xml:space="preserve"> of 3.65% in survey responses. This produces a total sample of 4,500 respondents assessing the six EPFS designs.</w:t>
      </w:r>
      <w:r>
        <w:t xml:space="preserve"> </w:t>
      </w:r>
    </w:p>
    <w:p w14:paraId="03566D01" w14:textId="77777777" w:rsidR="008D3188" w:rsidRDefault="008D3188" w:rsidP="000670B8">
      <w:pPr>
        <w:pStyle w:val="Heading4"/>
      </w:pPr>
      <w:r>
        <w:t>2.1.2</w:t>
      </w:r>
      <w:r w:rsidRPr="00AC763C">
        <w:t xml:space="preserve"> Randomisation</w:t>
      </w:r>
    </w:p>
    <w:p w14:paraId="1770D322" w14:textId="63EEB2C0" w:rsidR="008D3188" w:rsidRDefault="008D3188" w:rsidP="00E43C41">
      <w:r>
        <w:t xml:space="preserve">Respondents will first be screened on the basis of age, sex, and postcode location to help ensure a nationally representative sample for each experimental group. Subsequently, the survey panel randomly allocates respondents to each of the six experimental groups. Allocation will take place by 1) selecting the least-filled experimental group, and 2) using a random sequence instrument to allocate among experimental groups of equivalent least-filled sample sizes. </w:t>
      </w:r>
    </w:p>
    <w:p w14:paraId="5E608422" w14:textId="77777777" w:rsidR="008D3188" w:rsidRPr="00E43C41" w:rsidRDefault="008D3188" w:rsidP="00E43C41">
      <w:pPr>
        <w:pStyle w:val="Heading4"/>
      </w:pPr>
      <w:r w:rsidRPr="00E43C41">
        <w:t>2.2 Qualitative focus groups</w:t>
      </w:r>
    </w:p>
    <w:p w14:paraId="760AC611" w14:textId="62F2D947" w:rsidR="008D3188" w:rsidRPr="00054CF8" w:rsidRDefault="008D3188" w:rsidP="00E43C41">
      <w:r w:rsidRPr="00C40C09">
        <w:t xml:space="preserve">Our study is also interested in eliciting qualitative information regarding the comparison of all six EPFS designs as well as the individual and shared features of those designs. We will analyse the results of three focus groups. One focus group will be populated with members of COTA Australia (a peak non-profit organisation that represents </w:t>
      </w:r>
      <w:r w:rsidRPr="00E66022">
        <w:t xml:space="preserve">the interests of older Australians) that will be based in Canberra, one focus group of individuals recruited from a </w:t>
      </w:r>
      <w:r w:rsidRPr="00054CF8">
        <w:t>survey panel in Adelaide, and one focus group of individuals recruited from a survey panel in Sydney. Each focus group discussion will include five to seven individuals and last approximately two hours. Moreover, after reaching a consensus on the most preferred EPFS design, each focus group will be asked about the inclusion of additional pricing information. This information will not be tested</w:t>
      </w:r>
      <w:r>
        <w:t xml:space="preserve"> in the framed field experiment.</w:t>
      </w:r>
    </w:p>
    <w:p w14:paraId="165D7895" w14:textId="77777777" w:rsidR="008D3188" w:rsidRPr="00E43C41" w:rsidRDefault="008D3188" w:rsidP="00E43C41">
      <w:pPr>
        <w:pStyle w:val="Heading4"/>
      </w:pPr>
      <w:r w:rsidRPr="00E43C41">
        <w:t>2.3 Data collection and processing</w:t>
      </w:r>
    </w:p>
    <w:p w14:paraId="455B3287" w14:textId="3260F9C1" w:rsidR="008D3188" w:rsidRDefault="008D3188" w:rsidP="00E43C41">
      <w:r>
        <w:t>Given that this is a mixed methods study, data will be</w:t>
      </w:r>
      <w:r w:rsidRPr="00AC763C">
        <w:t xml:space="preserve"> collected from the ORU survey panel</w:t>
      </w:r>
      <w:r>
        <w:t xml:space="preserve"> as well as the three focus groups</w:t>
      </w:r>
      <w:r w:rsidRPr="00AC763C">
        <w:t xml:space="preserve">. </w:t>
      </w:r>
      <w:r>
        <w:t>Survey q</w:t>
      </w:r>
      <w:r w:rsidRPr="00AC763C">
        <w:t xml:space="preserve">uestions </w:t>
      </w:r>
      <w:r>
        <w:t>will be</w:t>
      </w:r>
      <w:r w:rsidRPr="00AC763C">
        <w:t xml:space="preserve"> binary or categorical in nature, and only one question (E.2) </w:t>
      </w:r>
      <w:r>
        <w:t>will offer</w:t>
      </w:r>
      <w:r w:rsidRPr="00AC763C">
        <w:t xml:space="preserve"> a free response field. All</w:t>
      </w:r>
      <w:r>
        <w:t xml:space="preserve"> survey</w:t>
      </w:r>
      <w:r w:rsidRPr="00AC763C">
        <w:t xml:space="preserve"> data processing and analysis steps will be performed using STATA script and will involve manual checks at each stage to ensure there are no errors introduced. </w:t>
      </w:r>
      <w:r>
        <w:t>We will not analyse any data until</w:t>
      </w:r>
      <w:r w:rsidRPr="00AC763C">
        <w:t xml:space="preserve"> after the survey reaches </w:t>
      </w:r>
      <w:r>
        <w:t>the 4,500-person target.</w:t>
      </w:r>
    </w:p>
    <w:p w14:paraId="77BA5E3C" w14:textId="49CEAEA7" w:rsidR="008D3188" w:rsidRDefault="008D3188" w:rsidP="00E43C41">
      <w:r>
        <w:t>For each focus group, the facilitator will generate high-level discussion notes. Notably, each group will receive the same set of semi-structured questions intended to guide discussion. Focus group facilitators will collect each group’s set of preferences for the EPFS design comparisons and articulate areas of agreement and disagreement among participants.</w:t>
      </w:r>
      <w:r w:rsidR="00E43C41">
        <w:t xml:space="preserve"> </w:t>
      </w:r>
    </w:p>
    <w:p w14:paraId="43BE0E6C" w14:textId="77777777" w:rsidR="008D3188" w:rsidRDefault="008D3188" w:rsidP="00E43C41">
      <w:r w:rsidRPr="00762F00">
        <w:lastRenderedPageBreak/>
        <w:t>We expect there to be limited or no missing</w:t>
      </w:r>
      <w:r>
        <w:t xml:space="preserve"> framed field experimental</w:t>
      </w:r>
      <w:r w:rsidRPr="00762F00">
        <w:t xml:space="preserve"> data because </w:t>
      </w:r>
      <w:r>
        <w:t>respondents who return incomplete surveys are replaced</w:t>
      </w:r>
      <w:r w:rsidRPr="00762F00">
        <w:t xml:space="preserve">. </w:t>
      </w:r>
      <w:r>
        <w:t>On</w:t>
      </w:r>
      <w:r w:rsidRPr="007309C3">
        <w:t xml:space="preserve"> the basis of screening </w:t>
      </w:r>
      <w:r>
        <w:t>and subsequent random sequence generation for allocating experimental groups we expect</w:t>
      </w:r>
      <w:r w:rsidRPr="007309C3">
        <w:t xml:space="preserve"> balanced samples for </w:t>
      </w:r>
      <w:r>
        <w:t>sex, age, and</w:t>
      </w:r>
      <w:r w:rsidRPr="007309C3">
        <w:t xml:space="preserve"> </w:t>
      </w:r>
      <w:r>
        <w:t>postcode location</w:t>
      </w:r>
      <w:r w:rsidRPr="007309C3">
        <w:t xml:space="preserve">. </w:t>
      </w:r>
      <w:r w:rsidRPr="00762F00">
        <w:t>It is possible</w:t>
      </w:r>
      <w:r>
        <w:t>, however, some samples will skew across some other demographic (such as household income or housing tenure) and thus we will conduct other balance checks.</w:t>
      </w:r>
    </w:p>
    <w:p w14:paraId="19701F3F" w14:textId="723DC868" w:rsidR="008D3188" w:rsidRDefault="008D3188" w:rsidP="00E43C41">
      <w:pPr>
        <w:pStyle w:val="Heading3"/>
      </w:pPr>
      <w:r>
        <w:t>3. Analysis and synthesis of results</w:t>
      </w:r>
    </w:p>
    <w:p w14:paraId="7D6B785E" w14:textId="77777777" w:rsidR="008D3188" w:rsidRPr="00E43C41" w:rsidRDefault="008D3188" w:rsidP="00E43C41">
      <w:pPr>
        <w:pStyle w:val="Heading4"/>
      </w:pPr>
      <w:r w:rsidRPr="00E43C41">
        <w:t>3.1 Analysis of results</w:t>
      </w:r>
    </w:p>
    <w:p w14:paraId="524B4326" w14:textId="5B9AE390" w:rsidR="008D3188" w:rsidRPr="00E43C41" w:rsidRDefault="008D3188" w:rsidP="00E43C41">
      <w:pPr>
        <w:rPr>
          <w:lang w:val="en"/>
        </w:rPr>
      </w:pPr>
      <w:r w:rsidRPr="00E66022">
        <w:rPr>
          <w:lang w:val="en"/>
        </w:rPr>
        <w:t xml:space="preserve">In the case of the framed field experiment, we will use hypothesis testing (Section 3.1.5) to elicit evidence of statistically significant differences between any of the six experimental groups for each primary outcome question. If we do detect a statistically significant result, we will use </w:t>
      </w:r>
      <w:r w:rsidRPr="00E66022">
        <w:rPr>
          <w:i/>
          <w:lang w:val="en"/>
        </w:rPr>
        <w:t>post-hoc</w:t>
      </w:r>
      <w:r w:rsidRPr="00E66022">
        <w:rPr>
          <w:lang w:val="en"/>
        </w:rPr>
        <w:t xml:space="preserve"> tests to determine</w:t>
      </w:r>
      <w:r>
        <w:rPr>
          <w:lang w:val="en"/>
        </w:rPr>
        <w:t xml:space="preserve"> the relative </w:t>
      </w:r>
      <w:r w:rsidRPr="00D550C4">
        <w:rPr>
          <w:lang w:val="en"/>
        </w:rPr>
        <w:t>preferential ranking of each EPFS design. If there are no statistically significant results arising from hypothesis testing, we will conclude a null result and consider descriptive statistics and cross-tabulations alone in forming a recommendation. Changes to the model form will be made on the basis of purely statistical considerations, seeking consistency of the data with model assumptions. In choosing an appropriate model form we will not allow consideration of effects on research outcomes.</w:t>
      </w:r>
    </w:p>
    <w:p w14:paraId="5C9F7F46" w14:textId="79564AC7" w:rsidR="008D3188" w:rsidRPr="00D550C4" w:rsidRDefault="008D3188" w:rsidP="00E43C41">
      <w:r w:rsidRPr="00D550C4">
        <w:t>In the case of the qualitative focus groups, thematic analysis will be applied to focus group data. Such data will be used to inform the interpretation of the primary and secondary outcomes (Section 3.1.1) of the framed field experiments. This information will therefore be treated as exploratory rather than confirmatory.</w:t>
      </w:r>
    </w:p>
    <w:p w14:paraId="6DE29611" w14:textId="77777777" w:rsidR="008D3188" w:rsidRPr="00D550C4" w:rsidRDefault="008D3188" w:rsidP="00E43C41">
      <w:pPr>
        <w:pStyle w:val="Heading4"/>
      </w:pPr>
      <w:r w:rsidRPr="00D550C4">
        <w:t>3.1.1 Primary outcome measures</w:t>
      </w:r>
    </w:p>
    <w:p w14:paraId="3371F390" w14:textId="24A19607" w:rsidR="008D3188" w:rsidRPr="00D550C4" w:rsidRDefault="008D3188" w:rsidP="00E43C41">
      <w:r w:rsidRPr="00D550C4">
        <w:t>Our primary outcome is engagement with, and demonstrated favourability toward, each EPFS design. We are interested in the preferential ranking of each EPFS within the set of behaviourally informed EPFSs.</w:t>
      </w:r>
    </w:p>
    <w:p w14:paraId="61EA6BD1" w14:textId="11ED6BAD" w:rsidR="008D3188" w:rsidRPr="00D550C4" w:rsidRDefault="008D3188" w:rsidP="00E43C41">
      <w:r w:rsidRPr="00D550C4">
        <w:t>One primary outcome measure is ‘proportion of respondents favouring each EPFS design’. This is calculated by computing the mean of the five responses to each of the 5-item Likert scale questions for Survey Question E2 across the six experimental groups. The five responses to Question E2, “How strongly do you agree or disagree with the following statements about the fact sheet?” include, “It is easy to understand”, “It is interesting”, “It provides useful information”, “If I had two of these side by side for different plans, it would be easy to see which plan was best for me”, and “It would help me make decisions that affect my household budget”.</w:t>
      </w:r>
    </w:p>
    <w:p w14:paraId="500599DC" w14:textId="77777777" w:rsidR="00F67DBC" w:rsidRDefault="00F67DBC">
      <w:pPr>
        <w:spacing w:before="0" w:after="0" w:line="240" w:lineRule="auto"/>
      </w:pPr>
      <w:r>
        <w:br w:type="page"/>
      </w:r>
    </w:p>
    <w:p w14:paraId="51D559A8" w14:textId="1F27AC31" w:rsidR="008D3188" w:rsidRPr="00D550C4" w:rsidRDefault="008D3188" w:rsidP="00E43C41">
      <w:r w:rsidRPr="00D550C4">
        <w:lastRenderedPageBreak/>
        <w:t>A second primary outcome is ‘likelihood of respondents to change energy plans on the basis of information presented by EPFSs for two or more energy plans’. This is calculated by computing the mean response across the six experimental groups on an 11-point sliding scale question (E4), “Imagine you have a fact sheet like this in front of you for your current electricity plan AND a different fact sheet for a different plan. If it looked like you would be better off switching to the different plan, how likely is it you would switch?”</w:t>
      </w:r>
    </w:p>
    <w:p w14:paraId="475988D7" w14:textId="794DF09E" w:rsidR="008D3188" w:rsidRPr="00D550C4" w:rsidRDefault="008D3188" w:rsidP="00E43C41">
      <w:r w:rsidRPr="00D550C4">
        <w:t>A third primary outcome is ‘change in respondent confidence after exposure to an EPFS design’. This is calculated by computing the sample mean difference in response between Question S9 and Question E5. For each question, we will calculate the composite mean for the three 11-point sliding scale statements responding to the question, “After reading the fact sheet, how confident do you NOW feel in the following?” Statements include, “Your ability to make choices about electricity plans, such as which plan or company to choose”, “That there is enough easily understood information available to you online or through other channels to make decisions about electricity plans”, and “That electricity companies will offer you the best plan for your needs”. The third primary outcome measure will be difference between the composite sample means of Questions S9 and E5.</w:t>
      </w:r>
    </w:p>
    <w:p w14:paraId="50E36B8F" w14:textId="77777777" w:rsidR="008D3188" w:rsidRPr="00D550C4" w:rsidRDefault="008D3188" w:rsidP="00E43C41">
      <w:pPr>
        <w:pStyle w:val="Heading4"/>
      </w:pPr>
      <w:r w:rsidRPr="00D550C4">
        <w:t>3.1.2 Secondary outcome measures</w:t>
      </w:r>
    </w:p>
    <w:p w14:paraId="4BED5716" w14:textId="7CCAB67F" w:rsidR="008D3188" w:rsidRPr="00D550C4" w:rsidRDefault="008D3188" w:rsidP="00E43C41">
      <w:r w:rsidRPr="00D550C4">
        <w:t>Our secondary outcomes relate to the extent to which subgroups reveal their preferences toward status quo and behaviourally informed EPFSs.</w:t>
      </w:r>
    </w:p>
    <w:p w14:paraId="1755A372" w14:textId="377A99F2" w:rsidR="008D3188" w:rsidRPr="00D550C4" w:rsidRDefault="008D3188" w:rsidP="00E43C41">
      <w:r w:rsidRPr="00D550C4">
        <w:t xml:space="preserve">Secondary outcome measures relating to a respondent’s agency in making household energy decisions will be collected (Question S1). In addition, outcome measures relaying a respondent’s history of switching energy plans or companies will be collected (S7 and S8). Moreover, outcome measures relaying demographic information will be collected for each of the following: household income (D1), level of education attained (D2), marital status (D3), household size (D5 and D6), </w:t>
      </w:r>
      <w:proofErr w:type="gramStart"/>
      <w:r w:rsidRPr="00D550C4">
        <w:t>number</w:t>
      </w:r>
      <w:proofErr w:type="gramEnd"/>
      <w:r w:rsidRPr="00D550C4">
        <w:t xml:space="preserve"> of children in household (D6), property ownership status of accommodation (D7), and housing tenure in most recent residence (D8). In addition, we will collect outcome measures relating to disability status (D4); receipt of government pension, allowance or benefit (D4); and the status of non-English language spoken in a household (D4). Respondents will also be asked to indicate how they feel about their current financial situation using a 3-item list (D9).</w:t>
      </w:r>
    </w:p>
    <w:p w14:paraId="0D666FE9" w14:textId="2FC2B5D0" w:rsidR="008D3188" w:rsidRPr="00D550C4" w:rsidRDefault="008D3188" w:rsidP="00E43C41">
      <w:r w:rsidRPr="00D550C4">
        <w:t>We will also collect secondary outcome measures incorporating qualitative information from the online survey. Respondents will be asked to provide a free response to the statement, “Please tell us which part of the fact sheet you think provides the most useful information” (E1).</w:t>
      </w:r>
    </w:p>
    <w:p w14:paraId="7BA44832" w14:textId="77777777" w:rsidR="00F67DBC" w:rsidRDefault="00F67DBC">
      <w:pPr>
        <w:spacing w:before="0" w:after="0" w:line="240" w:lineRule="auto"/>
      </w:pPr>
      <w:r>
        <w:br w:type="page"/>
      </w:r>
    </w:p>
    <w:p w14:paraId="05D2A5AD" w14:textId="485B8FB1" w:rsidR="008D3188" w:rsidRPr="00D550C4" w:rsidRDefault="008D3188" w:rsidP="00E43C41">
      <w:r w:rsidRPr="00D550C4">
        <w:lastRenderedPageBreak/>
        <w:t>By virtue of the differences in three EPFS types, the online survey will elicit slightly different information regarding an energy plan’s billing information, key features, and key facts (E3). For the behaviourally informed EPFS designs (experimental groups 1-4; Question E3), we will compute the averages for each of three 5-item Likert scale questions asking respondents about the usefulness of 1) estimated yearly bill, 2) key features, and 3) key facts. For the behaviourally informed EPFS design incorporating a bar graph detailing daily usage amounts (experimental group 5; Question E3A), we will compute the averages for each of three 5-item Likert scale questions asking respondents about the usefulness of 1) expected daily usage, 2) key features, and 3) key facts section. For the status quo EPFS design (experimental group 6; Question E3B), we will compute the average for a single 5-item Likert scale responses to the question, “How useful would it be if the fact sheet included an estimate of the average annual bill or average daily usage for a household on this plan?”</w:t>
      </w:r>
    </w:p>
    <w:p w14:paraId="7D2A8BA0" w14:textId="77777777" w:rsidR="008D3188" w:rsidRPr="00D550C4" w:rsidRDefault="008D3188" w:rsidP="00E43C41">
      <w:pPr>
        <w:pStyle w:val="Heading4"/>
      </w:pPr>
      <w:r w:rsidRPr="00D550C4">
        <w:t>3.1.3 Balance checks</w:t>
      </w:r>
    </w:p>
    <w:p w14:paraId="58907E80" w14:textId="01565050" w:rsidR="008D3188" w:rsidRPr="00D550C4" w:rsidRDefault="008D3188" w:rsidP="00E43C41">
      <w:r w:rsidRPr="00D550C4">
        <w:t>Covariates collected and balanced pre-randomisation include age, sex, and postcode location to generate a nationally representative sample. To ensure further balance, we will perform Pearson chi-squared tests across secondary outcome measures to judge whether observed covariate imbalances are larger than would be expected from chance alone. This involves regression of an intervention condition on independent variables collected post-randomisation, including income, education level, property ownership, etc. A p-value of 0.01 or less will prompt a review of the random assignment procedure and possible data-handling mistakes. If the review finds no errors, we will report the imbalance test and proceed on the assumption that the imbalance is due to chance, and report estimates with and without covariate adjustment.</w:t>
      </w:r>
    </w:p>
    <w:p w14:paraId="3A51DA8E" w14:textId="77777777" w:rsidR="008D3188" w:rsidRPr="00D550C4" w:rsidRDefault="008D3188" w:rsidP="00E43C41">
      <w:pPr>
        <w:pStyle w:val="Heading4"/>
      </w:pPr>
      <w:r w:rsidRPr="00D550C4">
        <w:t>3.1.4 Treatment Effect</w:t>
      </w:r>
    </w:p>
    <w:p w14:paraId="6224365C" w14:textId="19C467CD" w:rsidR="008D3188" w:rsidRPr="00D550C4" w:rsidRDefault="008D3188" w:rsidP="00E43C41">
      <w:pPr>
        <w:rPr>
          <w:lang w:val="en"/>
        </w:rPr>
      </w:pPr>
      <w:r w:rsidRPr="00D550C4">
        <w:rPr>
          <w:lang w:val="en"/>
        </w:rPr>
        <w:t xml:space="preserve">Our primary analysis will entail a regression analysis of experimental group on the response variable for each primary outcome question (E2, E4 and E5). We will fit a linear regression model to the data with a primary outcome measure as the response variable and with the experimental condition as well as three covariates (sex, age, and household income) as explanatory variables for each primary outcome question. This initial specification is an initial model form that will be adapted as required consistent with model assumptions. For example, because Questions E2 and E5 uses a Likert scale to measure responses to a set of similar statements, for each of these questions we will calculate the simple pooled sample mean and variance for each question’s respective set of statements. In the case of Question E5, we will take the additional step of calculating the sample mean differences between Questions E5 and S9 (which measure any self-reported change in a respondent’s confidence) across the three statements that both nearly identical questions test. </w:t>
      </w:r>
      <w:r w:rsidRPr="00D550C4">
        <w:rPr>
          <w:lang w:val="en"/>
        </w:rPr>
        <w:lastRenderedPageBreak/>
        <w:t>Please note that while Question E4 represents an ordinal variable, we will treat it as a continuous variable in part because of its ordinal range (11 points between 0 and 10) and given the robustness of OLS model even for ordinal variables (</w:t>
      </w:r>
      <w:proofErr w:type="spellStart"/>
      <w:r w:rsidRPr="00D550C4">
        <w:rPr>
          <w:lang w:val="en"/>
        </w:rPr>
        <w:t>Judkins</w:t>
      </w:r>
      <w:proofErr w:type="spellEnd"/>
      <w:r w:rsidRPr="00D550C4">
        <w:rPr>
          <w:lang w:val="en"/>
        </w:rPr>
        <w:t xml:space="preserve"> &amp; Porter 2015).</w:t>
      </w:r>
      <w:r w:rsidR="00E43C41">
        <w:rPr>
          <w:lang w:val="en"/>
        </w:rPr>
        <w:t xml:space="preserve"> </w:t>
      </w:r>
    </w:p>
    <w:p w14:paraId="22464C5A" w14:textId="77777777" w:rsidR="008D3188" w:rsidRPr="00D550C4" w:rsidRDefault="008D3188" w:rsidP="00E43C41">
      <w:pPr>
        <w:pStyle w:val="Heading4"/>
        <w:rPr>
          <w:lang w:val="en"/>
        </w:rPr>
      </w:pPr>
      <w:r w:rsidRPr="00D550C4">
        <w:rPr>
          <w:lang w:val="en"/>
        </w:rPr>
        <w:t>3.1.5 Hypothesis tests</w:t>
      </w:r>
    </w:p>
    <w:p w14:paraId="7DEBE5DE" w14:textId="77777777" w:rsidR="008D3188" w:rsidRPr="00D550C4" w:rsidRDefault="008D3188" w:rsidP="00E43C41">
      <w:pPr>
        <w:pStyle w:val="ListBullet"/>
        <w:rPr>
          <w:lang w:val="en"/>
        </w:rPr>
      </w:pPr>
      <w:r w:rsidRPr="00D550C4">
        <w:rPr>
          <w:lang w:val="en"/>
        </w:rPr>
        <w:t>We will compare all experimental groups to each other. Therefore, we will conduct an initial one-way Analysis of Variance (ANOVA) on the set of all six experimental groups to see if there is evidence of any statistically significant differences arising from this set on the response variable (Montgomery 2013) for each of Questions E2, E4 and E5. As mentioned above, ANOVA will test pooled sample means and variances for E2 and E5 and the individual mean and variance for E4.</w:t>
      </w:r>
    </w:p>
    <w:p w14:paraId="5DDE794C" w14:textId="77777777" w:rsidR="008D3188" w:rsidRPr="00D550C4" w:rsidRDefault="008D3188" w:rsidP="00E43C41">
      <w:pPr>
        <w:pStyle w:val="ListBullet"/>
        <w:rPr>
          <w:lang w:val="en"/>
        </w:rPr>
      </w:pPr>
      <w:r w:rsidRPr="00D550C4">
        <w:rPr>
          <w:lang w:val="en"/>
        </w:rPr>
        <w:t xml:space="preserve">If the test yields evidence of an effect for Questions E2, E4 and/or E5 then we will conduct </w:t>
      </w:r>
      <w:r w:rsidRPr="00D550C4">
        <w:rPr>
          <w:i/>
          <w:lang w:val="en"/>
        </w:rPr>
        <w:t>post hoc</w:t>
      </w:r>
      <w:r w:rsidRPr="00D550C4">
        <w:rPr>
          <w:lang w:val="en"/>
        </w:rPr>
        <w:t xml:space="preserve"> tests to compare the treatment effect of each group to determine the relative preferential ranking of each EPFS design (Montgomery 2013). In view of our research questions, these tests will include one linear regression in which experimental groups will be represented as dummy variables and at least two direct comparisons: EPFS designs testing 1) base rate versus base rate and discount rate, and 2) graphical representation of houses versus that of household items.</w:t>
      </w:r>
    </w:p>
    <w:p w14:paraId="46D0EDE1" w14:textId="0713FC1C" w:rsidR="008D3188" w:rsidRPr="00A212C5" w:rsidRDefault="008D3188" w:rsidP="00A212C5">
      <w:pPr>
        <w:pStyle w:val="ListBullet"/>
        <w:rPr>
          <w:lang w:val="en"/>
        </w:rPr>
      </w:pPr>
      <w:r w:rsidRPr="00D550C4">
        <w:rPr>
          <w:lang w:val="en"/>
        </w:rPr>
        <w:t xml:space="preserve">Pre-specified subgroup analyses (Section 3.1.7) will be conducted at a minimum for the status quo group versus the two pooled superior treatment groups and each superior treatment group against each other. </w:t>
      </w:r>
    </w:p>
    <w:p w14:paraId="5842AC13" w14:textId="77777777" w:rsidR="008D3188" w:rsidRPr="00D550C4" w:rsidRDefault="008D3188" w:rsidP="00E43C41">
      <w:pPr>
        <w:pStyle w:val="Heading4"/>
        <w:rPr>
          <w:lang w:val="en"/>
        </w:rPr>
      </w:pPr>
      <w:r w:rsidRPr="00D550C4">
        <w:rPr>
          <w:lang w:val="en"/>
        </w:rPr>
        <w:t>3.1.6 Covariates</w:t>
      </w:r>
    </w:p>
    <w:p w14:paraId="10D03EDB" w14:textId="77777777" w:rsidR="008D3188" w:rsidRPr="00D550C4" w:rsidRDefault="008D3188" w:rsidP="00A212C5">
      <w:pPr>
        <w:rPr>
          <w:lang w:val="en"/>
        </w:rPr>
      </w:pPr>
      <w:r w:rsidRPr="00D550C4">
        <w:rPr>
          <w:lang w:val="en"/>
        </w:rPr>
        <w:t xml:space="preserve">Covariates included in the above model are age, sex, and income of each respondent. Age and sex were balanced before </w:t>
      </w:r>
      <w:proofErr w:type="spellStart"/>
      <w:r w:rsidRPr="00D550C4">
        <w:rPr>
          <w:lang w:val="en"/>
        </w:rPr>
        <w:t>randomisation</w:t>
      </w:r>
      <w:proofErr w:type="spellEnd"/>
      <w:r w:rsidRPr="00D550C4">
        <w:rPr>
          <w:lang w:val="en"/>
        </w:rPr>
        <w:t xml:space="preserve"> to an experimental group, whereas income was collected after </w:t>
      </w:r>
      <w:proofErr w:type="spellStart"/>
      <w:r w:rsidRPr="00D550C4">
        <w:rPr>
          <w:lang w:val="en"/>
        </w:rPr>
        <w:t>randomisation</w:t>
      </w:r>
      <w:proofErr w:type="spellEnd"/>
      <w:r w:rsidRPr="00D550C4">
        <w:rPr>
          <w:lang w:val="en"/>
        </w:rPr>
        <w:t>. We do not expect income to be altered by experimental group.</w:t>
      </w:r>
    </w:p>
    <w:p w14:paraId="200804E4" w14:textId="77777777" w:rsidR="008D3188" w:rsidRPr="00D550C4" w:rsidRDefault="008D3188" w:rsidP="00E43C41">
      <w:pPr>
        <w:pStyle w:val="Heading4"/>
        <w:rPr>
          <w:lang w:val="en"/>
        </w:rPr>
      </w:pPr>
      <w:r w:rsidRPr="00D550C4">
        <w:rPr>
          <w:lang w:val="en"/>
        </w:rPr>
        <w:t>3.1.7 Subgroups</w:t>
      </w:r>
    </w:p>
    <w:p w14:paraId="355862A5" w14:textId="2682DCD0" w:rsidR="00A212C5" w:rsidRPr="00F67DBC" w:rsidRDefault="008D3188" w:rsidP="00F67DBC">
      <w:pPr>
        <w:rPr>
          <w:lang w:val="en"/>
        </w:rPr>
      </w:pPr>
      <w:r w:rsidRPr="00D550C4">
        <w:rPr>
          <w:lang w:val="en"/>
        </w:rPr>
        <w:t>A number of secondary subgroup analyses using linear regressions (comparing treatment effects and interaction effects) will also be performed and will be considered exploratory. Previous AER research (</w:t>
      </w:r>
      <w:proofErr w:type="spellStart"/>
      <w:r w:rsidRPr="00D550C4">
        <w:rPr>
          <w:lang w:val="en"/>
        </w:rPr>
        <w:t>Briarbird</w:t>
      </w:r>
      <w:proofErr w:type="spellEnd"/>
      <w:r w:rsidRPr="00D550C4">
        <w:rPr>
          <w:lang w:val="en"/>
        </w:rPr>
        <w:t xml:space="preserve"> 2017) has indicated that demographic groups that may be most responsive to EPFSs include large, busy working families; individuals with low incomes; and recent immigrants to Australia. Therefore subgroup analysis</w:t>
      </w:r>
      <w:r w:rsidRPr="000E59FE">
        <w:rPr>
          <w:lang w:val="en"/>
        </w:rPr>
        <w:t xml:space="preserve"> will be particularly concerned with income; household size; number of children; and if a household speaks at least one language other than English. Moreover, subgroup analysis will be conducted at a minimum on the two most preferred EPFS designs as well as the status quo EPFS design.</w:t>
      </w:r>
      <w:r w:rsidR="00A212C5">
        <w:rPr>
          <w:lang w:val="en"/>
        </w:rPr>
        <w:t xml:space="preserve"> </w:t>
      </w:r>
    </w:p>
    <w:p w14:paraId="2173D3AA" w14:textId="63D1164B" w:rsidR="008D3188" w:rsidRPr="00A212C5" w:rsidRDefault="008D3188" w:rsidP="00A212C5">
      <w:pPr>
        <w:pStyle w:val="Heading4"/>
        <w:rPr>
          <w:lang w:val="en"/>
        </w:rPr>
      </w:pPr>
      <w:r>
        <w:rPr>
          <w:lang w:val="en"/>
        </w:rPr>
        <w:lastRenderedPageBreak/>
        <w:t>3</w:t>
      </w:r>
      <w:r w:rsidRPr="009C1323">
        <w:rPr>
          <w:lang w:val="en"/>
        </w:rPr>
        <w:t>.2 Synthesis of results</w:t>
      </w:r>
    </w:p>
    <w:p w14:paraId="258D4C54" w14:textId="701A4390" w:rsidR="008D3188" w:rsidRDefault="008D3188" w:rsidP="00A212C5">
      <w:r w:rsidRPr="009C1323">
        <w:t>After data collection and processing of</w:t>
      </w:r>
      <w:r>
        <w:t xml:space="preserve"> findings for</w:t>
      </w:r>
      <w:r w:rsidRPr="009C1323">
        <w:t xml:space="preserve"> both the framed field experiment </w:t>
      </w:r>
      <w:r>
        <w:t>and</w:t>
      </w:r>
      <w:r w:rsidRPr="009C1323">
        <w:t xml:space="preserve"> the focus groups, each set of results will be synthesised</w:t>
      </w:r>
      <w:r>
        <w:t>. Focus-group results will be used to inform the interpretation and discussion of framed field results</w:t>
      </w:r>
      <w:r w:rsidRPr="009C1323">
        <w:t xml:space="preserve">. </w:t>
      </w:r>
    </w:p>
    <w:p w14:paraId="3992016A" w14:textId="47848127" w:rsidR="008D3188" w:rsidRDefault="008D3188" w:rsidP="00A212C5">
      <w:pPr>
        <w:pStyle w:val="Heading3"/>
      </w:pPr>
      <w:r>
        <w:t>4. Reporting</w:t>
      </w:r>
    </w:p>
    <w:p w14:paraId="314D136E" w14:textId="77777777" w:rsidR="008D3188" w:rsidRDefault="008D3188" w:rsidP="00E43C41">
      <w:pPr>
        <w:pStyle w:val="Heading4"/>
      </w:pPr>
      <w:r>
        <w:t xml:space="preserve">4.1 Deviation from this pre-analysis plan. </w:t>
      </w:r>
    </w:p>
    <w:p w14:paraId="74EF2738" w14:textId="77777777" w:rsidR="008D3188" w:rsidRPr="001521A7" w:rsidRDefault="008D3188" w:rsidP="00A212C5">
      <w:r w:rsidRPr="001521A7">
        <w:t>If our final report contains analyses that deviate from this plan we will make it clear that these analyses not pre-specified and provide justification for them. Conversely, if we omit pre-specified analyses we will make these available as supplementary material. In either case, deviation from the pre-analysis plan will be driven solely by statistical considerations and will not be influenced by any consideration of differences in findings on the research outcomes that would occur under different model forms or methods of analysis.  If findings on the research outcomes are sensitive to different plausible model forms or methods of analysis then we will report this fact in our analysis.</w:t>
      </w:r>
    </w:p>
    <w:p w14:paraId="10D190B8" w14:textId="4664B22B" w:rsidR="00A212C5" w:rsidRDefault="00A212C5" w:rsidP="003969FA">
      <w:pPr>
        <w:pStyle w:val="Heading4"/>
      </w:pPr>
      <w:r>
        <w:t>4.2 Outcome tables</w:t>
      </w:r>
    </w:p>
    <w:p w14:paraId="2013F28A" w14:textId="4084390E" w:rsidR="009F1715" w:rsidRDefault="009F1715" w:rsidP="003969FA">
      <w:pPr>
        <w:pStyle w:val="TableTitle"/>
        <w:spacing w:before="240"/>
      </w:pPr>
      <w:r>
        <w:t xml:space="preserve">Baseline characteristics and balance </w:t>
      </w:r>
    </w:p>
    <w:tbl>
      <w:tblPr>
        <w:tblStyle w:val="DefaultTable"/>
        <w:tblW w:w="9781" w:type="dxa"/>
        <w:tblInd w:w="-142" w:type="dxa"/>
        <w:tblLayout w:type="fixed"/>
        <w:tblLook w:val="04A0" w:firstRow="1" w:lastRow="0" w:firstColumn="1" w:lastColumn="0" w:noHBand="0" w:noVBand="1"/>
        <w:tblCaption w:val="Baseline characteristics and balance table "/>
        <w:tblDescription w:val="The cells for this table are blank. This table shows where the demographic characteristics of each experimental group would be filled. Characteristics include geneder, age, state, citizenship, history of switching companies or plans, income, education, marital status, language spoken at home, disability status, government benefit status, household size, property ownership, tenure, financial status and status as energy decision maker. "/>
      </w:tblPr>
      <w:tblGrid>
        <w:gridCol w:w="1985"/>
        <w:gridCol w:w="884"/>
        <w:gridCol w:w="817"/>
        <w:gridCol w:w="1276"/>
        <w:gridCol w:w="1417"/>
        <w:gridCol w:w="1560"/>
        <w:gridCol w:w="1842"/>
      </w:tblGrid>
      <w:tr w:rsidR="009F1715" w:rsidRPr="00E404DA" w14:paraId="32847905" w14:textId="77777777" w:rsidTr="009F1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E9FE0D6" w14:textId="77777777" w:rsidR="009F1715" w:rsidRPr="00AF79C5" w:rsidRDefault="009F1715" w:rsidP="00AF79C5">
            <w:pPr>
              <w:pStyle w:val="TableTitle"/>
              <w:spacing w:after="0"/>
              <w:rPr>
                <w:sz w:val="18"/>
                <w:szCs w:val="18"/>
              </w:rPr>
            </w:pPr>
          </w:p>
        </w:tc>
        <w:tc>
          <w:tcPr>
            <w:tcW w:w="884" w:type="dxa"/>
          </w:tcPr>
          <w:p w14:paraId="168143A4" w14:textId="77777777" w:rsidR="009F1715" w:rsidRPr="00AF79C5" w:rsidRDefault="009F1715" w:rsidP="00AF79C5">
            <w:pPr>
              <w:pStyle w:val="TableTitle"/>
              <w:spacing w:after="0"/>
              <w:cnfStyle w:val="100000000000" w:firstRow="1" w:lastRow="0" w:firstColumn="0" w:lastColumn="0" w:oddVBand="0" w:evenVBand="0" w:oddHBand="0" w:evenHBand="0" w:firstRowFirstColumn="0" w:firstRowLastColumn="0" w:lastRowFirstColumn="0" w:lastRowLastColumn="0"/>
              <w:rPr>
                <w:sz w:val="18"/>
                <w:szCs w:val="18"/>
              </w:rPr>
            </w:pPr>
            <w:r w:rsidRPr="00AF79C5">
              <w:rPr>
                <w:sz w:val="18"/>
                <w:szCs w:val="18"/>
              </w:rPr>
              <w:t xml:space="preserve">Status quo </w:t>
            </w:r>
          </w:p>
        </w:tc>
        <w:tc>
          <w:tcPr>
            <w:tcW w:w="817" w:type="dxa"/>
          </w:tcPr>
          <w:p w14:paraId="780CB282" w14:textId="77777777" w:rsidR="009F1715" w:rsidRPr="00AF79C5" w:rsidRDefault="009F1715" w:rsidP="00AF79C5">
            <w:pPr>
              <w:pStyle w:val="TableTitle"/>
              <w:spacing w:after="0"/>
              <w:cnfStyle w:val="100000000000" w:firstRow="1" w:lastRow="0" w:firstColumn="0" w:lastColumn="0" w:oddVBand="0" w:evenVBand="0" w:oddHBand="0" w:evenHBand="0" w:firstRowFirstColumn="0" w:firstRowLastColumn="0" w:lastRowFirstColumn="0" w:lastRowLastColumn="0"/>
              <w:rPr>
                <w:sz w:val="18"/>
                <w:szCs w:val="18"/>
              </w:rPr>
            </w:pPr>
            <w:r w:rsidRPr="00AF79C5">
              <w:rPr>
                <w:sz w:val="18"/>
                <w:szCs w:val="18"/>
              </w:rPr>
              <w:t xml:space="preserve">Bar graph </w:t>
            </w:r>
          </w:p>
          <w:p w14:paraId="1A290D74" w14:textId="77777777" w:rsidR="009F1715" w:rsidRPr="00AF79C5" w:rsidRDefault="009F1715" w:rsidP="00AF79C5">
            <w:pPr>
              <w:pStyle w:val="TableTitle"/>
              <w:spacing w:after="0"/>
              <w:cnfStyle w:val="100000000000" w:firstRow="1" w:lastRow="0" w:firstColumn="0" w:lastColumn="0" w:oddVBand="0" w:evenVBand="0" w:oddHBand="0" w:evenHBand="0" w:firstRowFirstColumn="0" w:firstRowLastColumn="0" w:lastRowFirstColumn="0" w:lastRowLastColumn="0"/>
              <w:rPr>
                <w:sz w:val="18"/>
                <w:szCs w:val="18"/>
              </w:rPr>
            </w:pPr>
          </w:p>
        </w:tc>
        <w:tc>
          <w:tcPr>
            <w:tcW w:w="1276" w:type="dxa"/>
          </w:tcPr>
          <w:p w14:paraId="33F5E818" w14:textId="77777777" w:rsidR="009F1715" w:rsidRPr="00AF79C5" w:rsidRDefault="009F1715" w:rsidP="00AF79C5">
            <w:pPr>
              <w:pStyle w:val="TableTitle"/>
              <w:spacing w:after="0"/>
              <w:cnfStyle w:val="100000000000" w:firstRow="1" w:lastRow="0" w:firstColumn="0" w:lastColumn="0" w:oddVBand="0" w:evenVBand="0" w:oddHBand="0" w:evenHBand="0" w:firstRowFirstColumn="0" w:firstRowLastColumn="0" w:lastRowFirstColumn="0" w:lastRowLastColumn="0"/>
              <w:rPr>
                <w:sz w:val="18"/>
                <w:szCs w:val="18"/>
              </w:rPr>
            </w:pPr>
            <w:r w:rsidRPr="00AF79C5">
              <w:rPr>
                <w:sz w:val="18"/>
                <w:szCs w:val="18"/>
              </w:rPr>
              <w:t xml:space="preserve">Base rate + houses </w:t>
            </w:r>
          </w:p>
        </w:tc>
        <w:tc>
          <w:tcPr>
            <w:tcW w:w="1417" w:type="dxa"/>
          </w:tcPr>
          <w:p w14:paraId="7BD5A919" w14:textId="77777777" w:rsidR="009F1715" w:rsidRPr="00AF79C5" w:rsidRDefault="009F1715" w:rsidP="00AF79C5">
            <w:pPr>
              <w:pStyle w:val="TableTitle"/>
              <w:spacing w:after="0"/>
              <w:cnfStyle w:val="100000000000" w:firstRow="1" w:lastRow="0" w:firstColumn="0" w:lastColumn="0" w:oddVBand="0" w:evenVBand="0" w:oddHBand="0" w:evenHBand="0" w:firstRowFirstColumn="0" w:firstRowLastColumn="0" w:lastRowFirstColumn="0" w:lastRowLastColumn="0"/>
              <w:rPr>
                <w:sz w:val="18"/>
                <w:szCs w:val="18"/>
              </w:rPr>
            </w:pPr>
            <w:r w:rsidRPr="00AF79C5">
              <w:rPr>
                <w:sz w:val="18"/>
                <w:szCs w:val="18"/>
              </w:rPr>
              <w:t xml:space="preserve">Base rate + household items </w:t>
            </w:r>
          </w:p>
        </w:tc>
        <w:tc>
          <w:tcPr>
            <w:tcW w:w="1560" w:type="dxa"/>
          </w:tcPr>
          <w:p w14:paraId="4EC50FC1" w14:textId="77777777" w:rsidR="009F1715" w:rsidRPr="00AF79C5" w:rsidRDefault="009F1715" w:rsidP="00AF79C5">
            <w:pPr>
              <w:pStyle w:val="TableTitle"/>
              <w:spacing w:after="0"/>
              <w:cnfStyle w:val="100000000000" w:firstRow="1" w:lastRow="0" w:firstColumn="0" w:lastColumn="0" w:oddVBand="0" w:evenVBand="0" w:oddHBand="0" w:evenHBand="0" w:firstRowFirstColumn="0" w:firstRowLastColumn="0" w:lastRowFirstColumn="0" w:lastRowLastColumn="0"/>
              <w:rPr>
                <w:sz w:val="18"/>
                <w:szCs w:val="18"/>
              </w:rPr>
            </w:pPr>
            <w:r w:rsidRPr="00AF79C5">
              <w:rPr>
                <w:sz w:val="18"/>
                <w:szCs w:val="18"/>
              </w:rPr>
              <w:t xml:space="preserve">Base rate / discount rate + houses </w:t>
            </w:r>
          </w:p>
        </w:tc>
        <w:tc>
          <w:tcPr>
            <w:tcW w:w="1842" w:type="dxa"/>
          </w:tcPr>
          <w:p w14:paraId="78FA39B3" w14:textId="77777777" w:rsidR="009F1715" w:rsidRPr="00AF79C5" w:rsidRDefault="009F1715" w:rsidP="00AF79C5">
            <w:pPr>
              <w:pStyle w:val="TableTitle"/>
              <w:spacing w:after="0"/>
              <w:cnfStyle w:val="100000000000" w:firstRow="1" w:lastRow="0" w:firstColumn="0" w:lastColumn="0" w:oddVBand="0" w:evenVBand="0" w:oddHBand="0" w:evenHBand="0" w:firstRowFirstColumn="0" w:firstRowLastColumn="0" w:lastRowFirstColumn="0" w:lastRowLastColumn="0"/>
              <w:rPr>
                <w:sz w:val="18"/>
                <w:szCs w:val="18"/>
              </w:rPr>
            </w:pPr>
            <w:r w:rsidRPr="00AF79C5">
              <w:rPr>
                <w:sz w:val="18"/>
                <w:szCs w:val="18"/>
              </w:rPr>
              <w:t>Base rate / discount rate + household items</w:t>
            </w:r>
          </w:p>
        </w:tc>
      </w:tr>
      <w:tr w:rsidR="009F1715" w:rsidRPr="00E404DA" w14:paraId="362F00A5"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1F238B5C" w14:textId="77777777" w:rsidR="009F1715" w:rsidRPr="003969FA" w:rsidRDefault="009F1715" w:rsidP="009F1715">
            <w:pPr>
              <w:spacing w:before="40" w:after="40" w:line="240" w:lineRule="auto"/>
              <w:rPr>
                <w:b/>
                <w:sz w:val="17"/>
                <w:szCs w:val="17"/>
              </w:rPr>
            </w:pPr>
            <w:r w:rsidRPr="003969FA">
              <w:rPr>
                <w:b/>
                <w:sz w:val="17"/>
                <w:szCs w:val="17"/>
              </w:rPr>
              <w:t>Decision-maker (joint)*</w:t>
            </w:r>
          </w:p>
        </w:tc>
        <w:tc>
          <w:tcPr>
            <w:tcW w:w="884" w:type="dxa"/>
          </w:tcPr>
          <w:p w14:paraId="31A61A65" w14:textId="77777777" w:rsidR="009F1715" w:rsidRPr="00643485"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817" w:type="dxa"/>
          </w:tcPr>
          <w:p w14:paraId="4C4F6397" w14:textId="77777777" w:rsidR="009F1715" w:rsidRPr="00643485"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Pr>
          <w:p w14:paraId="1CAC7BF6" w14:textId="77777777" w:rsidR="009F1715" w:rsidRPr="00643485"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17" w:type="dxa"/>
          </w:tcPr>
          <w:p w14:paraId="201C599F" w14:textId="77777777" w:rsidR="009F1715" w:rsidRPr="00643485"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560" w:type="dxa"/>
          </w:tcPr>
          <w:p w14:paraId="7AA6E6A6" w14:textId="77777777" w:rsidR="009F1715" w:rsidRPr="00643485"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42" w:type="dxa"/>
          </w:tcPr>
          <w:p w14:paraId="6FEB6FDA" w14:textId="77777777" w:rsidR="009F1715" w:rsidRPr="00643485"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F1715" w:rsidRPr="00E404DA" w14:paraId="19A76D6F"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44389CEC" w14:textId="77777777" w:rsidR="009F1715" w:rsidRPr="003969FA" w:rsidRDefault="009F1715" w:rsidP="009F1715">
            <w:pPr>
              <w:spacing w:before="40" w:after="40" w:line="240" w:lineRule="auto"/>
              <w:rPr>
                <w:b/>
                <w:sz w:val="17"/>
                <w:szCs w:val="17"/>
              </w:rPr>
            </w:pPr>
            <w:r w:rsidRPr="003969FA">
              <w:rPr>
                <w:b/>
                <w:sz w:val="17"/>
                <w:szCs w:val="17"/>
              </w:rPr>
              <w:t>Sex (female)*</w:t>
            </w:r>
          </w:p>
        </w:tc>
        <w:tc>
          <w:tcPr>
            <w:tcW w:w="884" w:type="dxa"/>
          </w:tcPr>
          <w:p w14:paraId="4AE8E18D" w14:textId="77777777" w:rsidR="009F1715" w:rsidRPr="00643485"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817" w:type="dxa"/>
          </w:tcPr>
          <w:p w14:paraId="6321B390" w14:textId="77777777" w:rsidR="009F1715" w:rsidRPr="00643485"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Pr>
          <w:p w14:paraId="1EF2973F" w14:textId="77777777" w:rsidR="009F1715" w:rsidRPr="00643485"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17" w:type="dxa"/>
          </w:tcPr>
          <w:p w14:paraId="5BA10FFF" w14:textId="77777777" w:rsidR="009F1715" w:rsidRPr="00643485"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560" w:type="dxa"/>
          </w:tcPr>
          <w:p w14:paraId="4CEF87BF" w14:textId="77777777" w:rsidR="009F1715" w:rsidRPr="00643485"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42" w:type="dxa"/>
          </w:tcPr>
          <w:p w14:paraId="1C3789A0" w14:textId="77777777" w:rsidR="009F1715" w:rsidRPr="00643485"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F1715" w:rsidRPr="00E404DA" w14:paraId="4C2477A1"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471DF88A" w14:textId="1B591509" w:rsidR="009F1715" w:rsidRPr="00E404DA" w:rsidRDefault="009F1715" w:rsidP="003969FA">
            <w:pPr>
              <w:spacing w:before="40" w:after="40" w:line="240" w:lineRule="auto"/>
              <w:rPr>
                <w:sz w:val="18"/>
              </w:rPr>
            </w:pPr>
            <w:r w:rsidRPr="003969FA">
              <w:rPr>
                <w:b/>
                <w:sz w:val="18"/>
              </w:rPr>
              <w:t xml:space="preserve">Age*  </w:t>
            </w:r>
            <w:r>
              <w:rPr>
                <w:sz w:val="18"/>
              </w:rPr>
              <w:t xml:space="preserve">   20/under</w:t>
            </w:r>
          </w:p>
        </w:tc>
        <w:tc>
          <w:tcPr>
            <w:tcW w:w="884" w:type="dxa"/>
          </w:tcPr>
          <w:p w14:paraId="63D4AF5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71572A9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380AC7F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10A61D2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4FBA4E5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395D522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1E8EF599"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E0E4BCF" w14:textId="77777777" w:rsidR="009F1715" w:rsidRDefault="009F1715" w:rsidP="009F1715">
            <w:pPr>
              <w:spacing w:before="40" w:after="40" w:line="240" w:lineRule="auto"/>
              <w:ind w:left="720"/>
              <w:rPr>
                <w:sz w:val="18"/>
              </w:rPr>
            </w:pPr>
            <w:r>
              <w:rPr>
                <w:sz w:val="18"/>
              </w:rPr>
              <w:t>21-24</w:t>
            </w:r>
          </w:p>
        </w:tc>
        <w:tc>
          <w:tcPr>
            <w:tcW w:w="884" w:type="dxa"/>
          </w:tcPr>
          <w:p w14:paraId="757F026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248B870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17C7E32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6A61E6D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48E1D59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1ACBFBF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4DB3CE66"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6D70BC81" w14:textId="77777777" w:rsidR="009F1715" w:rsidRDefault="009F1715" w:rsidP="009F1715">
            <w:pPr>
              <w:spacing w:before="40" w:after="40" w:line="240" w:lineRule="auto"/>
              <w:ind w:left="720"/>
              <w:rPr>
                <w:sz w:val="18"/>
              </w:rPr>
            </w:pPr>
            <w:r>
              <w:rPr>
                <w:sz w:val="18"/>
              </w:rPr>
              <w:t>25-34</w:t>
            </w:r>
          </w:p>
        </w:tc>
        <w:tc>
          <w:tcPr>
            <w:tcW w:w="884" w:type="dxa"/>
          </w:tcPr>
          <w:p w14:paraId="18FC9D7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2E31E12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4A96955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DEC091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3325931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4387D99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35D86964"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0601F6A6" w14:textId="77777777" w:rsidR="009F1715" w:rsidRDefault="009F1715" w:rsidP="009F1715">
            <w:pPr>
              <w:spacing w:before="40" w:after="40" w:line="240" w:lineRule="auto"/>
              <w:ind w:left="720"/>
              <w:rPr>
                <w:sz w:val="18"/>
              </w:rPr>
            </w:pPr>
            <w:r>
              <w:rPr>
                <w:sz w:val="18"/>
              </w:rPr>
              <w:t>35-44</w:t>
            </w:r>
          </w:p>
        </w:tc>
        <w:tc>
          <w:tcPr>
            <w:tcW w:w="884" w:type="dxa"/>
          </w:tcPr>
          <w:p w14:paraId="145FFEB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41BCA0F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7C7799F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135B679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34A1B5E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3ACBC1D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0DCD84CD"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4A4FE6B6" w14:textId="77777777" w:rsidR="009F1715" w:rsidRDefault="009F1715" w:rsidP="009F1715">
            <w:pPr>
              <w:spacing w:before="40" w:after="40" w:line="240" w:lineRule="auto"/>
              <w:ind w:left="720"/>
              <w:rPr>
                <w:sz w:val="18"/>
              </w:rPr>
            </w:pPr>
            <w:r>
              <w:rPr>
                <w:sz w:val="18"/>
              </w:rPr>
              <w:t>45-54</w:t>
            </w:r>
          </w:p>
        </w:tc>
        <w:tc>
          <w:tcPr>
            <w:tcW w:w="884" w:type="dxa"/>
          </w:tcPr>
          <w:p w14:paraId="7652B59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5E0D947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4A06341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6B08FE1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5307B65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69EB955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7D9B432A"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06C5D8E" w14:textId="77777777" w:rsidR="009F1715" w:rsidRDefault="009F1715" w:rsidP="009F1715">
            <w:pPr>
              <w:spacing w:before="40" w:after="40" w:line="240" w:lineRule="auto"/>
              <w:ind w:left="720"/>
              <w:rPr>
                <w:sz w:val="18"/>
              </w:rPr>
            </w:pPr>
            <w:r>
              <w:rPr>
                <w:sz w:val="18"/>
              </w:rPr>
              <w:t>55-64</w:t>
            </w:r>
          </w:p>
        </w:tc>
        <w:tc>
          <w:tcPr>
            <w:tcW w:w="884" w:type="dxa"/>
          </w:tcPr>
          <w:p w14:paraId="784DC31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5A420D2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32FFECE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1F315D2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43CF49D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251223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3712C034"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486CADA0" w14:textId="77777777" w:rsidR="009F1715" w:rsidRDefault="009F1715" w:rsidP="009F1715">
            <w:pPr>
              <w:spacing w:before="40" w:after="40" w:line="240" w:lineRule="auto"/>
              <w:ind w:left="720"/>
              <w:rPr>
                <w:sz w:val="18"/>
              </w:rPr>
            </w:pPr>
            <w:r>
              <w:rPr>
                <w:sz w:val="18"/>
              </w:rPr>
              <w:t>65-74</w:t>
            </w:r>
          </w:p>
        </w:tc>
        <w:tc>
          <w:tcPr>
            <w:tcW w:w="884" w:type="dxa"/>
          </w:tcPr>
          <w:p w14:paraId="0C4DBE5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1D8C336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269CAC7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6390437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307912F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2FD91BF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5FCC655E"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65644CD3" w14:textId="77777777" w:rsidR="009F1715" w:rsidRDefault="009F1715" w:rsidP="009F1715">
            <w:pPr>
              <w:spacing w:before="40" w:after="40" w:line="240" w:lineRule="auto"/>
              <w:ind w:left="720"/>
              <w:rPr>
                <w:sz w:val="18"/>
              </w:rPr>
            </w:pPr>
            <w:r>
              <w:rPr>
                <w:sz w:val="18"/>
              </w:rPr>
              <w:t>75+</w:t>
            </w:r>
          </w:p>
        </w:tc>
        <w:tc>
          <w:tcPr>
            <w:tcW w:w="884" w:type="dxa"/>
          </w:tcPr>
          <w:p w14:paraId="53E434D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74CCBF9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6DDE5A9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64569B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2FF60AE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D0DA70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59A28855"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3F59B418" w14:textId="77777777" w:rsidR="009F1715" w:rsidRPr="00A76EDA" w:rsidRDefault="009F1715" w:rsidP="009F1715">
            <w:pPr>
              <w:spacing w:before="40" w:after="40" w:line="240" w:lineRule="auto"/>
              <w:ind w:left="720"/>
              <w:rPr>
                <w:sz w:val="18"/>
                <w:szCs w:val="18"/>
              </w:rPr>
            </w:pPr>
            <w:r w:rsidRPr="00A76EDA">
              <w:rPr>
                <w:sz w:val="18"/>
                <w:szCs w:val="18"/>
              </w:rPr>
              <w:t>Prefer no say</w:t>
            </w:r>
          </w:p>
        </w:tc>
        <w:tc>
          <w:tcPr>
            <w:tcW w:w="884" w:type="dxa"/>
          </w:tcPr>
          <w:p w14:paraId="6F5EDA9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24F536A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6E3DEC3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589D0F5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1C62708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783781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77D043EE"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4B550264" w14:textId="49197827" w:rsidR="009F1715" w:rsidRPr="00E404DA" w:rsidRDefault="009F1715" w:rsidP="003969FA">
            <w:pPr>
              <w:spacing w:before="40" w:after="40" w:line="240" w:lineRule="auto"/>
              <w:rPr>
                <w:sz w:val="18"/>
              </w:rPr>
            </w:pPr>
            <w:r w:rsidRPr="003969FA">
              <w:rPr>
                <w:b/>
                <w:sz w:val="18"/>
              </w:rPr>
              <w:t>State*</w:t>
            </w:r>
            <w:r>
              <w:rPr>
                <w:sz w:val="18"/>
              </w:rPr>
              <w:t xml:space="preserve">    Sydney</w:t>
            </w:r>
          </w:p>
        </w:tc>
        <w:tc>
          <w:tcPr>
            <w:tcW w:w="884" w:type="dxa"/>
          </w:tcPr>
          <w:p w14:paraId="1749842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7A60A7F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69194F2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AFD841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3AC093A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8EC99A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15AD205C"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0BCB099C" w14:textId="77777777" w:rsidR="009F1715" w:rsidRDefault="009F1715" w:rsidP="009F1715">
            <w:pPr>
              <w:spacing w:before="40" w:after="40" w:line="240" w:lineRule="auto"/>
              <w:ind w:left="720"/>
              <w:rPr>
                <w:sz w:val="18"/>
              </w:rPr>
            </w:pPr>
            <w:r>
              <w:rPr>
                <w:sz w:val="18"/>
              </w:rPr>
              <w:t>Other NSW</w:t>
            </w:r>
          </w:p>
        </w:tc>
        <w:tc>
          <w:tcPr>
            <w:tcW w:w="884" w:type="dxa"/>
          </w:tcPr>
          <w:p w14:paraId="073C5AC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317415A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4D6EB34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2AE18DC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2A09E2D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5850252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631FCA93"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DBF13D5" w14:textId="77777777" w:rsidR="009F1715" w:rsidRDefault="009F1715" w:rsidP="009F1715">
            <w:pPr>
              <w:spacing w:before="40" w:after="40" w:line="240" w:lineRule="auto"/>
              <w:ind w:left="720"/>
              <w:rPr>
                <w:sz w:val="18"/>
              </w:rPr>
            </w:pPr>
            <w:r>
              <w:rPr>
                <w:sz w:val="18"/>
              </w:rPr>
              <w:t>Melbourne</w:t>
            </w:r>
          </w:p>
        </w:tc>
        <w:tc>
          <w:tcPr>
            <w:tcW w:w="884" w:type="dxa"/>
          </w:tcPr>
          <w:p w14:paraId="1668A4E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4789FEB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13FC939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5BB5A4D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6280FE4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9A6E80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2723D539"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55AB6389" w14:textId="77777777" w:rsidR="009F1715" w:rsidRDefault="009F1715" w:rsidP="009F1715">
            <w:pPr>
              <w:spacing w:before="40" w:after="40" w:line="240" w:lineRule="auto"/>
              <w:ind w:left="720"/>
              <w:rPr>
                <w:sz w:val="18"/>
              </w:rPr>
            </w:pPr>
            <w:r>
              <w:rPr>
                <w:sz w:val="18"/>
              </w:rPr>
              <w:lastRenderedPageBreak/>
              <w:t>Other VIC</w:t>
            </w:r>
          </w:p>
        </w:tc>
        <w:tc>
          <w:tcPr>
            <w:tcW w:w="884" w:type="dxa"/>
          </w:tcPr>
          <w:p w14:paraId="2B165B7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13BF656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30A3033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78BEBE5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4899621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3F547BF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7DB23AD8"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4B7AB2C" w14:textId="77777777" w:rsidR="009F1715" w:rsidRDefault="009F1715" w:rsidP="009F1715">
            <w:pPr>
              <w:spacing w:before="40" w:after="40" w:line="240" w:lineRule="auto"/>
              <w:ind w:left="720"/>
              <w:rPr>
                <w:sz w:val="18"/>
              </w:rPr>
            </w:pPr>
            <w:r>
              <w:rPr>
                <w:sz w:val="18"/>
              </w:rPr>
              <w:t>Brisbane</w:t>
            </w:r>
          </w:p>
        </w:tc>
        <w:tc>
          <w:tcPr>
            <w:tcW w:w="884" w:type="dxa"/>
          </w:tcPr>
          <w:p w14:paraId="352E8B0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55996A4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798F2FF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52FC81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151CA8A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77DBC6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04932023"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398878D7" w14:textId="77777777" w:rsidR="009F1715" w:rsidRDefault="009F1715" w:rsidP="009F1715">
            <w:pPr>
              <w:spacing w:before="40" w:after="40" w:line="240" w:lineRule="auto"/>
              <w:ind w:left="720"/>
              <w:rPr>
                <w:sz w:val="18"/>
              </w:rPr>
            </w:pPr>
            <w:r>
              <w:rPr>
                <w:sz w:val="18"/>
              </w:rPr>
              <w:t>Other QLD</w:t>
            </w:r>
          </w:p>
        </w:tc>
        <w:tc>
          <w:tcPr>
            <w:tcW w:w="884" w:type="dxa"/>
          </w:tcPr>
          <w:p w14:paraId="43909A0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1D73160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631FF50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5C09325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67DD110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26E399E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1D61B4E4"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1B449890" w14:textId="77777777" w:rsidR="009F1715" w:rsidRDefault="009F1715" w:rsidP="009F1715">
            <w:pPr>
              <w:spacing w:before="40" w:after="40" w:line="240" w:lineRule="auto"/>
              <w:ind w:left="720"/>
              <w:rPr>
                <w:sz w:val="18"/>
              </w:rPr>
            </w:pPr>
            <w:r>
              <w:rPr>
                <w:sz w:val="18"/>
              </w:rPr>
              <w:t>Perth</w:t>
            </w:r>
          </w:p>
        </w:tc>
        <w:tc>
          <w:tcPr>
            <w:tcW w:w="884" w:type="dxa"/>
          </w:tcPr>
          <w:p w14:paraId="319D887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0389AB0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5373FFC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2428E21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4F757F6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69A5EC2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31B18F1D"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48655A0E" w14:textId="77777777" w:rsidR="009F1715" w:rsidRDefault="009F1715" w:rsidP="009F1715">
            <w:pPr>
              <w:spacing w:before="40" w:after="40" w:line="240" w:lineRule="auto"/>
              <w:ind w:left="720"/>
              <w:rPr>
                <w:sz w:val="18"/>
              </w:rPr>
            </w:pPr>
            <w:r>
              <w:rPr>
                <w:sz w:val="18"/>
              </w:rPr>
              <w:t>Other WA</w:t>
            </w:r>
          </w:p>
        </w:tc>
        <w:tc>
          <w:tcPr>
            <w:tcW w:w="884" w:type="dxa"/>
          </w:tcPr>
          <w:p w14:paraId="733CB30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7AAC517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3FBDC78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6E9D422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22002C3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7BACDD4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6BFD91F6"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03CC0682" w14:textId="77777777" w:rsidR="009F1715" w:rsidRDefault="009F1715" w:rsidP="009F1715">
            <w:pPr>
              <w:spacing w:before="40" w:after="40" w:line="240" w:lineRule="auto"/>
              <w:ind w:left="720"/>
              <w:rPr>
                <w:sz w:val="18"/>
              </w:rPr>
            </w:pPr>
            <w:r>
              <w:rPr>
                <w:sz w:val="18"/>
              </w:rPr>
              <w:t>Adelaide</w:t>
            </w:r>
          </w:p>
        </w:tc>
        <w:tc>
          <w:tcPr>
            <w:tcW w:w="884" w:type="dxa"/>
          </w:tcPr>
          <w:p w14:paraId="45225AD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52035A4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65ABE2E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E2DD60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0F79616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3E9B6EF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027F52BD"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79D57117" w14:textId="77777777" w:rsidR="009F1715" w:rsidRDefault="009F1715" w:rsidP="009F1715">
            <w:pPr>
              <w:spacing w:before="40" w:after="40" w:line="240" w:lineRule="auto"/>
              <w:ind w:left="720"/>
              <w:rPr>
                <w:sz w:val="18"/>
              </w:rPr>
            </w:pPr>
            <w:r>
              <w:rPr>
                <w:sz w:val="18"/>
              </w:rPr>
              <w:t>Other SA</w:t>
            </w:r>
          </w:p>
        </w:tc>
        <w:tc>
          <w:tcPr>
            <w:tcW w:w="884" w:type="dxa"/>
          </w:tcPr>
          <w:p w14:paraId="0C6080C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6D3860A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26DFC54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719FDEA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1D2E814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1C22EA3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74DE40CF"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6995D694" w14:textId="77777777" w:rsidR="009F1715" w:rsidRDefault="009F1715" w:rsidP="009F1715">
            <w:pPr>
              <w:spacing w:before="40" w:after="40" w:line="240" w:lineRule="auto"/>
              <w:ind w:left="720"/>
              <w:rPr>
                <w:sz w:val="18"/>
              </w:rPr>
            </w:pPr>
            <w:r>
              <w:rPr>
                <w:sz w:val="18"/>
              </w:rPr>
              <w:t>Hobart</w:t>
            </w:r>
          </w:p>
        </w:tc>
        <w:tc>
          <w:tcPr>
            <w:tcW w:w="884" w:type="dxa"/>
          </w:tcPr>
          <w:p w14:paraId="3455D54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5BE378F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40A40E0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70BAA67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4390019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69A9F4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0DD0E93E"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0D693E5D" w14:textId="77777777" w:rsidR="009F1715" w:rsidRDefault="009F1715" w:rsidP="009F1715">
            <w:pPr>
              <w:spacing w:before="40" w:after="40" w:line="240" w:lineRule="auto"/>
              <w:ind w:left="720"/>
              <w:rPr>
                <w:sz w:val="18"/>
              </w:rPr>
            </w:pPr>
            <w:r>
              <w:rPr>
                <w:sz w:val="18"/>
              </w:rPr>
              <w:t>Other TAS</w:t>
            </w:r>
          </w:p>
        </w:tc>
        <w:tc>
          <w:tcPr>
            <w:tcW w:w="884" w:type="dxa"/>
          </w:tcPr>
          <w:p w14:paraId="198A1E5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62BA13E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179A057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ACFA44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5ADF1F8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3CC933B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431FA467"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2909E22" w14:textId="77777777" w:rsidR="009F1715" w:rsidRDefault="009F1715" w:rsidP="009F1715">
            <w:pPr>
              <w:spacing w:before="40" w:after="40" w:line="240" w:lineRule="auto"/>
              <w:ind w:left="720"/>
              <w:rPr>
                <w:sz w:val="18"/>
              </w:rPr>
            </w:pPr>
            <w:r>
              <w:rPr>
                <w:sz w:val="18"/>
              </w:rPr>
              <w:t>Darwin</w:t>
            </w:r>
          </w:p>
        </w:tc>
        <w:tc>
          <w:tcPr>
            <w:tcW w:w="884" w:type="dxa"/>
          </w:tcPr>
          <w:p w14:paraId="210F311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5EDAA4F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04F80D6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3B27B2B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7CFFDF1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7F1E293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62A1B1BD"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FF2EEA4" w14:textId="77777777" w:rsidR="009F1715" w:rsidRDefault="009F1715" w:rsidP="009F1715">
            <w:pPr>
              <w:spacing w:before="40" w:after="40" w:line="240" w:lineRule="auto"/>
              <w:ind w:left="720"/>
              <w:rPr>
                <w:sz w:val="18"/>
              </w:rPr>
            </w:pPr>
            <w:r>
              <w:rPr>
                <w:sz w:val="18"/>
              </w:rPr>
              <w:t>Other NT</w:t>
            </w:r>
          </w:p>
        </w:tc>
        <w:tc>
          <w:tcPr>
            <w:tcW w:w="884" w:type="dxa"/>
          </w:tcPr>
          <w:p w14:paraId="15B9E0A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16EBF65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7555CCE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77A3AD2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5D37E57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446B477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126B94EC"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702C961F" w14:textId="77777777" w:rsidR="009F1715" w:rsidRDefault="009F1715" w:rsidP="009F1715">
            <w:pPr>
              <w:spacing w:before="40" w:after="40" w:line="240" w:lineRule="auto"/>
              <w:ind w:left="720"/>
              <w:rPr>
                <w:sz w:val="18"/>
              </w:rPr>
            </w:pPr>
            <w:r>
              <w:rPr>
                <w:sz w:val="18"/>
              </w:rPr>
              <w:t>ACT</w:t>
            </w:r>
          </w:p>
        </w:tc>
        <w:tc>
          <w:tcPr>
            <w:tcW w:w="884" w:type="dxa"/>
          </w:tcPr>
          <w:p w14:paraId="798803C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7205749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565748A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6D8A3F1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6BA3908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7CEC5AF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4AAC1291"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443CE2B3" w14:textId="767BC929" w:rsidR="009F1715" w:rsidRPr="00E404DA" w:rsidRDefault="009F1715" w:rsidP="003969FA">
            <w:pPr>
              <w:spacing w:before="40" w:after="40" w:line="240" w:lineRule="auto"/>
              <w:rPr>
                <w:sz w:val="18"/>
              </w:rPr>
            </w:pPr>
            <w:r w:rsidRPr="003969FA">
              <w:rPr>
                <w:b/>
                <w:sz w:val="18"/>
              </w:rPr>
              <w:t>Citizen*</w:t>
            </w:r>
            <w:r>
              <w:rPr>
                <w:sz w:val="18"/>
              </w:rPr>
              <w:t xml:space="preserve"> Australian</w:t>
            </w:r>
          </w:p>
        </w:tc>
        <w:tc>
          <w:tcPr>
            <w:tcW w:w="884" w:type="dxa"/>
          </w:tcPr>
          <w:p w14:paraId="6ED1B30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7DCD469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4719FA3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4AA1682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2D2554E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C37906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06B921B2"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46511945" w14:textId="77777777" w:rsidR="009F1715" w:rsidRDefault="009F1715" w:rsidP="009F1715">
            <w:pPr>
              <w:spacing w:before="40" w:after="40" w:line="240" w:lineRule="auto"/>
              <w:ind w:left="720"/>
              <w:rPr>
                <w:sz w:val="18"/>
              </w:rPr>
            </w:pPr>
            <w:r>
              <w:rPr>
                <w:sz w:val="18"/>
              </w:rPr>
              <w:t>Permanent resident</w:t>
            </w:r>
          </w:p>
        </w:tc>
        <w:tc>
          <w:tcPr>
            <w:tcW w:w="884" w:type="dxa"/>
          </w:tcPr>
          <w:p w14:paraId="304348A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2048022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058805F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4E5A70A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7E9FD9C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5571B85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124E452F"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074E5F77" w14:textId="77777777" w:rsidR="009F1715" w:rsidRDefault="009F1715" w:rsidP="009F1715">
            <w:pPr>
              <w:spacing w:before="40" w:after="40" w:line="240" w:lineRule="auto"/>
              <w:ind w:left="720"/>
              <w:rPr>
                <w:sz w:val="18"/>
              </w:rPr>
            </w:pPr>
            <w:r>
              <w:rPr>
                <w:sz w:val="18"/>
              </w:rPr>
              <w:t>NZ living as permanent resident</w:t>
            </w:r>
          </w:p>
        </w:tc>
        <w:tc>
          <w:tcPr>
            <w:tcW w:w="884" w:type="dxa"/>
          </w:tcPr>
          <w:p w14:paraId="64B11BB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798214B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0E62E39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2C1E99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642B994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77A50F7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7A1F8A68"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5FC0DB89" w14:textId="5A6942F8" w:rsidR="009F1715" w:rsidRPr="00E404DA" w:rsidRDefault="009F1715" w:rsidP="003969FA">
            <w:pPr>
              <w:tabs>
                <w:tab w:val="left" w:pos="743"/>
              </w:tabs>
              <w:spacing w:before="40" w:after="40" w:line="240" w:lineRule="auto"/>
              <w:rPr>
                <w:sz w:val="18"/>
              </w:rPr>
            </w:pPr>
            <w:r w:rsidRPr="003969FA">
              <w:rPr>
                <w:b/>
                <w:sz w:val="18"/>
              </w:rPr>
              <w:t xml:space="preserve">History   </w:t>
            </w:r>
            <w:r>
              <w:rPr>
                <w:sz w:val="18"/>
              </w:rPr>
              <w:t xml:space="preserve">Switch </w:t>
            </w:r>
            <w:r>
              <w:rPr>
                <w:sz w:val="18"/>
              </w:rPr>
              <w:tab/>
              <w:t>comp.</w:t>
            </w:r>
          </w:p>
        </w:tc>
        <w:tc>
          <w:tcPr>
            <w:tcW w:w="884" w:type="dxa"/>
          </w:tcPr>
          <w:p w14:paraId="04B3113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64A7CA1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140091C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74E616D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3A07779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4B82F5E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5C8DC73B"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70DB789" w14:textId="77777777" w:rsidR="009F1715" w:rsidRDefault="009F1715" w:rsidP="009F1715">
            <w:pPr>
              <w:spacing w:before="40" w:after="40" w:line="240" w:lineRule="auto"/>
              <w:ind w:left="720"/>
              <w:rPr>
                <w:sz w:val="18"/>
              </w:rPr>
            </w:pPr>
            <w:r>
              <w:rPr>
                <w:sz w:val="18"/>
              </w:rPr>
              <w:t>Switch plans</w:t>
            </w:r>
          </w:p>
        </w:tc>
        <w:tc>
          <w:tcPr>
            <w:tcW w:w="884" w:type="dxa"/>
          </w:tcPr>
          <w:p w14:paraId="5446D11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3BCF724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205F3C3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0952B6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75AF9F3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6D7C81D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29B54E44"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46211034" w14:textId="77777777" w:rsidR="009F1715" w:rsidRDefault="009F1715" w:rsidP="009F1715">
            <w:pPr>
              <w:spacing w:before="40" w:after="40" w:line="240" w:lineRule="auto"/>
              <w:ind w:left="720"/>
              <w:rPr>
                <w:sz w:val="18"/>
              </w:rPr>
            </w:pPr>
            <w:r>
              <w:rPr>
                <w:sz w:val="18"/>
              </w:rPr>
              <w:t>Did not switch comp.</w:t>
            </w:r>
          </w:p>
        </w:tc>
        <w:tc>
          <w:tcPr>
            <w:tcW w:w="884" w:type="dxa"/>
          </w:tcPr>
          <w:p w14:paraId="7D7778B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6B5E54C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1CE62EF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45A515F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6947B8A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7F84EE4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777A917F"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B885CF2" w14:textId="77777777" w:rsidR="009F1715" w:rsidRDefault="009F1715" w:rsidP="009F1715">
            <w:pPr>
              <w:spacing w:before="40" w:after="40" w:line="240" w:lineRule="auto"/>
              <w:ind w:left="720"/>
              <w:rPr>
                <w:sz w:val="18"/>
              </w:rPr>
            </w:pPr>
            <w:r>
              <w:rPr>
                <w:sz w:val="18"/>
              </w:rPr>
              <w:t>Did not switch plans</w:t>
            </w:r>
          </w:p>
        </w:tc>
        <w:tc>
          <w:tcPr>
            <w:tcW w:w="884" w:type="dxa"/>
          </w:tcPr>
          <w:p w14:paraId="29628C6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44B01E4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3385AC9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2A3AAB7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27D0DE2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12E85E6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6CDCB00A"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342CAD8C" w14:textId="72EA4D8C" w:rsidR="009F1715" w:rsidRPr="00E404DA" w:rsidRDefault="009F1715" w:rsidP="003969FA">
            <w:pPr>
              <w:spacing w:before="40" w:after="40" w:line="240" w:lineRule="auto"/>
              <w:rPr>
                <w:sz w:val="18"/>
              </w:rPr>
            </w:pPr>
            <w:r w:rsidRPr="003969FA">
              <w:rPr>
                <w:b/>
                <w:sz w:val="18"/>
              </w:rPr>
              <w:t xml:space="preserve">Income </w:t>
            </w:r>
            <w:r w:rsidRPr="003969FA">
              <w:rPr>
                <w:b/>
                <w:sz w:val="14"/>
                <w:szCs w:val="14"/>
              </w:rPr>
              <w:t xml:space="preserve"> </w:t>
            </w:r>
            <w:r>
              <w:rPr>
                <w:sz w:val="18"/>
              </w:rPr>
              <w:t>&gt;$20K</w:t>
            </w:r>
          </w:p>
        </w:tc>
        <w:tc>
          <w:tcPr>
            <w:tcW w:w="884" w:type="dxa"/>
          </w:tcPr>
          <w:p w14:paraId="310AA9C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0121046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6AB3931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61F2D8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75236F1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6B6A6CC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73A21BB1"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695A590E" w14:textId="77777777" w:rsidR="009F1715" w:rsidRDefault="009F1715" w:rsidP="009F1715">
            <w:pPr>
              <w:spacing w:before="40" w:after="40" w:line="240" w:lineRule="auto"/>
              <w:ind w:left="720"/>
              <w:rPr>
                <w:sz w:val="18"/>
              </w:rPr>
            </w:pPr>
            <w:r>
              <w:rPr>
                <w:sz w:val="18"/>
              </w:rPr>
              <w:t>$20K - $40K</w:t>
            </w:r>
          </w:p>
        </w:tc>
        <w:tc>
          <w:tcPr>
            <w:tcW w:w="884" w:type="dxa"/>
          </w:tcPr>
          <w:p w14:paraId="4A175DC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7D767B0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4559C70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2035468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36DEE9C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20BC51F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700CD015"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D0D4BC4" w14:textId="77777777" w:rsidR="009F1715" w:rsidRDefault="009F1715" w:rsidP="009F1715">
            <w:pPr>
              <w:spacing w:before="40" w:after="40" w:line="240" w:lineRule="auto"/>
              <w:ind w:left="720"/>
              <w:rPr>
                <w:sz w:val="18"/>
              </w:rPr>
            </w:pPr>
            <w:r>
              <w:rPr>
                <w:sz w:val="18"/>
              </w:rPr>
              <w:t>$40K - $60K</w:t>
            </w:r>
          </w:p>
        </w:tc>
        <w:tc>
          <w:tcPr>
            <w:tcW w:w="884" w:type="dxa"/>
          </w:tcPr>
          <w:p w14:paraId="7220586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5DED063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69155EA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73DCF63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7EDFB6F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677AE0B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398E7D4E"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3697A785" w14:textId="77777777" w:rsidR="009F1715" w:rsidRDefault="009F1715" w:rsidP="009F1715">
            <w:pPr>
              <w:spacing w:before="40" w:after="40" w:line="240" w:lineRule="auto"/>
              <w:ind w:left="720"/>
              <w:rPr>
                <w:sz w:val="18"/>
              </w:rPr>
            </w:pPr>
            <w:r>
              <w:rPr>
                <w:sz w:val="18"/>
              </w:rPr>
              <w:t>$60K - $80K</w:t>
            </w:r>
          </w:p>
        </w:tc>
        <w:tc>
          <w:tcPr>
            <w:tcW w:w="884" w:type="dxa"/>
          </w:tcPr>
          <w:p w14:paraId="730276C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409290F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51D15A2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677D84D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555E9FD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2A271CF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2B8493B6"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A69E9D0" w14:textId="77777777" w:rsidR="009F1715" w:rsidRDefault="009F1715" w:rsidP="009F1715">
            <w:pPr>
              <w:spacing w:before="40" w:after="40" w:line="240" w:lineRule="auto"/>
              <w:ind w:left="720"/>
              <w:rPr>
                <w:sz w:val="18"/>
              </w:rPr>
            </w:pPr>
            <w:r>
              <w:rPr>
                <w:sz w:val="18"/>
              </w:rPr>
              <w:t>$80K-$100K</w:t>
            </w:r>
          </w:p>
        </w:tc>
        <w:tc>
          <w:tcPr>
            <w:tcW w:w="884" w:type="dxa"/>
          </w:tcPr>
          <w:p w14:paraId="3C3B873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52BDFFD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5E0DFA2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5941C84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4BAE765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7EFF845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5A0A668C"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18237713" w14:textId="77777777" w:rsidR="009F1715" w:rsidRDefault="009F1715" w:rsidP="009F1715">
            <w:pPr>
              <w:spacing w:before="40" w:after="40" w:line="240" w:lineRule="auto"/>
              <w:ind w:left="720"/>
              <w:rPr>
                <w:sz w:val="18"/>
              </w:rPr>
            </w:pPr>
            <w:r>
              <w:rPr>
                <w:sz w:val="18"/>
              </w:rPr>
              <w:t>$100K-$120K</w:t>
            </w:r>
          </w:p>
        </w:tc>
        <w:tc>
          <w:tcPr>
            <w:tcW w:w="884" w:type="dxa"/>
          </w:tcPr>
          <w:p w14:paraId="239BD21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2BD7B36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0D0ADB6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748FB57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483269A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510C259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2E72E800"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5C0CE326" w14:textId="77777777" w:rsidR="009F1715" w:rsidRDefault="009F1715" w:rsidP="009F1715">
            <w:pPr>
              <w:spacing w:before="40" w:after="40" w:line="240" w:lineRule="auto"/>
              <w:ind w:left="720"/>
              <w:rPr>
                <w:sz w:val="18"/>
              </w:rPr>
            </w:pPr>
            <w:r>
              <w:rPr>
                <w:sz w:val="18"/>
              </w:rPr>
              <w:t>$120K-$150K</w:t>
            </w:r>
          </w:p>
        </w:tc>
        <w:tc>
          <w:tcPr>
            <w:tcW w:w="884" w:type="dxa"/>
          </w:tcPr>
          <w:p w14:paraId="7572FDE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57842DC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04DC626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15B753E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351B440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720E6CD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71F936E0"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093B04C5" w14:textId="77777777" w:rsidR="009F1715" w:rsidRDefault="009F1715" w:rsidP="009F1715">
            <w:pPr>
              <w:spacing w:before="40" w:after="40" w:line="240" w:lineRule="auto"/>
              <w:ind w:left="720"/>
              <w:rPr>
                <w:sz w:val="18"/>
              </w:rPr>
            </w:pPr>
            <w:r>
              <w:rPr>
                <w:sz w:val="18"/>
              </w:rPr>
              <w:t>$150K +</w:t>
            </w:r>
          </w:p>
        </w:tc>
        <w:tc>
          <w:tcPr>
            <w:tcW w:w="884" w:type="dxa"/>
          </w:tcPr>
          <w:p w14:paraId="3832B8F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0CEE5C1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2F504E2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36D2050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3218C55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7B57CA4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50AFE782"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00BB2B16" w14:textId="77777777" w:rsidR="009F1715" w:rsidRDefault="009F1715" w:rsidP="009F1715">
            <w:pPr>
              <w:spacing w:before="40" w:after="40" w:line="240" w:lineRule="auto"/>
              <w:ind w:left="720"/>
              <w:rPr>
                <w:sz w:val="18"/>
              </w:rPr>
            </w:pPr>
            <w:r>
              <w:rPr>
                <w:sz w:val="18"/>
              </w:rPr>
              <w:t>Don’t know</w:t>
            </w:r>
          </w:p>
        </w:tc>
        <w:tc>
          <w:tcPr>
            <w:tcW w:w="884" w:type="dxa"/>
          </w:tcPr>
          <w:p w14:paraId="27709A4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25DB3A8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666072B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1D1DC4B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1A11582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2670CE8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5FB26822"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07515799" w14:textId="77777777" w:rsidR="009F1715" w:rsidRDefault="009F1715" w:rsidP="009F1715">
            <w:pPr>
              <w:spacing w:before="40" w:after="40" w:line="240" w:lineRule="auto"/>
              <w:ind w:left="720"/>
              <w:rPr>
                <w:sz w:val="18"/>
              </w:rPr>
            </w:pPr>
            <w:r>
              <w:rPr>
                <w:sz w:val="18"/>
              </w:rPr>
              <w:t>Prefer no say</w:t>
            </w:r>
          </w:p>
        </w:tc>
        <w:tc>
          <w:tcPr>
            <w:tcW w:w="884" w:type="dxa"/>
          </w:tcPr>
          <w:p w14:paraId="569A353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74F948E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1A6E239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E589D9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78A2911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FA59E3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0B4166BF"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5A51D23E" w14:textId="77777777" w:rsidR="009F1715" w:rsidRPr="00E404DA" w:rsidRDefault="009F1715" w:rsidP="009F1715">
            <w:pPr>
              <w:spacing w:before="40" w:after="40" w:line="240" w:lineRule="auto"/>
              <w:rPr>
                <w:sz w:val="18"/>
              </w:rPr>
            </w:pPr>
            <w:r w:rsidRPr="003969FA">
              <w:rPr>
                <w:b/>
                <w:sz w:val="17"/>
                <w:szCs w:val="17"/>
              </w:rPr>
              <w:lastRenderedPageBreak/>
              <w:t>Education</w:t>
            </w:r>
            <w:r>
              <w:rPr>
                <w:sz w:val="18"/>
              </w:rPr>
              <w:t xml:space="preserve"> </w:t>
            </w:r>
            <w:r w:rsidRPr="00A76EDA">
              <w:rPr>
                <w:sz w:val="18"/>
                <w:szCs w:val="18"/>
              </w:rPr>
              <w:t>&lt; Year 12</w:t>
            </w:r>
          </w:p>
        </w:tc>
        <w:tc>
          <w:tcPr>
            <w:tcW w:w="884" w:type="dxa"/>
          </w:tcPr>
          <w:p w14:paraId="0FFB71F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3C4FB14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584FB7A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545152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4649355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18FF89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4F67E763"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670F5A58" w14:textId="77777777" w:rsidR="009F1715" w:rsidRDefault="009F1715" w:rsidP="009F1715">
            <w:pPr>
              <w:spacing w:before="40" w:after="40" w:line="240" w:lineRule="auto"/>
              <w:ind w:left="720"/>
              <w:rPr>
                <w:sz w:val="18"/>
              </w:rPr>
            </w:pPr>
            <w:r>
              <w:rPr>
                <w:sz w:val="18"/>
              </w:rPr>
              <w:t>Year 12</w:t>
            </w:r>
          </w:p>
        </w:tc>
        <w:tc>
          <w:tcPr>
            <w:tcW w:w="884" w:type="dxa"/>
          </w:tcPr>
          <w:p w14:paraId="5309C6B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3919031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0F98746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66B7691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25477BF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426C4A3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0536EDF8"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60249EC6" w14:textId="77777777" w:rsidR="009F1715" w:rsidRDefault="009F1715" w:rsidP="009F1715">
            <w:pPr>
              <w:spacing w:before="40" w:after="40" w:line="240" w:lineRule="auto"/>
              <w:ind w:left="720"/>
              <w:rPr>
                <w:sz w:val="18"/>
              </w:rPr>
            </w:pPr>
            <w:r>
              <w:rPr>
                <w:sz w:val="18"/>
              </w:rPr>
              <w:t>Trade/TAFE</w:t>
            </w:r>
          </w:p>
        </w:tc>
        <w:tc>
          <w:tcPr>
            <w:tcW w:w="884" w:type="dxa"/>
          </w:tcPr>
          <w:p w14:paraId="77EBFBA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33221AD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3E6BCC8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4891E92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20AB3B8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6417EEF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70972151"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7540914" w14:textId="77777777" w:rsidR="009F1715" w:rsidRDefault="009F1715" w:rsidP="009F1715">
            <w:pPr>
              <w:spacing w:before="40" w:after="40" w:line="240" w:lineRule="auto"/>
              <w:ind w:left="720"/>
              <w:rPr>
                <w:sz w:val="18"/>
              </w:rPr>
            </w:pPr>
            <w:r>
              <w:rPr>
                <w:sz w:val="18"/>
              </w:rPr>
              <w:t>Diploma</w:t>
            </w:r>
          </w:p>
        </w:tc>
        <w:tc>
          <w:tcPr>
            <w:tcW w:w="884" w:type="dxa"/>
          </w:tcPr>
          <w:p w14:paraId="5DED10C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6AA91A8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746A7E8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3485260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7311003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6E41E26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4826A2D4"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70E61E87" w14:textId="77777777" w:rsidR="009F1715" w:rsidRDefault="009F1715" w:rsidP="009F1715">
            <w:pPr>
              <w:spacing w:before="40" w:after="40" w:line="240" w:lineRule="auto"/>
              <w:ind w:left="720"/>
              <w:rPr>
                <w:sz w:val="18"/>
              </w:rPr>
            </w:pPr>
            <w:r>
              <w:rPr>
                <w:sz w:val="18"/>
              </w:rPr>
              <w:t>Univ. Degree</w:t>
            </w:r>
          </w:p>
        </w:tc>
        <w:tc>
          <w:tcPr>
            <w:tcW w:w="884" w:type="dxa"/>
          </w:tcPr>
          <w:p w14:paraId="472E15D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4E09534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56CD2AD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17F0E4E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0F8A3C4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45361DE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6736F506"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0D416C6C" w14:textId="4091B82F" w:rsidR="009F1715" w:rsidRPr="00E404DA" w:rsidRDefault="009F1715" w:rsidP="003969FA">
            <w:pPr>
              <w:spacing w:before="40" w:after="40" w:line="240" w:lineRule="auto"/>
              <w:rPr>
                <w:sz w:val="18"/>
              </w:rPr>
            </w:pPr>
            <w:r w:rsidRPr="003969FA">
              <w:rPr>
                <w:b/>
                <w:sz w:val="18"/>
              </w:rPr>
              <w:t>Marital</w:t>
            </w:r>
            <w:r>
              <w:rPr>
                <w:sz w:val="18"/>
              </w:rPr>
              <w:t xml:space="preserve">  </w:t>
            </w:r>
            <w:r w:rsidRPr="000F00F5">
              <w:rPr>
                <w:sz w:val="14"/>
                <w:szCs w:val="14"/>
              </w:rPr>
              <w:t xml:space="preserve"> </w:t>
            </w:r>
            <w:r>
              <w:rPr>
                <w:sz w:val="18"/>
              </w:rPr>
              <w:t>Single, NM</w:t>
            </w:r>
          </w:p>
        </w:tc>
        <w:tc>
          <w:tcPr>
            <w:tcW w:w="884" w:type="dxa"/>
          </w:tcPr>
          <w:p w14:paraId="21E910B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053275F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7BE4AE3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EFC6F3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0544495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27BF0BD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5818ED14"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4262DBEB" w14:textId="77777777" w:rsidR="009F1715" w:rsidRDefault="009F1715" w:rsidP="009F1715">
            <w:pPr>
              <w:spacing w:before="40" w:after="40" w:line="240" w:lineRule="auto"/>
              <w:ind w:left="720"/>
              <w:rPr>
                <w:sz w:val="18"/>
              </w:rPr>
            </w:pPr>
            <w:r>
              <w:rPr>
                <w:sz w:val="18"/>
              </w:rPr>
              <w:t>Married</w:t>
            </w:r>
          </w:p>
        </w:tc>
        <w:tc>
          <w:tcPr>
            <w:tcW w:w="884" w:type="dxa"/>
          </w:tcPr>
          <w:p w14:paraId="659BA00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1E58498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3C0A617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754AEC3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5656260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41FE694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46E2B89A"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4F4C0BE1" w14:textId="77777777" w:rsidR="009F1715" w:rsidRDefault="009F1715" w:rsidP="009F1715">
            <w:pPr>
              <w:spacing w:before="40" w:after="40" w:line="240" w:lineRule="auto"/>
              <w:ind w:left="720"/>
              <w:rPr>
                <w:sz w:val="18"/>
              </w:rPr>
            </w:pPr>
            <w:r>
              <w:rPr>
                <w:sz w:val="18"/>
              </w:rPr>
              <w:t>De-facto</w:t>
            </w:r>
          </w:p>
        </w:tc>
        <w:tc>
          <w:tcPr>
            <w:tcW w:w="884" w:type="dxa"/>
          </w:tcPr>
          <w:p w14:paraId="33709AF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01F6DD7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769AD3E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2CBF3AA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3F3AEAD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524F4A5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2161A4CB"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02D0C81C" w14:textId="77777777" w:rsidR="009F1715" w:rsidRDefault="009F1715" w:rsidP="009F1715">
            <w:pPr>
              <w:spacing w:before="40" w:after="40" w:line="240" w:lineRule="auto"/>
              <w:ind w:left="720"/>
              <w:rPr>
                <w:sz w:val="18"/>
              </w:rPr>
            </w:pPr>
            <w:r>
              <w:rPr>
                <w:sz w:val="18"/>
              </w:rPr>
              <w:t>Widowed</w:t>
            </w:r>
          </w:p>
        </w:tc>
        <w:tc>
          <w:tcPr>
            <w:tcW w:w="884" w:type="dxa"/>
          </w:tcPr>
          <w:p w14:paraId="1E999DA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06430F4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55AEEDD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32E6338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4453C29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5C5E1BE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7511CA77"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39FBCFD8" w14:textId="77777777" w:rsidR="009F1715" w:rsidRDefault="009F1715" w:rsidP="009F1715">
            <w:pPr>
              <w:spacing w:before="40" w:after="40" w:line="240" w:lineRule="auto"/>
              <w:ind w:left="720"/>
              <w:rPr>
                <w:sz w:val="18"/>
              </w:rPr>
            </w:pPr>
            <w:r>
              <w:rPr>
                <w:sz w:val="18"/>
              </w:rPr>
              <w:t>Divorced</w:t>
            </w:r>
          </w:p>
        </w:tc>
        <w:tc>
          <w:tcPr>
            <w:tcW w:w="884" w:type="dxa"/>
          </w:tcPr>
          <w:p w14:paraId="0C6171F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115E5BD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6BF6F12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7B8EEE3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3554931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89C73C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06D8020E"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46913423" w14:textId="77777777" w:rsidR="009F1715" w:rsidRDefault="009F1715" w:rsidP="009F1715">
            <w:pPr>
              <w:spacing w:before="40" w:after="40" w:line="240" w:lineRule="auto"/>
              <w:ind w:left="720"/>
              <w:rPr>
                <w:sz w:val="18"/>
              </w:rPr>
            </w:pPr>
            <w:r>
              <w:rPr>
                <w:sz w:val="18"/>
              </w:rPr>
              <w:t>Separated</w:t>
            </w:r>
          </w:p>
        </w:tc>
        <w:tc>
          <w:tcPr>
            <w:tcW w:w="884" w:type="dxa"/>
          </w:tcPr>
          <w:p w14:paraId="4B89F4C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067FB2B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6BF7A9B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1737854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4801224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6E8BDE3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5CD4586D"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7D37721" w14:textId="77777777" w:rsidR="009F1715" w:rsidRDefault="009F1715" w:rsidP="009F1715">
            <w:pPr>
              <w:spacing w:before="40" w:after="40" w:line="240" w:lineRule="auto"/>
              <w:ind w:left="720"/>
              <w:rPr>
                <w:sz w:val="18"/>
              </w:rPr>
            </w:pPr>
            <w:r>
              <w:rPr>
                <w:sz w:val="18"/>
              </w:rPr>
              <w:t>Prefer no say</w:t>
            </w:r>
          </w:p>
        </w:tc>
        <w:tc>
          <w:tcPr>
            <w:tcW w:w="884" w:type="dxa"/>
          </w:tcPr>
          <w:p w14:paraId="768DEE9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3E084E7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5FB6D2B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3BEAC1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44DDDB7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E39DCB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5FD71DC7"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59513D8A" w14:textId="064E9BEE" w:rsidR="009F1715" w:rsidRPr="003969FA" w:rsidRDefault="009F1715" w:rsidP="009F1715">
            <w:pPr>
              <w:spacing w:before="40" w:after="40" w:line="240" w:lineRule="auto"/>
              <w:rPr>
                <w:b/>
                <w:sz w:val="18"/>
              </w:rPr>
            </w:pPr>
            <w:r w:rsidRPr="003969FA">
              <w:rPr>
                <w:b/>
                <w:sz w:val="18"/>
              </w:rPr>
              <w:t xml:space="preserve">Language </w:t>
            </w:r>
            <w:r w:rsidR="003969FA" w:rsidRPr="003969FA">
              <w:rPr>
                <w:b/>
                <w:sz w:val="18"/>
              </w:rPr>
              <w:br/>
            </w:r>
            <w:r w:rsidRPr="003969FA">
              <w:rPr>
                <w:b/>
                <w:sz w:val="18"/>
              </w:rPr>
              <w:t>(non-English)</w:t>
            </w:r>
          </w:p>
        </w:tc>
        <w:tc>
          <w:tcPr>
            <w:tcW w:w="884" w:type="dxa"/>
          </w:tcPr>
          <w:p w14:paraId="1CB2BF3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105E398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09D2EC9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7BCBBEF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526AD11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66E44FD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377529AA"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5A9E4A1C" w14:textId="77777777" w:rsidR="009F1715" w:rsidRPr="003969FA" w:rsidRDefault="009F1715" w:rsidP="009F1715">
            <w:pPr>
              <w:spacing w:before="40" w:after="40" w:line="240" w:lineRule="auto"/>
              <w:rPr>
                <w:b/>
                <w:sz w:val="18"/>
              </w:rPr>
            </w:pPr>
            <w:r w:rsidRPr="003969FA">
              <w:rPr>
                <w:b/>
                <w:sz w:val="18"/>
              </w:rPr>
              <w:t>Disability (household)</w:t>
            </w:r>
          </w:p>
        </w:tc>
        <w:tc>
          <w:tcPr>
            <w:tcW w:w="884" w:type="dxa"/>
          </w:tcPr>
          <w:p w14:paraId="058E06D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34A82FF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33448E0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6809ECC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5FCD4B4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61CE03D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5324E3B7"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4CC3633" w14:textId="77777777" w:rsidR="009F1715" w:rsidRPr="003969FA" w:rsidRDefault="009F1715" w:rsidP="009F1715">
            <w:pPr>
              <w:spacing w:before="40" w:after="40" w:line="240" w:lineRule="auto"/>
              <w:rPr>
                <w:b/>
                <w:sz w:val="18"/>
              </w:rPr>
            </w:pPr>
            <w:r w:rsidRPr="003969FA">
              <w:rPr>
                <w:b/>
                <w:sz w:val="18"/>
              </w:rPr>
              <w:t>Government benefit</w:t>
            </w:r>
          </w:p>
        </w:tc>
        <w:tc>
          <w:tcPr>
            <w:tcW w:w="884" w:type="dxa"/>
          </w:tcPr>
          <w:p w14:paraId="49481B6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6E4FB58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02F2D81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395926C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2C3259A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22A5F14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0DF7E001"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4940B78D" w14:textId="05355F6E" w:rsidR="009F1715" w:rsidRPr="00E404DA" w:rsidRDefault="009F1715" w:rsidP="003969FA">
            <w:pPr>
              <w:spacing w:before="40" w:after="40" w:line="240" w:lineRule="auto"/>
              <w:rPr>
                <w:sz w:val="18"/>
              </w:rPr>
            </w:pPr>
            <w:r w:rsidRPr="003969FA">
              <w:rPr>
                <w:b/>
                <w:sz w:val="18"/>
              </w:rPr>
              <w:t>House #</w:t>
            </w:r>
            <w:r>
              <w:rPr>
                <w:sz w:val="18"/>
              </w:rPr>
              <w:t xml:space="preserve">  &gt; age 18</w:t>
            </w:r>
          </w:p>
        </w:tc>
        <w:tc>
          <w:tcPr>
            <w:tcW w:w="884" w:type="dxa"/>
          </w:tcPr>
          <w:p w14:paraId="52CE6E6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546EE2A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3CFADE9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7F3A153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724D521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1B54597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43DB9615"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79593052" w14:textId="77777777" w:rsidR="009F1715" w:rsidRDefault="009F1715" w:rsidP="009F1715">
            <w:pPr>
              <w:spacing w:before="40" w:after="40" w:line="240" w:lineRule="auto"/>
              <w:ind w:left="720"/>
              <w:rPr>
                <w:sz w:val="18"/>
              </w:rPr>
            </w:pPr>
            <w:r>
              <w:rPr>
                <w:sz w:val="18"/>
              </w:rPr>
              <w:t>&lt; age 18</w:t>
            </w:r>
          </w:p>
        </w:tc>
        <w:tc>
          <w:tcPr>
            <w:tcW w:w="884" w:type="dxa"/>
          </w:tcPr>
          <w:p w14:paraId="6D9FAF3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221129A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07776AF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B507A2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2969EE0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5FDD323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2361F0E0"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5A198F60" w14:textId="300A14E6" w:rsidR="009F1715" w:rsidRPr="00E404DA" w:rsidRDefault="009F1715" w:rsidP="003969FA">
            <w:pPr>
              <w:spacing w:before="40" w:after="40" w:line="240" w:lineRule="auto"/>
              <w:rPr>
                <w:sz w:val="18"/>
              </w:rPr>
            </w:pPr>
            <w:r w:rsidRPr="003969FA">
              <w:rPr>
                <w:b/>
                <w:sz w:val="18"/>
              </w:rPr>
              <w:t>Property</w:t>
            </w:r>
            <w:r>
              <w:rPr>
                <w:sz w:val="18"/>
              </w:rPr>
              <w:t xml:space="preserve"> Own</w:t>
            </w:r>
          </w:p>
        </w:tc>
        <w:tc>
          <w:tcPr>
            <w:tcW w:w="884" w:type="dxa"/>
          </w:tcPr>
          <w:p w14:paraId="219E375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4DBE83F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20D94F6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4BC816D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5621B3B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65F92DE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1382ACCC"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7F627692" w14:textId="77777777" w:rsidR="009F1715" w:rsidRDefault="009F1715" w:rsidP="009F1715">
            <w:pPr>
              <w:spacing w:before="40" w:after="40" w:line="240" w:lineRule="auto"/>
              <w:ind w:left="720"/>
              <w:rPr>
                <w:sz w:val="18"/>
              </w:rPr>
            </w:pPr>
            <w:r>
              <w:rPr>
                <w:sz w:val="18"/>
              </w:rPr>
              <w:t>Rent</w:t>
            </w:r>
          </w:p>
        </w:tc>
        <w:tc>
          <w:tcPr>
            <w:tcW w:w="884" w:type="dxa"/>
          </w:tcPr>
          <w:p w14:paraId="7F6BBDE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6360C19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11EFE87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3BB60DE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5240F7C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216DFCA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5D2AE0B8"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172BD9F1" w14:textId="77777777" w:rsidR="009F1715" w:rsidRDefault="009F1715" w:rsidP="009F1715">
            <w:pPr>
              <w:spacing w:before="40" w:after="40" w:line="240" w:lineRule="auto"/>
              <w:ind w:left="720"/>
              <w:rPr>
                <w:sz w:val="18"/>
              </w:rPr>
            </w:pPr>
            <w:r>
              <w:rPr>
                <w:sz w:val="18"/>
              </w:rPr>
              <w:t>Share</w:t>
            </w:r>
          </w:p>
        </w:tc>
        <w:tc>
          <w:tcPr>
            <w:tcW w:w="884" w:type="dxa"/>
          </w:tcPr>
          <w:p w14:paraId="08549F2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3169B81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3FC9056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1DE21F1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06CF457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58A8C21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43035E4D"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50FBD00E" w14:textId="77777777" w:rsidR="009F1715" w:rsidRDefault="009F1715" w:rsidP="009F1715">
            <w:pPr>
              <w:spacing w:before="40" w:after="40" w:line="240" w:lineRule="auto"/>
              <w:ind w:left="720"/>
              <w:rPr>
                <w:sz w:val="18"/>
              </w:rPr>
            </w:pPr>
            <w:r>
              <w:rPr>
                <w:sz w:val="18"/>
              </w:rPr>
              <w:t>Other</w:t>
            </w:r>
          </w:p>
        </w:tc>
        <w:tc>
          <w:tcPr>
            <w:tcW w:w="884" w:type="dxa"/>
          </w:tcPr>
          <w:p w14:paraId="6769816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5597125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1FA80C2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0CE6AE2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08B4B9C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1848FC4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6CDB1DC2"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73458B62" w14:textId="2F75342E" w:rsidR="009F1715" w:rsidRPr="00E404DA" w:rsidRDefault="009F1715" w:rsidP="003969FA">
            <w:pPr>
              <w:spacing w:before="40" w:after="40" w:line="240" w:lineRule="auto"/>
              <w:rPr>
                <w:sz w:val="18"/>
              </w:rPr>
            </w:pPr>
            <w:r w:rsidRPr="003969FA">
              <w:rPr>
                <w:b/>
                <w:sz w:val="18"/>
              </w:rPr>
              <w:t xml:space="preserve">Tenure   </w:t>
            </w:r>
            <w:r>
              <w:rPr>
                <w:sz w:val="18"/>
              </w:rPr>
              <w:t>&lt;=1 year</w:t>
            </w:r>
          </w:p>
        </w:tc>
        <w:tc>
          <w:tcPr>
            <w:tcW w:w="884" w:type="dxa"/>
          </w:tcPr>
          <w:p w14:paraId="4E011F8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1C2300F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05E8E0C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5204962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150117C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65FB182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1279A509"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D118A26" w14:textId="77777777" w:rsidR="009F1715" w:rsidRDefault="009F1715" w:rsidP="009F1715">
            <w:pPr>
              <w:spacing w:before="40" w:after="40" w:line="240" w:lineRule="auto"/>
              <w:ind w:left="720"/>
              <w:rPr>
                <w:sz w:val="18"/>
              </w:rPr>
            </w:pPr>
            <w:r>
              <w:rPr>
                <w:sz w:val="18"/>
              </w:rPr>
              <w:t>2-3 years</w:t>
            </w:r>
          </w:p>
        </w:tc>
        <w:tc>
          <w:tcPr>
            <w:tcW w:w="884" w:type="dxa"/>
          </w:tcPr>
          <w:p w14:paraId="14ED923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790F53F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5C14507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125EDDB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5C6B6C3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2023A4E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284803FB"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5FBCF474" w14:textId="77777777" w:rsidR="009F1715" w:rsidRDefault="009F1715" w:rsidP="009F1715">
            <w:pPr>
              <w:spacing w:before="40" w:after="40" w:line="240" w:lineRule="auto"/>
              <w:ind w:left="720"/>
              <w:rPr>
                <w:sz w:val="18"/>
              </w:rPr>
            </w:pPr>
            <w:r>
              <w:rPr>
                <w:sz w:val="18"/>
              </w:rPr>
              <w:t>4-5 years</w:t>
            </w:r>
          </w:p>
        </w:tc>
        <w:tc>
          <w:tcPr>
            <w:tcW w:w="884" w:type="dxa"/>
          </w:tcPr>
          <w:p w14:paraId="6EFAEA1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2AF3806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5A918F4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1D31DEC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1D3B245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0ED3CF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22C63F7C"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6DCD7585" w14:textId="77777777" w:rsidR="009F1715" w:rsidRDefault="009F1715" w:rsidP="009F1715">
            <w:pPr>
              <w:spacing w:before="40" w:after="40" w:line="240" w:lineRule="auto"/>
              <w:ind w:left="720"/>
              <w:rPr>
                <w:sz w:val="18"/>
              </w:rPr>
            </w:pPr>
            <w:r>
              <w:rPr>
                <w:sz w:val="18"/>
              </w:rPr>
              <w:t>6-9 years</w:t>
            </w:r>
          </w:p>
        </w:tc>
        <w:tc>
          <w:tcPr>
            <w:tcW w:w="884" w:type="dxa"/>
          </w:tcPr>
          <w:p w14:paraId="7E2263A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0855779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51DA0D82"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354527C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3913677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387605B8"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7C4FC2A1"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2A7E3125" w14:textId="77777777" w:rsidR="009F1715" w:rsidRDefault="009F1715" w:rsidP="009F1715">
            <w:pPr>
              <w:spacing w:before="40" w:after="40" w:line="240" w:lineRule="auto"/>
              <w:ind w:left="720"/>
              <w:rPr>
                <w:sz w:val="18"/>
              </w:rPr>
            </w:pPr>
            <w:r>
              <w:rPr>
                <w:sz w:val="18"/>
              </w:rPr>
              <w:t>&gt;=10 years</w:t>
            </w:r>
          </w:p>
        </w:tc>
        <w:tc>
          <w:tcPr>
            <w:tcW w:w="884" w:type="dxa"/>
          </w:tcPr>
          <w:p w14:paraId="46301BA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3EA1ACE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5B72446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49B7D9C5"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2D2A420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493473E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3D1C48EC"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1AEA868A" w14:textId="1B48791A" w:rsidR="009F1715" w:rsidRPr="003969FA" w:rsidRDefault="00241D14" w:rsidP="009F1715">
            <w:pPr>
              <w:spacing w:before="40" w:after="40" w:line="240" w:lineRule="auto"/>
              <w:rPr>
                <w:b/>
                <w:sz w:val="18"/>
              </w:rPr>
            </w:pPr>
            <w:r>
              <w:rPr>
                <w:b/>
                <w:sz w:val="18"/>
              </w:rPr>
              <w:t xml:space="preserve">Financial </w:t>
            </w:r>
            <w:r w:rsidR="009F1715" w:rsidRPr="00241D14">
              <w:rPr>
                <w:sz w:val="16"/>
                <w:szCs w:val="16"/>
              </w:rPr>
              <w:t>Comfortable</w:t>
            </w:r>
          </w:p>
        </w:tc>
        <w:tc>
          <w:tcPr>
            <w:tcW w:w="884" w:type="dxa"/>
          </w:tcPr>
          <w:p w14:paraId="32380CEA"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2B542A0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56DC164B"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5450225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214287C7"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105F8FC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725EF2C5"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012647FA" w14:textId="77777777" w:rsidR="009F1715" w:rsidRDefault="009F1715" w:rsidP="009F1715">
            <w:pPr>
              <w:spacing w:before="40" w:after="40" w:line="240" w:lineRule="auto"/>
              <w:ind w:left="720"/>
              <w:rPr>
                <w:sz w:val="18"/>
              </w:rPr>
            </w:pPr>
            <w:r>
              <w:rPr>
                <w:sz w:val="18"/>
              </w:rPr>
              <w:t>Struggle</w:t>
            </w:r>
          </w:p>
        </w:tc>
        <w:tc>
          <w:tcPr>
            <w:tcW w:w="884" w:type="dxa"/>
          </w:tcPr>
          <w:p w14:paraId="34A3E4D0"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0E8DD2B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71DA4D19"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5ECCB59F"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6E608ED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0953E403"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r w:rsidR="009F1715" w:rsidRPr="00E404DA" w14:paraId="3B05D6F3" w14:textId="77777777" w:rsidTr="009F1715">
        <w:tc>
          <w:tcPr>
            <w:cnfStyle w:val="001000000000" w:firstRow="0" w:lastRow="0" w:firstColumn="1" w:lastColumn="0" w:oddVBand="0" w:evenVBand="0" w:oddHBand="0" w:evenHBand="0" w:firstRowFirstColumn="0" w:firstRowLastColumn="0" w:lastRowFirstColumn="0" w:lastRowLastColumn="0"/>
            <w:tcW w:w="1985" w:type="dxa"/>
          </w:tcPr>
          <w:p w14:paraId="3F946BCC" w14:textId="2BF11ED3" w:rsidR="009F1715" w:rsidRDefault="009F1715" w:rsidP="009F1715">
            <w:pPr>
              <w:spacing w:before="40" w:after="40" w:line="240" w:lineRule="auto"/>
              <w:ind w:left="720"/>
              <w:rPr>
                <w:sz w:val="18"/>
              </w:rPr>
            </w:pPr>
            <w:r>
              <w:rPr>
                <w:sz w:val="18"/>
              </w:rPr>
              <w:t>Pres</w:t>
            </w:r>
            <w:r w:rsidR="00ED4B34">
              <w:rPr>
                <w:sz w:val="18"/>
              </w:rPr>
              <w:t>s</w:t>
            </w:r>
            <w:r>
              <w:rPr>
                <w:sz w:val="18"/>
              </w:rPr>
              <w:t>ure</w:t>
            </w:r>
          </w:p>
        </w:tc>
        <w:tc>
          <w:tcPr>
            <w:tcW w:w="884" w:type="dxa"/>
          </w:tcPr>
          <w:p w14:paraId="3BF8513E"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817" w:type="dxa"/>
          </w:tcPr>
          <w:p w14:paraId="40519316"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276" w:type="dxa"/>
          </w:tcPr>
          <w:p w14:paraId="14848B7C"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417" w:type="dxa"/>
          </w:tcPr>
          <w:p w14:paraId="3BE7DB61"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560" w:type="dxa"/>
          </w:tcPr>
          <w:p w14:paraId="48D7EF14"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c>
          <w:tcPr>
            <w:tcW w:w="1842" w:type="dxa"/>
          </w:tcPr>
          <w:p w14:paraId="1EFBC01D" w14:textId="77777777" w:rsidR="009F1715" w:rsidRPr="00E404DA" w:rsidRDefault="009F1715" w:rsidP="009F1715">
            <w:pPr>
              <w:spacing w:before="40" w:after="40" w:line="240" w:lineRule="auto"/>
              <w:cnfStyle w:val="000000000000" w:firstRow="0" w:lastRow="0" w:firstColumn="0" w:lastColumn="0" w:oddVBand="0" w:evenVBand="0" w:oddHBand="0" w:evenHBand="0" w:firstRowFirstColumn="0" w:firstRowLastColumn="0" w:lastRowFirstColumn="0" w:lastRowLastColumn="0"/>
              <w:rPr>
                <w:sz w:val="18"/>
              </w:rPr>
            </w:pPr>
          </w:p>
        </w:tc>
      </w:tr>
    </w:tbl>
    <w:p w14:paraId="60AD5C0D" w14:textId="4346C8B1" w:rsidR="003969FA" w:rsidRDefault="009F1715" w:rsidP="00BC531C">
      <w:r>
        <w:t>* Screening outcome measure</w:t>
      </w:r>
    </w:p>
    <w:p w14:paraId="04F6726E" w14:textId="77777777" w:rsidR="003969FA" w:rsidRDefault="003969FA" w:rsidP="003969FA">
      <w:pPr>
        <w:pStyle w:val="TableTitle"/>
        <w:spacing w:before="240"/>
      </w:pPr>
      <w:r>
        <w:lastRenderedPageBreak/>
        <w:t>Main outcome table 1 – detecting an effect among comparison groups</w:t>
      </w:r>
    </w:p>
    <w:tbl>
      <w:tblPr>
        <w:tblStyle w:val="DefaultTable"/>
        <w:tblW w:w="9767" w:type="dxa"/>
        <w:tblInd w:w="-142" w:type="dxa"/>
        <w:tblLook w:val="04A0" w:firstRow="1" w:lastRow="0" w:firstColumn="1" w:lastColumn="0" w:noHBand="0" w:noVBand="1"/>
        <w:tblCaption w:val="Main outcome table 1 – detecting an effect among comparison groups"/>
        <w:tblDescription w:val="The cells for this table are blank. This table shows where the means cores and standard deviations  for each experimental group, for each of the three primary outcomes, would be filled."/>
      </w:tblPr>
      <w:tblGrid>
        <w:gridCol w:w="2268"/>
        <w:gridCol w:w="777"/>
        <w:gridCol w:w="727"/>
        <w:gridCol w:w="857"/>
        <w:gridCol w:w="1136"/>
        <w:gridCol w:w="1039"/>
        <w:gridCol w:w="1129"/>
        <w:gridCol w:w="7"/>
        <w:gridCol w:w="533"/>
        <w:gridCol w:w="7"/>
        <w:gridCol w:w="1280"/>
        <w:gridCol w:w="7"/>
      </w:tblGrid>
      <w:tr w:rsidR="003969FA" w14:paraId="4742C07B" w14:textId="77777777" w:rsidTr="00BC531C">
        <w:trPr>
          <w:gridAfter w:val="1"/>
          <w:cnfStyle w:val="100000000000" w:firstRow="1" w:lastRow="0" w:firstColumn="0" w:lastColumn="0" w:oddVBand="0" w:evenVBand="0" w:oddHBand="0" w:evenHBand="0" w:firstRowFirstColumn="0" w:firstRowLastColumn="0" w:lastRowFirstColumn="0" w:lastRowLastColumn="0"/>
          <w:wAfter w:w="7" w:type="dxa"/>
          <w:trHeight w:val="132"/>
        </w:trPr>
        <w:tc>
          <w:tcPr>
            <w:cnfStyle w:val="001000000000" w:firstRow="0" w:lastRow="0" w:firstColumn="1" w:lastColumn="0" w:oddVBand="0" w:evenVBand="0" w:oddHBand="0" w:evenHBand="0" w:firstRowFirstColumn="0" w:firstRowLastColumn="0" w:lastRowFirstColumn="0" w:lastRowLastColumn="0"/>
            <w:tcW w:w="2268" w:type="dxa"/>
          </w:tcPr>
          <w:p w14:paraId="4639F35C" w14:textId="2DA4456D" w:rsidR="003969FA" w:rsidRPr="008941A8" w:rsidRDefault="003969FA" w:rsidP="00AF79C5">
            <w:pPr>
              <w:pStyle w:val="TableHeading"/>
              <w:spacing w:before="0" w:after="0"/>
              <w:jc w:val="center"/>
            </w:pPr>
          </w:p>
        </w:tc>
        <w:tc>
          <w:tcPr>
            <w:tcW w:w="5665" w:type="dxa"/>
            <w:gridSpan w:val="6"/>
          </w:tcPr>
          <w:p w14:paraId="3839D9A1" w14:textId="0FAA3877" w:rsidR="003969FA" w:rsidRPr="00AF79C5" w:rsidRDefault="003969FA" w:rsidP="00AF79C5">
            <w:pPr>
              <w:pStyle w:val="TableTitle"/>
              <w:spacing w:before="0"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AF79C5">
              <w:rPr>
                <w:sz w:val="18"/>
                <w:szCs w:val="18"/>
              </w:rPr>
              <w:t>Mean scores for each experimental group</w:t>
            </w:r>
          </w:p>
          <w:p w14:paraId="1E5EBAB9" w14:textId="77777777" w:rsidR="003969FA" w:rsidRPr="00AF79C5" w:rsidRDefault="003969FA" w:rsidP="00AF79C5">
            <w:pPr>
              <w:pStyle w:val="TableTitle"/>
              <w:spacing w:before="0"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AF79C5">
              <w:rPr>
                <w:sz w:val="18"/>
                <w:szCs w:val="18"/>
              </w:rPr>
              <w:t>(SD)</w:t>
            </w:r>
          </w:p>
        </w:tc>
        <w:tc>
          <w:tcPr>
            <w:tcW w:w="540" w:type="dxa"/>
            <w:gridSpan w:val="2"/>
          </w:tcPr>
          <w:p w14:paraId="332E1EC1" w14:textId="77777777" w:rsidR="003969FA" w:rsidRPr="008941A8" w:rsidRDefault="003969FA" w:rsidP="00AF79C5">
            <w:pPr>
              <w:pStyle w:val="TableHeading"/>
              <w:spacing w:before="0" w:after="0"/>
              <w:jc w:val="center"/>
              <w:cnfStyle w:val="100000000000" w:firstRow="1" w:lastRow="0" w:firstColumn="0" w:lastColumn="0" w:oddVBand="0" w:evenVBand="0" w:oddHBand="0" w:evenHBand="0" w:firstRowFirstColumn="0" w:firstRowLastColumn="0" w:lastRowFirstColumn="0" w:lastRowLastColumn="0"/>
            </w:pPr>
          </w:p>
        </w:tc>
        <w:tc>
          <w:tcPr>
            <w:tcW w:w="1287" w:type="dxa"/>
            <w:gridSpan w:val="2"/>
          </w:tcPr>
          <w:p w14:paraId="0B5E99E6" w14:textId="77777777" w:rsidR="003969FA" w:rsidRPr="008941A8" w:rsidRDefault="003969FA" w:rsidP="00AF79C5">
            <w:pPr>
              <w:pStyle w:val="TableHeading"/>
              <w:spacing w:before="0" w:after="0"/>
              <w:jc w:val="center"/>
              <w:cnfStyle w:val="100000000000" w:firstRow="1" w:lastRow="0" w:firstColumn="0" w:lastColumn="0" w:oddVBand="0" w:evenVBand="0" w:oddHBand="0" w:evenHBand="0" w:firstRowFirstColumn="0" w:firstRowLastColumn="0" w:lastRowFirstColumn="0" w:lastRowLastColumn="0"/>
            </w:pPr>
          </w:p>
        </w:tc>
      </w:tr>
      <w:tr w:rsidR="003969FA" w14:paraId="53816003" w14:textId="77777777" w:rsidTr="00BC531C">
        <w:trPr>
          <w:trHeight w:val="983"/>
        </w:trPr>
        <w:tc>
          <w:tcPr>
            <w:cnfStyle w:val="001000000000" w:firstRow="0" w:lastRow="0" w:firstColumn="1" w:lastColumn="0" w:oddVBand="0" w:evenVBand="0" w:oddHBand="0" w:evenHBand="0" w:firstRowFirstColumn="0" w:firstRowLastColumn="0" w:lastRowFirstColumn="0" w:lastRowLastColumn="0"/>
            <w:tcW w:w="2268" w:type="dxa"/>
          </w:tcPr>
          <w:p w14:paraId="66DF03CD" w14:textId="77777777" w:rsidR="003969FA" w:rsidRPr="00BC531C" w:rsidRDefault="003969FA" w:rsidP="00AF79C5">
            <w:pPr>
              <w:pStyle w:val="TableTitle"/>
              <w:spacing w:before="120" w:after="0" w:line="120" w:lineRule="atLeast"/>
              <w:contextualSpacing w:val="0"/>
              <w:rPr>
                <w:sz w:val="18"/>
                <w:szCs w:val="18"/>
              </w:rPr>
            </w:pPr>
          </w:p>
        </w:tc>
        <w:tc>
          <w:tcPr>
            <w:tcW w:w="777" w:type="dxa"/>
          </w:tcPr>
          <w:p w14:paraId="14A1B681" w14:textId="00CF8343" w:rsidR="003969FA" w:rsidRPr="00BC531C" w:rsidRDefault="003969FA" w:rsidP="00AF79C5">
            <w:pPr>
              <w:pStyle w:val="TableTitle"/>
              <w:spacing w:before="120" w:after="0" w:line="120" w:lineRule="atLeast"/>
              <w:contextualSpacing w:val="0"/>
              <w:jc w:val="center"/>
              <w:cnfStyle w:val="000000000000" w:firstRow="0" w:lastRow="0" w:firstColumn="0" w:lastColumn="0" w:oddVBand="0" w:evenVBand="0" w:oddHBand="0" w:evenHBand="0" w:firstRowFirstColumn="0" w:firstRowLastColumn="0" w:lastRowFirstColumn="0" w:lastRowLastColumn="0"/>
              <w:rPr>
                <w:sz w:val="18"/>
                <w:szCs w:val="18"/>
              </w:rPr>
            </w:pPr>
            <w:r w:rsidRPr="00BC531C">
              <w:rPr>
                <w:sz w:val="18"/>
                <w:szCs w:val="18"/>
              </w:rPr>
              <w:t>Status quo</w:t>
            </w:r>
          </w:p>
          <w:p w14:paraId="1AE31CFA" w14:textId="77777777" w:rsidR="003969FA" w:rsidRPr="00BC531C" w:rsidRDefault="003969FA" w:rsidP="00AF79C5">
            <w:pPr>
              <w:pStyle w:val="TableTitle"/>
              <w:spacing w:before="120" w:after="0" w:line="120" w:lineRule="atLeast"/>
              <w:contextualSpacing w:val="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27" w:type="dxa"/>
          </w:tcPr>
          <w:p w14:paraId="15DB5972" w14:textId="33EB492A" w:rsidR="003969FA" w:rsidRPr="00BC531C" w:rsidRDefault="003969FA" w:rsidP="00AF79C5">
            <w:pPr>
              <w:pStyle w:val="TableTitle"/>
              <w:spacing w:before="120" w:after="0" w:line="120" w:lineRule="atLeast"/>
              <w:contextualSpacing w:val="0"/>
              <w:jc w:val="center"/>
              <w:cnfStyle w:val="000000000000" w:firstRow="0" w:lastRow="0" w:firstColumn="0" w:lastColumn="0" w:oddVBand="0" w:evenVBand="0" w:oddHBand="0" w:evenHBand="0" w:firstRowFirstColumn="0" w:firstRowLastColumn="0" w:lastRowFirstColumn="0" w:lastRowLastColumn="0"/>
              <w:rPr>
                <w:sz w:val="18"/>
                <w:szCs w:val="18"/>
              </w:rPr>
            </w:pPr>
            <w:r w:rsidRPr="00BC531C">
              <w:rPr>
                <w:sz w:val="18"/>
                <w:szCs w:val="18"/>
              </w:rPr>
              <w:t>Bar graph</w:t>
            </w:r>
          </w:p>
          <w:p w14:paraId="1B032DDA" w14:textId="77777777" w:rsidR="003969FA" w:rsidRPr="00BC531C" w:rsidRDefault="003969FA" w:rsidP="00AF79C5">
            <w:pPr>
              <w:pStyle w:val="TableTitle"/>
              <w:spacing w:before="120" w:after="0" w:line="120" w:lineRule="atLeast"/>
              <w:contextualSpacing w:val="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7" w:type="dxa"/>
          </w:tcPr>
          <w:p w14:paraId="6402C9F4" w14:textId="6462ABB5" w:rsidR="003969FA" w:rsidRPr="00BC531C" w:rsidRDefault="003969FA" w:rsidP="00AF79C5">
            <w:pPr>
              <w:pStyle w:val="TableTitle"/>
              <w:spacing w:before="120" w:after="0" w:line="120" w:lineRule="atLeast"/>
              <w:contextualSpacing w:val="0"/>
              <w:jc w:val="center"/>
              <w:cnfStyle w:val="000000000000" w:firstRow="0" w:lastRow="0" w:firstColumn="0" w:lastColumn="0" w:oddVBand="0" w:evenVBand="0" w:oddHBand="0" w:evenHBand="0" w:firstRowFirstColumn="0" w:firstRowLastColumn="0" w:lastRowFirstColumn="0" w:lastRowLastColumn="0"/>
              <w:rPr>
                <w:sz w:val="18"/>
                <w:szCs w:val="18"/>
              </w:rPr>
            </w:pPr>
            <w:r w:rsidRPr="00BC531C">
              <w:rPr>
                <w:rFonts w:cstheme="minorHAnsi"/>
                <w:sz w:val="18"/>
                <w:szCs w:val="18"/>
              </w:rPr>
              <w:t>Base rate + houses</w:t>
            </w:r>
          </w:p>
        </w:tc>
        <w:tc>
          <w:tcPr>
            <w:tcW w:w="1136" w:type="dxa"/>
          </w:tcPr>
          <w:p w14:paraId="5A0A7399" w14:textId="38622B7A" w:rsidR="003969FA" w:rsidRPr="00BC531C" w:rsidRDefault="003969FA" w:rsidP="00AF79C5">
            <w:pPr>
              <w:pStyle w:val="TableTitle"/>
              <w:spacing w:before="120" w:after="0" w:line="120" w:lineRule="atLeast"/>
              <w:contextualSpacing w:val="0"/>
              <w:jc w:val="center"/>
              <w:cnfStyle w:val="000000000000" w:firstRow="0" w:lastRow="0" w:firstColumn="0" w:lastColumn="0" w:oddVBand="0" w:evenVBand="0" w:oddHBand="0" w:evenHBand="0" w:firstRowFirstColumn="0" w:firstRowLastColumn="0" w:lastRowFirstColumn="0" w:lastRowLastColumn="0"/>
              <w:rPr>
                <w:sz w:val="18"/>
                <w:szCs w:val="18"/>
              </w:rPr>
            </w:pPr>
            <w:r w:rsidRPr="00BC531C">
              <w:rPr>
                <w:rFonts w:cstheme="minorHAnsi"/>
                <w:sz w:val="18"/>
                <w:szCs w:val="18"/>
              </w:rPr>
              <w:t>Base rate + household items</w:t>
            </w:r>
          </w:p>
        </w:tc>
        <w:tc>
          <w:tcPr>
            <w:tcW w:w="1039" w:type="dxa"/>
          </w:tcPr>
          <w:p w14:paraId="5E01AC3E" w14:textId="292AB04D" w:rsidR="003969FA" w:rsidRPr="00BC531C" w:rsidRDefault="003969FA" w:rsidP="00AF79C5">
            <w:pPr>
              <w:pStyle w:val="TableTitle"/>
              <w:spacing w:before="120" w:after="0" w:line="120" w:lineRule="atLeast"/>
              <w:contextualSpacing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531C">
              <w:rPr>
                <w:rFonts w:cstheme="minorHAnsi"/>
                <w:sz w:val="18"/>
                <w:szCs w:val="18"/>
              </w:rPr>
              <w:t>Base rate / discount rate + houses</w:t>
            </w:r>
          </w:p>
        </w:tc>
        <w:tc>
          <w:tcPr>
            <w:tcW w:w="1136" w:type="dxa"/>
            <w:gridSpan w:val="2"/>
          </w:tcPr>
          <w:p w14:paraId="0139A370" w14:textId="65BA50AA" w:rsidR="003969FA" w:rsidRPr="00BC531C" w:rsidRDefault="003969FA" w:rsidP="00AF79C5">
            <w:pPr>
              <w:pStyle w:val="TableTitle"/>
              <w:spacing w:before="120" w:after="0" w:line="120" w:lineRule="atLeast"/>
              <w:contextualSpacing w:val="0"/>
              <w:jc w:val="center"/>
              <w:cnfStyle w:val="000000000000" w:firstRow="0" w:lastRow="0" w:firstColumn="0" w:lastColumn="0" w:oddVBand="0" w:evenVBand="0" w:oddHBand="0" w:evenHBand="0" w:firstRowFirstColumn="0" w:firstRowLastColumn="0" w:lastRowFirstColumn="0" w:lastRowLastColumn="0"/>
              <w:rPr>
                <w:sz w:val="18"/>
                <w:szCs w:val="18"/>
              </w:rPr>
            </w:pPr>
            <w:r w:rsidRPr="00BC531C">
              <w:rPr>
                <w:rFonts w:cstheme="minorHAnsi"/>
                <w:sz w:val="18"/>
                <w:szCs w:val="18"/>
              </w:rPr>
              <w:t>Base rate / discount rate + household items</w:t>
            </w:r>
          </w:p>
        </w:tc>
        <w:tc>
          <w:tcPr>
            <w:tcW w:w="540" w:type="dxa"/>
            <w:gridSpan w:val="2"/>
          </w:tcPr>
          <w:p w14:paraId="1B3FBC28" w14:textId="77777777" w:rsidR="003969FA" w:rsidRPr="00BC531C" w:rsidRDefault="003969FA" w:rsidP="00AF79C5">
            <w:pPr>
              <w:pStyle w:val="TableTitle"/>
              <w:spacing w:before="120" w:after="0" w:line="120" w:lineRule="atLeast"/>
              <w:contextualSpacing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531C">
              <w:rPr>
                <w:rFonts w:cstheme="minorHAnsi"/>
                <w:sz w:val="18"/>
                <w:szCs w:val="18"/>
              </w:rPr>
              <w:t>F</w:t>
            </w:r>
          </w:p>
          <w:p w14:paraId="77221469" w14:textId="77777777" w:rsidR="003969FA" w:rsidRPr="00BC531C" w:rsidRDefault="003969FA" w:rsidP="00AF79C5">
            <w:pPr>
              <w:pStyle w:val="TableTitle"/>
              <w:spacing w:before="120" w:after="0" w:line="120" w:lineRule="atLeast"/>
              <w:contextualSpacing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531C">
              <w:rPr>
                <w:rFonts w:cstheme="minorHAnsi"/>
                <w:sz w:val="18"/>
                <w:szCs w:val="18"/>
              </w:rPr>
              <w:t>(</w:t>
            </w:r>
            <w:proofErr w:type="spellStart"/>
            <w:r w:rsidRPr="00BC531C">
              <w:rPr>
                <w:rFonts w:cstheme="minorHAnsi"/>
                <w:sz w:val="18"/>
                <w:szCs w:val="18"/>
              </w:rPr>
              <w:t>df</w:t>
            </w:r>
            <w:proofErr w:type="spellEnd"/>
            <w:r w:rsidRPr="00BC531C">
              <w:rPr>
                <w:rFonts w:cstheme="minorHAnsi"/>
                <w:sz w:val="18"/>
                <w:szCs w:val="18"/>
              </w:rPr>
              <w:t>)</w:t>
            </w:r>
          </w:p>
        </w:tc>
        <w:tc>
          <w:tcPr>
            <w:tcW w:w="1287" w:type="dxa"/>
            <w:gridSpan w:val="2"/>
          </w:tcPr>
          <w:p w14:paraId="7175E93B" w14:textId="77777777" w:rsidR="003969FA" w:rsidRPr="00BC531C" w:rsidRDefault="003969FA" w:rsidP="00AF79C5">
            <w:pPr>
              <w:pStyle w:val="TableTitle"/>
              <w:spacing w:before="120" w:after="0" w:line="120" w:lineRule="atLeast"/>
              <w:contextualSpacing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531C">
              <w:rPr>
                <w:rFonts w:cstheme="minorHAnsi"/>
                <w:sz w:val="18"/>
                <w:szCs w:val="18"/>
              </w:rPr>
              <w:t>Significance (p-value)</w:t>
            </w:r>
          </w:p>
        </w:tc>
      </w:tr>
      <w:tr w:rsidR="003969FA" w14:paraId="23F5651B" w14:textId="77777777" w:rsidTr="00BC531C">
        <w:trPr>
          <w:trHeight w:val="364"/>
        </w:trPr>
        <w:tc>
          <w:tcPr>
            <w:cnfStyle w:val="001000000000" w:firstRow="0" w:lastRow="0" w:firstColumn="1" w:lastColumn="0" w:oddVBand="0" w:evenVBand="0" w:oddHBand="0" w:evenHBand="0" w:firstRowFirstColumn="0" w:firstRowLastColumn="0" w:lastRowFirstColumn="0" w:lastRowLastColumn="0"/>
            <w:tcW w:w="2268" w:type="dxa"/>
          </w:tcPr>
          <w:p w14:paraId="254D3C5E" w14:textId="77777777" w:rsidR="003969FA" w:rsidRPr="00BC531C" w:rsidRDefault="003969FA" w:rsidP="00AF79C5">
            <w:pPr>
              <w:pStyle w:val="TableTitle"/>
              <w:spacing w:before="120" w:after="0" w:line="120" w:lineRule="atLeast"/>
              <w:rPr>
                <w:sz w:val="18"/>
                <w:szCs w:val="18"/>
              </w:rPr>
            </w:pPr>
            <w:r w:rsidRPr="00BC531C">
              <w:rPr>
                <w:sz w:val="18"/>
                <w:szCs w:val="18"/>
              </w:rPr>
              <w:t>E2* (continuous on 1-5)</w:t>
            </w:r>
          </w:p>
        </w:tc>
        <w:tc>
          <w:tcPr>
            <w:tcW w:w="777" w:type="dxa"/>
          </w:tcPr>
          <w:p w14:paraId="1F119D7E"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727" w:type="dxa"/>
          </w:tcPr>
          <w:p w14:paraId="01D3BF39"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857" w:type="dxa"/>
          </w:tcPr>
          <w:p w14:paraId="335B9605"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136" w:type="dxa"/>
          </w:tcPr>
          <w:p w14:paraId="5B970D04"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039" w:type="dxa"/>
          </w:tcPr>
          <w:p w14:paraId="4CDB4312"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136" w:type="dxa"/>
            <w:gridSpan w:val="2"/>
          </w:tcPr>
          <w:p w14:paraId="12A8E39B"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540" w:type="dxa"/>
            <w:gridSpan w:val="2"/>
          </w:tcPr>
          <w:p w14:paraId="74307185"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gridSpan w:val="2"/>
          </w:tcPr>
          <w:p w14:paraId="017FEEB6"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r>
      <w:tr w:rsidR="003969FA" w14:paraId="2E62AA02" w14:textId="77777777" w:rsidTr="00BC531C">
        <w:trPr>
          <w:trHeight w:val="60"/>
        </w:trPr>
        <w:tc>
          <w:tcPr>
            <w:cnfStyle w:val="001000000000" w:firstRow="0" w:lastRow="0" w:firstColumn="1" w:lastColumn="0" w:oddVBand="0" w:evenVBand="0" w:oddHBand="0" w:evenHBand="0" w:firstRowFirstColumn="0" w:firstRowLastColumn="0" w:lastRowFirstColumn="0" w:lastRowLastColumn="0"/>
            <w:tcW w:w="2268" w:type="dxa"/>
          </w:tcPr>
          <w:p w14:paraId="18347E00" w14:textId="77777777" w:rsidR="003969FA" w:rsidRPr="00BC531C" w:rsidRDefault="003969FA" w:rsidP="00AF79C5">
            <w:pPr>
              <w:pStyle w:val="TableTitle"/>
              <w:spacing w:before="120" w:after="0" w:line="120" w:lineRule="atLeast"/>
              <w:rPr>
                <w:sz w:val="18"/>
                <w:szCs w:val="18"/>
              </w:rPr>
            </w:pPr>
            <w:r w:rsidRPr="00BC531C">
              <w:rPr>
                <w:sz w:val="18"/>
                <w:szCs w:val="18"/>
              </w:rPr>
              <w:t>E4 (ordinal on 0-11)</w:t>
            </w:r>
          </w:p>
        </w:tc>
        <w:tc>
          <w:tcPr>
            <w:tcW w:w="777" w:type="dxa"/>
          </w:tcPr>
          <w:p w14:paraId="30D28607"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727" w:type="dxa"/>
          </w:tcPr>
          <w:p w14:paraId="176C8955"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857" w:type="dxa"/>
          </w:tcPr>
          <w:p w14:paraId="39DD485A"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136" w:type="dxa"/>
          </w:tcPr>
          <w:p w14:paraId="792D64F1"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039" w:type="dxa"/>
          </w:tcPr>
          <w:p w14:paraId="5D867B91"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136" w:type="dxa"/>
            <w:gridSpan w:val="2"/>
          </w:tcPr>
          <w:p w14:paraId="0B3F59FF"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540" w:type="dxa"/>
            <w:gridSpan w:val="2"/>
          </w:tcPr>
          <w:p w14:paraId="186C49D4"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gridSpan w:val="2"/>
          </w:tcPr>
          <w:p w14:paraId="0D591AB8"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r>
      <w:tr w:rsidR="003969FA" w14:paraId="628EF252" w14:textId="77777777" w:rsidTr="00BC531C">
        <w:trPr>
          <w:trHeight w:val="319"/>
        </w:trPr>
        <w:tc>
          <w:tcPr>
            <w:cnfStyle w:val="001000000000" w:firstRow="0" w:lastRow="0" w:firstColumn="1" w:lastColumn="0" w:oddVBand="0" w:evenVBand="0" w:oddHBand="0" w:evenHBand="0" w:firstRowFirstColumn="0" w:firstRowLastColumn="0" w:lastRowFirstColumn="0" w:lastRowLastColumn="0"/>
            <w:tcW w:w="2268" w:type="dxa"/>
          </w:tcPr>
          <w:p w14:paraId="1A20EC2A" w14:textId="77777777" w:rsidR="003969FA" w:rsidRPr="00BC531C" w:rsidRDefault="003969FA" w:rsidP="00AF79C5">
            <w:pPr>
              <w:pStyle w:val="TableTitle"/>
              <w:spacing w:before="120" w:after="0" w:line="120" w:lineRule="atLeast"/>
              <w:rPr>
                <w:sz w:val="18"/>
                <w:szCs w:val="18"/>
              </w:rPr>
            </w:pPr>
            <w:r w:rsidRPr="00BC531C">
              <w:rPr>
                <w:sz w:val="18"/>
                <w:szCs w:val="18"/>
              </w:rPr>
              <w:t>E5* (continuous on 1-5)</w:t>
            </w:r>
          </w:p>
        </w:tc>
        <w:tc>
          <w:tcPr>
            <w:tcW w:w="777" w:type="dxa"/>
          </w:tcPr>
          <w:p w14:paraId="7C10CE23"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727" w:type="dxa"/>
          </w:tcPr>
          <w:p w14:paraId="2BC10E7A"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857" w:type="dxa"/>
          </w:tcPr>
          <w:p w14:paraId="2855183E"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136" w:type="dxa"/>
          </w:tcPr>
          <w:p w14:paraId="638FC5A8"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039" w:type="dxa"/>
          </w:tcPr>
          <w:p w14:paraId="1D9EB4A5"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136" w:type="dxa"/>
            <w:gridSpan w:val="2"/>
          </w:tcPr>
          <w:p w14:paraId="6C84E605"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540" w:type="dxa"/>
            <w:gridSpan w:val="2"/>
          </w:tcPr>
          <w:p w14:paraId="417943FB"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gridSpan w:val="2"/>
          </w:tcPr>
          <w:p w14:paraId="6431B8E4" w14:textId="77777777" w:rsidR="003969FA" w:rsidRPr="008941A8" w:rsidRDefault="003969FA" w:rsidP="00AF79C5">
            <w:pPr>
              <w:spacing w:after="0"/>
              <w:cnfStyle w:val="000000000000" w:firstRow="0" w:lastRow="0" w:firstColumn="0" w:lastColumn="0" w:oddVBand="0" w:evenVBand="0" w:oddHBand="0" w:evenHBand="0" w:firstRowFirstColumn="0" w:firstRowLastColumn="0" w:lastRowFirstColumn="0" w:lastRowLastColumn="0"/>
              <w:rPr>
                <w:sz w:val="18"/>
                <w:szCs w:val="18"/>
              </w:rPr>
            </w:pPr>
          </w:p>
        </w:tc>
      </w:tr>
    </w:tbl>
    <w:p w14:paraId="19DB7EA2" w14:textId="78CFDF91" w:rsidR="003969FA" w:rsidRDefault="003969FA" w:rsidP="003969FA">
      <w:pPr>
        <w:spacing w:before="0" w:after="0" w:line="240" w:lineRule="auto"/>
      </w:pPr>
    </w:p>
    <w:p w14:paraId="2ABE3FAF" w14:textId="77777777" w:rsidR="00BC531C" w:rsidRDefault="00BC531C" w:rsidP="00BC531C">
      <w:r>
        <w:t xml:space="preserve">*Note that the mean scores for Questions E2 and E5 are pooled across Likert-scales for five and three statements, respectively. </w:t>
      </w:r>
    </w:p>
    <w:p w14:paraId="27F10DA2" w14:textId="77777777" w:rsidR="00145AE6" w:rsidRPr="00B11B21" w:rsidRDefault="00145AE6" w:rsidP="00145AE6">
      <w:pPr>
        <w:pStyle w:val="TableTitle"/>
        <w:spacing w:before="240"/>
      </w:pPr>
      <w:r>
        <w:t>Main outcome table 2 – comparisons of treatment effect for each experimental group</w:t>
      </w:r>
    </w:p>
    <w:tbl>
      <w:tblPr>
        <w:tblStyle w:val="DefaultTable"/>
        <w:tblW w:w="9622" w:type="dxa"/>
        <w:tblLook w:val="04A0" w:firstRow="1" w:lastRow="0" w:firstColumn="1" w:lastColumn="0" w:noHBand="0" w:noVBand="1"/>
        <w:tblCaption w:val="Main outcome table 2 – comparisons of treatment effect for each experimental group"/>
        <w:tblDescription w:val="The cells for this table are blank. The table hows where treatment effects, standard errors, 95 per cent confidence intervals, and p values associated with each experimental group, as compared to the existing AER fact sheet, would be filled. "/>
      </w:tblPr>
      <w:tblGrid>
        <w:gridCol w:w="3544"/>
        <w:gridCol w:w="1985"/>
        <w:gridCol w:w="1984"/>
        <w:gridCol w:w="2109"/>
      </w:tblGrid>
      <w:tr w:rsidR="00145AE6" w14:paraId="3D098A61" w14:textId="77777777" w:rsidTr="00145AE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544" w:type="dxa"/>
          </w:tcPr>
          <w:p w14:paraId="1BB4F899" w14:textId="77777777" w:rsidR="00145AE6" w:rsidRPr="00AF79C5" w:rsidRDefault="00145AE6" w:rsidP="00AF79C5">
            <w:pPr>
              <w:pStyle w:val="TableTitle"/>
              <w:spacing w:after="0"/>
              <w:jc w:val="center"/>
              <w:rPr>
                <w:sz w:val="18"/>
                <w:szCs w:val="18"/>
              </w:rPr>
            </w:pPr>
          </w:p>
        </w:tc>
        <w:tc>
          <w:tcPr>
            <w:tcW w:w="1985" w:type="dxa"/>
          </w:tcPr>
          <w:p w14:paraId="08B1C3A0" w14:textId="77777777" w:rsidR="00145AE6" w:rsidRPr="00AF79C5" w:rsidRDefault="00145AE6" w:rsidP="00AF79C5">
            <w:pPr>
              <w:pStyle w:val="TableTitle"/>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AF79C5">
              <w:rPr>
                <w:sz w:val="18"/>
                <w:szCs w:val="18"/>
              </w:rPr>
              <w:t>Coefficient</w:t>
            </w:r>
          </w:p>
          <w:p w14:paraId="26AA93E3" w14:textId="77777777" w:rsidR="00145AE6" w:rsidRPr="00AF79C5" w:rsidRDefault="00145AE6" w:rsidP="00AF79C5">
            <w:pPr>
              <w:pStyle w:val="TableTitle"/>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AF79C5">
              <w:rPr>
                <w:sz w:val="18"/>
                <w:szCs w:val="18"/>
              </w:rPr>
              <w:t>(S.E.)</w:t>
            </w:r>
          </w:p>
        </w:tc>
        <w:tc>
          <w:tcPr>
            <w:tcW w:w="1984" w:type="dxa"/>
          </w:tcPr>
          <w:p w14:paraId="669EBD7B" w14:textId="5BCC6181" w:rsidR="00145AE6" w:rsidRPr="00AF79C5" w:rsidRDefault="00145AE6" w:rsidP="00AF79C5">
            <w:pPr>
              <w:pStyle w:val="TableTitle"/>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AF79C5">
              <w:rPr>
                <w:sz w:val="18"/>
                <w:szCs w:val="18"/>
              </w:rPr>
              <w:t>95% Confidence Interval</w:t>
            </w:r>
          </w:p>
        </w:tc>
        <w:tc>
          <w:tcPr>
            <w:tcW w:w="2109" w:type="dxa"/>
          </w:tcPr>
          <w:p w14:paraId="72D80C0B" w14:textId="77777777" w:rsidR="00145AE6" w:rsidRPr="00AF79C5" w:rsidRDefault="00145AE6" w:rsidP="00AF79C5">
            <w:pPr>
              <w:pStyle w:val="TableTitle"/>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AF79C5">
              <w:rPr>
                <w:sz w:val="18"/>
                <w:szCs w:val="18"/>
              </w:rPr>
              <w:t>Significance</w:t>
            </w:r>
          </w:p>
          <w:p w14:paraId="65530591" w14:textId="77777777" w:rsidR="00145AE6" w:rsidRPr="00AF79C5" w:rsidRDefault="00145AE6" w:rsidP="00AF79C5">
            <w:pPr>
              <w:pStyle w:val="TableTitle"/>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AF79C5">
              <w:rPr>
                <w:sz w:val="18"/>
                <w:szCs w:val="18"/>
              </w:rPr>
              <w:t>(p-value)</w:t>
            </w:r>
          </w:p>
        </w:tc>
      </w:tr>
      <w:tr w:rsidR="00145AE6" w14:paraId="6DDC762D" w14:textId="77777777" w:rsidTr="00145AE6">
        <w:trPr>
          <w:trHeight w:val="198"/>
        </w:trPr>
        <w:tc>
          <w:tcPr>
            <w:cnfStyle w:val="001000000000" w:firstRow="0" w:lastRow="0" w:firstColumn="1" w:lastColumn="0" w:oddVBand="0" w:evenVBand="0" w:oddHBand="0" w:evenHBand="0" w:firstRowFirstColumn="0" w:firstRowLastColumn="0" w:lastRowFirstColumn="0" w:lastRowLastColumn="0"/>
            <w:tcW w:w="3544" w:type="dxa"/>
          </w:tcPr>
          <w:p w14:paraId="320E8AFF" w14:textId="77777777" w:rsidR="00145AE6" w:rsidRPr="00145AE6" w:rsidRDefault="00145AE6" w:rsidP="00145AE6">
            <w:pPr>
              <w:pStyle w:val="TableTitle"/>
              <w:spacing w:before="0"/>
              <w:rPr>
                <w:sz w:val="18"/>
                <w:szCs w:val="18"/>
              </w:rPr>
            </w:pPr>
            <w:r w:rsidRPr="00145AE6">
              <w:rPr>
                <w:sz w:val="18"/>
                <w:szCs w:val="18"/>
              </w:rPr>
              <w:t xml:space="preserve">Bar graph </w:t>
            </w:r>
          </w:p>
        </w:tc>
        <w:tc>
          <w:tcPr>
            <w:tcW w:w="1985" w:type="dxa"/>
          </w:tcPr>
          <w:p w14:paraId="72F737B8" w14:textId="77777777" w:rsidR="00145AE6" w:rsidRPr="00EA0D53" w:rsidRDefault="00145AE6" w:rsidP="00145AE6">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984" w:type="dxa"/>
          </w:tcPr>
          <w:p w14:paraId="11217AF1" w14:textId="77777777" w:rsidR="00145AE6" w:rsidRPr="00EA0D53" w:rsidRDefault="00145AE6" w:rsidP="00145AE6">
            <w:pPr>
              <w:spacing w:befor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09" w:type="dxa"/>
          </w:tcPr>
          <w:p w14:paraId="4C763502" w14:textId="77777777" w:rsidR="00145AE6" w:rsidRPr="00EA0D53" w:rsidRDefault="00145AE6" w:rsidP="00145AE6">
            <w:pPr>
              <w:spacing w:befor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145AE6" w14:paraId="4D359933" w14:textId="77777777" w:rsidTr="00145AE6">
        <w:trPr>
          <w:trHeight w:val="203"/>
        </w:trPr>
        <w:tc>
          <w:tcPr>
            <w:cnfStyle w:val="001000000000" w:firstRow="0" w:lastRow="0" w:firstColumn="1" w:lastColumn="0" w:oddVBand="0" w:evenVBand="0" w:oddHBand="0" w:evenHBand="0" w:firstRowFirstColumn="0" w:firstRowLastColumn="0" w:lastRowFirstColumn="0" w:lastRowLastColumn="0"/>
            <w:tcW w:w="3544" w:type="dxa"/>
          </w:tcPr>
          <w:p w14:paraId="3DAE7E21" w14:textId="77777777" w:rsidR="00145AE6" w:rsidRPr="00145AE6" w:rsidRDefault="00145AE6" w:rsidP="00145AE6">
            <w:pPr>
              <w:pStyle w:val="TableTitle"/>
              <w:spacing w:before="0"/>
              <w:rPr>
                <w:sz w:val="18"/>
                <w:szCs w:val="18"/>
              </w:rPr>
            </w:pPr>
            <w:r w:rsidRPr="00145AE6">
              <w:rPr>
                <w:sz w:val="18"/>
                <w:szCs w:val="18"/>
              </w:rPr>
              <w:t>Base rate + houses</w:t>
            </w:r>
          </w:p>
        </w:tc>
        <w:tc>
          <w:tcPr>
            <w:tcW w:w="1985" w:type="dxa"/>
          </w:tcPr>
          <w:p w14:paraId="6A299379" w14:textId="77777777" w:rsidR="00145AE6" w:rsidRPr="00EA0D53" w:rsidRDefault="00145AE6" w:rsidP="00145AE6">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984" w:type="dxa"/>
          </w:tcPr>
          <w:p w14:paraId="580B80D7" w14:textId="77777777" w:rsidR="00145AE6" w:rsidRPr="00EA0D53" w:rsidRDefault="00145AE6" w:rsidP="00145AE6">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09" w:type="dxa"/>
          </w:tcPr>
          <w:p w14:paraId="4C5AA9EC" w14:textId="77777777" w:rsidR="00145AE6" w:rsidRPr="00EA0D53" w:rsidRDefault="00145AE6" w:rsidP="00145AE6">
            <w:pPr>
              <w:spacing w:befor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145AE6" w14:paraId="3BEA1A4E" w14:textId="77777777" w:rsidTr="00145AE6">
        <w:trPr>
          <w:trHeight w:val="245"/>
        </w:trPr>
        <w:tc>
          <w:tcPr>
            <w:cnfStyle w:val="001000000000" w:firstRow="0" w:lastRow="0" w:firstColumn="1" w:lastColumn="0" w:oddVBand="0" w:evenVBand="0" w:oddHBand="0" w:evenHBand="0" w:firstRowFirstColumn="0" w:firstRowLastColumn="0" w:lastRowFirstColumn="0" w:lastRowLastColumn="0"/>
            <w:tcW w:w="3544" w:type="dxa"/>
          </w:tcPr>
          <w:p w14:paraId="1C432AE5" w14:textId="77777777" w:rsidR="00145AE6" w:rsidRPr="00145AE6" w:rsidRDefault="00145AE6" w:rsidP="00145AE6">
            <w:pPr>
              <w:pStyle w:val="TableTitle"/>
              <w:spacing w:before="0"/>
              <w:rPr>
                <w:sz w:val="18"/>
                <w:szCs w:val="18"/>
              </w:rPr>
            </w:pPr>
            <w:r w:rsidRPr="00145AE6">
              <w:rPr>
                <w:sz w:val="18"/>
                <w:szCs w:val="18"/>
              </w:rPr>
              <w:t>Base rate + household items</w:t>
            </w:r>
          </w:p>
        </w:tc>
        <w:tc>
          <w:tcPr>
            <w:tcW w:w="1985" w:type="dxa"/>
          </w:tcPr>
          <w:p w14:paraId="57D16636" w14:textId="77777777" w:rsidR="00145AE6" w:rsidRPr="00EA0D53" w:rsidRDefault="00145AE6" w:rsidP="00145AE6">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984" w:type="dxa"/>
          </w:tcPr>
          <w:p w14:paraId="174B0959" w14:textId="77777777" w:rsidR="00145AE6" w:rsidRPr="00EA0D53" w:rsidRDefault="00145AE6" w:rsidP="00145AE6">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09" w:type="dxa"/>
          </w:tcPr>
          <w:p w14:paraId="34B26C1B" w14:textId="77777777" w:rsidR="00145AE6" w:rsidRPr="00EA0D53" w:rsidRDefault="00145AE6" w:rsidP="00145AE6">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145AE6" w14:paraId="138166DB" w14:textId="77777777" w:rsidTr="00145AE6">
        <w:trPr>
          <w:trHeight w:val="250"/>
        </w:trPr>
        <w:tc>
          <w:tcPr>
            <w:cnfStyle w:val="001000000000" w:firstRow="0" w:lastRow="0" w:firstColumn="1" w:lastColumn="0" w:oddVBand="0" w:evenVBand="0" w:oddHBand="0" w:evenHBand="0" w:firstRowFirstColumn="0" w:firstRowLastColumn="0" w:lastRowFirstColumn="0" w:lastRowLastColumn="0"/>
            <w:tcW w:w="3544" w:type="dxa"/>
          </w:tcPr>
          <w:p w14:paraId="1EFFFBA7" w14:textId="77777777" w:rsidR="00145AE6" w:rsidRPr="00145AE6" w:rsidRDefault="00145AE6" w:rsidP="00145AE6">
            <w:pPr>
              <w:pStyle w:val="TableTitle"/>
              <w:spacing w:before="0"/>
              <w:rPr>
                <w:sz w:val="18"/>
                <w:szCs w:val="18"/>
              </w:rPr>
            </w:pPr>
            <w:r w:rsidRPr="00145AE6">
              <w:rPr>
                <w:sz w:val="18"/>
                <w:szCs w:val="18"/>
              </w:rPr>
              <w:t xml:space="preserve">Base rate / discount rate + houses </w:t>
            </w:r>
          </w:p>
        </w:tc>
        <w:tc>
          <w:tcPr>
            <w:tcW w:w="1985" w:type="dxa"/>
          </w:tcPr>
          <w:p w14:paraId="5D65FCEC" w14:textId="77777777" w:rsidR="00145AE6" w:rsidRPr="00EA0D53" w:rsidRDefault="00145AE6" w:rsidP="00145AE6">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984" w:type="dxa"/>
          </w:tcPr>
          <w:p w14:paraId="2CA4DFF9" w14:textId="77777777" w:rsidR="00145AE6" w:rsidRPr="00EA0D53" w:rsidRDefault="00145AE6" w:rsidP="00145AE6">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09" w:type="dxa"/>
          </w:tcPr>
          <w:p w14:paraId="4C311F0F" w14:textId="77777777" w:rsidR="00145AE6" w:rsidRPr="00EA0D53" w:rsidRDefault="00145AE6" w:rsidP="00145AE6">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145AE6" w14:paraId="50839752" w14:textId="77777777" w:rsidTr="00145AE6">
        <w:trPr>
          <w:trHeight w:val="323"/>
        </w:trPr>
        <w:tc>
          <w:tcPr>
            <w:cnfStyle w:val="001000000000" w:firstRow="0" w:lastRow="0" w:firstColumn="1" w:lastColumn="0" w:oddVBand="0" w:evenVBand="0" w:oddHBand="0" w:evenHBand="0" w:firstRowFirstColumn="0" w:firstRowLastColumn="0" w:lastRowFirstColumn="0" w:lastRowLastColumn="0"/>
            <w:tcW w:w="3544" w:type="dxa"/>
          </w:tcPr>
          <w:p w14:paraId="6653A251" w14:textId="77777777" w:rsidR="00145AE6" w:rsidRPr="00145AE6" w:rsidRDefault="00145AE6" w:rsidP="00145AE6">
            <w:pPr>
              <w:pStyle w:val="TableTitle"/>
              <w:spacing w:before="0"/>
              <w:rPr>
                <w:sz w:val="18"/>
                <w:szCs w:val="18"/>
              </w:rPr>
            </w:pPr>
            <w:r w:rsidRPr="00145AE6">
              <w:rPr>
                <w:sz w:val="18"/>
                <w:szCs w:val="18"/>
              </w:rPr>
              <w:t>Base rate / discount rate + household items</w:t>
            </w:r>
          </w:p>
        </w:tc>
        <w:tc>
          <w:tcPr>
            <w:tcW w:w="1985" w:type="dxa"/>
          </w:tcPr>
          <w:p w14:paraId="3186F78F" w14:textId="3F32636E" w:rsidR="00145AE6" w:rsidRPr="00EA0D53" w:rsidRDefault="00145AE6" w:rsidP="00145AE6">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984" w:type="dxa"/>
          </w:tcPr>
          <w:p w14:paraId="21D405A3" w14:textId="77777777" w:rsidR="00145AE6" w:rsidRPr="00EA0D53" w:rsidRDefault="00145AE6" w:rsidP="00145AE6">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09" w:type="dxa"/>
          </w:tcPr>
          <w:p w14:paraId="5DE90C24" w14:textId="0F6CA016" w:rsidR="00145AE6" w:rsidRPr="00EA0D53" w:rsidRDefault="00145AE6" w:rsidP="00145AE6">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1B307A44" w14:textId="31E109E4" w:rsidR="00AF79C5" w:rsidRDefault="00AF79C5" w:rsidP="00AF79C5">
      <w:pPr>
        <w:pStyle w:val="Heading3"/>
      </w:pPr>
      <w:r>
        <w:t>5. References</w:t>
      </w:r>
    </w:p>
    <w:p w14:paraId="05A5831D" w14:textId="38EA3BB4" w:rsidR="00AF79C5" w:rsidRDefault="00AF79C5" w:rsidP="00AF79C5">
      <w:proofErr w:type="spellStart"/>
      <w:r>
        <w:t>Briarbird</w:t>
      </w:r>
      <w:proofErr w:type="spellEnd"/>
      <w:r>
        <w:t xml:space="preserve">. 2017. “Enhanced website feasibility report: Energy Made Easy website” on behalf of Australian Energy Regulator. </w:t>
      </w:r>
    </w:p>
    <w:p w14:paraId="560A97C0" w14:textId="70092A12" w:rsidR="00AF79C5" w:rsidRDefault="00AF79C5" w:rsidP="00AF79C5">
      <w:proofErr w:type="spellStart"/>
      <w:r>
        <w:t>Judkins</w:t>
      </w:r>
      <w:proofErr w:type="spellEnd"/>
      <w:r>
        <w:t>, D.R. and Porter, K.E. “</w:t>
      </w:r>
      <w:r w:rsidR="00ED4B34">
        <w:t>Robustness</w:t>
      </w:r>
      <w:r>
        <w:t xml:space="preserve"> of ordinary least </w:t>
      </w:r>
      <w:r w:rsidR="00ED4B34">
        <w:t>squares</w:t>
      </w:r>
      <w:r>
        <w:t xml:space="preserve"> in randomized clinical trials”. Statistics in Medicine. Wiley.</w:t>
      </w:r>
    </w:p>
    <w:p w14:paraId="6F6C93D6" w14:textId="77777777" w:rsidR="00AF79C5" w:rsidRDefault="00AF79C5" w:rsidP="00AF79C5">
      <w:r>
        <w:t xml:space="preserve">Montgomery, D.C. 2013. </w:t>
      </w:r>
      <w:r w:rsidRPr="00186484">
        <w:rPr>
          <w:i/>
        </w:rPr>
        <w:t>Design and Analysis of Experiments: International Student Version</w:t>
      </w:r>
      <w:r>
        <w:t>. 8</w:t>
      </w:r>
      <w:r w:rsidRPr="00186484">
        <w:rPr>
          <w:vertAlign w:val="superscript"/>
        </w:rPr>
        <w:t>th</w:t>
      </w:r>
      <w:r>
        <w:t xml:space="preserve"> ed. Wiley.</w:t>
      </w:r>
    </w:p>
    <w:p w14:paraId="10362C62" w14:textId="77777777" w:rsidR="00A212C5" w:rsidRDefault="00A212C5" w:rsidP="00C6442A">
      <w:pPr>
        <w:sectPr w:rsidR="00A212C5" w:rsidSect="008253C4">
          <w:headerReference w:type="default" r:id="rId12"/>
          <w:footerReference w:type="default" r:id="rId13"/>
          <w:pgSz w:w="11906" w:h="16838" w:code="9"/>
          <w:pgMar w:top="2041" w:right="2381" w:bottom="1247" w:left="1247" w:header="720" w:footer="851" w:gutter="0"/>
          <w:cols w:space="708"/>
          <w:docGrid w:linePitch="360"/>
        </w:sectPr>
      </w:pPr>
    </w:p>
    <w:p w14:paraId="42E1DC04" w14:textId="611E9262" w:rsidR="00F7782D" w:rsidRDefault="008D3188" w:rsidP="000E51CE">
      <w:pPr>
        <w:pStyle w:val="DisclaimerH1"/>
      </w:pPr>
      <w:r>
        <w:rPr>
          <w:noProof/>
        </w:rPr>
        <w:lastRenderedPageBreak/>
        <w:drawing>
          <wp:inline distT="0" distB="0" distL="0" distR="0" wp14:anchorId="6CE298E8" wp14:editId="4E97672C">
            <wp:extent cx="2349498" cy="324293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6780" cy="3252981"/>
                    </a:xfrm>
                    <a:prstGeom prst="rect">
                      <a:avLst/>
                    </a:prstGeom>
                  </pic:spPr>
                </pic:pic>
              </a:graphicData>
            </a:graphic>
          </wp:inline>
        </w:drawing>
      </w:r>
    </w:p>
    <w:p w14:paraId="6DC25314" w14:textId="77777777" w:rsidR="00F7782D" w:rsidRDefault="00F7782D" w:rsidP="00F7782D">
      <w:pPr>
        <w:pStyle w:val="DisclaimerH2"/>
      </w:pPr>
      <w:r>
        <w:t>© Commonwealth of Australia 2017</w:t>
      </w:r>
    </w:p>
    <w:p w14:paraId="4AA87EE2" w14:textId="577810D0" w:rsidR="00F7782D" w:rsidRDefault="00F7782D" w:rsidP="00F7782D">
      <w:pPr>
        <w:pStyle w:val="DisclaimerH2"/>
      </w:pPr>
      <w:r>
        <w:t>Copyright Notice</w:t>
      </w:r>
    </w:p>
    <w:p w14:paraId="3D1890AC" w14:textId="77777777" w:rsidR="00F7782D" w:rsidRDefault="00F7782D" w:rsidP="00F7782D">
      <w:r>
        <w:t xml:space="preserve">With the exception of the Commonwealth Coat of Arms, this work is licensed under a Creative Commons Attribution 4.0 International license (CC BY 4.0) </w:t>
      </w:r>
      <w:hyperlink r:id="rId15" w:history="1">
        <w:r w:rsidR="00C26A06" w:rsidRPr="006911C0">
          <w:rPr>
            <w:rStyle w:val="Hyperlink"/>
          </w:rPr>
          <w:t>http://creativecommons.org/licensesby/4.0/deed.en</w:t>
        </w:r>
      </w:hyperlink>
    </w:p>
    <w:p w14:paraId="7272F7E3" w14:textId="77777777" w:rsidR="00F7782D" w:rsidRDefault="00C26A06" w:rsidP="00C26A06">
      <w:pPr>
        <w:spacing w:before="240"/>
      </w:pPr>
      <w:r>
        <w:rPr>
          <w:noProof/>
        </w:rPr>
        <w:drawing>
          <wp:inline distT="0" distB="0" distL="0" distR="0" wp14:anchorId="694543E7" wp14:editId="214AF319">
            <wp:extent cx="771146" cy="307849"/>
            <wp:effectExtent l="0" t="0" r="0" b="0"/>
            <wp:docPr id="6" name="Picture 6"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3F9CC4C3" w14:textId="77777777" w:rsidR="00F7782D" w:rsidRDefault="00F7782D" w:rsidP="00F7782D">
      <w:pPr>
        <w:pStyle w:val="DisclaimerH2"/>
      </w:pPr>
      <w:r>
        <w:t>Third party copyright</w:t>
      </w:r>
    </w:p>
    <w:p w14:paraId="7C354C12" w14:textId="77777777" w:rsidR="00F7782D" w:rsidRDefault="00F7782D" w:rsidP="00F7782D">
      <w:r>
        <w:t>Wherever a third party holds copyright in this material, the copyright remains with that party. Their permission may be required to use the material. Please contact them directly.</w:t>
      </w:r>
    </w:p>
    <w:p w14:paraId="23B44993" w14:textId="77777777" w:rsidR="00F7782D" w:rsidRDefault="00F7782D" w:rsidP="00F7782D">
      <w:pPr>
        <w:pStyle w:val="DisclaimerH2"/>
      </w:pPr>
      <w:r>
        <w:t>Attribution</w:t>
      </w:r>
    </w:p>
    <w:p w14:paraId="567749C4" w14:textId="77777777" w:rsidR="00F7782D" w:rsidRDefault="00F7782D" w:rsidP="00F7782D">
      <w:r>
        <w:t xml:space="preserve">This publication should be attributed as follows: Commonwealth of Australia, Department of the Prime Minister and Cabinet, Effective use of SMS: timely reminders to report on time. </w:t>
      </w:r>
    </w:p>
    <w:p w14:paraId="3955DB57" w14:textId="77777777" w:rsidR="00F7782D" w:rsidRDefault="00F7782D" w:rsidP="00F7782D">
      <w:pPr>
        <w:pStyle w:val="DisclaimerH2"/>
      </w:pPr>
      <w:r>
        <w:t>Use of the Coat of Arms</w:t>
      </w:r>
    </w:p>
    <w:p w14:paraId="2DCC6B1A" w14:textId="77777777" w:rsidR="00C26A06" w:rsidRDefault="00F7782D" w:rsidP="00F7782D">
      <w:r>
        <w:t xml:space="preserve">The terms under which the Coat of Arms can be used are detailed on the following website: </w:t>
      </w:r>
      <w:hyperlink r:id="rId17" w:history="1">
        <w:r w:rsidR="00C26A06" w:rsidRPr="006911C0">
          <w:rPr>
            <w:rStyle w:val="Hyperlink"/>
          </w:rPr>
          <w:t>http://www.itsanhonour.gov.au/coat-arms</w:t>
        </w:r>
      </w:hyperlink>
    </w:p>
    <w:p w14:paraId="3FA3BA33" w14:textId="1A8136B2" w:rsidR="001A0BF0" w:rsidRPr="004A4D74" w:rsidRDefault="008D3188" w:rsidP="008D3188">
      <w:r w:rsidRPr="004A4D74">
        <w:t xml:space="preserve"> </w:t>
      </w:r>
    </w:p>
    <w:p w14:paraId="072B0CD9" w14:textId="77777777" w:rsidR="00037F3D" w:rsidRPr="00037F3D" w:rsidRDefault="00037F3D" w:rsidP="00037F3D">
      <w:pPr>
        <w:spacing w:before="0" w:after="0" w:line="240" w:lineRule="auto"/>
        <w:rPr>
          <w:sz w:val="2"/>
          <w:szCs w:val="2"/>
        </w:rPr>
      </w:pPr>
    </w:p>
    <w:sectPr w:rsidR="00037F3D" w:rsidRPr="00037F3D" w:rsidSect="00F202CA">
      <w:headerReference w:type="default" r:id="rId18"/>
      <w:footerReference w:type="default" r:id="rId19"/>
      <w:pgSz w:w="11906" w:h="16838" w:code="9"/>
      <w:pgMar w:top="720" w:right="2381" w:bottom="1247" w:left="124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0392D" w14:textId="77777777" w:rsidR="00CB6D0A" w:rsidRDefault="00CB6D0A">
      <w:r>
        <w:separator/>
      </w:r>
    </w:p>
  </w:endnote>
  <w:endnote w:type="continuationSeparator" w:id="0">
    <w:p w14:paraId="28C20A98" w14:textId="77777777" w:rsidR="00CB6D0A" w:rsidRDefault="00CB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1D11" w14:textId="315C74CF" w:rsidR="00241D14" w:rsidRDefault="00241D14"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1909AB">
      <w:rPr>
        <w:noProof/>
      </w:rPr>
      <w:t>1</w:t>
    </w:r>
    <w:r w:rsidRPr="00D91DE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0D972" w14:textId="77777777" w:rsidR="00241D14" w:rsidRPr="00F202CA" w:rsidRDefault="00241D14"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B746D" w14:textId="77777777" w:rsidR="00CB6D0A" w:rsidRDefault="00CB6D0A">
      <w:r>
        <w:separator/>
      </w:r>
    </w:p>
  </w:footnote>
  <w:footnote w:type="continuationSeparator" w:id="0">
    <w:p w14:paraId="14062F42" w14:textId="77777777" w:rsidR="00CB6D0A" w:rsidRDefault="00CB6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F2EF" w14:textId="77777777" w:rsidR="00241D14" w:rsidRDefault="00241D14">
    <w:pPr>
      <w:pStyle w:val="Header"/>
    </w:pPr>
    <w:r>
      <w:t>Document title goes here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2336A" w14:textId="77777777" w:rsidR="00241D14" w:rsidRPr="00F202CA" w:rsidRDefault="00241D14" w:rsidP="00F2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BE7092"/>
    <w:multiLevelType w:val="hybridMultilevel"/>
    <w:tmpl w:val="CD5AA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1790B"/>
    <w:multiLevelType w:val="hybridMultilevel"/>
    <w:tmpl w:val="F39060F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13508E"/>
    <w:multiLevelType w:val="hybridMultilevel"/>
    <w:tmpl w:val="A232E268"/>
    <w:lvl w:ilvl="0" w:tplc="A7608FEA">
      <w:start w:val="1"/>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0A4F30"/>
    <w:multiLevelType w:val="hybridMultilevel"/>
    <w:tmpl w:val="37620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5D36CBF"/>
    <w:multiLevelType w:val="multilevel"/>
    <w:tmpl w:val="32FEB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EF7E62"/>
    <w:multiLevelType w:val="hybridMultilevel"/>
    <w:tmpl w:val="760E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195CB6"/>
    <w:multiLevelType w:val="hybridMultilevel"/>
    <w:tmpl w:val="1A708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664EBD"/>
    <w:multiLevelType w:val="hybridMultilevel"/>
    <w:tmpl w:val="612C2D56"/>
    <w:lvl w:ilvl="0" w:tplc="A948BAAC">
      <w:start w:val="1"/>
      <w:numFmt w:val="decimal"/>
      <w:lvlText w:val="%1)"/>
      <w:lvlJc w:val="left"/>
      <w:pPr>
        <w:ind w:left="720" w:hanging="360"/>
      </w:pPr>
      <w:rPr>
        <w:rFonts w:asciiTheme="majorHAnsi" w:eastAsiaTheme="minorHAnsi" w:hAnsiTheme="maj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6"/>
  </w:num>
  <w:num w:numId="6">
    <w:abstractNumId w:val="5"/>
  </w:num>
  <w:num w:numId="7">
    <w:abstractNumId w:val="9"/>
  </w:num>
  <w:num w:numId="8">
    <w:abstractNumId w:val="3"/>
  </w:num>
  <w:num w:numId="9">
    <w:abstractNumId w:val="10"/>
  </w:num>
  <w:num w:numId="10">
    <w:abstractNumId w:val="2"/>
  </w:num>
  <w:num w:numId="11">
    <w:abstractNumId w:val="8"/>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5785"/>
    <w:rsid w:val="00006876"/>
    <w:rsid w:val="000079AD"/>
    <w:rsid w:val="00007D1F"/>
    <w:rsid w:val="00010D84"/>
    <w:rsid w:val="00010F15"/>
    <w:rsid w:val="00011CE3"/>
    <w:rsid w:val="000176B5"/>
    <w:rsid w:val="00022E9C"/>
    <w:rsid w:val="00024EF0"/>
    <w:rsid w:val="00025631"/>
    <w:rsid w:val="00027B26"/>
    <w:rsid w:val="00030705"/>
    <w:rsid w:val="00032861"/>
    <w:rsid w:val="00032B77"/>
    <w:rsid w:val="00037F3D"/>
    <w:rsid w:val="00042285"/>
    <w:rsid w:val="0004325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670B8"/>
    <w:rsid w:val="00070681"/>
    <w:rsid w:val="0007097B"/>
    <w:rsid w:val="00070F67"/>
    <w:rsid w:val="00072DA5"/>
    <w:rsid w:val="00080A09"/>
    <w:rsid w:val="00081CEB"/>
    <w:rsid w:val="00083082"/>
    <w:rsid w:val="00083F36"/>
    <w:rsid w:val="00086D9F"/>
    <w:rsid w:val="00087B2C"/>
    <w:rsid w:val="00087D4E"/>
    <w:rsid w:val="00087DBD"/>
    <w:rsid w:val="00090718"/>
    <w:rsid w:val="00091B4E"/>
    <w:rsid w:val="00091CD7"/>
    <w:rsid w:val="00093DD5"/>
    <w:rsid w:val="000A03DD"/>
    <w:rsid w:val="000A1A09"/>
    <w:rsid w:val="000A47A8"/>
    <w:rsid w:val="000A48B2"/>
    <w:rsid w:val="000A73FB"/>
    <w:rsid w:val="000B0129"/>
    <w:rsid w:val="000B218A"/>
    <w:rsid w:val="000C014D"/>
    <w:rsid w:val="000C29B4"/>
    <w:rsid w:val="000C5CD8"/>
    <w:rsid w:val="000C7A69"/>
    <w:rsid w:val="000D1158"/>
    <w:rsid w:val="000D4703"/>
    <w:rsid w:val="000E12D4"/>
    <w:rsid w:val="000E31F1"/>
    <w:rsid w:val="000E39EF"/>
    <w:rsid w:val="000E51CE"/>
    <w:rsid w:val="000E620E"/>
    <w:rsid w:val="000F2063"/>
    <w:rsid w:val="000F3D28"/>
    <w:rsid w:val="000F63C4"/>
    <w:rsid w:val="000F7463"/>
    <w:rsid w:val="00100200"/>
    <w:rsid w:val="0010263D"/>
    <w:rsid w:val="00102824"/>
    <w:rsid w:val="0010300A"/>
    <w:rsid w:val="001131F0"/>
    <w:rsid w:val="001139C7"/>
    <w:rsid w:val="00114EBC"/>
    <w:rsid w:val="001239B3"/>
    <w:rsid w:val="0012427E"/>
    <w:rsid w:val="001247E0"/>
    <w:rsid w:val="001252F6"/>
    <w:rsid w:val="00126750"/>
    <w:rsid w:val="001271A1"/>
    <w:rsid w:val="00131C0F"/>
    <w:rsid w:val="001325BF"/>
    <w:rsid w:val="00132F0D"/>
    <w:rsid w:val="00133713"/>
    <w:rsid w:val="00135B7E"/>
    <w:rsid w:val="00140B3B"/>
    <w:rsid w:val="00140FC9"/>
    <w:rsid w:val="001413C5"/>
    <w:rsid w:val="0014231B"/>
    <w:rsid w:val="00142956"/>
    <w:rsid w:val="00142D10"/>
    <w:rsid w:val="001432B0"/>
    <w:rsid w:val="00144868"/>
    <w:rsid w:val="001452BC"/>
    <w:rsid w:val="00145AE6"/>
    <w:rsid w:val="00150D2A"/>
    <w:rsid w:val="00150E25"/>
    <w:rsid w:val="00150EA9"/>
    <w:rsid w:val="00151650"/>
    <w:rsid w:val="00155B98"/>
    <w:rsid w:val="00157001"/>
    <w:rsid w:val="00157709"/>
    <w:rsid w:val="00160B66"/>
    <w:rsid w:val="00160E91"/>
    <w:rsid w:val="00165626"/>
    <w:rsid w:val="00166272"/>
    <w:rsid w:val="00166DEB"/>
    <w:rsid w:val="001671D2"/>
    <w:rsid w:val="00167CF4"/>
    <w:rsid w:val="00170BE9"/>
    <w:rsid w:val="0017147C"/>
    <w:rsid w:val="0017194E"/>
    <w:rsid w:val="0017249B"/>
    <w:rsid w:val="001727A4"/>
    <w:rsid w:val="00177EC4"/>
    <w:rsid w:val="00181533"/>
    <w:rsid w:val="001824C8"/>
    <w:rsid w:val="00182698"/>
    <w:rsid w:val="001864FD"/>
    <w:rsid w:val="001909AB"/>
    <w:rsid w:val="001936A7"/>
    <w:rsid w:val="001943DD"/>
    <w:rsid w:val="00196BAC"/>
    <w:rsid w:val="001A009A"/>
    <w:rsid w:val="001A0BF0"/>
    <w:rsid w:val="001A13F6"/>
    <w:rsid w:val="001A2D78"/>
    <w:rsid w:val="001A7249"/>
    <w:rsid w:val="001B385A"/>
    <w:rsid w:val="001B3904"/>
    <w:rsid w:val="001B3AEC"/>
    <w:rsid w:val="001B3E8D"/>
    <w:rsid w:val="001B5259"/>
    <w:rsid w:val="001B53B8"/>
    <w:rsid w:val="001B60D4"/>
    <w:rsid w:val="001B6F28"/>
    <w:rsid w:val="001C4E83"/>
    <w:rsid w:val="001C4F4F"/>
    <w:rsid w:val="001C6BA1"/>
    <w:rsid w:val="001C6F22"/>
    <w:rsid w:val="001D141C"/>
    <w:rsid w:val="001D2904"/>
    <w:rsid w:val="001D44DE"/>
    <w:rsid w:val="001D652D"/>
    <w:rsid w:val="001D693F"/>
    <w:rsid w:val="001D6EDF"/>
    <w:rsid w:val="001D6F9E"/>
    <w:rsid w:val="001E38FB"/>
    <w:rsid w:val="001E52C2"/>
    <w:rsid w:val="001E6A27"/>
    <w:rsid w:val="001F0BE1"/>
    <w:rsid w:val="001F101A"/>
    <w:rsid w:val="001F24EF"/>
    <w:rsid w:val="001F56C7"/>
    <w:rsid w:val="00203039"/>
    <w:rsid w:val="00204B17"/>
    <w:rsid w:val="002069D2"/>
    <w:rsid w:val="002111E1"/>
    <w:rsid w:val="00211DA2"/>
    <w:rsid w:val="00213693"/>
    <w:rsid w:val="00215137"/>
    <w:rsid w:val="00215479"/>
    <w:rsid w:val="00215CCB"/>
    <w:rsid w:val="00216CF5"/>
    <w:rsid w:val="0022037B"/>
    <w:rsid w:val="00222C8D"/>
    <w:rsid w:val="002256A8"/>
    <w:rsid w:val="00225C97"/>
    <w:rsid w:val="00230E6B"/>
    <w:rsid w:val="00232B97"/>
    <w:rsid w:val="0023523A"/>
    <w:rsid w:val="0023757C"/>
    <w:rsid w:val="00237C47"/>
    <w:rsid w:val="002402E4"/>
    <w:rsid w:val="00241D14"/>
    <w:rsid w:val="002421A0"/>
    <w:rsid w:val="00242B98"/>
    <w:rsid w:val="002445A1"/>
    <w:rsid w:val="00246FE6"/>
    <w:rsid w:val="002470E3"/>
    <w:rsid w:val="0025207D"/>
    <w:rsid w:val="002535AE"/>
    <w:rsid w:val="00254DE9"/>
    <w:rsid w:val="002615D3"/>
    <w:rsid w:val="0026268A"/>
    <w:rsid w:val="00262845"/>
    <w:rsid w:val="002672F1"/>
    <w:rsid w:val="00271414"/>
    <w:rsid w:val="00271922"/>
    <w:rsid w:val="00271FA2"/>
    <w:rsid w:val="00273412"/>
    <w:rsid w:val="0027373F"/>
    <w:rsid w:val="00274ACF"/>
    <w:rsid w:val="00277388"/>
    <w:rsid w:val="00277C8F"/>
    <w:rsid w:val="0028159B"/>
    <w:rsid w:val="00282671"/>
    <w:rsid w:val="00282861"/>
    <w:rsid w:val="002843E2"/>
    <w:rsid w:val="00287BAA"/>
    <w:rsid w:val="0029180D"/>
    <w:rsid w:val="00293489"/>
    <w:rsid w:val="00295B30"/>
    <w:rsid w:val="00296F5E"/>
    <w:rsid w:val="002A30F0"/>
    <w:rsid w:val="002A38A4"/>
    <w:rsid w:val="002A6DF5"/>
    <w:rsid w:val="002B6406"/>
    <w:rsid w:val="002B6809"/>
    <w:rsid w:val="002C2084"/>
    <w:rsid w:val="002C4231"/>
    <w:rsid w:val="002C7080"/>
    <w:rsid w:val="002D00B0"/>
    <w:rsid w:val="002D2364"/>
    <w:rsid w:val="002D2E16"/>
    <w:rsid w:val="002D6050"/>
    <w:rsid w:val="002D6E3E"/>
    <w:rsid w:val="002E21D6"/>
    <w:rsid w:val="002E45F0"/>
    <w:rsid w:val="002E7778"/>
    <w:rsid w:val="00304B3E"/>
    <w:rsid w:val="00304D97"/>
    <w:rsid w:val="0031180A"/>
    <w:rsid w:val="00313127"/>
    <w:rsid w:val="00313304"/>
    <w:rsid w:val="003155F4"/>
    <w:rsid w:val="00320309"/>
    <w:rsid w:val="00321D1E"/>
    <w:rsid w:val="0032530E"/>
    <w:rsid w:val="00325A61"/>
    <w:rsid w:val="00326976"/>
    <w:rsid w:val="003279E4"/>
    <w:rsid w:val="003311D7"/>
    <w:rsid w:val="00332B8B"/>
    <w:rsid w:val="0033521E"/>
    <w:rsid w:val="003364C7"/>
    <w:rsid w:val="00337CA2"/>
    <w:rsid w:val="003404A4"/>
    <w:rsid w:val="003418E4"/>
    <w:rsid w:val="00346843"/>
    <w:rsid w:val="00347104"/>
    <w:rsid w:val="00350852"/>
    <w:rsid w:val="0035096E"/>
    <w:rsid w:val="0035129C"/>
    <w:rsid w:val="0035219F"/>
    <w:rsid w:val="00355D01"/>
    <w:rsid w:val="00360B81"/>
    <w:rsid w:val="00366283"/>
    <w:rsid w:val="0036777E"/>
    <w:rsid w:val="003701FA"/>
    <w:rsid w:val="00372A26"/>
    <w:rsid w:val="00372EC7"/>
    <w:rsid w:val="0037484C"/>
    <w:rsid w:val="003749CD"/>
    <w:rsid w:val="00374A6C"/>
    <w:rsid w:val="003823CA"/>
    <w:rsid w:val="00382718"/>
    <w:rsid w:val="00382B3B"/>
    <w:rsid w:val="00385DED"/>
    <w:rsid w:val="00385ED2"/>
    <w:rsid w:val="003866D6"/>
    <w:rsid w:val="0038714A"/>
    <w:rsid w:val="00391F86"/>
    <w:rsid w:val="003923FB"/>
    <w:rsid w:val="003931C7"/>
    <w:rsid w:val="00393F00"/>
    <w:rsid w:val="003945C0"/>
    <w:rsid w:val="003969FA"/>
    <w:rsid w:val="003A25A7"/>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32A7"/>
    <w:rsid w:val="003E74AE"/>
    <w:rsid w:val="003F1A33"/>
    <w:rsid w:val="003F3072"/>
    <w:rsid w:val="003F31E6"/>
    <w:rsid w:val="00401057"/>
    <w:rsid w:val="004024E4"/>
    <w:rsid w:val="004061B4"/>
    <w:rsid w:val="00406289"/>
    <w:rsid w:val="00406578"/>
    <w:rsid w:val="004074EF"/>
    <w:rsid w:val="004102C3"/>
    <w:rsid w:val="0041307C"/>
    <w:rsid w:val="00413699"/>
    <w:rsid w:val="004167B4"/>
    <w:rsid w:val="004167BC"/>
    <w:rsid w:val="0042032D"/>
    <w:rsid w:val="004225DC"/>
    <w:rsid w:val="00423A41"/>
    <w:rsid w:val="00425FBA"/>
    <w:rsid w:val="00427C7D"/>
    <w:rsid w:val="00430D7E"/>
    <w:rsid w:val="00432332"/>
    <w:rsid w:val="00432368"/>
    <w:rsid w:val="00433B04"/>
    <w:rsid w:val="0043784D"/>
    <w:rsid w:val="00440256"/>
    <w:rsid w:val="00440E22"/>
    <w:rsid w:val="0044547D"/>
    <w:rsid w:val="00446F93"/>
    <w:rsid w:val="00451A74"/>
    <w:rsid w:val="004552AB"/>
    <w:rsid w:val="004553FF"/>
    <w:rsid w:val="0045622C"/>
    <w:rsid w:val="00464B51"/>
    <w:rsid w:val="00464FB1"/>
    <w:rsid w:val="00467185"/>
    <w:rsid w:val="00467736"/>
    <w:rsid w:val="0047050C"/>
    <w:rsid w:val="00472A45"/>
    <w:rsid w:val="00473930"/>
    <w:rsid w:val="00474D25"/>
    <w:rsid w:val="004750DB"/>
    <w:rsid w:val="00480F21"/>
    <w:rsid w:val="0048108E"/>
    <w:rsid w:val="004821BA"/>
    <w:rsid w:val="0048537F"/>
    <w:rsid w:val="004874E5"/>
    <w:rsid w:val="00487885"/>
    <w:rsid w:val="00490A65"/>
    <w:rsid w:val="0049116C"/>
    <w:rsid w:val="00491968"/>
    <w:rsid w:val="004930C9"/>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484"/>
    <w:rsid w:val="004C259B"/>
    <w:rsid w:val="004C777E"/>
    <w:rsid w:val="004D0C54"/>
    <w:rsid w:val="004D16A4"/>
    <w:rsid w:val="004E6682"/>
    <w:rsid w:val="004E6D8A"/>
    <w:rsid w:val="004F0411"/>
    <w:rsid w:val="004F15EF"/>
    <w:rsid w:val="004F22FE"/>
    <w:rsid w:val="004F774D"/>
    <w:rsid w:val="005013B0"/>
    <w:rsid w:val="005015E4"/>
    <w:rsid w:val="005017A6"/>
    <w:rsid w:val="0050291D"/>
    <w:rsid w:val="005064CD"/>
    <w:rsid w:val="00506C00"/>
    <w:rsid w:val="00511016"/>
    <w:rsid w:val="005159B3"/>
    <w:rsid w:val="00522C03"/>
    <w:rsid w:val="00523110"/>
    <w:rsid w:val="00525EA4"/>
    <w:rsid w:val="005276B7"/>
    <w:rsid w:val="0052791F"/>
    <w:rsid w:val="00532CFF"/>
    <w:rsid w:val="00534D3D"/>
    <w:rsid w:val="00536880"/>
    <w:rsid w:val="00540AD0"/>
    <w:rsid w:val="00543A76"/>
    <w:rsid w:val="00547738"/>
    <w:rsid w:val="00551CE4"/>
    <w:rsid w:val="005522F3"/>
    <w:rsid w:val="005523D1"/>
    <w:rsid w:val="0055532E"/>
    <w:rsid w:val="00555BC3"/>
    <w:rsid w:val="00557C8E"/>
    <w:rsid w:val="00561B2B"/>
    <w:rsid w:val="0056357E"/>
    <w:rsid w:val="00564952"/>
    <w:rsid w:val="0056645F"/>
    <w:rsid w:val="00571AB1"/>
    <w:rsid w:val="00577E1C"/>
    <w:rsid w:val="0058036D"/>
    <w:rsid w:val="00580DB1"/>
    <w:rsid w:val="005814AC"/>
    <w:rsid w:val="00584676"/>
    <w:rsid w:val="00584923"/>
    <w:rsid w:val="005854B7"/>
    <w:rsid w:val="00587AB1"/>
    <w:rsid w:val="0059070B"/>
    <w:rsid w:val="0059283C"/>
    <w:rsid w:val="00595082"/>
    <w:rsid w:val="005A0D95"/>
    <w:rsid w:val="005A224B"/>
    <w:rsid w:val="005A5EAE"/>
    <w:rsid w:val="005B1225"/>
    <w:rsid w:val="005B17D8"/>
    <w:rsid w:val="005B1D82"/>
    <w:rsid w:val="005B4077"/>
    <w:rsid w:val="005B65E5"/>
    <w:rsid w:val="005C28B0"/>
    <w:rsid w:val="005C2F01"/>
    <w:rsid w:val="005C4690"/>
    <w:rsid w:val="005C5F3C"/>
    <w:rsid w:val="005D01BE"/>
    <w:rsid w:val="005D1177"/>
    <w:rsid w:val="005D1D13"/>
    <w:rsid w:val="005D254A"/>
    <w:rsid w:val="005D5460"/>
    <w:rsid w:val="005E08CD"/>
    <w:rsid w:val="005E37E8"/>
    <w:rsid w:val="005E74C5"/>
    <w:rsid w:val="005F219D"/>
    <w:rsid w:val="005F2437"/>
    <w:rsid w:val="005F318A"/>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2C58"/>
    <w:rsid w:val="006530EF"/>
    <w:rsid w:val="006554DD"/>
    <w:rsid w:val="00660951"/>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38A7"/>
    <w:rsid w:val="00684FC9"/>
    <w:rsid w:val="0069072B"/>
    <w:rsid w:val="006916F7"/>
    <w:rsid w:val="0069174B"/>
    <w:rsid w:val="00693340"/>
    <w:rsid w:val="006940F1"/>
    <w:rsid w:val="006A04C7"/>
    <w:rsid w:val="006A4287"/>
    <w:rsid w:val="006B05E3"/>
    <w:rsid w:val="006B09BC"/>
    <w:rsid w:val="006B6D5D"/>
    <w:rsid w:val="006B7B5A"/>
    <w:rsid w:val="006C0801"/>
    <w:rsid w:val="006C0C2C"/>
    <w:rsid w:val="006C1EAA"/>
    <w:rsid w:val="006C216F"/>
    <w:rsid w:val="006C45D4"/>
    <w:rsid w:val="006D11BD"/>
    <w:rsid w:val="006D2042"/>
    <w:rsid w:val="006D66E3"/>
    <w:rsid w:val="006D75BA"/>
    <w:rsid w:val="006D7855"/>
    <w:rsid w:val="006E010C"/>
    <w:rsid w:val="006E1003"/>
    <w:rsid w:val="006E16BF"/>
    <w:rsid w:val="006E18F0"/>
    <w:rsid w:val="006E2C89"/>
    <w:rsid w:val="006E38AF"/>
    <w:rsid w:val="006E4F93"/>
    <w:rsid w:val="006F10FE"/>
    <w:rsid w:val="006F1174"/>
    <w:rsid w:val="00700135"/>
    <w:rsid w:val="0070212F"/>
    <w:rsid w:val="007034D5"/>
    <w:rsid w:val="00704C40"/>
    <w:rsid w:val="00705180"/>
    <w:rsid w:val="00710A39"/>
    <w:rsid w:val="00711605"/>
    <w:rsid w:val="00711DF6"/>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4083"/>
    <w:rsid w:val="00736DCA"/>
    <w:rsid w:val="00745C47"/>
    <w:rsid w:val="00745E49"/>
    <w:rsid w:val="0075003D"/>
    <w:rsid w:val="00751D97"/>
    <w:rsid w:val="00752C55"/>
    <w:rsid w:val="007562D4"/>
    <w:rsid w:val="007573FA"/>
    <w:rsid w:val="00757EF9"/>
    <w:rsid w:val="00761DBF"/>
    <w:rsid w:val="00761FCF"/>
    <w:rsid w:val="00765503"/>
    <w:rsid w:val="00767B7E"/>
    <w:rsid w:val="007705E9"/>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6682"/>
    <w:rsid w:val="00797C88"/>
    <w:rsid w:val="007A1013"/>
    <w:rsid w:val="007A235B"/>
    <w:rsid w:val="007A4CA9"/>
    <w:rsid w:val="007A60B4"/>
    <w:rsid w:val="007A7D19"/>
    <w:rsid w:val="007A7EC2"/>
    <w:rsid w:val="007B042D"/>
    <w:rsid w:val="007B05BB"/>
    <w:rsid w:val="007B6E0A"/>
    <w:rsid w:val="007B764C"/>
    <w:rsid w:val="007C118A"/>
    <w:rsid w:val="007C636F"/>
    <w:rsid w:val="007D0FC7"/>
    <w:rsid w:val="007D39EB"/>
    <w:rsid w:val="007E7319"/>
    <w:rsid w:val="007E74E1"/>
    <w:rsid w:val="007E77A8"/>
    <w:rsid w:val="007F491C"/>
    <w:rsid w:val="00800D07"/>
    <w:rsid w:val="008025F3"/>
    <w:rsid w:val="00803BF8"/>
    <w:rsid w:val="008061C9"/>
    <w:rsid w:val="008066D8"/>
    <w:rsid w:val="008074BB"/>
    <w:rsid w:val="00811A18"/>
    <w:rsid w:val="008121AF"/>
    <w:rsid w:val="00812E18"/>
    <w:rsid w:val="00813711"/>
    <w:rsid w:val="00821E64"/>
    <w:rsid w:val="008253C4"/>
    <w:rsid w:val="008263C2"/>
    <w:rsid w:val="008307DB"/>
    <w:rsid w:val="00831A7E"/>
    <w:rsid w:val="00833398"/>
    <w:rsid w:val="00835D9D"/>
    <w:rsid w:val="00835FC9"/>
    <w:rsid w:val="008368F8"/>
    <w:rsid w:val="008370E3"/>
    <w:rsid w:val="008418FA"/>
    <w:rsid w:val="00842959"/>
    <w:rsid w:val="00843390"/>
    <w:rsid w:val="0085235A"/>
    <w:rsid w:val="00854138"/>
    <w:rsid w:val="00854410"/>
    <w:rsid w:val="008544DF"/>
    <w:rsid w:val="008602B6"/>
    <w:rsid w:val="00860AAD"/>
    <w:rsid w:val="00861AA6"/>
    <w:rsid w:val="008708F3"/>
    <w:rsid w:val="00871354"/>
    <w:rsid w:val="00873611"/>
    <w:rsid w:val="00873C8F"/>
    <w:rsid w:val="008745FE"/>
    <w:rsid w:val="00874FB3"/>
    <w:rsid w:val="00877F7C"/>
    <w:rsid w:val="00880BE3"/>
    <w:rsid w:val="00881359"/>
    <w:rsid w:val="00882093"/>
    <w:rsid w:val="00882588"/>
    <w:rsid w:val="00884ADE"/>
    <w:rsid w:val="008856CF"/>
    <w:rsid w:val="00885864"/>
    <w:rsid w:val="00890A1D"/>
    <w:rsid w:val="0089383B"/>
    <w:rsid w:val="0089534B"/>
    <w:rsid w:val="0089616F"/>
    <w:rsid w:val="008A0232"/>
    <w:rsid w:val="008B0470"/>
    <w:rsid w:val="008B05E7"/>
    <w:rsid w:val="008B06C5"/>
    <w:rsid w:val="008B164E"/>
    <w:rsid w:val="008B4F06"/>
    <w:rsid w:val="008B502A"/>
    <w:rsid w:val="008B57D8"/>
    <w:rsid w:val="008B65CF"/>
    <w:rsid w:val="008B7A65"/>
    <w:rsid w:val="008C1219"/>
    <w:rsid w:val="008C123E"/>
    <w:rsid w:val="008C137D"/>
    <w:rsid w:val="008C22DD"/>
    <w:rsid w:val="008C3A3A"/>
    <w:rsid w:val="008C3DFD"/>
    <w:rsid w:val="008C3ED0"/>
    <w:rsid w:val="008C5DA5"/>
    <w:rsid w:val="008C5E94"/>
    <w:rsid w:val="008D196A"/>
    <w:rsid w:val="008D27BC"/>
    <w:rsid w:val="008D3188"/>
    <w:rsid w:val="008E3EF2"/>
    <w:rsid w:val="008E51C9"/>
    <w:rsid w:val="008E5BEB"/>
    <w:rsid w:val="008E6306"/>
    <w:rsid w:val="008F6355"/>
    <w:rsid w:val="008F68F7"/>
    <w:rsid w:val="009005A6"/>
    <w:rsid w:val="009006CF"/>
    <w:rsid w:val="00900C71"/>
    <w:rsid w:val="00902A1C"/>
    <w:rsid w:val="009037B6"/>
    <w:rsid w:val="00906CBE"/>
    <w:rsid w:val="00910024"/>
    <w:rsid w:val="00910384"/>
    <w:rsid w:val="0091643D"/>
    <w:rsid w:val="00916E33"/>
    <w:rsid w:val="0092093B"/>
    <w:rsid w:val="00930669"/>
    <w:rsid w:val="00932C33"/>
    <w:rsid w:val="00937C63"/>
    <w:rsid w:val="009427A1"/>
    <w:rsid w:val="00942FFE"/>
    <w:rsid w:val="009551E0"/>
    <w:rsid w:val="0095654E"/>
    <w:rsid w:val="00956F3C"/>
    <w:rsid w:val="00965D45"/>
    <w:rsid w:val="00970678"/>
    <w:rsid w:val="00971C34"/>
    <w:rsid w:val="00972488"/>
    <w:rsid w:val="009726D0"/>
    <w:rsid w:val="0097421D"/>
    <w:rsid w:val="00976117"/>
    <w:rsid w:val="00976A23"/>
    <w:rsid w:val="009800BC"/>
    <w:rsid w:val="009816F6"/>
    <w:rsid w:val="009843BA"/>
    <w:rsid w:val="009900F0"/>
    <w:rsid w:val="00990B9B"/>
    <w:rsid w:val="00991370"/>
    <w:rsid w:val="00991769"/>
    <w:rsid w:val="00991ACA"/>
    <w:rsid w:val="009928B5"/>
    <w:rsid w:val="00993236"/>
    <w:rsid w:val="00993D8C"/>
    <w:rsid w:val="00994E3D"/>
    <w:rsid w:val="009A297E"/>
    <w:rsid w:val="009A6127"/>
    <w:rsid w:val="009B0CC1"/>
    <w:rsid w:val="009B69F0"/>
    <w:rsid w:val="009B713C"/>
    <w:rsid w:val="009C0F18"/>
    <w:rsid w:val="009C12C6"/>
    <w:rsid w:val="009C2555"/>
    <w:rsid w:val="009C705A"/>
    <w:rsid w:val="009C7778"/>
    <w:rsid w:val="009C7EE6"/>
    <w:rsid w:val="009D06AE"/>
    <w:rsid w:val="009D09E2"/>
    <w:rsid w:val="009D1E42"/>
    <w:rsid w:val="009D282B"/>
    <w:rsid w:val="009D7148"/>
    <w:rsid w:val="009E02FD"/>
    <w:rsid w:val="009E4C74"/>
    <w:rsid w:val="009E56CC"/>
    <w:rsid w:val="009E59F1"/>
    <w:rsid w:val="009E62B6"/>
    <w:rsid w:val="009F0A1A"/>
    <w:rsid w:val="009F1715"/>
    <w:rsid w:val="009F26CA"/>
    <w:rsid w:val="009F35DA"/>
    <w:rsid w:val="009F4034"/>
    <w:rsid w:val="009F43D0"/>
    <w:rsid w:val="00A000F0"/>
    <w:rsid w:val="00A00568"/>
    <w:rsid w:val="00A00884"/>
    <w:rsid w:val="00A00EEB"/>
    <w:rsid w:val="00A020CE"/>
    <w:rsid w:val="00A02F62"/>
    <w:rsid w:val="00A02FA3"/>
    <w:rsid w:val="00A030C3"/>
    <w:rsid w:val="00A04803"/>
    <w:rsid w:val="00A10147"/>
    <w:rsid w:val="00A10EDE"/>
    <w:rsid w:val="00A11331"/>
    <w:rsid w:val="00A12348"/>
    <w:rsid w:val="00A131E6"/>
    <w:rsid w:val="00A13843"/>
    <w:rsid w:val="00A146A5"/>
    <w:rsid w:val="00A17466"/>
    <w:rsid w:val="00A204B3"/>
    <w:rsid w:val="00A20576"/>
    <w:rsid w:val="00A212C5"/>
    <w:rsid w:val="00A21593"/>
    <w:rsid w:val="00A221F7"/>
    <w:rsid w:val="00A22C21"/>
    <w:rsid w:val="00A2604E"/>
    <w:rsid w:val="00A31CCE"/>
    <w:rsid w:val="00A33C95"/>
    <w:rsid w:val="00A34FF3"/>
    <w:rsid w:val="00A35351"/>
    <w:rsid w:val="00A361C7"/>
    <w:rsid w:val="00A36723"/>
    <w:rsid w:val="00A43140"/>
    <w:rsid w:val="00A46DF5"/>
    <w:rsid w:val="00A5149A"/>
    <w:rsid w:val="00A53650"/>
    <w:rsid w:val="00A53E51"/>
    <w:rsid w:val="00A57183"/>
    <w:rsid w:val="00A60693"/>
    <w:rsid w:val="00A6196D"/>
    <w:rsid w:val="00A619C0"/>
    <w:rsid w:val="00A61ADF"/>
    <w:rsid w:val="00A62012"/>
    <w:rsid w:val="00A624CB"/>
    <w:rsid w:val="00A62AC0"/>
    <w:rsid w:val="00A75118"/>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A5E38"/>
    <w:rsid w:val="00AB09ED"/>
    <w:rsid w:val="00AB3DC0"/>
    <w:rsid w:val="00AB4CBB"/>
    <w:rsid w:val="00AC125E"/>
    <w:rsid w:val="00AC45DF"/>
    <w:rsid w:val="00AC474D"/>
    <w:rsid w:val="00AC4DFD"/>
    <w:rsid w:val="00AC4F47"/>
    <w:rsid w:val="00AC5663"/>
    <w:rsid w:val="00AC58FD"/>
    <w:rsid w:val="00AD0F6D"/>
    <w:rsid w:val="00AD1166"/>
    <w:rsid w:val="00AD19D2"/>
    <w:rsid w:val="00AD1A96"/>
    <w:rsid w:val="00AD3042"/>
    <w:rsid w:val="00AD793A"/>
    <w:rsid w:val="00AE0120"/>
    <w:rsid w:val="00AE3038"/>
    <w:rsid w:val="00AE3D4A"/>
    <w:rsid w:val="00AE5956"/>
    <w:rsid w:val="00AE619F"/>
    <w:rsid w:val="00AE7A88"/>
    <w:rsid w:val="00AF060F"/>
    <w:rsid w:val="00AF13D2"/>
    <w:rsid w:val="00AF2A56"/>
    <w:rsid w:val="00AF51D1"/>
    <w:rsid w:val="00AF63AB"/>
    <w:rsid w:val="00AF79C5"/>
    <w:rsid w:val="00B01784"/>
    <w:rsid w:val="00B02676"/>
    <w:rsid w:val="00B0388B"/>
    <w:rsid w:val="00B03BEE"/>
    <w:rsid w:val="00B0517E"/>
    <w:rsid w:val="00B11314"/>
    <w:rsid w:val="00B113E3"/>
    <w:rsid w:val="00B1156A"/>
    <w:rsid w:val="00B138E3"/>
    <w:rsid w:val="00B13FB5"/>
    <w:rsid w:val="00B178FA"/>
    <w:rsid w:val="00B17D8E"/>
    <w:rsid w:val="00B207C3"/>
    <w:rsid w:val="00B21443"/>
    <w:rsid w:val="00B22468"/>
    <w:rsid w:val="00B23267"/>
    <w:rsid w:val="00B23906"/>
    <w:rsid w:val="00B23F96"/>
    <w:rsid w:val="00B257BF"/>
    <w:rsid w:val="00B27149"/>
    <w:rsid w:val="00B34BB7"/>
    <w:rsid w:val="00B35B4D"/>
    <w:rsid w:val="00B362F0"/>
    <w:rsid w:val="00B36652"/>
    <w:rsid w:val="00B425AB"/>
    <w:rsid w:val="00B45279"/>
    <w:rsid w:val="00B47090"/>
    <w:rsid w:val="00B532D1"/>
    <w:rsid w:val="00B57925"/>
    <w:rsid w:val="00B601BB"/>
    <w:rsid w:val="00B602A5"/>
    <w:rsid w:val="00B61E3E"/>
    <w:rsid w:val="00B6432A"/>
    <w:rsid w:val="00B67A79"/>
    <w:rsid w:val="00B72335"/>
    <w:rsid w:val="00B72D62"/>
    <w:rsid w:val="00B767AF"/>
    <w:rsid w:val="00B80511"/>
    <w:rsid w:val="00B80798"/>
    <w:rsid w:val="00B80876"/>
    <w:rsid w:val="00B82C3C"/>
    <w:rsid w:val="00B82DE6"/>
    <w:rsid w:val="00B831CD"/>
    <w:rsid w:val="00B83B40"/>
    <w:rsid w:val="00B846F6"/>
    <w:rsid w:val="00B85329"/>
    <w:rsid w:val="00B91B73"/>
    <w:rsid w:val="00B91B9D"/>
    <w:rsid w:val="00BA1B71"/>
    <w:rsid w:val="00BA3176"/>
    <w:rsid w:val="00BA5E20"/>
    <w:rsid w:val="00BA607C"/>
    <w:rsid w:val="00BA6734"/>
    <w:rsid w:val="00BB3E2A"/>
    <w:rsid w:val="00BB48A7"/>
    <w:rsid w:val="00BB7121"/>
    <w:rsid w:val="00BC0479"/>
    <w:rsid w:val="00BC1651"/>
    <w:rsid w:val="00BC16F5"/>
    <w:rsid w:val="00BC18FF"/>
    <w:rsid w:val="00BC287D"/>
    <w:rsid w:val="00BC2A38"/>
    <w:rsid w:val="00BC46EB"/>
    <w:rsid w:val="00BC531C"/>
    <w:rsid w:val="00BC57FE"/>
    <w:rsid w:val="00BC643B"/>
    <w:rsid w:val="00BD2A41"/>
    <w:rsid w:val="00BD32E5"/>
    <w:rsid w:val="00BD36C4"/>
    <w:rsid w:val="00BD4BC6"/>
    <w:rsid w:val="00BD6E1A"/>
    <w:rsid w:val="00BD79DE"/>
    <w:rsid w:val="00BE1095"/>
    <w:rsid w:val="00BE150A"/>
    <w:rsid w:val="00BE6767"/>
    <w:rsid w:val="00BE686C"/>
    <w:rsid w:val="00BE78EC"/>
    <w:rsid w:val="00BF46EE"/>
    <w:rsid w:val="00BF646E"/>
    <w:rsid w:val="00C0613C"/>
    <w:rsid w:val="00C10D05"/>
    <w:rsid w:val="00C13970"/>
    <w:rsid w:val="00C13DF9"/>
    <w:rsid w:val="00C14FBA"/>
    <w:rsid w:val="00C15484"/>
    <w:rsid w:val="00C15EA1"/>
    <w:rsid w:val="00C174DB"/>
    <w:rsid w:val="00C17A8E"/>
    <w:rsid w:val="00C2378F"/>
    <w:rsid w:val="00C24F70"/>
    <w:rsid w:val="00C25615"/>
    <w:rsid w:val="00C25DC2"/>
    <w:rsid w:val="00C26A06"/>
    <w:rsid w:val="00C33479"/>
    <w:rsid w:val="00C40ED2"/>
    <w:rsid w:val="00C41F10"/>
    <w:rsid w:val="00C432DD"/>
    <w:rsid w:val="00C4423A"/>
    <w:rsid w:val="00C501FE"/>
    <w:rsid w:val="00C56957"/>
    <w:rsid w:val="00C5784B"/>
    <w:rsid w:val="00C63874"/>
    <w:rsid w:val="00C639FF"/>
    <w:rsid w:val="00C63CB4"/>
    <w:rsid w:val="00C6442A"/>
    <w:rsid w:val="00C64D15"/>
    <w:rsid w:val="00C66088"/>
    <w:rsid w:val="00C67C4C"/>
    <w:rsid w:val="00C74B5D"/>
    <w:rsid w:val="00C74F74"/>
    <w:rsid w:val="00C7554B"/>
    <w:rsid w:val="00C80951"/>
    <w:rsid w:val="00C8205E"/>
    <w:rsid w:val="00C8223A"/>
    <w:rsid w:val="00C82EB5"/>
    <w:rsid w:val="00C87966"/>
    <w:rsid w:val="00C902DE"/>
    <w:rsid w:val="00C916AE"/>
    <w:rsid w:val="00C93AAA"/>
    <w:rsid w:val="00C95FCD"/>
    <w:rsid w:val="00C97188"/>
    <w:rsid w:val="00CA0639"/>
    <w:rsid w:val="00CA11D0"/>
    <w:rsid w:val="00CA2E02"/>
    <w:rsid w:val="00CA583A"/>
    <w:rsid w:val="00CA5EC6"/>
    <w:rsid w:val="00CB5744"/>
    <w:rsid w:val="00CB6D0A"/>
    <w:rsid w:val="00CB7022"/>
    <w:rsid w:val="00CB7BC5"/>
    <w:rsid w:val="00CC141E"/>
    <w:rsid w:val="00CC586D"/>
    <w:rsid w:val="00CC7DBC"/>
    <w:rsid w:val="00CD1BA3"/>
    <w:rsid w:val="00CD1D23"/>
    <w:rsid w:val="00CD3612"/>
    <w:rsid w:val="00CD3E69"/>
    <w:rsid w:val="00CD4224"/>
    <w:rsid w:val="00CD6B7D"/>
    <w:rsid w:val="00CD7D29"/>
    <w:rsid w:val="00CE0847"/>
    <w:rsid w:val="00CE0B6C"/>
    <w:rsid w:val="00CE11D0"/>
    <w:rsid w:val="00CE4708"/>
    <w:rsid w:val="00CE4C50"/>
    <w:rsid w:val="00CE6858"/>
    <w:rsid w:val="00CE7450"/>
    <w:rsid w:val="00CE770C"/>
    <w:rsid w:val="00CF50BE"/>
    <w:rsid w:val="00CF538C"/>
    <w:rsid w:val="00CF7625"/>
    <w:rsid w:val="00D0506A"/>
    <w:rsid w:val="00D10FA1"/>
    <w:rsid w:val="00D1289C"/>
    <w:rsid w:val="00D142D3"/>
    <w:rsid w:val="00D1666F"/>
    <w:rsid w:val="00D2071A"/>
    <w:rsid w:val="00D22F44"/>
    <w:rsid w:val="00D25177"/>
    <w:rsid w:val="00D2769A"/>
    <w:rsid w:val="00D30F73"/>
    <w:rsid w:val="00D30F97"/>
    <w:rsid w:val="00D313A0"/>
    <w:rsid w:val="00D36FE0"/>
    <w:rsid w:val="00D40799"/>
    <w:rsid w:val="00D41A06"/>
    <w:rsid w:val="00D42ABF"/>
    <w:rsid w:val="00D42F40"/>
    <w:rsid w:val="00D45B67"/>
    <w:rsid w:val="00D47E72"/>
    <w:rsid w:val="00D5034A"/>
    <w:rsid w:val="00D51F49"/>
    <w:rsid w:val="00D534F4"/>
    <w:rsid w:val="00D55EE8"/>
    <w:rsid w:val="00D562CB"/>
    <w:rsid w:val="00D569D1"/>
    <w:rsid w:val="00D56AD8"/>
    <w:rsid w:val="00D56C05"/>
    <w:rsid w:val="00D5785A"/>
    <w:rsid w:val="00D63293"/>
    <w:rsid w:val="00D6375F"/>
    <w:rsid w:val="00D64C48"/>
    <w:rsid w:val="00D6680B"/>
    <w:rsid w:val="00D72F4F"/>
    <w:rsid w:val="00D731C4"/>
    <w:rsid w:val="00D74EB4"/>
    <w:rsid w:val="00D801FC"/>
    <w:rsid w:val="00D85BE0"/>
    <w:rsid w:val="00D87FD7"/>
    <w:rsid w:val="00D91466"/>
    <w:rsid w:val="00D915ED"/>
    <w:rsid w:val="00D91DE4"/>
    <w:rsid w:val="00D92300"/>
    <w:rsid w:val="00D94AFC"/>
    <w:rsid w:val="00D950E6"/>
    <w:rsid w:val="00D97047"/>
    <w:rsid w:val="00DA3619"/>
    <w:rsid w:val="00DA7D0B"/>
    <w:rsid w:val="00DB0B88"/>
    <w:rsid w:val="00DB1652"/>
    <w:rsid w:val="00DB5773"/>
    <w:rsid w:val="00DB58A6"/>
    <w:rsid w:val="00DB6B99"/>
    <w:rsid w:val="00DC001A"/>
    <w:rsid w:val="00DD22BB"/>
    <w:rsid w:val="00DD4F44"/>
    <w:rsid w:val="00DD686C"/>
    <w:rsid w:val="00DD7E0C"/>
    <w:rsid w:val="00DE2AC3"/>
    <w:rsid w:val="00DE2E40"/>
    <w:rsid w:val="00DE3598"/>
    <w:rsid w:val="00DE3FBD"/>
    <w:rsid w:val="00DE43F5"/>
    <w:rsid w:val="00DE65FB"/>
    <w:rsid w:val="00DF234F"/>
    <w:rsid w:val="00DF420A"/>
    <w:rsid w:val="00E02472"/>
    <w:rsid w:val="00E041F0"/>
    <w:rsid w:val="00E128D8"/>
    <w:rsid w:val="00E130C3"/>
    <w:rsid w:val="00E17EDF"/>
    <w:rsid w:val="00E2082D"/>
    <w:rsid w:val="00E221E2"/>
    <w:rsid w:val="00E2330D"/>
    <w:rsid w:val="00E24303"/>
    <w:rsid w:val="00E27A16"/>
    <w:rsid w:val="00E320C4"/>
    <w:rsid w:val="00E40F7B"/>
    <w:rsid w:val="00E43C41"/>
    <w:rsid w:val="00E43E48"/>
    <w:rsid w:val="00E46D60"/>
    <w:rsid w:val="00E47C33"/>
    <w:rsid w:val="00E47F58"/>
    <w:rsid w:val="00E54BFC"/>
    <w:rsid w:val="00E55248"/>
    <w:rsid w:val="00E56D9D"/>
    <w:rsid w:val="00E60E2E"/>
    <w:rsid w:val="00E61934"/>
    <w:rsid w:val="00E71A2D"/>
    <w:rsid w:val="00E72FB3"/>
    <w:rsid w:val="00E74A73"/>
    <w:rsid w:val="00E823C1"/>
    <w:rsid w:val="00E82DB7"/>
    <w:rsid w:val="00E83C85"/>
    <w:rsid w:val="00E8579C"/>
    <w:rsid w:val="00E865FE"/>
    <w:rsid w:val="00E91408"/>
    <w:rsid w:val="00E91759"/>
    <w:rsid w:val="00E9654B"/>
    <w:rsid w:val="00EA13E4"/>
    <w:rsid w:val="00EA18DB"/>
    <w:rsid w:val="00EA2FBA"/>
    <w:rsid w:val="00EA4DC5"/>
    <w:rsid w:val="00EA5664"/>
    <w:rsid w:val="00EA66DF"/>
    <w:rsid w:val="00EA6ADC"/>
    <w:rsid w:val="00EB13A7"/>
    <w:rsid w:val="00EB14DF"/>
    <w:rsid w:val="00EB1A4D"/>
    <w:rsid w:val="00EB3A07"/>
    <w:rsid w:val="00EB5539"/>
    <w:rsid w:val="00EC3F31"/>
    <w:rsid w:val="00EC52E7"/>
    <w:rsid w:val="00EC7E0E"/>
    <w:rsid w:val="00ED3698"/>
    <w:rsid w:val="00ED4794"/>
    <w:rsid w:val="00ED4B34"/>
    <w:rsid w:val="00ED7B59"/>
    <w:rsid w:val="00EE265C"/>
    <w:rsid w:val="00EE5C63"/>
    <w:rsid w:val="00EF416F"/>
    <w:rsid w:val="00EF6426"/>
    <w:rsid w:val="00F00449"/>
    <w:rsid w:val="00F0095C"/>
    <w:rsid w:val="00F01129"/>
    <w:rsid w:val="00F01CCA"/>
    <w:rsid w:val="00F01F2C"/>
    <w:rsid w:val="00F02104"/>
    <w:rsid w:val="00F04EF6"/>
    <w:rsid w:val="00F06C17"/>
    <w:rsid w:val="00F121B2"/>
    <w:rsid w:val="00F138B4"/>
    <w:rsid w:val="00F13C82"/>
    <w:rsid w:val="00F1632B"/>
    <w:rsid w:val="00F202CA"/>
    <w:rsid w:val="00F223A7"/>
    <w:rsid w:val="00F26A64"/>
    <w:rsid w:val="00F334CB"/>
    <w:rsid w:val="00F3495A"/>
    <w:rsid w:val="00F34E2C"/>
    <w:rsid w:val="00F370BC"/>
    <w:rsid w:val="00F37143"/>
    <w:rsid w:val="00F50562"/>
    <w:rsid w:val="00F50A92"/>
    <w:rsid w:val="00F50B0B"/>
    <w:rsid w:val="00F50D01"/>
    <w:rsid w:val="00F56BC1"/>
    <w:rsid w:val="00F618C4"/>
    <w:rsid w:val="00F65774"/>
    <w:rsid w:val="00F65A34"/>
    <w:rsid w:val="00F65F4C"/>
    <w:rsid w:val="00F67DBC"/>
    <w:rsid w:val="00F71A60"/>
    <w:rsid w:val="00F725DA"/>
    <w:rsid w:val="00F7536E"/>
    <w:rsid w:val="00F75652"/>
    <w:rsid w:val="00F76137"/>
    <w:rsid w:val="00F7782D"/>
    <w:rsid w:val="00F8168B"/>
    <w:rsid w:val="00F81CF2"/>
    <w:rsid w:val="00F81F93"/>
    <w:rsid w:val="00F857D1"/>
    <w:rsid w:val="00F86FD9"/>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C77CF"/>
    <w:rsid w:val="00FD0555"/>
    <w:rsid w:val="00FD06F5"/>
    <w:rsid w:val="00FD5961"/>
    <w:rsid w:val="00FE3EFA"/>
    <w:rsid w:val="00FE5C56"/>
    <w:rsid w:val="00FE5E20"/>
    <w:rsid w:val="00FE7AAC"/>
    <w:rsid w:val="00FE7B06"/>
    <w:rsid w:val="00FE7E98"/>
    <w:rsid w:val="00FF06BC"/>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qFormat="1"/>
    <w:lsdException w:name="heading 4"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3"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aliases w:val="DPS Table Grid"/>
    <w:basedOn w:val="TableNormal"/>
    <w:uiPriority w:val="3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styleId="NormalWeb">
    <w:name w:val="Normal (Web)"/>
    <w:basedOn w:val="Normal"/>
    <w:uiPriority w:val="99"/>
    <w:unhideWhenUsed/>
    <w:rsid w:val="006916F7"/>
    <w:pPr>
      <w:spacing w:before="100" w:beforeAutospacing="1" w:after="100" w:afterAutospacing="1" w:line="240" w:lineRule="auto"/>
    </w:pPr>
    <w:rPr>
      <w:rFonts w:ascii="Times New Roman" w:hAnsi="Times New Roman"/>
      <w:color w:val="auto"/>
      <w:sz w:val="24"/>
    </w:rPr>
  </w:style>
  <w:style w:type="character" w:customStyle="1" w:styleId="ListParagraphChar">
    <w:name w:val="List Paragraph Char"/>
    <w:basedOn w:val="DefaultParagraphFont"/>
    <w:link w:val="ListParagraph"/>
    <w:uiPriority w:val="34"/>
    <w:rsid w:val="006916F7"/>
    <w:rPr>
      <w:rFonts w:asciiTheme="minorHAnsi" w:hAnsiTheme="minorHAnsi"/>
      <w:color w:val="3F3F3F" w:themeColor="text1"/>
      <w:sz w:val="22"/>
      <w:szCs w:val="24"/>
    </w:rPr>
  </w:style>
  <w:style w:type="paragraph" w:customStyle="1" w:styleId="Default">
    <w:name w:val="Default"/>
    <w:rsid w:val="006916F7"/>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semiHidden/>
    <w:unhideWhenUsed/>
    <w:qFormat/>
    <w:rsid w:val="00EF6426"/>
    <w:pPr>
      <w:spacing w:before="0" w:after="200" w:line="240" w:lineRule="auto"/>
    </w:pPr>
    <w:rPr>
      <w:rFonts w:ascii="Times New Roman" w:hAnsi="Times New Roman"/>
      <w:b/>
      <w:bCs/>
      <w:color w:val="2158A8" w:themeColor="accent1"/>
      <w:sz w:val="18"/>
      <w:szCs w:val="18"/>
    </w:rPr>
  </w:style>
  <w:style w:type="paragraph" w:customStyle="1" w:styleId="TableTitle">
    <w:name w:val="Table Title"/>
    <w:basedOn w:val="Normal"/>
    <w:next w:val="Normal"/>
    <w:uiPriority w:val="48"/>
    <w:qFormat/>
    <w:rsid w:val="00166DEB"/>
    <w:pPr>
      <w:keepNext/>
      <w:keepLines/>
      <w:tabs>
        <w:tab w:val="left" w:pos="907"/>
      </w:tabs>
      <w:spacing w:before="480" w:after="180" w:line="300" w:lineRule="atLeast"/>
      <w:contextualSpacing/>
    </w:pPr>
    <w:rPr>
      <w:b/>
      <w:color w:val="auto"/>
      <w:szCs w:val="22"/>
    </w:rPr>
  </w:style>
  <w:style w:type="paragraph" w:customStyle="1" w:styleId="AppendixHead">
    <w:name w:val="Appendix Head"/>
    <w:basedOn w:val="Normal"/>
    <w:qFormat/>
    <w:rsid w:val="000E31F1"/>
    <w:pPr>
      <w:spacing w:line="300" w:lineRule="atLeast"/>
      <w:outlineLvl w:val="1"/>
    </w:pPr>
    <w:rPr>
      <w:b/>
      <w:sz w:val="24"/>
    </w:rPr>
  </w:style>
  <w:style w:type="table" w:customStyle="1" w:styleId="DefaultTable1">
    <w:name w:val="Default Table1"/>
    <w:basedOn w:val="TableNormal"/>
    <w:uiPriority w:val="99"/>
    <w:rsid w:val="009F1715"/>
    <w:pPr>
      <w:spacing w:after="480"/>
    </w:pPr>
    <w:rPr>
      <w:rFonts w:asciiTheme="minorHAnsi" w:hAnsiTheme="minorHAnsi"/>
      <w:sz w:val="18"/>
    </w:rPr>
    <w:tblPr>
      <w:tblStyleRowBandSize w:val="1"/>
      <w:tblBorders>
        <w:bottom w:val="single" w:sz="4" w:space="0" w:color="808080" w:themeColor="background1" w:themeShade="80"/>
        <w:insideH w:val="single" w:sz="4" w:space="0" w:color="808080" w:themeColor="background1" w:themeShade="80"/>
      </w:tblBorders>
      <w:tblCellMar>
        <w:top w:w="57" w:type="dxa"/>
        <w:left w:w="113" w:type="dxa"/>
        <w:bottom w:w="57" w:type="dxa"/>
        <w:right w:w="113" w:type="dxa"/>
      </w:tblCellMar>
    </w:tblPr>
    <w:trPr>
      <w:cantSplit/>
    </w:trPr>
    <w:tcPr>
      <w:shd w:val="clear" w:color="auto" w:fill="auto"/>
      <w:vAlign w:val="center"/>
    </w:tcPr>
    <w:tblStylePr w:type="firstRow">
      <w:pPr>
        <w:jc w:val="left"/>
      </w:pPr>
      <w:rPr>
        <w:rFonts w:asciiTheme="minorHAnsi" w:hAnsiTheme="minorHAnsi"/>
        <w:b w:val="0"/>
        <w:caps w:val="0"/>
        <w:smallCaps w:val="0"/>
        <w:color w:val="FFFFFF" w:themeColor="background1"/>
        <w:sz w:val="18"/>
      </w:rPr>
      <w:tblPr/>
      <w:tcPr>
        <w:tcBorders>
          <w:top w:val="nil"/>
          <w:left w:val="nil"/>
          <w:bottom w:val="nil"/>
          <w:right w:val="nil"/>
          <w:insideH w:val="nil"/>
          <w:insideV w:val="nil"/>
          <w:tl2br w:val="nil"/>
          <w:tr2bl w:val="nil"/>
        </w:tcBorders>
        <w:shd w:val="clear" w:color="auto" w:fill="3F3F3F" w:themeFill="text1"/>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88319268">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tsanhonour.gov.au/coat-ar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4.0/deed.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DOC18-126322</ShareHubID>
    <TaxCatchAll xmlns="d0dfa800-9ef0-44cb-8a12-633e29de1e0b">
      <Value>4</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PMCdoc-213507164-64716</_dlc_DocId>
    <_dlc_DocIdUrl xmlns="d0dfa800-9ef0-44cb-8a12-633e29de1e0b">
      <Url>https://pmc01.sharepoint.com/sites/pmc-ms-cb/_layouts/15/DocIdRedir.aspx?ID=PMCdoc-213507164-64716</Url>
      <Description>PMCdoc-213507164-64716</Description>
    </_dlc_DocIdUrl>
    <lcf76f155ced4ddcb4097134ff3c332f xmlns="631b17cb-7e05-4b62-a9e3-205a319faa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9244B2-0D0C-4851-B9FD-1A50C085615B}">
  <ds:schemaRefs>
    <ds:schemaRef ds:uri="http://schemas.microsoft.com/office/2006/metadata/properties"/>
    <ds:schemaRef ds:uri="http://schemas.microsoft.com/office/infopath/2007/PartnerControls"/>
    <ds:schemaRef ds:uri="685f9fda-bd71-4433-b331-92feb9553089"/>
    <ds:schemaRef ds:uri="166541c0-0594-4e6a-9105-c24d4b6de6f7"/>
  </ds:schemaRefs>
</ds:datastoreItem>
</file>

<file path=customXml/itemProps2.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3.xml><?xml version="1.0" encoding="utf-8"?>
<ds:datastoreItem xmlns:ds="http://schemas.openxmlformats.org/officeDocument/2006/customXml" ds:itemID="{146564D3-93A3-450F-B0DD-04EEC2B16CBE}"/>
</file>

<file path=customXml/itemProps4.xml><?xml version="1.0" encoding="utf-8"?>
<ds:datastoreItem xmlns:ds="http://schemas.openxmlformats.org/officeDocument/2006/customXml" ds:itemID="{C58537ED-71FC-41AB-8778-80FEB91E0E6A}">
  <ds:schemaRefs>
    <ds:schemaRef ds:uri="http://schemas.openxmlformats.org/officeDocument/2006/bibliography"/>
  </ds:schemaRefs>
</ds:datastoreItem>
</file>

<file path=customXml/itemProps5.xml><?xml version="1.0" encoding="utf-8"?>
<ds:datastoreItem xmlns:ds="http://schemas.openxmlformats.org/officeDocument/2006/customXml" ds:itemID="{74AA9F4F-A2EF-4607-A08D-47424A8239D0}"/>
</file>

<file path=docProps/app.xml><?xml version="1.0" encoding="utf-8"?>
<Properties xmlns="http://schemas.openxmlformats.org/officeDocument/2006/extended-properties" xmlns:vt="http://schemas.openxmlformats.org/officeDocument/2006/docPropsVTypes">
  <Template>Normal</Template>
  <TotalTime>0</TotalTime>
  <Pages>1</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AER Energy Price Fact Sheet Study</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Energy Price Fact Sheet Study</dc:title>
  <dc:creator/>
  <cp:lastModifiedBy/>
  <cp:revision>1</cp:revision>
  <dcterms:created xsi:type="dcterms:W3CDTF">2018-03-27T04:25:00Z</dcterms:created>
  <dcterms:modified xsi:type="dcterms:W3CDTF">2018-03-28T04:56:00Z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SecurityClassification">
    <vt:lpwstr>4;#OFFICIAL|9e0ec9cb-4e7f-4d4a-bd32-1ee7525c6d87</vt:lpwstr>
  </property>
  <property fmtid="{D5CDD505-2E9C-101B-9397-08002B2CF9AE}" pid="6" name="_dlc_DocIdItemGuid">
    <vt:lpwstr>8a7844d6-8776-413f-84b1-1f0fae3356c6</vt:lpwstr>
  </property>
  <property fmtid="{D5CDD505-2E9C-101B-9397-08002B2CF9AE}" pid="7" name="TaxKeyword">
    <vt:lpwstr/>
  </property>
  <property fmtid="{D5CDD505-2E9C-101B-9397-08002B2CF9AE}" pid="8" name="MediaServiceImageTags">
    <vt:lpwstr/>
  </property>
  <property fmtid="{D5CDD505-2E9C-101B-9397-08002B2CF9AE}" pid="9" name="InformationMarker">
    <vt:lpwstr/>
  </property>
</Properties>
</file>