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49AE5" w14:textId="77777777" w:rsidR="001E1876" w:rsidRPr="008862A7" w:rsidRDefault="001E1876" w:rsidP="003775DE">
      <w:pPr>
        <w:pStyle w:val="Title"/>
      </w:pPr>
      <w:bookmarkStart w:id="0" w:name="_GoBack"/>
      <w:bookmarkEnd w:id="0"/>
      <w:r w:rsidRPr="008862A7">
        <w:t>Grow. Gather. Graduate</w:t>
      </w:r>
      <w:r>
        <w:t>.</w:t>
      </w:r>
    </w:p>
    <w:p w14:paraId="3D6724E6" w14:textId="70E4B44C" w:rsidR="001E1876" w:rsidRPr="008862A7" w:rsidRDefault="001E1876" w:rsidP="003775DE">
      <w:pPr>
        <w:pStyle w:val="Subtitle"/>
        <w:rPr>
          <w:szCs w:val="28"/>
        </w:rPr>
      </w:pPr>
      <w:r w:rsidRPr="008862A7">
        <w:t>Using Behaviou</w:t>
      </w:r>
      <w:r>
        <w:t>r</w:t>
      </w:r>
      <w:r w:rsidRPr="008862A7">
        <w:t>al Insights to Help Students</w:t>
      </w:r>
      <w:r>
        <w:t xml:space="preserve"> </w:t>
      </w:r>
      <w:r w:rsidRPr="003E1C23">
        <w:t>Graduate</w:t>
      </w:r>
      <w:r w:rsidR="00A834CA">
        <w:t xml:space="preserve"> from</w:t>
      </w:r>
      <w:r>
        <w:t xml:space="preserve"> </w:t>
      </w:r>
      <w:r w:rsidR="00994ACD">
        <w:t>University</w:t>
      </w:r>
    </w:p>
    <w:p w14:paraId="38FF6000" w14:textId="77777777" w:rsidR="001E1876" w:rsidRPr="001E1876" w:rsidRDefault="001E1876" w:rsidP="001E1876">
      <w:pPr>
        <w:spacing w:before="240" w:line="276" w:lineRule="auto"/>
        <w:ind w:left="57"/>
        <w:rPr>
          <w:rFonts w:ascii="Helvetica" w:hAnsi="Helvetica" w:cs="Helvetica"/>
        </w:rPr>
      </w:pPr>
      <w:r w:rsidRPr="001E1876">
        <w:rPr>
          <w:rFonts w:ascii="Helvetica" w:hAnsi="Helvetica" w:cs="Helvetica"/>
        </w:rPr>
        <w:t xml:space="preserve">Dropping out of university is associated with a heightened risk of unemployment or long-term welfare dependence. </w:t>
      </w:r>
    </w:p>
    <w:p w14:paraId="3812AEAD" w14:textId="581E7ED8" w:rsidR="001E1876" w:rsidRPr="001E1876" w:rsidRDefault="001E1876" w:rsidP="001E1876">
      <w:pPr>
        <w:spacing w:line="276" w:lineRule="auto"/>
        <w:ind w:left="57"/>
        <w:rPr>
          <w:rFonts w:ascii="Helvetica" w:hAnsi="Helvetica" w:cs="Helvetica"/>
        </w:rPr>
      </w:pPr>
      <w:r w:rsidRPr="001E1876">
        <w:rPr>
          <w:rFonts w:ascii="Helvetica" w:hAnsi="Helvetica" w:cs="Helvetica"/>
        </w:rPr>
        <w:t xml:space="preserve">Supported with funding from the </w:t>
      </w:r>
      <w:r w:rsidRPr="001E1876">
        <w:rPr>
          <w:rFonts w:ascii="Helvetica" w:hAnsi="Helvetica" w:cs="Helvetica"/>
          <w:b/>
        </w:rPr>
        <w:t>Try, Test and Learn Fund</w:t>
      </w:r>
      <w:r w:rsidRPr="001E1876">
        <w:rPr>
          <w:rFonts w:ascii="Helvetica" w:hAnsi="Helvetica" w:cs="Helvetica"/>
        </w:rPr>
        <w:t>, BETA designed a new behaviourally</w:t>
      </w:r>
      <w:r w:rsidR="00B31C30">
        <w:rPr>
          <w:rFonts w:ascii="Helvetica" w:hAnsi="Helvetica" w:cs="Helvetica"/>
        </w:rPr>
        <w:t>-</w:t>
      </w:r>
      <w:r w:rsidRPr="001E1876">
        <w:rPr>
          <w:rFonts w:ascii="Helvetica" w:hAnsi="Helvetica" w:cs="Helvetica"/>
        </w:rPr>
        <w:t xml:space="preserve">informed </w:t>
      </w:r>
      <w:r w:rsidRPr="001E1876">
        <w:rPr>
          <w:rFonts w:ascii="Helvetica" w:hAnsi="Helvetica" w:cs="Helvetica"/>
          <w:b/>
        </w:rPr>
        <w:t>app called ‘</w:t>
      </w:r>
      <w:r w:rsidRPr="001E1876">
        <w:rPr>
          <w:rFonts w:ascii="Helvetica" w:hAnsi="Helvetica" w:cs="Helvetica"/>
          <w:b/>
          <w:i/>
        </w:rPr>
        <w:t>Grok’</w:t>
      </w:r>
      <w:r w:rsidRPr="001E1876">
        <w:rPr>
          <w:rFonts w:ascii="Helvetica" w:hAnsi="Helvetica" w:cs="Helvetica"/>
        </w:rPr>
        <w:t xml:space="preserve">. </w:t>
      </w:r>
    </w:p>
    <w:p w14:paraId="3FC3F20C" w14:textId="77777777" w:rsidR="001E1876" w:rsidRPr="001E1876" w:rsidRDefault="001E1876" w:rsidP="001E1876">
      <w:pPr>
        <w:spacing w:line="276" w:lineRule="auto"/>
        <w:ind w:left="57"/>
        <w:rPr>
          <w:rFonts w:ascii="Helvetica" w:hAnsi="Helvetica" w:cs="Helvetica"/>
          <w:b/>
          <w:color w:val="0D0D0D"/>
        </w:rPr>
      </w:pPr>
      <w:r w:rsidRPr="001E1876">
        <w:rPr>
          <w:rFonts w:ascii="Helvetica" w:hAnsi="Helvetica" w:cs="Helvetica"/>
          <w:color w:val="0D0D0D"/>
        </w:rPr>
        <w:t xml:space="preserve">Grok aimed to improve </w:t>
      </w:r>
      <w:r w:rsidRPr="001E1876">
        <w:rPr>
          <w:rFonts w:ascii="Helvetica" w:hAnsi="Helvetica" w:cs="Helvetica"/>
          <w:b/>
          <w:color w:val="0D0D0D"/>
        </w:rPr>
        <w:t xml:space="preserve">university completion rates by growing student resilience </w:t>
      </w:r>
      <w:r w:rsidRPr="001E1876">
        <w:rPr>
          <w:rFonts w:ascii="Helvetica" w:hAnsi="Helvetica" w:cs="Helvetica"/>
          <w:color w:val="0D0D0D"/>
        </w:rPr>
        <w:t>through</w:t>
      </w:r>
      <w:r w:rsidRPr="001E1876">
        <w:rPr>
          <w:rFonts w:ascii="Helvetica" w:hAnsi="Helvetica" w:cs="Helvetica"/>
          <w:b/>
          <w:color w:val="0D0D0D"/>
        </w:rPr>
        <w:t>:</w:t>
      </w:r>
    </w:p>
    <w:p w14:paraId="5B298FF9" w14:textId="77777777" w:rsidR="001E1876" w:rsidRPr="001E1876" w:rsidRDefault="001E1876" w:rsidP="001E1876">
      <w:pPr>
        <w:pStyle w:val="ListParagraph"/>
        <w:numPr>
          <w:ilvl w:val="0"/>
          <w:numId w:val="1"/>
        </w:numPr>
        <w:spacing w:line="276" w:lineRule="auto"/>
        <w:ind w:left="641" w:hanging="357"/>
        <w:rPr>
          <w:rFonts w:ascii="Helvetica" w:hAnsi="Helvetica" w:cs="Helvetica"/>
          <w:color w:val="0D0D0D"/>
        </w:rPr>
      </w:pPr>
      <w:r w:rsidRPr="001E1876">
        <w:rPr>
          <w:rFonts w:ascii="Helvetica" w:hAnsi="Helvetica" w:cs="Helvetica"/>
          <w:color w:val="0D0D0D"/>
        </w:rPr>
        <w:t xml:space="preserve">Reminding students to connect with social groups </w:t>
      </w:r>
    </w:p>
    <w:p w14:paraId="64852696" w14:textId="77777777" w:rsidR="001E1876" w:rsidRPr="001E1876" w:rsidRDefault="001E1876" w:rsidP="001E1876">
      <w:pPr>
        <w:pStyle w:val="ListParagraph"/>
        <w:numPr>
          <w:ilvl w:val="0"/>
          <w:numId w:val="1"/>
        </w:numPr>
        <w:spacing w:line="276" w:lineRule="auto"/>
        <w:ind w:left="641" w:hanging="357"/>
        <w:rPr>
          <w:rFonts w:ascii="Helvetica" w:hAnsi="Helvetica" w:cs="Helvetica"/>
          <w:color w:val="0D0D0D"/>
        </w:rPr>
      </w:pPr>
      <w:r w:rsidRPr="001E1876">
        <w:rPr>
          <w:rFonts w:ascii="Helvetica" w:hAnsi="Helvetica" w:cs="Helvetica"/>
          <w:color w:val="0D0D0D"/>
        </w:rPr>
        <w:t xml:space="preserve">Challenging unhelpful thoughts about setbacks </w:t>
      </w:r>
    </w:p>
    <w:p w14:paraId="63262E3E" w14:textId="77777777" w:rsidR="001E1876" w:rsidRPr="001E1876" w:rsidRDefault="001E1876" w:rsidP="001E1876">
      <w:pPr>
        <w:pStyle w:val="ListParagraph"/>
        <w:numPr>
          <w:ilvl w:val="0"/>
          <w:numId w:val="1"/>
        </w:numPr>
        <w:spacing w:line="276" w:lineRule="auto"/>
        <w:ind w:left="641" w:hanging="357"/>
        <w:rPr>
          <w:rFonts w:ascii="Helvetica" w:hAnsi="Helvetica" w:cs="Helvetica"/>
          <w:color w:val="0D0D0D"/>
        </w:rPr>
      </w:pPr>
      <w:r w:rsidRPr="001E1876">
        <w:rPr>
          <w:rFonts w:ascii="Helvetica" w:hAnsi="Helvetica" w:cs="Helvetica"/>
          <w:color w:val="0D0D0D"/>
        </w:rPr>
        <w:t xml:space="preserve">Delivering practical wellbeing and study tips </w:t>
      </w:r>
    </w:p>
    <w:p w14:paraId="4AC8F3FD" w14:textId="77777777" w:rsidR="009D5005" w:rsidRDefault="009D5005" w:rsidP="001E1876">
      <w:pPr>
        <w:spacing w:line="320" w:lineRule="atLeast"/>
        <w:ind w:left="57"/>
        <w:rPr>
          <w:rFonts w:ascii="Helvetica" w:hAnsi="Helvetica" w:cs="Helvetica"/>
        </w:rPr>
      </w:pPr>
    </w:p>
    <w:p w14:paraId="1A45073B" w14:textId="77777777" w:rsidR="009D5005" w:rsidRDefault="009D5005" w:rsidP="009D5005">
      <w:pPr>
        <w:spacing w:line="320" w:lineRule="atLeast"/>
        <w:ind w:left="57"/>
        <w:jc w:val="center"/>
        <w:rPr>
          <w:rFonts w:ascii="Helvetica" w:hAnsi="Helvetica" w:cs="Helvetica"/>
        </w:rPr>
      </w:pPr>
      <w:r w:rsidRPr="009D5005">
        <w:rPr>
          <w:rFonts w:ascii="Helvetica" w:hAnsi="Helvetica" w:cs="Helvetica"/>
          <w:noProof/>
          <w:lang w:eastAsia="en-AU"/>
        </w:rPr>
        <w:drawing>
          <wp:inline distT="0" distB="0" distL="0" distR="0" wp14:anchorId="79824CFC" wp14:editId="16D05C75">
            <wp:extent cx="4858428" cy="4115374"/>
            <wp:effectExtent l="0" t="0" r="0" b="0"/>
            <wp:docPr id="2" name="Picture 2" descr="Two phone screens depicting an aerial view of an example Grok Zen Garden. The first shows the rock garden and the wellbeing tortoise. The second shows the Koi pond with the academic Koi and the temple icon for key wisdoms.  " title="Screenshots of Grok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58428" cy="4115374"/>
                    </a:xfrm>
                    <a:prstGeom prst="rect">
                      <a:avLst/>
                    </a:prstGeom>
                  </pic:spPr>
                </pic:pic>
              </a:graphicData>
            </a:graphic>
          </wp:inline>
        </w:drawing>
      </w:r>
    </w:p>
    <w:p w14:paraId="65331F80" w14:textId="77777777" w:rsidR="009D5005" w:rsidRDefault="009D5005" w:rsidP="001E1876">
      <w:pPr>
        <w:spacing w:line="320" w:lineRule="atLeast"/>
        <w:ind w:left="57"/>
        <w:rPr>
          <w:rFonts w:ascii="Helvetica" w:hAnsi="Helvetica" w:cs="Helvetica"/>
        </w:rPr>
      </w:pPr>
    </w:p>
    <w:p w14:paraId="754C4CC2" w14:textId="77777777" w:rsidR="001E1876" w:rsidRPr="001E1876" w:rsidRDefault="001E1876" w:rsidP="009D5005">
      <w:pPr>
        <w:spacing w:line="320" w:lineRule="atLeast"/>
        <w:rPr>
          <w:rFonts w:ascii="Helvetica" w:hAnsi="Helvetica" w:cs="Helvetica"/>
          <w:i/>
          <w:color w:val="000000" w:themeColor="text1"/>
        </w:rPr>
      </w:pPr>
      <w:r w:rsidRPr="001E1876">
        <w:rPr>
          <w:rFonts w:ascii="Helvetica" w:hAnsi="Helvetica" w:cs="Helvetica"/>
        </w:rPr>
        <w:lastRenderedPageBreak/>
        <w:t>Quote: “</w:t>
      </w:r>
      <w:r w:rsidRPr="001E1876">
        <w:rPr>
          <w:rFonts w:ascii="Helvetica" w:hAnsi="Helvetica" w:cs="Helvetica"/>
          <w:i/>
          <w:color w:val="000000" w:themeColor="text1"/>
        </w:rPr>
        <w:t>Grok was an app worth downloading - it helps you stay motivated, reflect on your self-identity/wellbeing and stay on track when it comes to academics.”</w:t>
      </w:r>
    </w:p>
    <w:p w14:paraId="0B29B7D3" w14:textId="24F509D9" w:rsidR="001E1876" w:rsidRPr="001E1876" w:rsidRDefault="001E1876" w:rsidP="001E1876">
      <w:pPr>
        <w:ind w:left="57"/>
        <w:rPr>
          <w:rFonts w:ascii="Helvetica" w:hAnsi="Helvetica" w:cs="Helvetica"/>
        </w:rPr>
      </w:pPr>
      <w:r w:rsidRPr="001E1876">
        <w:rPr>
          <w:rFonts w:ascii="Helvetica" w:hAnsi="Helvetica" w:cs="Helvetica"/>
        </w:rPr>
        <w:t>The trial launched in semester one 2020 at two Australian universities</w:t>
      </w:r>
      <w:r w:rsidR="00B31C30">
        <w:rPr>
          <w:rFonts w:ascii="Helvetica" w:hAnsi="Helvetica" w:cs="Helvetica"/>
        </w:rPr>
        <w:t>.</w:t>
      </w:r>
    </w:p>
    <w:p w14:paraId="5A7DCB2E" w14:textId="77777777" w:rsidR="001E1876" w:rsidRPr="001E1876" w:rsidRDefault="001E1876" w:rsidP="001E1876">
      <w:pPr>
        <w:ind w:left="57"/>
      </w:pPr>
      <w:r w:rsidRPr="001E1876">
        <w:rPr>
          <w:rFonts w:ascii="Helvetica" w:hAnsi="Helvetica" w:cs="Helvetica"/>
        </w:rPr>
        <w:t>We evaluated the impact of Grok on academic performance, completion, wellbeing and belonging.</w:t>
      </w:r>
    </w:p>
    <w:p w14:paraId="26E88006" w14:textId="77777777" w:rsidR="001E1876" w:rsidRPr="001E1876" w:rsidRDefault="001E1876" w:rsidP="001E1876">
      <w:pPr>
        <w:ind w:left="57" w:right="-57"/>
        <w:rPr>
          <w:rFonts w:ascii="Helvetica" w:hAnsi="Helvetica" w:cs="Helvetica"/>
        </w:rPr>
      </w:pPr>
      <w:r w:rsidRPr="001E1876">
        <w:rPr>
          <w:rFonts w:ascii="Helvetica" w:hAnsi="Helvetica" w:cs="Helvetica"/>
          <w:b/>
        </w:rPr>
        <w:t>4463 students downloaded Grok</w:t>
      </w:r>
      <w:r w:rsidRPr="001E1876">
        <w:rPr>
          <w:rFonts w:ascii="Helvetica" w:hAnsi="Helvetica" w:cs="Helvetica"/>
        </w:rPr>
        <w:t xml:space="preserve">. </w:t>
      </w:r>
      <w:r w:rsidRPr="001E1876">
        <w:rPr>
          <w:rFonts w:ascii="Helvetica" w:hAnsi="Helvetica" w:cs="Helvetica"/>
          <w:b/>
        </w:rPr>
        <w:t>Feedback was largely positive…</w:t>
      </w:r>
      <w:r w:rsidRPr="001E1876">
        <w:rPr>
          <w:rFonts w:ascii="Helvetica" w:hAnsi="Helvetica" w:cs="Helvetica"/>
        </w:rPr>
        <w:t xml:space="preserve"> </w:t>
      </w:r>
      <w:r w:rsidRPr="001E1876">
        <w:rPr>
          <w:rFonts w:ascii="Helvetica" w:hAnsi="Helvetica" w:cs="Helvetica"/>
          <w:b/>
        </w:rPr>
        <w:t>but overall app usage was low</w:t>
      </w:r>
      <w:r w:rsidR="00B31C30">
        <w:rPr>
          <w:rFonts w:ascii="Helvetica" w:hAnsi="Helvetica" w:cs="Helvetica"/>
          <w:b/>
        </w:rPr>
        <w:t>.</w:t>
      </w:r>
    </w:p>
    <w:p w14:paraId="408437A1" w14:textId="77777777" w:rsidR="001E1876" w:rsidRPr="001E1876" w:rsidRDefault="001E1876" w:rsidP="001E1876">
      <w:pPr>
        <w:ind w:left="57"/>
        <w:rPr>
          <w:rFonts w:ascii="Helvetica" w:hAnsi="Helvetica" w:cs="Helvetica"/>
        </w:rPr>
      </w:pPr>
      <w:r w:rsidRPr="001E1876">
        <w:rPr>
          <w:rFonts w:ascii="Helvetica" w:hAnsi="Helvetica" w:cs="Helvetica"/>
        </w:rPr>
        <w:t xml:space="preserve">We found no significant difference between those who had access to Grok and those who did not. </w:t>
      </w:r>
    </w:p>
    <w:p w14:paraId="2B56DFF9" w14:textId="77777777" w:rsidR="001E1876" w:rsidRPr="001E1876" w:rsidRDefault="001E1876" w:rsidP="001E1876">
      <w:pPr>
        <w:spacing w:line="276" w:lineRule="auto"/>
        <w:ind w:left="57"/>
        <w:rPr>
          <w:rFonts w:ascii="Helvetica" w:hAnsi="Helvetica" w:cs="Helvetica"/>
          <w:b/>
        </w:rPr>
      </w:pPr>
      <w:r w:rsidRPr="001E1876">
        <w:rPr>
          <w:rFonts w:ascii="Helvetica" w:hAnsi="Helvetica" w:cs="Helvetica"/>
        </w:rPr>
        <w:t>This could be due to the app content, low usage or impacts of COVID-19</w:t>
      </w:r>
      <w:r w:rsidR="00B31C30">
        <w:rPr>
          <w:rFonts w:ascii="Helvetica" w:hAnsi="Helvetica" w:cs="Helvetica"/>
        </w:rPr>
        <w:t>.</w:t>
      </w:r>
    </w:p>
    <w:p w14:paraId="3EDB2E0C" w14:textId="77777777" w:rsidR="009C2158" w:rsidRDefault="001E1876" w:rsidP="003775DE">
      <w:pPr>
        <w:spacing w:line="320" w:lineRule="atLeast"/>
        <w:ind w:left="57"/>
      </w:pPr>
      <w:r w:rsidRPr="001E1876">
        <w:rPr>
          <w:rFonts w:ascii="Helvetica" w:hAnsi="Helvetica" w:cs="Helvetica"/>
        </w:rPr>
        <w:t xml:space="preserve">Mobile apps are highly accessible but </w:t>
      </w:r>
      <w:r w:rsidRPr="001E1876">
        <w:rPr>
          <w:rFonts w:ascii="Helvetica" w:hAnsi="Helvetica" w:cs="Helvetica"/>
          <w:b/>
        </w:rPr>
        <w:t>maintaining user engagement is a challenge</w:t>
      </w:r>
      <w:r w:rsidRPr="001E1876">
        <w:rPr>
          <w:rFonts w:ascii="Helvetica" w:hAnsi="Helvetica" w:cs="Helvetica"/>
        </w:rPr>
        <w:t>. BETA could make Grok accessible to researchers for further testing to understand its potential impact and broader application.</w:t>
      </w:r>
    </w:p>
    <w:sectPr w:rsidR="009C2158" w:rsidSect="001E187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7316"/>
    <w:multiLevelType w:val="hybridMultilevel"/>
    <w:tmpl w:val="2C5AF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76"/>
    <w:rsid w:val="000353E5"/>
    <w:rsid w:val="00140980"/>
    <w:rsid w:val="001E1876"/>
    <w:rsid w:val="002A5875"/>
    <w:rsid w:val="002C6086"/>
    <w:rsid w:val="003775DE"/>
    <w:rsid w:val="003C0AD8"/>
    <w:rsid w:val="003E1C23"/>
    <w:rsid w:val="00613D9E"/>
    <w:rsid w:val="00994ACD"/>
    <w:rsid w:val="009D5005"/>
    <w:rsid w:val="00A27BA5"/>
    <w:rsid w:val="00A517B8"/>
    <w:rsid w:val="00A834CA"/>
    <w:rsid w:val="00B31C30"/>
    <w:rsid w:val="00F21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F13D"/>
  <w15:chartTrackingRefBased/>
  <w15:docId w15:val="{9C626C18-5E58-491C-953C-DA333ACF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980"/>
    <w:pPr>
      <w:ind w:left="720"/>
      <w:contextualSpacing/>
    </w:pPr>
  </w:style>
  <w:style w:type="paragraph" w:styleId="BalloonText">
    <w:name w:val="Balloon Text"/>
    <w:basedOn w:val="Normal"/>
    <w:link w:val="BalloonTextChar"/>
    <w:uiPriority w:val="99"/>
    <w:semiHidden/>
    <w:unhideWhenUsed/>
    <w:rsid w:val="00994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CD"/>
    <w:rPr>
      <w:rFonts w:ascii="Segoe UI" w:hAnsi="Segoe UI" w:cs="Segoe UI"/>
      <w:sz w:val="18"/>
      <w:szCs w:val="18"/>
    </w:rPr>
  </w:style>
  <w:style w:type="paragraph" w:styleId="Title">
    <w:name w:val="Title"/>
    <w:basedOn w:val="Normal"/>
    <w:next w:val="Normal"/>
    <w:link w:val="TitleChar"/>
    <w:uiPriority w:val="10"/>
    <w:qFormat/>
    <w:rsid w:val="00994ACD"/>
    <w:pPr>
      <w:tabs>
        <w:tab w:val="right" w:pos="9638"/>
      </w:tabs>
      <w:spacing w:line="276" w:lineRule="auto"/>
    </w:pPr>
    <w:rPr>
      <w:rFonts w:ascii="Helvetica" w:hAnsi="Helvetica" w:cs="Helvetica"/>
      <w:b/>
      <w:noProof/>
      <w:sz w:val="52"/>
      <w:szCs w:val="50"/>
      <w:lang w:eastAsia="en-AU"/>
    </w:rPr>
  </w:style>
  <w:style w:type="character" w:customStyle="1" w:styleId="TitleChar">
    <w:name w:val="Title Char"/>
    <w:basedOn w:val="DefaultParagraphFont"/>
    <w:link w:val="Title"/>
    <w:uiPriority w:val="10"/>
    <w:rsid w:val="00994ACD"/>
    <w:rPr>
      <w:rFonts w:ascii="Helvetica" w:hAnsi="Helvetica" w:cs="Helvetica"/>
      <w:b/>
      <w:noProof/>
      <w:sz w:val="52"/>
      <w:szCs w:val="50"/>
      <w:lang w:eastAsia="en-AU"/>
    </w:rPr>
  </w:style>
  <w:style w:type="paragraph" w:styleId="Subtitle">
    <w:name w:val="Subtitle"/>
    <w:basedOn w:val="Normal"/>
    <w:next w:val="Normal"/>
    <w:link w:val="SubtitleChar"/>
    <w:uiPriority w:val="11"/>
    <w:qFormat/>
    <w:rsid w:val="00994ACD"/>
    <w:pPr>
      <w:spacing w:before="120" w:line="276" w:lineRule="auto"/>
    </w:pPr>
    <w:rPr>
      <w:rFonts w:ascii="Helvetica" w:hAnsi="Helvetica" w:cs="Helvetica"/>
      <w:b/>
      <w:noProof/>
      <w:sz w:val="40"/>
      <w:szCs w:val="50"/>
      <w:lang w:eastAsia="en-AU"/>
    </w:rPr>
  </w:style>
  <w:style w:type="character" w:customStyle="1" w:styleId="SubtitleChar">
    <w:name w:val="Subtitle Char"/>
    <w:basedOn w:val="DefaultParagraphFont"/>
    <w:link w:val="Subtitle"/>
    <w:uiPriority w:val="11"/>
    <w:rsid w:val="00994ACD"/>
    <w:rPr>
      <w:rFonts w:ascii="Helvetica" w:hAnsi="Helvetica" w:cs="Helvetica"/>
      <w:b/>
      <w:noProof/>
      <w:sz w:val="40"/>
      <w:szCs w:val="50"/>
      <w:lang w:eastAsia="en-AU"/>
    </w:rPr>
  </w:style>
  <w:style w:type="paragraph" w:styleId="Revision">
    <w:name w:val="Revision"/>
    <w:hidden/>
    <w:uiPriority w:val="99"/>
    <w:semiHidden/>
    <w:rsid w:val="009D5005"/>
    <w:pPr>
      <w:spacing w:after="0" w:line="240" w:lineRule="auto"/>
    </w:pPr>
  </w:style>
  <w:style w:type="character" w:styleId="CommentReference">
    <w:name w:val="annotation reference"/>
    <w:basedOn w:val="DefaultParagraphFont"/>
    <w:uiPriority w:val="99"/>
    <w:semiHidden/>
    <w:unhideWhenUsed/>
    <w:rsid w:val="00B31C30"/>
    <w:rPr>
      <w:sz w:val="16"/>
      <w:szCs w:val="16"/>
    </w:rPr>
  </w:style>
  <w:style w:type="paragraph" w:styleId="CommentText">
    <w:name w:val="annotation text"/>
    <w:basedOn w:val="Normal"/>
    <w:link w:val="CommentTextChar"/>
    <w:uiPriority w:val="99"/>
    <w:semiHidden/>
    <w:unhideWhenUsed/>
    <w:rsid w:val="00B31C30"/>
    <w:pPr>
      <w:spacing w:line="240" w:lineRule="auto"/>
    </w:pPr>
    <w:rPr>
      <w:sz w:val="20"/>
      <w:szCs w:val="20"/>
    </w:rPr>
  </w:style>
  <w:style w:type="character" w:customStyle="1" w:styleId="CommentTextChar">
    <w:name w:val="Comment Text Char"/>
    <w:basedOn w:val="DefaultParagraphFont"/>
    <w:link w:val="CommentText"/>
    <w:uiPriority w:val="99"/>
    <w:semiHidden/>
    <w:rsid w:val="00B31C30"/>
    <w:rPr>
      <w:sz w:val="20"/>
      <w:szCs w:val="20"/>
    </w:rPr>
  </w:style>
  <w:style w:type="paragraph" w:styleId="CommentSubject">
    <w:name w:val="annotation subject"/>
    <w:basedOn w:val="CommentText"/>
    <w:next w:val="CommentText"/>
    <w:link w:val="CommentSubjectChar"/>
    <w:uiPriority w:val="99"/>
    <w:semiHidden/>
    <w:unhideWhenUsed/>
    <w:rsid w:val="00B31C30"/>
    <w:rPr>
      <w:b/>
      <w:bCs/>
    </w:rPr>
  </w:style>
  <w:style w:type="character" w:customStyle="1" w:styleId="CommentSubjectChar">
    <w:name w:val="Comment Subject Char"/>
    <w:basedOn w:val="CommentTextChar"/>
    <w:link w:val="CommentSubject"/>
    <w:uiPriority w:val="99"/>
    <w:semiHidden/>
    <w:rsid w:val="00B31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BETA Final">
      <a:dk1>
        <a:srgbClr val="000000"/>
      </a:dk1>
      <a:lt1>
        <a:srgbClr val="FFFFFF"/>
      </a:lt1>
      <a:dk2>
        <a:srgbClr val="142E3B"/>
      </a:dk2>
      <a:lt2>
        <a:srgbClr val="ABDBF6"/>
      </a:lt2>
      <a:accent1>
        <a:srgbClr val="2C276C"/>
      </a:accent1>
      <a:accent2>
        <a:srgbClr val="4B245E"/>
      </a:accent2>
      <a:accent3>
        <a:srgbClr val="1FB9A3"/>
      </a:accent3>
      <a:accent4>
        <a:srgbClr val="AA328A"/>
      </a:accent4>
      <a:accent5>
        <a:srgbClr val="2058A8"/>
      </a:accent5>
      <a:accent6>
        <a:srgbClr val="8D7349"/>
      </a:accent6>
      <a:hlink>
        <a:srgbClr val="9E2033"/>
      </a:hlink>
      <a:folHlink>
        <a:srgbClr val="6D6E71"/>
      </a:folHlink>
    </a:clrScheme>
    <a:fontScheme name="BETA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PMCdoc-213507164-64589</_dlc_DocId>
    <_dlc_DocIdUrl xmlns="d0dfa800-9ef0-44cb-8a12-633e29de1e0b">
      <Url>https://pmc01.sharepoint.com/sites/pmc-ms-cb/_layouts/15/DocIdRedir.aspx?ID=PMCdoc-213507164-64589</Url>
      <Description>PMCdoc-213507164-64589</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47293-E2E8-436F-B021-DC4E547DF31C}"/>
</file>

<file path=customXml/itemProps2.xml><?xml version="1.0" encoding="utf-8"?>
<ds:datastoreItem xmlns:ds="http://schemas.openxmlformats.org/officeDocument/2006/customXml" ds:itemID="{F246DCC0-2757-4E95-AD52-555D61E1026A}"/>
</file>

<file path=customXml/itemProps3.xml><?xml version="1.0" encoding="utf-8"?>
<ds:datastoreItem xmlns:ds="http://schemas.openxmlformats.org/officeDocument/2006/customXml" ds:itemID="{3FED7471-8D7D-408A-8876-C2ABAAED9086}"/>
</file>

<file path=customXml/itemProps4.xml><?xml version="1.0" encoding="utf-8"?>
<ds:datastoreItem xmlns:ds="http://schemas.openxmlformats.org/officeDocument/2006/customXml" ds:itemID="{44B962C0-CA52-485D-9226-500BF213CB2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'Grok' app one-pager: Using Behavioural Insights to Help Students Graduate University</vt:lpstr>
    </vt:vector>
  </TitlesOfParts>
  <Company>Department of the Prime Minister and Cabinet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'Grok' app one-pager: Using Behavioural Insights to Help Students Graduate University</dc:title>
  <dc:subject/>
  <dc:creator>The Department of the Prime Minister and Cabinet</dc:creator>
  <cp:keywords/>
  <dc:description/>
  <cp:lastModifiedBy>Armstrong, Roxarne</cp:lastModifiedBy>
  <cp:revision>2</cp:revision>
  <dcterms:created xsi:type="dcterms:W3CDTF">2021-05-04T23:46:00Z</dcterms:created>
  <dcterms:modified xsi:type="dcterms:W3CDTF">2021-05-04T23:46:00Z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367f5a3a-14f7-495e-a8da-70f874bd8189</vt:lpwstr>
  </property>
</Properties>
</file>