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5C842" w14:textId="6B9E153E" w:rsidR="004B4BC0" w:rsidRDefault="00E74E0D" w:rsidP="00087D4E">
      <w:pPr>
        <w:pStyle w:val="Heading1"/>
      </w:pPr>
      <w:bookmarkStart w:id="0" w:name="_GoBack"/>
      <w:r>
        <w:t xml:space="preserve">Pre-analysis plan: </w:t>
      </w:r>
      <w:r w:rsidR="000767D0">
        <w:t>AFSA online ‘consequences tool’</w:t>
      </w:r>
      <w:bookmarkEnd w:id="0"/>
    </w:p>
    <w:p w14:paraId="6A965BDF" w14:textId="77777777" w:rsidR="003A0A77" w:rsidRDefault="003A0A77" w:rsidP="002B1E32">
      <w:pPr>
        <w:pStyle w:val="Heading2"/>
        <w:spacing w:before="120" w:after="0" w:line="360" w:lineRule="auto"/>
      </w:pPr>
      <w:r>
        <w:t>Key dates</w:t>
      </w:r>
    </w:p>
    <w:p w14:paraId="254F6D2E" w14:textId="32163315" w:rsidR="003A0A77" w:rsidRDefault="003A0A77" w:rsidP="002B1E32">
      <w:pPr>
        <w:spacing w:before="0"/>
      </w:pPr>
      <w:r>
        <w:t xml:space="preserve">Pre-registration on the AEA RCT registry: </w:t>
      </w:r>
      <w:r>
        <w:tab/>
      </w:r>
      <w:r>
        <w:tab/>
        <w:t>9 March 2021</w:t>
      </w:r>
    </w:p>
    <w:p w14:paraId="731C3827" w14:textId="0AF37C49" w:rsidR="003A0A77" w:rsidRDefault="003A0A77" w:rsidP="003A0A77">
      <w:r>
        <w:t>Trial launch (online):</w:t>
      </w:r>
      <w:r>
        <w:tab/>
      </w:r>
      <w:r>
        <w:tab/>
      </w:r>
      <w:r>
        <w:tab/>
      </w:r>
      <w:r>
        <w:tab/>
      </w:r>
      <w:r>
        <w:tab/>
        <w:t>17 February 2021</w:t>
      </w:r>
    </w:p>
    <w:p w14:paraId="1CA32416" w14:textId="27A61863" w:rsidR="003A0A77" w:rsidRDefault="003A0A77" w:rsidP="003A0A77">
      <w:r>
        <w:t>Trial closed:</w:t>
      </w:r>
      <w:r>
        <w:tab/>
      </w:r>
      <w:r>
        <w:tab/>
      </w:r>
      <w:r>
        <w:tab/>
      </w:r>
      <w:r>
        <w:tab/>
      </w:r>
      <w:r>
        <w:tab/>
      </w:r>
      <w:r>
        <w:tab/>
        <w:t>11 March 2021</w:t>
      </w:r>
    </w:p>
    <w:p w14:paraId="4D394743" w14:textId="27CE0DB3" w:rsidR="00E74E0D" w:rsidRDefault="00E74E0D" w:rsidP="00E74E0D">
      <w:pPr>
        <w:pStyle w:val="Heading2"/>
      </w:pPr>
      <w:r w:rsidRPr="00E74E0D">
        <w:t>Policy problem</w:t>
      </w:r>
    </w:p>
    <w:p w14:paraId="14DD678C" w14:textId="0DA5DC5B" w:rsidR="000767D0" w:rsidRDefault="000767D0" w:rsidP="005233A5">
      <w:pPr>
        <w:spacing w:before="0" w:line="360" w:lineRule="auto"/>
      </w:pPr>
      <w:r>
        <w:t xml:space="preserve">The Australian Financial Securities Authority (AFSA) is responsible for administering </w:t>
      </w:r>
      <w:r w:rsidRPr="00AF6200">
        <w:t xml:space="preserve">personal bankruptcy laws in Australia. AFSA is currently digitising its services and from 1 October </w:t>
      </w:r>
      <w:r w:rsidR="00B6332D" w:rsidRPr="00AF6200">
        <w:t xml:space="preserve">2020 </w:t>
      </w:r>
      <w:r w:rsidRPr="00AF6200">
        <w:t xml:space="preserve">has offered an </w:t>
      </w:r>
      <w:r w:rsidRPr="00AF6200">
        <w:rPr>
          <w:b/>
        </w:rPr>
        <w:t>entirely online bankruptcy form</w:t>
      </w:r>
      <w:r w:rsidRPr="00AF6200">
        <w:t>.</w:t>
      </w:r>
    </w:p>
    <w:p w14:paraId="0CDA18AA" w14:textId="77777777" w:rsidR="000767D0" w:rsidRDefault="000767D0" w:rsidP="005233A5">
      <w:pPr>
        <w:spacing w:after="0" w:line="360" w:lineRule="auto"/>
      </w:pPr>
      <w:r>
        <w:t xml:space="preserve">To ensure people understand the consequences of bankruptcy, the application process highlights these consequences a number of times: </w:t>
      </w:r>
    </w:p>
    <w:p w14:paraId="25F0EB14" w14:textId="6408FFBF" w:rsidR="000767D0" w:rsidRPr="00483D6A" w:rsidRDefault="000767D0" w:rsidP="005233A5">
      <w:pPr>
        <w:pStyle w:val="ListParagraph"/>
        <w:numPr>
          <w:ilvl w:val="0"/>
          <w:numId w:val="5"/>
        </w:numPr>
        <w:spacing w:before="0" w:after="0" w:line="360" w:lineRule="auto"/>
        <w:ind w:left="567" w:hanging="207"/>
      </w:pPr>
      <w:r w:rsidRPr="00E34429">
        <w:rPr>
          <w:b/>
        </w:rPr>
        <w:t xml:space="preserve">A ‘consequence tool’ </w:t>
      </w:r>
      <w:r w:rsidRPr="00483D6A">
        <w:t>that an applicant completes before st</w:t>
      </w:r>
      <w:r w:rsidR="000020BB">
        <w:t>arting the application process,</w:t>
      </w:r>
    </w:p>
    <w:p w14:paraId="26773662" w14:textId="77777777" w:rsidR="000767D0" w:rsidRDefault="000767D0" w:rsidP="005233A5">
      <w:pPr>
        <w:pStyle w:val="ListParagraph"/>
        <w:numPr>
          <w:ilvl w:val="0"/>
          <w:numId w:val="5"/>
        </w:numPr>
        <w:spacing w:before="0" w:after="0" w:line="360" w:lineRule="auto"/>
        <w:ind w:left="567" w:hanging="207"/>
      </w:pPr>
      <w:r w:rsidRPr="00483D6A">
        <w:rPr>
          <w:b/>
        </w:rPr>
        <w:t>‘Prescribed information’</w:t>
      </w:r>
      <w:r>
        <w:t xml:space="preserve"> that appears at the start of the bankruptcy form, and</w:t>
      </w:r>
    </w:p>
    <w:p w14:paraId="466E1874" w14:textId="77777777" w:rsidR="000767D0" w:rsidRDefault="000767D0" w:rsidP="005233A5">
      <w:pPr>
        <w:pStyle w:val="ListParagraph"/>
        <w:numPr>
          <w:ilvl w:val="0"/>
          <w:numId w:val="5"/>
        </w:numPr>
        <w:spacing w:before="0" w:line="360" w:lineRule="auto"/>
        <w:ind w:left="567" w:hanging="207"/>
      </w:pPr>
      <w:r>
        <w:t>Conditional and static prompts/warnings that appear when the applicant enters a certain value into the application form, or when it is most relevant to the applicant.</w:t>
      </w:r>
      <w:r>
        <w:rPr>
          <w:rStyle w:val="FootnoteReference"/>
        </w:rPr>
        <w:footnoteReference w:id="1"/>
      </w:r>
      <w:r>
        <w:t xml:space="preserve"> </w:t>
      </w:r>
    </w:p>
    <w:p w14:paraId="46C23754" w14:textId="04C56D6D" w:rsidR="001A3E68" w:rsidRDefault="001A3E68" w:rsidP="001A3E68">
      <w:pPr>
        <w:pStyle w:val="Heading2"/>
      </w:pPr>
      <w:r>
        <w:t>Trial aim</w:t>
      </w:r>
    </w:p>
    <w:p w14:paraId="4510DE81" w14:textId="58BFFB8A" w:rsidR="000767D0" w:rsidRDefault="000767D0" w:rsidP="005233A5">
      <w:pPr>
        <w:widowControl w:val="0"/>
        <w:spacing w:before="0" w:line="360" w:lineRule="auto"/>
      </w:pPr>
      <w:r>
        <w:t>The aim of this trial is to evaluate the effectiveness of four new ‘consequences tool’ interventions in teaching people the consequences of bankruptcy, compared to the current tool, to the prescribed information</w:t>
      </w:r>
      <w:r w:rsidR="000020BB">
        <w:t xml:space="preserve">, and to no </w:t>
      </w:r>
      <w:r w:rsidR="000020BB" w:rsidRPr="00AF6200">
        <w:t>tool</w:t>
      </w:r>
      <w:r w:rsidRPr="00AF6200">
        <w:t>.</w:t>
      </w:r>
      <w:r w:rsidR="00B6332D" w:rsidRPr="00AF6200">
        <w:t xml:space="preserve"> Participants in the trial </w:t>
      </w:r>
      <w:r w:rsidR="00657667" w:rsidRPr="00AF6200">
        <w:t xml:space="preserve">will be recruited from the general population (they </w:t>
      </w:r>
      <w:r w:rsidR="00B6332D" w:rsidRPr="00AF6200">
        <w:t xml:space="preserve">are </w:t>
      </w:r>
      <w:r w:rsidR="00B6332D" w:rsidRPr="00AF6200">
        <w:rPr>
          <w:i/>
        </w:rPr>
        <w:t xml:space="preserve">not </w:t>
      </w:r>
      <w:r w:rsidR="00657667" w:rsidRPr="00AF6200">
        <w:t>bankruptcy applicants)</w:t>
      </w:r>
      <w:r w:rsidR="00B6332D" w:rsidRPr="00AF6200">
        <w:t>.</w:t>
      </w:r>
    </w:p>
    <w:p w14:paraId="57D60F7A" w14:textId="7B6D7AE8" w:rsidR="001A3E68" w:rsidRDefault="001A3E68" w:rsidP="001A3E68">
      <w:pPr>
        <w:pStyle w:val="Heading2"/>
      </w:pPr>
      <w:r>
        <w:lastRenderedPageBreak/>
        <w:t>Interventions</w:t>
      </w:r>
    </w:p>
    <w:p w14:paraId="4B13226B" w14:textId="77777777" w:rsidR="000767D0" w:rsidRDefault="000767D0" w:rsidP="005233A5">
      <w:pPr>
        <w:spacing w:line="360" w:lineRule="auto"/>
        <w:rPr>
          <w:iCs/>
        </w:rPr>
      </w:pPr>
      <w:r>
        <w:rPr>
          <w:iCs/>
        </w:rPr>
        <w:t xml:space="preserve">The trial will be a </w:t>
      </w:r>
      <w:r w:rsidRPr="005B6F0C">
        <w:rPr>
          <w:iCs/>
        </w:rPr>
        <w:t xml:space="preserve">7-arm </w:t>
      </w:r>
      <w:r>
        <w:rPr>
          <w:iCs/>
        </w:rPr>
        <w:t xml:space="preserve">between-subject </w:t>
      </w:r>
      <w:r w:rsidRPr="005B6F0C">
        <w:rPr>
          <w:iCs/>
        </w:rPr>
        <w:t>online</w:t>
      </w:r>
      <w:r>
        <w:rPr>
          <w:iCs/>
        </w:rPr>
        <w:t xml:space="preserve"> experiment. Participants will be randomly assigned to one of 4 new interventions, to a baseline condition of no information (“pure control”), to read the prescribed information (“active control”), or to the current consequences tool (“business-as-usual”). After the intervention participants will answer 13 comprehension questions about bankruptcy. See Figure 1 for an illustration of the trial design. </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igure 1: Trial design&#10;Time 1 (T1) Versions Time 2 (T2)&#10;Demographics and self-assessed knowledge of bankruptcy &#10;(covariate)  [none] &#10;Post-intervention comprehension: multiple choice questions&#10;(primary outcome measure)&#10; Prescribed information &#10; Current tool &#10; 1) Video &#10; 2) Profile &#10; 3) Roadmap &#10; 4) Quiz &#10;                       Time "/>
      </w:tblPr>
      <w:tblGrid>
        <w:gridCol w:w="426"/>
        <w:gridCol w:w="1611"/>
        <w:gridCol w:w="2194"/>
        <w:gridCol w:w="2436"/>
        <w:gridCol w:w="2264"/>
      </w:tblGrid>
      <w:tr w:rsidR="000767D0" w14:paraId="31A1DDA4" w14:textId="77777777" w:rsidTr="00F55F0D">
        <w:trPr>
          <w:tblHeader/>
        </w:trPr>
        <w:tc>
          <w:tcPr>
            <w:tcW w:w="8931" w:type="dxa"/>
            <w:gridSpan w:val="5"/>
            <w:tcBorders>
              <w:bottom w:val="single" w:sz="4" w:space="0" w:color="auto"/>
            </w:tcBorders>
          </w:tcPr>
          <w:p w14:paraId="381C52D1" w14:textId="77777777" w:rsidR="000767D0" w:rsidRPr="00FA4565" w:rsidRDefault="000767D0" w:rsidP="00917465">
            <w:pPr>
              <w:spacing w:after="0" w:line="360" w:lineRule="auto"/>
              <w:rPr>
                <w:b/>
                <w:iCs/>
              </w:rPr>
            </w:pPr>
            <w:r>
              <w:rPr>
                <w:b/>
                <w:iCs/>
              </w:rPr>
              <w:t xml:space="preserve">Figure 1: </w:t>
            </w:r>
            <w:r w:rsidRPr="002D2379">
              <w:rPr>
                <w:iCs/>
              </w:rPr>
              <w:t>Trial design</w:t>
            </w:r>
          </w:p>
        </w:tc>
      </w:tr>
      <w:tr w:rsidR="000767D0" w14:paraId="2B107699" w14:textId="77777777" w:rsidTr="00917465">
        <w:tc>
          <w:tcPr>
            <w:tcW w:w="426" w:type="dxa"/>
            <w:tcBorders>
              <w:bottom w:val="single" w:sz="4" w:space="0" w:color="auto"/>
            </w:tcBorders>
          </w:tcPr>
          <w:p w14:paraId="29C09B85" w14:textId="77777777" w:rsidR="000767D0" w:rsidRDefault="000767D0" w:rsidP="00917465">
            <w:pPr>
              <w:spacing w:after="0" w:line="360" w:lineRule="auto"/>
              <w:rPr>
                <w:iCs/>
              </w:rPr>
            </w:pPr>
          </w:p>
        </w:tc>
        <w:tc>
          <w:tcPr>
            <w:tcW w:w="1611" w:type="dxa"/>
            <w:tcBorders>
              <w:bottom w:val="single" w:sz="4" w:space="0" w:color="auto"/>
            </w:tcBorders>
          </w:tcPr>
          <w:p w14:paraId="5D1B06F8" w14:textId="77777777" w:rsidR="000767D0" w:rsidRDefault="000767D0" w:rsidP="00917465">
            <w:pPr>
              <w:spacing w:after="0" w:line="360" w:lineRule="auto"/>
              <w:rPr>
                <w:iCs/>
              </w:rPr>
            </w:pPr>
          </w:p>
        </w:tc>
        <w:tc>
          <w:tcPr>
            <w:tcW w:w="2194" w:type="dxa"/>
            <w:tcBorders>
              <w:top w:val="single" w:sz="4" w:space="0" w:color="auto"/>
              <w:bottom w:val="single" w:sz="4" w:space="0" w:color="auto"/>
            </w:tcBorders>
            <w:shd w:val="clear" w:color="auto" w:fill="68E5D3" w:themeFill="background2" w:themeFillTint="99"/>
            <w:vAlign w:val="bottom"/>
          </w:tcPr>
          <w:p w14:paraId="70E74723" w14:textId="77777777" w:rsidR="000767D0" w:rsidRPr="00FA4565" w:rsidRDefault="000767D0" w:rsidP="00917465">
            <w:pPr>
              <w:spacing w:after="0" w:line="360" w:lineRule="auto"/>
              <w:jc w:val="center"/>
              <w:rPr>
                <w:b/>
                <w:iCs/>
              </w:rPr>
            </w:pPr>
            <w:r w:rsidRPr="00FA4565">
              <w:rPr>
                <w:b/>
                <w:iCs/>
              </w:rPr>
              <w:t>Time 1 (T1)</w:t>
            </w:r>
          </w:p>
        </w:tc>
        <w:tc>
          <w:tcPr>
            <w:tcW w:w="2436" w:type="dxa"/>
            <w:tcBorders>
              <w:top w:val="single" w:sz="4" w:space="0" w:color="auto"/>
              <w:bottom w:val="single" w:sz="4" w:space="0" w:color="auto"/>
            </w:tcBorders>
            <w:shd w:val="clear" w:color="auto" w:fill="2F6C8B" w:themeFill="accent6" w:themeFillTint="BF"/>
            <w:vAlign w:val="bottom"/>
          </w:tcPr>
          <w:p w14:paraId="73A0EAE5" w14:textId="77777777" w:rsidR="000767D0" w:rsidRPr="00FA4565" w:rsidRDefault="000767D0" w:rsidP="00917465">
            <w:pPr>
              <w:spacing w:after="0" w:line="360" w:lineRule="auto"/>
              <w:jc w:val="center"/>
              <w:rPr>
                <w:b/>
                <w:iCs/>
              </w:rPr>
            </w:pPr>
            <w:r w:rsidRPr="00FA4565">
              <w:rPr>
                <w:b/>
                <w:iCs/>
                <w:color w:val="FFFFFF" w:themeColor="background1"/>
              </w:rPr>
              <w:t>Versions</w:t>
            </w:r>
          </w:p>
        </w:tc>
        <w:tc>
          <w:tcPr>
            <w:tcW w:w="2264" w:type="dxa"/>
            <w:tcBorders>
              <w:top w:val="single" w:sz="4" w:space="0" w:color="auto"/>
              <w:bottom w:val="single" w:sz="4" w:space="0" w:color="auto"/>
            </w:tcBorders>
            <w:shd w:val="clear" w:color="auto" w:fill="68E5D3" w:themeFill="background2" w:themeFillTint="99"/>
            <w:vAlign w:val="bottom"/>
          </w:tcPr>
          <w:p w14:paraId="7F6043A8" w14:textId="77777777" w:rsidR="000767D0" w:rsidRPr="00FA4565" w:rsidRDefault="000767D0" w:rsidP="00917465">
            <w:pPr>
              <w:spacing w:after="0" w:line="360" w:lineRule="auto"/>
              <w:jc w:val="center"/>
              <w:rPr>
                <w:b/>
                <w:iCs/>
              </w:rPr>
            </w:pPr>
            <w:r w:rsidRPr="00FA4565">
              <w:rPr>
                <w:b/>
                <w:iCs/>
              </w:rPr>
              <w:t>Time 2 (T2)</w:t>
            </w:r>
          </w:p>
        </w:tc>
      </w:tr>
      <w:tr w:rsidR="000767D0" w14:paraId="01DA3A34" w14:textId="77777777" w:rsidTr="002D2379">
        <w:trPr>
          <w:trHeight w:val="560"/>
        </w:trPr>
        <w:tc>
          <w:tcPr>
            <w:tcW w:w="426" w:type="dxa"/>
            <w:tcBorders>
              <w:top w:val="single" w:sz="4" w:space="0" w:color="auto"/>
              <w:bottom w:val="dashSmallGap" w:sz="4" w:space="0" w:color="auto"/>
            </w:tcBorders>
            <w:shd w:val="clear" w:color="auto" w:fill="DEECF4" w:themeFill="accent6" w:themeFillTint="1A"/>
          </w:tcPr>
          <w:p w14:paraId="31A29B15" w14:textId="77777777" w:rsidR="000767D0" w:rsidRPr="000827A8" w:rsidRDefault="000767D0" w:rsidP="00917465">
            <w:pPr>
              <w:spacing w:after="0" w:line="360" w:lineRule="auto"/>
              <w:rPr>
                <w:b/>
                <w:iCs/>
              </w:rPr>
            </w:pPr>
            <w:r w:rsidRPr="000827A8">
              <w:rPr>
                <w:b/>
                <w:iCs/>
              </w:rPr>
              <w:t>A</w:t>
            </w:r>
          </w:p>
        </w:tc>
        <w:tc>
          <w:tcPr>
            <w:tcW w:w="1611" w:type="dxa"/>
            <w:tcBorders>
              <w:top w:val="single" w:sz="4" w:space="0" w:color="auto"/>
              <w:bottom w:val="dashSmallGap" w:sz="4" w:space="0" w:color="auto"/>
            </w:tcBorders>
            <w:shd w:val="clear" w:color="auto" w:fill="DEECF4" w:themeFill="accent6" w:themeFillTint="1A"/>
          </w:tcPr>
          <w:p w14:paraId="462443C1" w14:textId="77777777" w:rsidR="000767D0" w:rsidRDefault="000767D0" w:rsidP="00917465">
            <w:pPr>
              <w:spacing w:after="0" w:line="360" w:lineRule="auto"/>
              <w:rPr>
                <w:iCs/>
              </w:rPr>
            </w:pPr>
            <w:r>
              <w:rPr>
                <w:iCs/>
              </w:rPr>
              <w:t>Pure control</w:t>
            </w:r>
          </w:p>
        </w:tc>
        <w:tc>
          <w:tcPr>
            <w:tcW w:w="2194" w:type="dxa"/>
            <w:vMerge w:val="restart"/>
            <w:tcBorders>
              <w:top w:val="single" w:sz="4" w:space="0" w:color="auto"/>
              <w:bottom w:val="single" w:sz="4" w:space="0" w:color="auto"/>
            </w:tcBorders>
            <w:shd w:val="clear" w:color="auto" w:fill="9AEDE1" w:themeFill="background2" w:themeFillTint="66"/>
            <w:vAlign w:val="center"/>
          </w:tcPr>
          <w:p w14:paraId="784815C2" w14:textId="77777777" w:rsidR="000767D0" w:rsidRDefault="000767D0" w:rsidP="00917465">
            <w:pPr>
              <w:spacing w:after="0" w:line="360" w:lineRule="auto"/>
              <w:jc w:val="center"/>
              <w:rPr>
                <w:iCs/>
              </w:rPr>
            </w:pPr>
            <w:r>
              <w:rPr>
                <w:iCs/>
              </w:rPr>
              <w:t xml:space="preserve">Demographics and self-assessed knowledge of bankruptcy </w:t>
            </w:r>
          </w:p>
          <w:p w14:paraId="00779ABB" w14:textId="77777777" w:rsidR="000767D0" w:rsidRDefault="000767D0" w:rsidP="00917465">
            <w:pPr>
              <w:spacing w:after="0" w:line="360" w:lineRule="auto"/>
              <w:jc w:val="center"/>
              <w:rPr>
                <w:iCs/>
              </w:rPr>
            </w:pPr>
            <w:r>
              <w:rPr>
                <w:iCs/>
              </w:rPr>
              <w:t>(</w:t>
            </w:r>
            <w:r w:rsidRPr="005B6F0C">
              <w:rPr>
                <w:i/>
                <w:iCs/>
              </w:rPr>
              <w:t>covariate</w:t>
            </w:r>
            <w:r>
              <w:rPr>
                <w:iCs/>
              </w:rPr>
              <w:t xml:space="preserve">) </w:t>
            </w:r>
          </w:p>
        </w:tc>
        <w:tc>
          <w:tcPr>
            <w:tcW w:w="2436" w:type="dxa"/>
            <w:tcBorders>
              <w:top w:val="single" w:sz="4" w:space="0" w:color="auto"/>
              <w:bottom w:val="dashSmallGap" w:sz="4" w:space="0" w:color="auto"/>
            </w:tcBorders>
            <w:shd w:val="clear" w:color="auto" w:fill="DEECF4" w:themeFill="accent6" w:themeFillTint="1A"/>
          </w:tcPr>
          <w:p w14:paraId="0777B71A" w14:textId="77777777" w:rsidR="000767D0" w:rsidRDefault="000767D0" w:rsidP="00917465">
            <w:pPr>
              <w:spacing w:after="0" w:line="360" w:lineRule="auto"/>
              <w:rPr>
                <w:iCs/>
              </w:rPr>
            </w:pPr>
            <w:r>
              <w:rPr>
                <w:iCs/>
              </w:rPr>
              <w:t>[none]</w:t>
            </w:r>
          </w:p>
        </w:tc>
        <w:tc>
          <w:tcPr>
            <w:tcW w:w="2264" w:type="dxa"/>
            <w:vMerge w:val="restart"/>
            <w:tcBorders>
              <w:top w:val="single" w:sz="4" w:space="0" w:color="auto"/>
              <w:bottom w:val="single" w:sz="4" w:space="0" w:color="auto"/>
            </w:tcBorders>
            <w:shd w:val="clear" w:color="auto" w:fill="9AEDE1" w:themeFill="background2" w:themeFillTint="66"/>
            <w:vAlign w:val="center"/>
          </w:tcPr>
          <w:p w14:paraId="16B818A5" w14:textId="77777777" w:rsidR="000767D0" w:rsidRDefault="000767D0" w:rsidP="00917465">
            <w:pPr>
              <w:spacing w:after="0" w:line="360" w:lineRule="auto"/>
              <w:jc w:val="center"/>
              <w:rPr>
                <w:iCs/>
              </w:rPr>
            </w:pPr>
          </w:p>
          <w:p w14:paraId="2F9639C3" w14:textId="77777777" w:rsidR="000767D0" w:rsidRDefault="000767D0" w:rsidP="00917465">
            <w:pPr>
              <w:spacing w:after="0" w:line="360" w:lineRule="auto"/>
              <w:jc w:val="center"/>
              <w:rPr>
                <w:iCs/>
              </w:rPr>
            </w:pPr>
            <w:r>
              <w:rPr>
                <w:iCs/>
              </w:rPr>
              <w:t>Post-intervention comprehension: multiple choice questions</w:t>
            </w:r>
          </w:p>
          <w:p w14:paraId="3132B86F" w14:textId="77777777" w:rsidR="000767D0" w:rsidRDefault="000767D0" w:rsidP="00917465">
            <w:pPr>
              <w:spacing w:after="0" w:line="360" w:lineRule="auto"/>
              <w:jc w:val="center"/>
              <w:rPr>
                <w:iCs/>
              </w:rPr>
            </w:pPr>
            <w:r>
              <w:rPr>
                <w:iCs/>
              </w:rPr>
              <w:t>(</w:t>
            </w:r>
            <w:r w:rsidRPr="00BF073A">
              <w:rPr>
                <w:i/>
                <w:iCs/>
              </w:rPr>
              <w:t>primary outcome measure</w:t>
            </w:r>
            <w:r>
              <w:rPr>
                <w:iCs/>
              </w:rPr>
              <w:t>)</w:t>
            </w:r>
          </w:p>
        </w:tc>
      </w:tr>
      <w:tr w:rsidR="000767D0" w14:paraId="046AAE07" w14:textId="77777777" w:rsidTr="002D2379">
        <w:tc>
          <w:tcPr>
            <w:tcW w:w="426" w:type="dxa"/>
            <w:tcBorders>
              <w:top w:val="dashSmallGap" w:sz="4" w:space="0" w:color="auto"/>
              <w:bottom w:val="dashSmallGap" w:sz="4" w:space="0" w:color="auto"/>
            </w:tcBorders>
            <w:shd w:val="clear" w:color="auto" w:fill="AED1E3" w:themeFill="accent6" w:themeFillTint="40"/>
          </w:tcPr>
          <w:p w14:paraId="2BF79DBE" w14:textId="77777777" w:rsidR="000767D0" w:rsidRPr="000827A8" w:rsidRDefault="000767D0" w:rsidP="00917465">
            <w:pPr>
              <w:spacing w:line="360" w:lineRule="auto"/>
              <w:rPr>
                <w:b/>
                <w:iCs/>
              </w:rPr>
            </w:pPr>
            <w:r>
              <w:rPr>
                <w:b/>
                <w:iCs/>
              </w:rPr>
              <w:t>B</w:t>
            </w:r>
          </w:p>
        </w:tc>
        <w:tc>
          <w:tcPr>
            <w:tcW w:w="1611" w:type="dxa"/>
            <w:tcBorders>
              <w:top w:val="dashSmallGap" w:sz="4" w:space="0" w:color="auto"/>
              <w:bottom w:val="dashSmallGap" w:sz="4" w:space="0" w:color="auto"/>
            </w:tcBorders>
            <w:shd w:val="clear" w:color="auto" w:fill="AED1E3" w:themeFill="accent6" w:themeFillTint="40"/>
          </w:tcPr>
          <w:p w14:paraId="556B50BD" w14:textId="77777777" w:rsidR="000767D0" w:rsidRDefault="000767D0" w:rsidP="00917465">
            <w:pPr>
              <w:spacing w:line="360" w:lineRule="auto"/>
              <w:rPr>
                <w:iCs/>
              </w:rPr>
            </w:pPr>
            <w:r>
              <w:rPr>
                <w:iCs/>
              </w:rPr>
              <w:t>Active control</w:t>
            </w:r>
          </w:p>
        </w:tc>
        <w:tc>
          <w:tcPr>
            <w:tcW w:w="2194" w:type="dxa"/>
            <w:vMerge/>
            <w:tcBorders>
              <w:bottom w:val="single" w:sz="4" w:space="0" w:color="auto"/>
            </w:tcBorders>
            <w:shd w:val="clear" w:color="auto" w:fill="9AEDE1" w:themeFill="background2" w:themeFillTint="66"/>
          </w:tcPr>
          <w:p w14:paraId="1105392B" w14:textId="77777777" w:rsidR="000767D0" w:rsidRDefault="000767D0" w:rsidP="00917465">
            <w:pPr>
              <w:spacing w:line="360" w:lineRule="auto"/>
              <w:rPr>
                <w:iCs/>
              </w:rPr>
            </w:pPr>
          </w:p>
        </w:tc>
        <w:tc>
          <w:tcPr>
            <w:tcW w:w="2436" w:type="dxa"/>
            <w:tcBorders>
              <w:top w:val="dashSmallGap" w:sz="4" w:space="0" w:color="auto"/>
              <w:bottom w:val="dashSmallGap" w:sz="4" w:space="0" w:color="auto"/>
            </w:tcBorders>
            <w:shd w:val="clear" w:color="auto" w:fill="AED1E3" w:themeFill="accent6" w:themeFillTint="40"/>
          </w:tcPr>
          <w:p w14:paraId="106EE1F8" w14:textId="77777777" w:rsidR="000767D0" w:rsidRPr="005B6F0C" w:rsidRDefault="000767D0" w:rsidP="00917465">
            <w:pPr>
              <w:spacing w:line="360" w:lineRule="auto"/>
              <w:rPr>
                <w:iCs/>
              </w:rPr>
            </w:pPr>
            <w:r>
              <w:rPr>
                <w:iCs/>
              </w:rPr>
              <w:t>Prescribed information</w:t>
            </w:r>
          </w:p>
        </w:tc>
        <w:tc>
          <w:tcPr>
            <w:tcW w:w="2264" w:type="dxa"/>
            <w:vMerge/>
            <w:tcBorders>
              <w:bottom w:val="single" w:sz="4" w:space="0" w:color="auto"/>
            </w:tcBorders>
            <w:shd w:val="clear" w:color="auto" w:fill="9AEDE1" w:themeFill="background2" w:themeFillTint="66"/>
          </w:tcPr>
          <w:p w14:paraId="08DF952E" w14:textId="77777777" w:rsidR="000767D0" w:rsidRDefault="000767D0" w:rsidP="00917465">
            <w:pPr>
              <w:spacing w:line="360" w:lineRule="auto"/>
              <w:rPr>
                <w:iCs/>
              </w:rPr>
            </w:pPr>
          </w:p>
        </w:tc>
      </w:tr>
      <w:tr w:rsidR="000767D0" w14:paraId="3DB788CD" w14:textId="77777777" w:rsidTr="002D2379">
        <w:tc>
          <w:tcPr>
            <w:tcW w:w="426" w:type="dxa"/>
            <w:tcBorders>
              <w:top w:val="dashSmallGap" w:sz="4" w:space="0" w:color="auto"/>
            </w:tcBorders>
            <w:shd w:val="clear" w:color="auto" w:fill="AED1E3" w:themeFill="accent6" w:themeFillTint="40"/>
          </w:tcPr>
          <w:p w14:paraId="042CC1DB" w14:textId="7DF63187" w:rsidR="000767D0" w:rsidRPr="000827A8" w:rsidRDefault="002D2379" w:rsidP="00917465">
            <w:pPr>
              <w:spacing w:after="0" w:line="360" w:lineRule="auto"/>
              <w:rPr>
                <w:b/>
                <w:iCs/>
              </w:rPr>
            </w:pPr>
            <w:r>
              <w:rPr>
                <w:b/>
                <w:iCs/>
              </w:rPr>
              <w:t>C</w:t>
            </w:r>
          </w:p>
        </w:tc>
        <w:tc>
          <w:tcPr>
            <w:tcW w:w="1611" w:type="dxa"/>
            <w:tcBorders>
              <w:top w:val="dashSmallGap" w:sz="4" w:space="0" w:color="auto"/>
              <w:bottom w:val="dashSmallGap" w:sz="4" w:space="0" w:color="auto"/>
            </w:tcBorders>
            <w:shd w:val="clear" w:color="auto" w:fill="AED1E3" w:themeFill="accent6" w:themeFillTint="40"/>
          </w:tcPr>
          <w:p w14:paraId="4415AB53" w14:textId="77777777" w:rsidR="000767D0" w:rsidRDefault="000767D0" w:rsidP="00917465">
            <w:pPr>
              <w:spacing w:line="360" w:lineRule="auto"/>
              <w:rPr>
                <w:iCs/>
              </w:rPr>
            </w:pPr>
            <w:r>
              <w:rPr>
                <w:iCs/>
              </w:rPr>
              <w:t>BAU</w:t>
            </w:r>
          </w:p>
        </w:tc>
        <w:tc>
          <w:tcPr>
            <w:tcW w:w="2194" w:type="dxa"/>
            <w:vMerge/>
            <w:tcBorders>
              <w:bottom w:val="single" w:sz="4" w:space="0" w:color="auto"/>
            </w:tcBorders>
            <w:shd w:val="clear" w:color="auto" w:fill="9AEDE1" w:themeFill="background2" w:themeFillTint="66"/>
          </w:tcPr>
          <w:p w14:paraId="0E5A74E9" w14:textId="77777777" w:rsidR="000767D0" w:rsidRDefault="000767D0" w:rsidP="00917465">
            <w:pPr>
              <w:spacing w:line="360" w:lineRule="auto"/>
              <w:rPr>
                <w:iCs/>
              </w:rPr>
            </w:pPr>
          </w:p>
        </w:tc>
        <w:tc>
          <w:tcPr>
            <w:tcW w:w="2436" w:type="dxa"/>
            <w:tcBorders>
              <w:top w:val="dashSmallGap" w:sz="4" w:space="0" w:color="auto"/>
              <w:bottom w:val="dashSmallGap" w:sz="4" w:space="0" w:color="auto"/>
            </w:tcBorders>
            <w:shd w:val="clear" w:color="auto" w:fill="AED1E3" w:themeFill="accent6" w:themeFillTint="40"/>
          </w:tcPr>
          <w:p w14:paraId="3F43B562" w14:textId="77777777" w:rsidR="000767D0" w:rsidRPr="002D2379" w:rsidRDefault="000767D0" w:rsidP="002D2379">
            <w:pPr>
              <w:spacing w:line="360" w:lineRule="auto"/>
              <w:rPr>
                <w:iCs/>
              </w:rPr>
            </w:pPr>
            <w:r w:rsidRPr="002D2379">
              <w:rPr>
                <w:iCs/>
              </w:rPr>
              <w:t>Current tool</w:t>
            </w:r>
          </w:p>
        </w:tc>
        <w:tc>
          <w:tcPr>
            <w:tcW w:w="2264" w:type="dxa"/>
            <w:vMerge/>
            <w:tcBorders>
              <w:bottom w:val="single" w:sz="4" w:space="0" w:color="auto"/>
            </w:tcBorders>
            <w:shd w:val="clear" w:color="auto" w:fill="9AEDE1" w:themeFill="background2" w:themeFillTint="66"/>
          </w:tcPr>
          <w:p w14:paraId="239246EC" w14:textId="77777777" w:rsidR="000767D0" w:rsidRDefault="000767D0" w:rsidP="00917465">
            <w:pPr>
              <w:spacing w:line="360" w:lineRule="auto"/>
              <w:rPr>
                <w:iCs/>
              </w:rPr>
            </w:pPr>
          </w:p>
        </w:tc>
      </w:tr>
      <w:tr w:rsidR="002D2379" w14:paraId="738B4828" w14:textId="77777777" w:rsidTr="002D2379">
        <w:tc>
          <w:tcPr>
            <w:tcW w:w="426" w:type="dxa"/>
            <w:vMerge w:val="restart"/>
            <w:tcBorders>
              <w:top w:val="dashSmallGap" w:sz="4" w:space="0" w:color="auto"/>
            </w:tcBorders>
            <w:shd w:val="clear" w:color="auto" w:fill="5DA4C8" w:themeFill="accent6" w:themeFillTint="80"/>
          </w:tcPr>
          <w:p w14:paraId="4507FBBC" w14:textId="68D6FA15" w:rsidR="002D2379" w:rsidRPr="002D2379" w:rsidRDefault="002D2379" w:rsidP="00917465">
            <w:pPr>
              <w:spacing w:after="0" w:line="360" w:lineRule="auto"/>
              <w:rPr>
                <w:b/>
                <w:iCs/>
              </w:rPr>
            </w:pPr>
            <w:r w:rsidRPr="002D2379">
              <w:rPr>
                <w:b/>
                <w:iCs/>
              </w:rPr>
              <w:t>D</w:t>
            </w:r>
          </w:p>
        </w:tc>
        <w:tc>
          <w:tcPr>
            <w:tcW w:w="1611" w:type="dxa"/>
            <w:vMerge w:val="restart"/>
            <w:tcBorders>
              <w:top w:val="dashSmallGap" w:sz="4" w:space="0" w:color="auto"/>
            </w:tcBorders>
            <w:shd w:val="clear" w:color="auto" w:fill="5DA4C8" w:themeFill="accent6" w:themeFillTint="80"/>
          </w:tcPr>
          <w:p w14:paraId="5E513E47" w14:textId="3B01CC55" w:rsidR="002D2379" w:rsidRDefault="002D2379" w:rsidP="00917465">
            <w:pPr>
              <w:spacing w:after="0" w:line="360" w:lineRule="auto"/>
              <w:rPr>
                <w:iCs/>
              </w:rPr>
            </w:pPr>
            <w:r>
              <w:rPr>
                <w:iCs/>
              </w:rPr>
              <w:t>New Interventions</w:t>
            </w:r>
          </w:p>
        </w:tc>
        <w:tc>
          <w:tcPr>
            <w:tcW w:w="2194" w:type="dxa"/>
            <w:vMerge/>
            <w:tcBorders>
              <w:bottom w:val="single" w:sz="4" w:space="0" w:color="auto"/>
            </w:tcBorders>
            <w:shd w:val="clear" w:color="auto" w:fill="9AEDE1" w:themeFill="background2" w:themeFillTint="66"/>
          </w:tcPr>
          <w:p w14:paraId="6DCF019B" w14:textId="77777777" w:rsidR="002D2379" w:rsidRDefault="002D2379" w:rsidP="00917465">
            <w:pPr>
              <w:spacing w:line="360" w:lineRule="auto"/>
              <w:rPr>
                <w:iCs/>
              </w:rPr>
            </w:pPr>
          </w:p>
        </w:tc>
        <w:tc>
          <w:tcPr>
            <w:tcW w:w="2436" w:type="dxa"/>
            <w:tcBorders>
              <w:top w:val="dashSmallGap" w:sz="4" w:space="0" w:color="auto"/>
              <w:bottom w:val="dashSmallGap" w:sz="4" w:space="0" w:color="auto"/>
            </w:tcBorders>
            <w:shd w:val="clear" w:color="auto" w:fill="5DA4C8" w:themeFill="accent6" w:themeFillTint="80"/>
          </w:tcPr>
          <w:p w14:paraId="397D9304" w14:textId="77777777" w:rsidR="002D2379" w:rsidRPr="00D85A7A" w:rsidRDefault="002D2379" w:rsidP="000767D0">
            <w:pPr>
              <w:pStyle w:val="ListParagraph"/>
              <w:numPr>
                <w:ilvl w:val="0"/>
                <w:numId w:val="6"/>
              </w:numPr>
              <w:spacing w:line="360" w:lineRule="auto"/>
              <w:rPr>
                <w:iCs/>
              </w:rPr>
            </w:pPr>
            <w:r>
              <w:rPr>
                <w:iCs/>
              </w:rPr>
              <w:t>Video</w:t>
            </w:r>
          </w:p>
        </w:tc>
        <w:tc>
          <w:tcPr>
            <w:tcW w:w="2264" w:type="dxa"/>
            <w:vMerge/>
            <w:tcBorders>
              <w:bottom w:val="single" w:sz="4" w:space="0" w:color="auto"/>
            </w:tcBorders>
            <w:shd w:val="clear" w:color="auto" w:fill="9AEDE1" w:themeFill="background2" w:themeFillTint="66"/>
          </w:tcPr>
          <w:p w14:paraId="217DD619" w14:textId="77777777" w:rsidR="002D2379" w:rsidRDefault="002D2379" w:rsidP="00917465">
            <w:pPr>
              <w:spacing w:line="360" w:lineRule="auto"/>
              <w:rPr>
                <w:iCs/>
              </w:rPr>
            </w:pPr>
          </w:p>
        </w:tc>
      </w:tr>
      <w:tr w:rsidR="002D2379" w14:paraId="33533E3C" w14:textId="77777777" w:rsidTr="00693DF2">
        <w:tc>
          <w:tcPr>
            <w:tcW w:w="426" w:type="dxa"/>
            <w:vMerge/>
            <w:shd w:val="clear" w:color="auto" w:fill="5DA4C8" w:themeFill="accent6" w:themeFillTint="80"/>
          </w:tcPr>
          <w:p w14:paraId="415C26E2" w14:textId="77777777" w:rsidR="002D2379" w:rsidRDefault="002D2379" w:rsidP="00917465">
            <w:pPr>
              <w:spacing w:after="0" w:line="360" w:lineRule="auto"/>
              <w:rPr>
                <w:iCs/>
              </w:rPr>
            </w:pPr>
          </w:p>
        </w:tc>
        <w:tc>
          <w:tcPr>
            <w:tcW w:w="1611" w:type="dxa"/>
            <w:vMerge/>
            <w:shd w:val="clear" w:color="auto" w:fill="5DA4C8" w:themeFill="accent6" w:themeFillTint="80"/>
          </w:tcPr>
          <w:p w14:paraId="074C8BCA" w14:textId="77777777" w:rsidR="002D2379" w:rsidRDefault="002D2379" w:rsidP="00917465">
            <w:pPr>
              <w:spacing w:after="0" w:line="360" w:lineRule="auto"/>
              <w:rPr>
                <w:iCs/>
              </w:rPr>
            </w:pPr>
          </w:p>
        </w:tc>
        <w:tc>
          <w:tcPr>
            <w:tcW w:w="2194" w:type="dxa"/>
            <w:vMerge/>
            <w:tcBorders>
              <w:bottom w:val="single" w:sz="4" w:space="0" w:color="auto"/>
            </w:tcBorders>
            <w:shd w:val="clear" w:color="auto" w:fill="9AEDE1" w:themeFill="background2" w:themeFillTint="66"/>
          </w:tcPr>
          <w:p w14:paraId="1E9B7623" w14:textId="77777777" w:rsidR="002D2379" w:rsidRDefault="002D2379" w:rsidP="00917465">
            <w:pPr>
              <w:spacing w:line="360" w:lineRule="auto"/>
              <w:rPr>
                <w:iCs/>
              </w:rPr>
            </w:pPr>
          </w:p>
        </w:tc>
        <w:tc>
          <w:tcPr>
            <w:tcW w:w="2436" w:type="dxa"/>
            <w:tcBorders>
              <w:top w:val="dashSmallGap" w:sz="4" w:space="0" w:color="auto"/>
              <w:bottom w:val="dashSmallGap" w:sz="4" w:space="0" w:color="auto"/>
            </w:tcBorders>
            <w:shd w:val="clear" w:color="auto" w:fill="5DA4C8" w:themeFill="accent6" w:themeFillTint="80"/>
          </w:tcPr>
          <w:p w14:paraId="4D0FE791" w14:textId="77777777" w:rsidR="002D2379" w:rsidRPr="00D85A7A" w:rsidRDefault="002D2379" w:rsidP="000767D0">
            <w:pPr>
              <w:pStyle w:val="ListParagraph"/>
              <w:numPr>
                <w:ilvl w:val="0"/>
                <w:numId w:val="6"/>
              </w:numPr>
              <w:spacing w:line="360" w:lineRule="auto"/>
              <w:rPr>
                <w:iCs/>
              </w:rPr>
            </w:pPr>
            <w:r w:rsidRPr="00D85A7A">
              <w:rPr>
                <w:iCs/>
              </w:rPr>
              <w:t>Profile</w:t>
            </w:r>
          </w:p>
        </w:tc>
        <w:tc>
          <w:tcPr>
            <w:tcW w:w="2264" w:type="dxa"/>
            <w:vMerge/>
            <w:tcBorders>
              <w:bottom w:val="single" w:sz="4" w:space="0" w:color="auto"/>
            </w:tcBorders>
            <w:shd w:val="clear" w:color="auto" w:fill="9AEDE1" w:themeFill="background2" w:themeFillTint="66"/>
          </w:tcPr>
          <w:p w14:paraId="7633911F" w14:textId="77777777" w:rsidR="002D2379" w:rsidRDefault="002D2379" w:rsidP="00917465">
            <w:pPr>
              <w:spacing w:line="360" w:lineRule="auto"/>
              <w:rPr>
                <w:iCs/>
              </w:rPr>
            </w:pPr>
          </w:p>
        </w:tc>
      </w:tr>
      <w:tr w:rsidR="002D2379" w14:paraId="06531ED1" w14:textId="77777777" w:rsidTr="00693DF2">
        <w:tc>
          <w:tcPr>
            <w:tcW w:w="426" w:type="dxa"/>
            <w:vMerge/>
            <w:shd w:val="clear" w:color="auto" w:fill="5DA4C8" w:themeFill="accent6" w:themeFillTint="80"/>
          </w:tcPr>
          <w:p w14:paraId="1B8753E6" w14:textId="77777777" w:rsidR="002D2379" w:rsidRDefault="002D2379" w:rsidP="00917465">
            <w:pPr>
              <w:spacing w:after="0" w:line="360" w:lineRule="auto"/>
              <w:rPr>
                <w:iCs/>
              </w:rPr>
            </w:pPr>
          </w:p>
        </w:tc>
        <w:tc>
          <w:tcPr>
            <w:tcW w:w="1611" w:type="dxa"/>
            <w:vMerge/>
            <w:shd w:val="clear" w:color="auto" w:fill="5DA4C8" w:themeFill="accent6" w:themeFillTint="80"/>
          </w:tcPr>
          <w:p w14:paraId="31AA58B3" w14:textId="77777777" w:rsidR="002D2379" w:rsidRDefault="002D2379" w:rsidP="00917465">
            <w:pPr>
              <w:spacing w:after="0" w:line="360" w:lineRule="auto"/>
              <w:rPr>
                <w:iCs/>
              </w:rPr>
            </w:pPr>
          </w:p>
        </w:tc>
        <w:tc>
          <w:tcPr>
            <w:tcW w:w="2194" w:type="dxa"/>
            <w:vMerge/>
            <w:tcBorders>
              <w:bottom w:val="single" w:sz="4" w:space="0" w:color="auto"/>
            </w:tcBorders>
            <w:shd w:val="clear" w:color="auto" w:fill="9AEDE1" w:themeFill="background2" w:themeFillTint="66"/>
          </w:tcPr>
          <w:p w14:paraId="6F19A311" w14:textId="77777777" w:rsidR="002D2379" w:rsidRDefault="002D2379" w:rsidP="00917465">
            <w:pPr>
              <w:spacing w:line="360" w:lineRule="auto"/>
              <w:rPr>
                <w:iCs/>
              </w:rPr>
            </w:pPr>
          </w:p>
        </w:tc>
        <w:tc>
          <w:tcPr>
            <w:tcW w:w="2436" w:type="dxa"/>
            <w:tcBorders>
              <w:top w:val="dashSmallGap" w:sz="4" w:space="0" w:color="auto"/>
              <w:bottom w:val="dashSmallGap" w:sz="4" w:space="0" w:color="auto"/>
            </w:tcBorders>
            <w:shd w:val="clear" w:color="auto" w:fill="5DA4C8" w:themeFill="accent6" w:themeFillTint="80"/>
          </w:tcPr>
          <w:p w14:paraId="4591AD6D" w14:textId="77777777" w:rsidR="002D2379" w:rsidRPr="00D85A7A" w:rsidRDefault="002D2379" w:rsidP="000767D0">
            <w:pPr>
              <w:pStyle w:val="ListParagraph"/>
              <w:numPr>
                <w:ilvl w:val="0"/>
                <w:numId w:val="6"/>
              </w:numPr>
              <w:spacing w:line="360" w:lineRule="auto"/>
              <w:rPr>
                <w:iCs/>
              </w:rPr>
            </w:pPr>
            <w:r w:rsidRPr="00D85A7A">
              <w:rPr>
                <w:iCs/>
              </w:rPr>
              <w:t>Roadmap</w:t>
            </w:r>
          </w:p>
        </w:tc>
        <w:tc>
          <w:tcPr>
            <w:tcW w:w="2264" w:type="dxa"/>
            <w:vMerge/>
            <w:tcBorders>
              <w:bottom w:val="single" w:sz="4" w:space="0" w:color="auto"/>
            </w:tcBorders>
            <w:shd w:val="clear" w:color="auto" w:fill="9AEDE1" w:themeFill="background2" w:themeFillTint="66"/>
          </w:tcPr>
          <w:p w14:paraId="00B6F7F5" w14:textId="77777777" w:rsidR="002D2379" w:rsidRDefault="002D2379" w:rsidP="00917465">
            <w:pPr>
              <w:spacing w:line="360" w:lineRule="auto"/>
              <w:rPr>
                <w:iCs/>
              </w:rPr>
            </w:pPr>
          </w:p>
        </w:tc>
      </w:tr>
      <w:tr w:rsidR="002D2379" w14:paraId="5D24C254" w14:textId="77777777" w:rsidTr="00693DF2">
        <w:tc>
          <w:tcPr>
            <w:tcW w:w="426" w:type="dxa"/>
            <w:vMerge/>
            <w:shd w:val="clear" w:color="auto" w:fill="5DA4C8" w:themeFill="accent6" w:themeFillTint="80"/>
          </w:tcPr>
          <w:p w14:paraId="3DD1DCDE" w14:textId="77777777" w:rsidR="002D2379" w:rsidRPr="000827A8" w:rsidRDefault="002D2379" w:rsidP="00917465">
            <w:pPr>
              <w:spacing w:after="0" w:line="360" w:lineRule="auto"/>
              <w:rPr>
                <w:b/>
                <w:iCs/>
              </w:rPr>
            </w:pPr>
          </w:p>
        </w:tc>
        <w:tc>
          <w:tcPr>
            <w:tcW w:w="1611" w:type="dxa"/>
            <w:vMerge/>
            <w:tcBorders>
              <w:bottom w:val="single" w:sz="4" w:space="0" w:color="auto"/>
            </w:tcBorders>
            <w:shd w:val="clear" w:color="auto" w:fill="5DA4C8" w:themeFill="accent6" w:themeFillTint="80"/>
          </w:tcPr>
          <w:p w14:paraId="371304AD" w14:textId="77777777" w:rsidR="002D2379" w:rsidRDefault="002D2379" w:rsidP="00917465">
            <w:pPr>
              <w:spacing w:after="0" w:line="360" w:lineRule="auto"/>
              <w:rPr>
                <w:iCs/>
              </w:rPr>
            </w:pPr>
          </w:p>
        </w:tc>
        <w:tc>
          <w:tcPr>
            <w:tcW w:w="2194" w:type="dxa"/>
            <w:vMerge/>
            <w:tcBorders>
              <w:bottom w:val="single" w:sz="4" w:space="0" w:color="auto"/>
            </w:tcBorders>
            <w:shd w:val="clear" w:color="auto" w:fill="9AEDE1" w:themeFill="background2" w:themeFillTint="66"/>
          </w:tcPr>
          <w:p w14:paraId="6FA73B22" w14:textId="77777777" w:rsidR="002D2379" w:rsidRDefault="002D2379" w:rsidP="00917465">
            <w:pPr>
              <w:spacing w:after="0" w:line="360" w:lineRule="auto"/>
              <w:rPr>
                <w:iCs/>
              </w:rPr>
            </w:pPr>
          </w:p>
        </w:tc>
        <w:tc>
          <w:tcPr>
            <w:tcW w:w="2436" w:type="dxa"/>
            <w:tcBorders>
              <w:top w:val="dashSmallGap" w:sz="4" w:space="0" w:color="auto"/>
              <w:bottom w:val="single" w:sz="4" w:space="0" w:color="auto"/>
            </w:tcBorders>
            <w:shd w:val="clear" w:color="auto" w:fill="5DA4C8" w:themeFill="accent6" w:themeFillTint="80"/>
          </w:tcPr>
          <w:p w14:paraId="7D9482D4" w14:textId="77777777" w:rsidR="002D2379" w:rsidRPr="005B6F0C" w:rsidRDefault="002D2379" w:rsidP="000767D0">
            <w:pPr>
              <w:pStyle w:val="ListParagraph"/>
              <w:numPr>
                <w:ilvl w:val="0"/>
                <w:numId w:val="6"/>
              </w:numPr>
              <w:spacing w:after="0" w:line="360" w:lineRule="auto"/>
              <w:rPr>
                <w:iCs/>
              </w:rPr>
            </w:pPr>
            <w:r w:rsidRPr="00D85A7A">
              <w:rPr>
                <w:iCs/>
              </w:rPr>
              <w:t>Quiz</w:t>
            </w:r>
          </w:p>
        </w:tc>
        <w:tc>
          <w:tcPr>
            <w:tcW w:w="2264" w:type="dxa"/>
            <w:vMerge/>
            <w:tcBorders>
              <w:bottom w:val="single" w:sz="4" w:space="0" w:color="auto"/>
            </w:tcBorders>
            <w:shd w:val="clear" w:color="auto" w:fill="9AEDE1" w:themeFill="background2" w:themeFillTint="66"/>
          </w:tcPr>
          <w:p w14:paraId="456C0C68" w14:textId="77777777" w:rsidR="002D2379" w:rsidRDefault="002D2379" w:rsidP="00917465">
            <w:pPr>
              <w:spacing w:after="0" w:line="360" w:lineRule="auto"/>
              <w:rPr>
                <w:iCs/>
              </w:rPr>
            </w:pPr>
          </w:p>
        </w:tc>
      </w:tr>
      <w:tr w:rsidR="000767D0" w14:paraId="3E928546" w14:textId="77777777" w:rsidTr="00917465">
        <w:tc>
          <w:tcPr>
            <w:tcW w:w="8931" w:type="dxa"/>
            <w:gridSpan w:val="5"/>
            <w:tcBorders>
              <w:top w:val="single" w:sz="4" w:space="0" w:color="auto"/>
              <w:bottom w:val="single" w:sz="4" w:space="0" w:color="auto"/>
            </w:tcBorders>
            <w:shd w:val="clear" w:color="auto" w:fill="CCF6F0" w:themeFill="background2" w:themeFillTint="33"/>
          </w:tcPr>
          <w:p w14:paraId="663FF478" w14:textId="77777777" w:rsidR="000767D0" w:rsidRPr="00045B8F" w:rsidRDefault="000767D0" w:rsidP="00917465">
            <w:pPr>
              <w:spacing w:after="0" w:line="360" w:lineRule="auto"/>
              <w:rPr>
                <w:i/>
                <w:iCs/>
              </w:rPr>
            </w:pPr>
            <w:r>
              <w:rPr>
                <w:i/>
                <w:iCs/>
                <w:noProof/>
              </w:rPr>
              <mc:AlternateContent>
                <mc:Choice Requires="wps">
                  <w:drawing>
                    <wp:anchor distT="0" distB="0" distL="114300" distR="114300" simplePos="0" relativeHeight="251659264" behindDoc="0" locked="0" layoutInCell="1" allowOverlap="1" wp14:anchorId="6EC332C0" wp14:editId="2806E021">
                      <wp:simplePos x="0" y="0"/>
                      <wp:positionH relativeFrom="column">
                        <wp:posOffset>1239037</wp:posOffset>
                      </wp:positionH>
                      <wp:positionV relativeFrom="paragraph">
                        <wp:posOffset>170484</wp:posOffset>
                      </wp:positionV>
                      <wp:extent cx="3738042" cy="7315"/>
                      <wp:effectExtent l="0" t="95250" r="0" b="107315"/>
                      <wp:wrapNone/>
                      <wp:docPr id="1" name="Straight Arrow Connector 1" descr="Arrow pointing right"/>
                      <wp:cNvGraphicFramePr/>
                      <a:graphic xmlns:a="http://schemas.openxmlformats.org/drawingml/2006/main">
                        <a:graphicData uri="http://schemas.microsoft.com/office/word/2010/wordprocessingShape">
                          <wps:wsp>
                            <wps:cNvCnPr/>
                            <wps:spPr>
                              <a:xfrm flipV="1">
                                <a:off x="0" y="0"/>
                                <a:ext cx="3738042" cy="7315"/>
                              </a:xfrm>
                              <a:prstGeom prst="straightConnector1">
                                <a:avLst/>
                              </a:prstGeom>
                              <a:ln w="1270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FE3C49" id="_x0000_t32" coordsize="21600,21600" o:spt="32" o:oned="t" path="m,l21600,21600e" filled="f">
                      <v:path arrowok="t" fillok="f" o:connecttype="none"/>
                      <o:lock v:ext="edit" shapetype="t"/>
                    </v:shapetype>
                    <v:shape id="Straight Arrow Connector 1" o:spid="_x0000_s1026" type="#_x0000_t32" alt="Arrow pointing right" style="position:absolute;margin-left:97.55pt;margin-top:13.4pt;width:294.35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" strokecolor="#3f3f3f [3213]" strokeweight="1pt">
                      <v:stroke endarrow="classic" endarrowwidth="wide" endarrowlength="long"/>
                    </v:shape>
                  </w:pict>
                </mc:Fallback>
              </mc:AlternateContent>
            </w:r>
            <w:r>
              <w:rPr>
                <w:i/>
                <w:iCs/>
              </w:rPr>
              <w:t xml:space="preserve">                       </w:t>
            </w:r>
            <w:r w:rsidRPr="00045B8F">
              <w:rPr>
                <w:i/>
                <w:iCs/>
              </w:rPr>
              <w:t xml:space="preserve">Time </w:t>
            </w:r>
          </w:p>
        </w:tc>
      </w:tr>
    </w:tbl>
    <w:p w14:paraId="160F9491" w14:textId="77777777" w:rsidR="000767D0" w:rsidRDefault="000767D0" w:rsidP="000767D0">
      <w:pPr>
        <w:spacing w:line="360" w:lineRule="auto"/>
        <w:rPr>
          <w:iCs/>
        </w:rPr>
      </w:pPr>
      <w:r>
        <w:rPr>
          <w:iCs/>
        </w:rPr>
        <w:t xml:space="preserve"> </w:t>
      </w:r>
    </w:p>
    <w:p w14:paraId="7CF76EB0" w14:textId="638FEE6C" w:rsidR="00E74E0D" w:rsidRPr="00E74E0D" w:rsidRDefault="00E74E0D" w:rsidP="00E74E0D">
      <w:pPr>
        <w:pStyle w:val="Heading2"/>
      </w:pPr>
      <w:r>
        <w:t>O</w:t>
      </w:r>
      <w:r w:rsidRPr="00E74E0D">
        <w:t>utcome measures</w:t>
      </w:r>
    </w:p>
    <w:p w14:paraId="7E66C7C2" w14:textId="56CC3C44" w:rsidR="000767D0" w:rsidRDefault="000767D0" w:rsidP="000767D0">
      <w:pPr>
        <w:pStyle w:val="Heading3"/>
      </w:pPr>
      <w:r>
        <w:t>Primary outcome measure</w:t>
      </w:r>
    </w:p>
    <w:p w14:paraId="0A6D1009" w14:textId="63B43588" w:rsidR="000767D0" w:rsidRDefault="000767D0" w:rsidP="005233A5">
      <w:pPr>
        <w:spacing w:before="0" w:line="360" w:lineRule="auto"/>
      </w:pPr>
      <w:r>
        <w:t xml:space="preserve">The primary outcome measure is </w:t>
      </w:r>
      <w:r w:rsidRPr="00E34429">
        <w:rPr>
          <w:b/>
        </w:rPr>
        <w:t>comprehension of the consequences of bankruptcy</w:t>
      </w:r>
      <w:r>
        <w:t xml:space="preserve">. We will assess comprehension using a 13-question multiple choice quiz administered after the intervention (at T2; see Figure 1 </w:t>
      </w:r>
      <w:r w:rsidR="002D2379">
        <w:t>above</w:t>
      </w:r>
      <w:r>
        <w:t>). Each question has four response options, including “I don’t know”. Only one of the response options is correct. Participants will receive a score out of 100 (percent correct) by summing the</w:t>
      </w:r>
      <w:r w:rsidR="00261856">
        <w:t xml:space="preserve"> number of correct responses,</w:t>
      </w:r>
      <w:r>
        <w:t xml:space="preserve"> dividing by 13</w:t>
      </w:r>
      <w:r w:rsidR="00261856">
        <w:t xml:space="preserve"> and multiplying by 100</w:t>
      </w:r>
      <w:r>
        <w:t>. This comprehension score will be our primary outcome measure.</w:t>
      </w:r>
    </w:p>
    <w:p w14:paraId="1F414C2B" w14:textId="1DFB1EA7" w:rsidR="000767D0" w:rsidRDefault="000767D0" w:rsidP="000767D0">
      <w:pPr>
        <w:pStyle w:val="Heading3"/>
      </w:pPr>
      <w:r>
        <w:lastRenderedPageBreak/>
        <w:t>Secondary outcome measure</w:t>
      </w:r>
    </w:p>
    <w:p w14:paraId="61736E54" w14:textId="1E107479" w:rsidR="000767D0" w:rsidRDefault="000767D0" w:rsidP="005233A5">
      <w:pPr>
        <w:spacing w:line="360" w:lineRule="auto"/>
      </w:pPr>
      <w:r>
        <w:t>Participants will be asked to indicate how confident they feel that they understand the consequences of bankruptcy (6-point scale from 0 = not at all confident, to 5 = completely confident). This item will be our secondary outcome measure.</w:t>
      </w:r>
    </w:p>
    <w:p w14:paraId="0B062D5B" w14:textId="7A288BAD" w:rsidR="00864DD7" w:rsidRDefault="00864DD7" w:rsidP="00EB1175">
      <w:pPr>
        <w:pStyle w:val="Heading2"/>
      </w:pPr>
      <w:r>
        <w:t>Population and sample selection</w:t>
      </w:r>
    </w:p>
    <w:p w14:paraId="155F7A1E" w14:textId="04312182" w:rsidR="000767D0" w:rsidRDefault="000767D0" w:rsidP="005233A5">
      <w:pPr>
        <w:spacing w:line="360" w:lineRule="auto"/>
      </w:pPr>
      <w:r>
        <w:t>Our population of interest is the general population</w:t>
      </w:r>
      <w:r w:rsidR="00EB1175">
        <w:t xml:space="preserve"> of Australian adults</w:t>
      </w:r>
      <w:r>
        <w:t xml:space="preserve">. </w:t>
      </w:r>
      <w:r w:rsidRPr="00AF6200">
        <w:t xml:space="preserve">Participants will be 6,600 people recruited by </w:t>
      </w:r>
      <w:proofErr w:type="spellStart"/>
      <w:r w:rsidRPr="00AF6200">
        <w:t>Dynata</w:t>
      </w:r>
      <w:proofErr w:type="spellEnd"/>
      <w:r w:rsidRPr="00AF6200">
        <w:t xml:space="preserve"> from their participant pool</w:t>
      </w:r>
      <w:r w:rsidR="00C9462E" w:rsidRPr="00AF6200">
        <w:t xml:space="preserve"> (i.e., not bankruptcy applicants)</w:t>
      </w:r>
      <w:r w:rsidRPr="00AF6200">
        <w:t>, and will be between 18 and 65 years old. They will otherwise</w:t>
      </w:r>
      <w:r>
        <w:t xml:space="preserve"> be representative of the Australian population on gender, age (three band</w:t>
      </w:r>
      <w:r w:rsidR="00EB1175">
        <w:t xml:space="preserve">s: 18-34, 35-49, </w:t>
      </w:r>
      <w:proofErr w:type="gramStart"/>
      <w:r w:rsidR="00EB1175">
        <w:t>50</w:t>
      </w:r>
      <w:proofErr w:type="gramEnd"/>
      <w:r w:rsidR="00EB1175">
        <w:t xml:space="preserve">-64). Age and gender quotas are interlocking. We will also aim for location (metro/regional) and </w:t>
      </w:r>
      <w:r>
        <w:t xml:space="preserve">employment </w:t>
      </w:r>
      <w:r w:rsidR="00EB1175">
        <w:t xml:space="preserve">statistics to match the general population </w:t>
      </w:r>
      <w:r>
        <w:t>(</w:t>
      </w:r>
      <w:r w:rsidR="00EB1175">
        <w:t>soft quotas</w:t>
      </w:r>
      <w:r>
        <w:t xml:space="preserve">) or as close as possible given the constraints of </w:t>
      </w:r>
      <w:proofErr w:type="spellStart"/>
      <w:r>
        <w:t>Dynata’s</w:t>
      </w:r>
      <w:proofErr w:type="spellEnd"/>
      <w:r>
        <w:t xml:space="preserve"> panel and our time frames. </w:t>
      </w:r>
      <w:r w:rsidR="00EB1175">
        <w:t>We do not have any exclusion criteria. Participants complete the trial on their own devices.</w:t>
      </w:r>
    </w:p>
    <w:p w14:paraId="0064236E" w14:textId="2AE29819" w:rsidR="00273855" w:rsidRDefault="00273855" w:rsidP="00273855">
      <w:pPr>
        <w:pStyle w:val="Heading2"/>
      </w:pPr>
      <w:r>
        <w:t xml:space="preserve">Hypotheses </w:t>
      </w:r>
    </w:p>
    <w:p w14:paraId="7D83C72A" w14:textId="136B515A" w:rsidR="000767D0" w:rsidRDefault="000767D0" w:rsidP="000767D0">
      <w:pPr>
        <w:spacing w:line="360" w:lineRule="auto"/>
        <w:ind w:left="720" w:hanging="720"/>
      </w:pPr>
      <w:r w:rsidRPr="0022330C">
        <w:rPr>
          <w:b/>
        </w:rPr>
        <w:t>H</w:t>
      </w:r>
      <w:r>
        <w:rPr>
          <w:b/>
        </w:rPr>
        <w:t>1</w:t>
      </w:r>
      <w:r>
        <w:t xml:space="preserve">: </w:t>
      </w:r>
      <w:r>
        <w:tab/>
        <w:t>A &lt; B</w:t>
      </w:r>
      <w:r>
        <w:br/>
        <w:t>A &lt; C</w:t>
      </w:r>
      <w:r>
        <w:br/>
        <w:t xml:space="preserve">Participants </w:t>
      </w:r>
      <w:r w:rsidR="00532312">
        <w:t xml:space="preserve">in the active control (B) and BAU (C) conditions </w:t>
      </w:r>
      <w:r>
        <w:t>will achieve a higher score on the comprehension questions than participants in the pure control group (A).</w:t>
      </w:r>
    </w:p>
    <w:p w14:paraId="49F5F8FB" w14:textId="37A6EF06" w:rsidR="00A44E88" w:rsidRDefault="000767D0" w:rsidP="00BB036A">
      <w:pPr>
        <w:spacing w:line="360" w:lineRule="auto"/>
        <w:ind w:left="720" w:hanging="720"/>
      </w:pPr>
      <w:r>
        <w:rPr>
          <w:b/>
        </w:rPr>
        <w:t>H2</w:t>
      </w:r>
      <w:r w:rsidRPr="00D3577D">
        <w:rPr>
          <w:b/>
        </w:rPr>
        <w:t>:</w:t>
      </w:r>
      <w:r>
        <w:tab/>
      </w:r>
      <w:r w:rsidR="00BB036A">
        <w:t xml:space="preserve">B </w:t>
      </w:r>
      <w:r w:rsidR="00BB036A">
        <w:rPr>
          <w:rFonts w:cstheme="minorHAnsi"/>
        </w:rPr>
        <w:t>≠ C</w:t>
      </w:r>
      <w:r w:rsidR="00BB036A">
        <w:br/>
      </w:r>
      <w:r>
        <w:t xml:space="preserve">B </w:t>
      </w:r>
      <w:r>
        <w:rPr>
          <w:rFonts w:cstheme="minorHAnsi"/>
        </w:rPr>
        <w:t>≠</w:t>
      </w:r>
      <w:r w:rsidR="00532312">
        <w:t xml:space="preserve"> D</w:t>
      </w:r>
      <w:r w:rsidR="00BB036A">
        <w:br/>
        <w:t xml:space="preserve">Scores will differ for participants in the current consequences tool (BAU; C) compared to the current prescribed information (active control; B). </w:t>
      </w:r>
      <w:r w:rsidR="0065764E">
        <w:t>Scores</w:t>
      </w:r>
      <w:r w:rsidR="00A44E88">
        <w:t xml:space="preserve"> will </w:t>
      </w:r>
      <w:r w:rsidR="00BB036A">
        <w:t xml:space="preserve">also </w:t>
      </w:r>
      <w:r w:rsidR="00A44E88">
        <w:t>differ for participants in the different intervention groups (D), compared to the current prescribed information (active control; B). We will conduct these analyses separately for interventions D1 to D4.</w:t>
      </w:r>
    </w:p>
    <w:p w14:paraId="437C847A" w14:textId="50E6BE36" w:rsidR="000767D0" w:rsidRDefault="00A44E88" w:rsidP="00532312">
      <w:pPr>
        <w:spacing w:line="360" w:lineRule="auto"/>
        <w:ind w:left="720" w:hanging="720"/>
      </w:pPr>
      <w:r w:rsidRPr="00A44E88">
        <w:rPr>
          <w:b/>
        </w:rPr>
        <w:t>H3:</w:t>
      </w:r>
      <w:r>
        <w:tab/>
      </w:r>
      <w:r w:rsidR="00532312">
        <w:t xml:space="preserve">C </w:t>
      </w:r>
      <w:r w:rsidR="00532312">
        <w:rPr>
          <w:rFonts w:cstheme="minorHAnsi"/>
        </w:rPr>
        <w:t>≠</w:t>
      </w:r>
      <w:r w:rsidR="00532312">
        <w:t xml:space="preserve"> D</w:t>
      </w:r>
      <w:r w:rsidR="000767D0">
        <w:br/>
      </w:r>
      <w:r w:rsidR="0065764E">
        <w:t>Scores</w:t>
      </w:r>
      <w:r w:rsidR="000767D0">
        <w:t xml:space="preserve"> will differ for participants in the different intervention groups</w:t>
      </w:r>
      <w:r w:rsidR="00532312">
        <w:t xml:space="preserve"> (D</w:t>
      </w:r>
      <w:r w:rsidR="000767D0">
        <w:t xml:space="preserve">), </w:t>
      </w:r>
      <w:r w:rsidR="00532312">
        <w:t>compared to the current consequences tool (</w:t>
      </w:r>
      <w:r w:rsidR="0065764E">
        <w:t>BAU;</w:t>
      </w:r>
      <w:r w:rsidR="00532312">
        <w:t xml:space="preserve"> C)</w:t>
      </w:r>
      <w:r w:rsidR="000767D0">
        <w:t>. W</w:t>
      </w:r>
      <w:r w:rsidR="00532312">
        <w:t>e will conduct these analyse</w:t>
      </w:r>
      <w:r w:rsidR="000767D0">
        <w:t xml:space="preserve">s separately for interventions </w:t>
      </w:r>
      <w:r w:rsidR="00532312">
        <w:t>D1</w:t>
      </w:r>
      <w:r w:rsidR="000767D0">
        <w:t xml:space="preserve"> to </w:t>
      </w:r>
      <w:r w:rsidR="00532312">
        <w:t>D4.</w:t>
      </w:r>
    </w:p>
    <w:p w14:paraId="1AF31DA8" w14:textId="04CBA7CD" w:rsidR="000767D0" w:rsidRDefault="000767D0" w:rsidP="000767D0">
      <w:pPr>
        <w:spacing w:line="360" w:lineRule="auto"/>
      </w:pPr>
      <w:r>
        <w:t xml:space="preserve">We will use one-tailed </w:t>
      </w:r>
      <w:r>
        <w:rPr>
          <w:i/>
        </w:rPr>
        <w:t>p</w:t>
      </w:r>
      <w:r>
        <w:t xml:space="preserve">-values to evaluate the evidence for hypotheses H1, and two-tailed </w:t>
      </w:r>
      <w:r>
        <w:rPr>
          <w:i/>
        </w:rPr>
        <w:t>p-</w:t>
      </w:r>
      <w:r>
        <w:t>values to evaluate t</w:t>
      </w:r>
      <w:r w:rsidR="00A44E88">
        <w:t>he evidence for hypotheses H2 and H3 (1-4).</w:t>
      </w:r>
      <w:r>
        <w:t xml:space="preserve"> </w:t>
      </w:r>
    </w:p>
    <w:p w14:paraId="3FD706C1" w14:textId="77777777" w:rsidR="000767D0" w:rsidRPr="006837D8" w:rsidRDefault="000767D0" w:rsidP="005233A5">
      <w:pPr>
        <w:pStyle w:val="Heading3"/>
      </w:pPr>
      <w:r>
        <w:lastRenderedPageBreak/>
        <w:t>Secondary comparisons</w:t>
      </w:r>
    </w:p>
    <w:p w14:paraId="03C42180" w14:textId="3589F15B" w:rsidR="000767D0" w:rsidRDefault="0065764E" w:rsidP="0065764E">
      <w:pPr>
        <w:spacing w:before="240" w:line="360" w:lineRule="auto"/>
        <w:rPr>
          <w:rFonts w:cstheme="minorHAnsi"/>
        </w:rPr>
      </w:pPr>
      <w:r w:rsidRPr="00AF6200">
        <w:rPr>
          <w:rFonts w:cstheme="minorHAnsi"/>
        </w:rPr>
        <w:t xml:space="preserve">In order to “pick a winner” among the new interventions we will compare each new intervention to each new other intervention (D1 to D2, D3, D4, </w:t>
      </w:r>
      <w:proofErr w:type="spellStart"/>
      <w:r w:rsidRPr="00AF6200">
        <w:rPr>
          <w:rFonts w:cstheme="minorHAnsi"/>
        </w:rPr>
        <w:t>etc</w:t>
      </w:r>
      <w:proofErr w:type="spellEnd"/>
      <w:r w:rsidRPr="00AF6200">
        <w:rPr>
          <w:rFonts w:cstheme="minorHAnsi"/>
        </w:rPr>
        <w:t>)</w:t>
      </w:r>
      <w:r w:rsidR="000B48C3" w:rsidRPr="00AF6200">
        <w:rPr>
          <w:rFonts w:cstheme="minorHAnsi"/>
        </w:rPr>
        <w:t xml:space="preserve"> and to pure control (A)</w:t>
      </w:r>
      <w:r w:rsidRPr="00AF6200">
        <w:rPr>
          <w:rFonts w:cstheme="minorHAnsi"/>
        </w:rPr>
        <w:t xml:space="preserve">. We are conscious this involves many different comparisons. We will not adjust our </w:t>
      </w:r>
      <w:r w:rsidRPr="00AF6200">
        <w:rPr>
          <w:rFonts w:cstheme="minorHAnsi"/>
          <w:i/>
        </w:rPr>
        <w:t>p</w:t>
      </w:r>
      <w:r w:rsidRPr="00AF6200">
        <w:rPr>
          <w:rFonts w:cstheme="minorHAnsi"/>
        </w:rPr>
        <w:t>-values, but will treat marginal results with caution.</w:t>
      </w:r>
      <w:r>
        <w:rPr>
          <w:rFonts w:cstheme="minorHAnsi"/>
        </w:rPr>
        <w:t xml:space="preserve"> </w:t>
      </w:r>
    </w:p>
    <w:p w14:paraId="6FC4562D" w14:textId="77777777" w:rsidR="00CE4C24" w:rsidRDefault="00CE4C24" w:rsidP="00CE4C24">
      <w:pPr>
        <w:pStyle w:val="Heading2"/>
      </w:pPr>
      <w:r>
        <w:t>Randomisation</w:t>
      </w:r>
    </w:p>
    <w:p w14:paraId="057541FB" w14:textId="75321CFF" w:rsidR="000767D0" w:rsidRDefault="000767D0" w:rsidP="005233A5">
      <w:pPr>
        <w:spacing w:line="360" w:lineRule="auto"/>
      </w:pPr>
      <w:r>
        <w:t>This trial is an individually randomised online experiment. Participants will be randomised to 1 of 7 cells (4 new interventions, 1 current consequences tool, 1 prescribed information, 1 pure control). Randomisation will be done by Qualtrics</w:t>
      </w:r>
      <w:r w:rsidR="008C482C">
        <w:t xml:space="preserve"> (the survey software)</w:t>
      </w:r>
      <w:r>
        <w:t xml:space="preserve">, by giving each participant a 1/7 probability of being assigned to each trial arm. This means that we may not get </w:t>
      </w:r>
      <w:r>
        <w:rPr>
          <w:i/>
        </w:rPr>
        <w:t xml:space="preserve">exactly </w:t>
      </w:r>
      <w:r>
        <w:t xml:space="preserve">the same number of people in each arm. However, Qualtrics also provides an option to “ensure even allocation”, which means that cell sizes will not become too uneven. </w:t>
      </w:r>
    </w:p>
    <w:p w14:paraId="52429D45" w14:textId="78F7C657" w:rsidR="000767D0" w:rsidRPr="008C482C" w:rsidRDefault="0043324A" w:rsidP="005233A5">
      <w:pPr>
        <w:spacing w:line="360" w:lineRule="auto"/>
      </w:pPr>
      <w:r>
        <w:t xml:space="preserve">The randomisation will be stratified by the device participants are using to access the survey. </w:t>
      </w:r>
      <w:r w:rsidR="000767D0">
        <w:t>We will use meta-data to determine whether participants are completing the experiment on a mobile device</w:t>
      </w:r>
      <w:r>
        <w:t xml:space="preserve"> (or not)</w:t>
      </w:r>
      <w:r w:rsidR="000767D0">
        <w:t xml:space="preserve">. If they are not on a mobile device, they will be randomised as described above. However, if they are using a mobile device, the “roadmap” intervention will not function as intended. Therefore, these participants will only be randomised to 1 of 6 cells (excluding the roadmap condition). This “two-pronged” randomisation will not affect our estimates for the conditions other than the roadmap. For the roadmap intervention, we will be limited in our ability to generalise </w:t>
      </w:r>
      <w:r w:rsidR="000767D0" w:rsidRPr="00AF6200">
        <w:t xml:space="preserve">(if </w:t>
      </w:r>
      <w:r w:rsidR="000B48C3" w:rsidRPr="00AF6200">
        <w:t>desktop only</w:t>
      </w:r>
      <w:r w:rsidR="000767D0" w:rsidRPr="00AF6200">
        <w:t xml:space="preserve"> participants differ systematically from the rest of the population).</w:t>
      </w:r>
      <w:r w:rsidR="008C482C">
        <w:t xml:space="preserve"> The roadmap intervention will also have a lower sample size than the other interventions.</w:t>
      </w:r>
    </w:p>
    <w:p w14:paraId="0B9337DF" w14:textId="697947CA" w:rsidR="00E74E0D" w:rsidRDefault="00E74E0D" w:rsidP="00CE4C24">
      <w:pPr>
        <w:pStyle w:val="Heading2"/>
      </w:pPr>
      <w:r w:rsidRPr="00E74E0D">
        <w:t>Sample size and power calculations</w:t>
      </w:r>
    </w:p>
    <w:p w14:paraId="687B5954" w14:textId="40B191A4" w:rsidR="000767D0" w:rsidRDefault="000767D0" w:rsidP="005233A5">
      <w:pPr>
        <w:spacing w:before="0" w:line="360" w:lineRule="auto"/>
        <w:ind w:hanging="11"/>
      </w:pPr>
      <w:r>
        <w:t>W</w:t>
      </w:r>
      <w:r w:rsidRPr="00AB2FC1">
        <w:t xml:space="preserve">e </w:t>
      </w:r>
      <w:r>
        <w:t xml:space="preserve">plan to recruit a sample of 6,600 participants, </w:t>
      </w:r>
      <w:r w:rsidR="00892523">
        <w:t xml:space="preserve">for a total of at least </w:t>
      </w:r>
      <w:r>
        <w:t>940</w:t>
      </w:r>
      <w:r w:rsidR="00892523">
        <w:t xml:space="preserve"> people per cell of the design (except the roadmap intervention; see above). </w:t>
      </w:r>
      <w:r>
        <w:t xml:space="preserve">Based on results from a pilot study, a Cohen’s </w:t>
      </w:r>
      <w:r>
        <w:rPr>
          <w:i/>
        </w:rPr>
        <w:t xml:space="preserve">d </w:t>
      </w:r>
      <w:r>
        <w:t>o</w:t>
      </w:r>
      <w:r w:rsidR="00261856">
        <w:t>f 0.20 would translate to a 0.6-</w:t>
      </w:r>
      <w:r>
        <w:t xml:space="preserve">point </w:t>
      </w:r>
      <w:r w:rsidR="00AC5B03">
        <w:t>difference</w:t>
      </w:r>
      <w:r>
        <w:t xml:space="preserve"> in</w:t>
      </w:r>
      <w:r w:rsidR="00156473">
        <w:t xml:space="preserve"> raw</w:t>
      </w:r>
      <w:r>
        <w:t xml:space="preserve"> comprehension scores (scale from 0 to 13).</w:t>
      </w:r>
    </w:p>
    <w:p w14:paraId="5F1ECCC5" w14:textId="0B4A575B" w:rsidR="000767D0" w:rsidRDefault="0043324A" w:rsidP="005233A5">
      <w:pPr>
        <w:spacing w:before="0" w:line="360" w:lineRule="auto"/>
        <w:ind w:left="720" w:hanging="720"/>
      </w:pPr>
      <w:r>
        <w:rPr>
          <w:b/>
        </w:rPr>
        <w:t>H1</w:t>
      </w:r>
      <w:r w:rsidR="000767D0">
        <w:t xml:space="preserve">: </w:t>
      </w:r>
      <w:r w:rsidR="000767D0">
        <w:tab/>
        <w:t>When comparing prescribed information (</w:t>
      </w:r>
      <w:r>
        <w:t xml:space="preserve">B; </w:t>
      </w:r>
      <w:r w:rsidR="000767D0">
        <w:t xml:space="preserve">n = 940) </w:t>
      </w:r>
      <w:r>
        <w:t xml:space="preserve">or the current consequences tool (C; n = 940) </w:t>
      </w:r>
      <w:r w:rsidR="000767D0">
        <w:t>to pure control (</w:t>
      </w:r>
      <w:r w:rsidR="000271BD">
        <w:t xml:space="preserve">A; </w:t>
      </w:r>
      <w:r w:rsidR="000767D0">
        <w:t xml:space="preserve">n = 940) we will have 90% power to detect a small effect (Cohen’s </w:t>
      </w:r>
      <w:r w:rsidR="000767D0" w:rsidRPr="00191679">
        <w:rPr>
          <w:i/>
        </w:rPr>
        <w:t>d</w:t>
      </w:r>
      <w:r w:rsidR="000767D0">
        <w:t xml:space="preserve"> = 0</w:t>
      </w:r>
      <w:r w:rsidR="000271BD">
        <w:t>.14) in a 1-sided test (alpha = </w:t>
      </w:r>
      <w:r w:rsidR="000767D0">
        <w:t xml:space="preserve">.05). </w:t>
      </w:r>
    </w:p>
    <w:p w14:paraId="098113C4" w14:textId="45847B3A" w:rsidR="000767D0" w:rsidRDefault="000767D0" w:rsidP="005233A5">
      <w:pPr>
        <w:spacing w:before="0" w:line="360" w:lineRule="auto"/>
        <w:ind w:left="720" w:hanging="720"/>
      </w:pPr>
      <w:r w:rsidRPr="000673B8">
        <w:rPr>
          <w:b/>
        </w:rPr>
        <w:lastRenderedPageBreak/>
        <w:t>H2:</w:t>
      </w:r>
      <w:r>
        <w:rPr>
          <w:b/>
        </w:rPr>
        <w:t xml:space="preserve"> </w:t>
      </w:r>
      <w:r w:rsidR="000271BD">
        <w:rPr>
          <w:b/>
        </w:rPr>
        <w:tab/>
      </w:r>
      <w:r>
        <w:t xml:space="preserve">We have conducted a sensitivity analysis to explore the range of effect sizes we will be able to detect when comparing </w:t>
      </w:r>
      <w:r w:rsidR="000271BD">
        <w:t>the prescribed information (n = </w:t>
      </w:r>
      <w:r w:rsidR="0043324A">
        <w:t xml:space="preserve">940), to </w:t>
      </w:r>
      <w:r>
        <w:t xml:space="preserve">each of the interventions (n = 940) for a range of power values. Keeping alpha at .05, with power from 80% to 95% we’ll be able to </w:t>
      </w:r>
      <w:r w:rsidR="000271BD">
        <w:t>detect effects from 0.13 to 0.17</w:t>
      </w:r>
      <w:r>
        <w:t xml:space="preserve"> (Cohen’s </w:t>
      </w:r>
      <w:r>
        <w:rPr>
          <w:i/>
        </w:rPr>
        <w:t>d</w:t>
      </w:r>
      <w:r w:rsidR="000271BD">
        <w:t xml:space="preserve">) in a 2-sided test. </w:t>
      </w:r>
    </w:p>
    <w:p w14:paraId="06782861" w14:textId="1F6EFA0A" w:rsidR="000271BD" w:rsidRDefault="000271BD" w:rsidP="005233A5">
      <w:pPr>
        <w:spacing w:before="0" w:line="360" w:lineRule="auto"/>
        <w:ind w:left="720" w:hanging="720"/>
      </w:pPr>
      <w:r>
        <w:rPr>
          <w:b/>
        </w:rPr>
        <w:t>H3</w:t>
      </w:r>
      <w:r w:rsidRPr="000673B8">
        <w:rPr>
          <w:b/>
        </w:rPr>
        <w:t>:</w:t>
      </w:r>
      <w:r>
        <w:rPr>
          <w:b/>
        </w:rPr>
        <w:t xml:space="preserve"> </w:t>
      </w:r>
      <w:r>
        <w:rPr>
          <w:b/>
        </w:rPr>
        <w:tab/>
      </w:r>
      <w:r w:rsidRPr="000271BD">
        <w:t>The</w:t>
      </w:r>
      <w:r>
        <w:rPr>
          <w:b/>
        </w:rPr>
        <w:t xml:space="preserve"> </w:t>
      </w:r>
      <w:r>
        <w:t>sensitivity analysis for comparing the current consequences tool (n = 940), to each of the interventions (n = 940) is the same as the above.</w:t>
      </w:r>
    </w:p>
    <w:p w14:paraId="7F7B227A" w14:textId="5288C788" w:rsidR="00892523" w:rsidRPr="00892523" w:rsidRDefault="00892523" w:rsidP="005233A5">
      <w:pPr>
        <w:spacing w:before="0" w:line="360" w:lineRule="auto"/>
      </w:pPr>
      <w:r w:rsidRPr="00892523">
        <w:t xml:space="preserve">For all H2 and H3 comparisons that include </w:t>
      </w:r>
      <w:proofErr w:type="gramStart"/>
      <w:r w:rsidRPr="00892523">
        <w:t>the ”</w:t>
      </w:r>
      <w:proofErr w:type="gramEnd"/>
      <w:r w:rsidRPr="00892523">
        <w:t>roadmap” intervention (D3), we will only use the subset of the sample that completed the trial on a non-mobile device. This means we will have less power to detect differences between the roadmap intervention and the other interventions.</w:t>
      </w:r>
    </w:p>
    <w:p w14:paraId="179691E0" w14:textId="52DBF11C" w:rsidR="00E74E0D" w:rsidRPr="00E74E0D" w:rsidRDefault="008C3A54" w:rsidP="00E74E0D">
      <w:pPr>
        <w:pStyle w:val="Heading2"/>
      </w:pPr>
      <w:r>
        <w:t>Method of a</w:t>
      </w:r>
      <w:r w:rsidR="00E74E0D" w:rsidRPr="00E74E0D">
        <w:t>nalysis</w:t>
      </w:r>
    </w:p>
    <w:p w14:paraId="52CE2884" w14:textId="74669BAC" w:rsidR="000767D0" w:rsidRDefault="000767D0" w:rsidP="005233A5">
      <w:pPr>
        <w:spacing w:line="360" w:lineRule="auto"/>
      </w:pPr>
      <w:r>
        <w:t xml:space="preserve">We will use ordinary least squares (OLS) regression with robust standard errors </w:t>
      </w:r>
      <w:r w:rsidR="00AC5B03">
        <w:t xml:space="preserve">(HC2) </w:t>
      </w:r>
      <w:r>
        <w:t>to estimate the effects of our intervention.</w:t>
      </w:r>
      <w:r w:rsidR="00892523">
        <w:t xml:space="preserve"> All</w:t>
      </w:r>
      <w:r>
        <w:t xml:space="preserve"> effect estimates, confidence intervals, and </w:t>
      </w:r>
      <w:r w:rsidRPr="00BF74D2">
        <w:rPr>
          <w:i/>
        </w:rPr>
        <w:t>p</w:t>
      </w:r>
      <w:r>
        <w:t>-values will be derived from the following model:</w:t>
      </w:r>
    </w:p>
    <w:p w14:paraId="49F52838" w14:textId="77777777" w:rsidR="000767D0" w:rsidRPr="00BF74D2" w:rsidRDefault="000767D0" w:rsidP="005233A5">
      <w:pPr>
        <w:pStyle w:val="ListNumber"/>
        <w:tabs>
          <w:tab w:val="clear" w:pos="360"/>
          <w:tab w:val="num" w:pos="1080"/>
        </w:tabs>
        <w:spacing w:line="360" w:lineRule="auto"/>
        <w:ind w:left="1080" w:hanging="360"/>
        <w:rPr>
          <w:rFonts w:ascii="Verdana" w:hAnsi="Verdana"/>
        </w:rPr>
      </w:pPr>
      <m:oMath>
        <m:r>
          <w:rPr>
            <w:rFonts w:ascii="Cambria Math" w:hAnsi="Cambria Math"/>
          </w:rPr>
          <m:t>y</m:t>
        </m:r>
        <m:r>
          <m:rPr>
            <m:sty m:val="p"/>
          </m:rPr>
          <w:rPr>
            <w:rFonts w:ascii="Cambria Math" w:hAnsi="Cambria Math"/>
          </w:rPr>
          <m:t>=</m:t>
        </m:r>
        <m:r>
          <w:rPr>
            <w:rFonts w:ascii="Cambria Math" w:hAnsi="Cambria Math"/>
          </w:rPr>
          <m:t>a</m:t>
        </m:r>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3</m:t>
            </m:r>
          </m:sub>
        </m:sSub>
        <m:r>
          <w:rPr>
            <w:rFonts w:ascii="Cambria Math" w:hAnsi="Cambria Math"/>
          </w:rPr>
          <m:t xml:space="preserve">XT </m:t>
        </m:r>
        <m:r>
          <m:rPr>
            <m:sty m:val="p"/>
          </m:rPr>
          <w:rPr>
            <w:rFonts w:ascii="Cambria Math" w:hAnsi="Cambria Math"/>
          </w:rPr>
          <m:t>+</m:t>
        </m:r>
        <m:r>
          <w:rPr>
            <w:rFonts w:ascii="Cambria Math" w:hAnsi="Cambria Math"/>
          </w:rPr>
          <m:t>ε</m:t>
        </m:r>
      </m:oMath>
    </w:p>
    <w:p w14:paraId="221A4720" w14:textId="77777777" w:rsidR="00892523" w:rsidRDefault="000767D0" w:rsidP="005233A5">
      <w:pPr>
        <w:keepNext/>
        <w:spacing w:before="0" w:after="240" w:line="360" w:lineRule="auto"/>
      </w:pPr>
      <w:r>
        <w:t xml:space="preserve">Where </w:t>
      </w:r>
      <w:r w:rsidRPr="00293402">
        <w:rPr>
          <w:i/>
        </w:rPr>
        <w:t>Y</w:t>
      </w:r>
      <w:r>
        <w:t xml:space="preserve"> is participants’ post-intervention score (percent correct), </w:t>
      </w:r>
      <w:r w:rsidRPr="00293402">
        <w:rPr>
          <w:i/>
        </w:rPr>
        <w:t>T</w:t>
      </w:r>
      <w:r>
        <w:t xml:space="preserve"> is a binary indicator</w:t>
      </w:r>
      <w:r w:rsidR="00892523">
        <w:t xml:space="preserve"> of which intervention group the participant was in</w:t>
      </w:r>
      <w:r>
        <w:t xml:space="preserve"> (</w:t>
      </w:r>
      <w:r w:rsidR="00892523">
        <w:t>depending on the analysis</w:t>
      </w:r>
      <w:r>
        <w:t xml:space="preserve">), </w:t>
      </w:r>
      <w:r w:rsidRPr="00293402">
        <w:rPr>
          <w:i/>
        </w:rPr>
        <w:t>X</w:t>
      </w:r>
      <w:r>
        <w:t xml:space="preserve"> is </w:t>
      </w:r>
      <w:r w:rsidR="00892523">
        <w:t>a vector of covariate (</w:t>
      </w:r>
      <w:r>
        <w:t>participants’ self-ass</w:t>
      </w:r>
      <w:r w:rsidR="00892523">
        <w:t>essed knowledge of bankruptcy, t</w:t>
      </w:r>
      <w:r>
        <w:t>reated as a continuous variable, 0-5)</w:t>
      </w:r>
      <w:r w:rsidR="00892523">
        <w:t xml:space="preserve"> and block indicators (device type: mobile vs non-mobile),</w:t>
      </w:r>
      <w:r>
        <w:t xml:space="preserve"> </w:t>
      </w:r>
      <w:r w:rsidRPr="00DB02A4">
        <w:t xml:space="preserve">and </w:t>
      </w:r>
      <w:r w:rsidRPr="00DB02A4">
        <w:rPr>
          <w:rFonts w:ascii="Cambria Math" w:hAnsi="Cambria Math"/>
        </w:rPr>
        <w:t>ε</w:t>
      </w:r>
      <w:r w:rsidRPr="00DB02A4">
        <w:t xml:space="preserve"> is the error term</w:t>
      </w:r>
      <w:r>
        <w:t xml:space="preserve">.  The co-efficient </w:t>
      </w:r>
      <w:r w:rsidRPr="00DB02A4">
        <w:rPr>
          <w:rFonts w:cstheme="minorHAnsi"/>
          <w:i/>
        </w:rPr>
        <w:t>β</w:t>
      </w:r>
      <w:r w:rsidRPr="00DB02A4">
        <w:rPr>
          <w:i/>
          <w:vertAlign w:val="subscript"/>
        </w:rPr>
        <w:t xml:space="preserve">1 </w:t>
      </w:r>
      <w:r>
        <w:t xml:space="preserve">indicates the </w:t>
      </w:r>
      <w:r w:rsidR="00892523">
        <w:t>difference in</w:t>
      </w:r>
      <w:r>
        <w:t xml:space="preserve"> participants’ comprehension</w:t>
      </w:r>
      <w:r w:rsidR="00892523">
        <w:t>, across the two intervention groups being analysed (holding everything else constant).</w:t>
      </w:r>
    </w:p>
    <w:p w14:paraId="78FDAF4E" w14:textId="2B43CFB2" w:rsidR="000767D0" w:rsidRPr="005233A5" w:rsidRDefault="00892523" w:rsidP="005233A5">
      <w:pPr>
        <w:keepNext/>
        <w:spacing w:before="0" w:after="240" w:line="360" w:lineRule="auto"/>
      </w:pPr>
      <w:r w:rsidRPr="00892523">
        <w:t xml:space="preserve">For all comparisons that include </w:t>
      </w:r>
      <w:proofErr w:type="gramStart"/>
      <w:r w:rsidRPr="00892523">
        <w:t>the ”</w:t>
      </w:r>
      <w:proofErr w:type="gramEnd"/>
      <w:r w:rsidRPr="00892523">
        <w:t>roadmap” intervention (D3), we will only use the subset of the sample that completed t</w:t>
      </w:r>
      <w:r>
        <w:t>he trial on a non-mobile device, and we will not include the block indicator in the model (as it will be a constant).</w:t>
      </w:r>
    </w:p>
    <w:p w14:paraId="6ECCBEAA" w14:textId="3D2E8094" w:rsidR="007F1538" w:rsidRPr="00273855" w:rsidRDefault="007F1538" w:rsidP="001057F0">
      <w:pPr>
        <w:pStyle w:val="Heading2"/>
      </w:pPr>
      <w:r>
        <w:t>Trial threats</w:t>
      </w:r>
    </w:p>
    <w:p w14:paraId="01542209" w14:textId="6888B72B" w:rsidR="005233A5" w:rsidRDefault="005233A5" w:rsidP="005233A5">
      <w:pPr>
        <w:spacing w:line="360" w:lineRule="auto"/>
      </w:pPr>
      <w:r w:rsidRPr="005233A5">
        <w:t xml:space="preserve">The </w:t>
      </w:r>
      <w:r w:rsidR="00B706AC">
        <w:t>only</w:t>
      </w:r>
      <w:r w:rsidRPr="005233A5">
        <w:t xml:space="preserve"> trial threat is </w:t>
      </w:r>
      <w:r w:rsidR="00B706AC">
        <w:t xml:space="preserve">the potential for </w:t>
      </w:r>
      <w:r w:rsidRPr="005233A5">
        <w:t>differential attrition:</w:t>
      </w:r>
      <w:r>
        <w:rPr>
          <w:color w:val="FF0000"/>
        </w:rPr>
        <w:t xml:space="preserve"> </w:t>
      </w:r>
      <w:r>
        <w:t xml:space="preserve">There is the potential for </w:t>
      </w:r>
      <w:proofErr w:type="spellStart"/>
      <w:r w:rsidRPr="000767D0">
        <w:rPr>
          <w:b/>
        </w:rPr>
        <w:t>missingness</w:t>
      </w:r>
      <w:proofErr w:type="spellEnd"/>
      <w:r w:rsidRPr="000767D0">
        <w:rPr>
          <w:b/>
        </w:rPr>
        <w:t xml:space="preserve"> </w:t>
      </w:r>
      <w:r>
        <w:t xml:space="preserve">to vary due to treatment status – if, for example, participants drop out at higher rates from the “roadmap” or “video” interventions. We will assess this by examining completion rates for each of the interventions. If it is a strong effect, we </w:t>
      </w:r>
      <w:r>
        <w:lastRenderedPageBreak/>
        <w:t xml:space="preserve">will calculate bounds on the results from the affected interventions, and interpret any effects with caution.  </w:t>
      </w:r>
    </w:p>
    <w:p w14:paraId="5FE7CF73" w14:textId="48A8E89C" w:rsidR="00B706AC" w:rsidRDefault="00B706AC" w:rsidP="005233A5">
      <w:pPr>
        <w:spacing w:line="360" w:lineRule="auto"/>
      </w:pPr>
      <w:r>
        <w:t xml:space="preserve">Participants will not be blind to the fact that they are participating in a study, or to which intervention group they are in. However, they will have no knowledge of what the other intervention groups involve. </w:t>
      </w:r>
    </w:p>
    <w:p w14:paraId="3E20D1F2" w14:textId="36C1A59F" w:rsidR="000E62A8" w:rsidRPr="00E74E0D" w:rsidRDefault="000E62A8" w:rsidP="000E62A8">
      <w:pPr>
        <w:pStyle w:val="Heading2"/>
      </w:pPr>
      <w:r>
        <w:t xml:space="preserve">Interpretation of results </w:t>
      </w:r>
    </w:p>
    <w:p w14:paraId="71ABDF92" w14:textId="77777777" w:rsidR="000767D0" w:rsidRDefault="000767D0" w:rsidP="005233A5">
      <w:pPr>
        <w:keepNext/>
        <w:spacing w:before="0" w:after="240" w:line="360" w:lineRule="auto"/>
      </w:pPr>
      <w:r>
        <w:t xml:space="preserve">The main question of interest is whether a consequences tool can help people understand the consequences of bankruptcy. </w:t>
      </w:r>
      <w:r w:rsidRPr="005233A5">
        <w:rPr>
          <w:b/>
        </w:rPr>
        <w:t xml:space="preserve">We will consider </w:t>
      </w:r>
      <w:r w:rsidRPr="005233A5">
        <w:rPr>
          <w:b/>
          <w:i/>
        </w:rPr>
        <w:t>p</w:t>
      </w:r>
      <w:r w:rsidRPr="005233A5">
        <w:rPr>
          <w:b/>
        </w:rPr>
        <w:t>-values together with effect size, robustness checks and design limitations</w:t>
      </w:r>
      <w:r w:rsidRPr="008679DB">
        <w:t xml:space="preserve"> to assess the strength of a finding.</w:t>
      </w:r>
      <w:r>
        <w:t xml:space="preserve"> AFSA already have a consequences tool live on their website. Varying the details of the consequences tool is therefore relatively low cost, and even small effects could be practically meaningful. </w:t>
      </w:r>
    </w:p>
    <w:p w14:paraId="69ACD4CE" w14:textId="3BFE9FA3" w:rsidR="000767D0" w:rsidRDefault="000767D0" w:rsidP="005233A5">
      <w:pPr>
        <w:keepNext/>
        <w:spacing w:before="0" w:after="240" w:line="360" w:lineRule="auto"/>
      </w:pPr>
      <w:r>
        <w:t xml:space="preserve">We also </w:t>
      </w:r>
      <w:r w:rsidRPr="00AF6200">
        <w:t xml:space="preserve">have a few sources of </w:t>
      </w:r>
      <w:r w:rsidR="00B25058" w:rsidRPr="00AF6200">
        <w:rPr>
          <w:b/>
        </w:rPr>
        <w:t>additional</w:t>
      </w:r>
      <w:r w:rsidRPr="00AF6200">
        <w:rPr>
          <w:b/>
        </w:rPr>
        <w:t xml:space="preserve"> data</w:t>
      </w:r>
      <w:r w:rsidRPr="00AF6200">
        <w:t xml:space="preserve"> about how participants perceive and use the interventions (e.g., </w:t>
      </w:r>
      <w:r w:rsidR="005233A5" w:rsidRPr="00AF6200">
        <w:t>which aspects do they like</w:t>
      </w:r>
      <w:r w:rsidRPr="00AF6200">
        <w:t>, how long do they spend on it). These data will be used in interpreting</w:t>
      </w:r>
      <w:r>
        <w:t xml:space="preserve"> the main effects and providing recommendations to AFSA.</w:t>
      </w:r>
    </w:p>
    <w:p w14:paraId="771AC09B" w14:textId="35B543C7" w:rsidR="000767D0" w:rsidRPr="005233A5" w:rsidRDefault="00832039" w:rsidP="005233A5">
      <w:pPr>
        <w:spacing w:line="360" w:lineRule="auto"/>
      </w:pPr>
      <w:r>
        <w:t xml:space="preserve">We are not planning to exclude any </w:t>
      </w:r>
      <w:r w:rsidRPr="005233A5">
        <w:rPr>
          <w:b/>
        </w:rPr>
        <w:t>outliers</w:t>
      </w:r>
      <w:r>
        <w:t>.</w:t>
      </w:r>
      <w:r w:rsidR="005233A5">
        <w:t xml:space="preserve"> (We do not expect to observe any outliers, as our outcome measures are scores on a multiple choice quiz (0-13) and self-reported confidence on a scale from 0 to 5.)</w:t>
      </w:r>
    </w:p>
    <w:p w14:paraId="6363EE39" w14:textId="71069233" w:rsidR="00E74E0D" w:rsidRPr="00E74E0D" w:rsidRDefault="00E74E0D" w:rsidP="00E74E0D">
      <w:pPr>
        <w:pStyle w:val="Heading2"/>
      </w:pPr>
      <w:r w:rsidRPr="00E74E0D">
        <w:t>Pre-analysis plan commitments</w:t>
      </w:r>
    </w:p>
    <w:p w14:paraId="2CB85097" w14:textId="553060B7" w:rsidR="00E74E0D" w:rsidRDefault="00832039" w:rsidP="005233A5">
      <w:pPr>
        <w:pStyle w:val="ListBullet"/>
        <w:numPr>
          <w:ilvl w:val="0"/>
          <w:numId w:val="0"/>
        </w:numPr>
        <w:spacing w:line="360" w:lineRule="auto"/>
      </w:pPr>
      <w:r>
        <w:t xml:space="preserve">The trial was launched before this pre-analysis plan was completed. But no </w:t>
      </w:r>
      <w:r w:rsidR="005233A5">
        <w:t>analyses have</w:t>
      </w:r>
      <w:r w:rsidR="00E74E0D" w:rsidRPr="00E74E0D">
        <w:t xml:space="preserve"> been undertaken prior to the comple</w:t>
      </w:r>
      <w:r>
        <w:t xml:space="preserve">tion of this pre-analysis plan. </w:t>
      </w:r>
      <w:r w:rsidR="00E74E0D" w:rsidRPr="00E74E0D">
        <w:t>We will be transparent about, and provide justification for, any deviations (addition</w:t>
      </w:r>
      <w:r w:rsidR="005233A5">
        <w:t>s or omissions) from this plan.</w:t>
      </w:r>
    </w:p>
    <w:p w14:paraId="4A7425E4" w14:textId="77777777" w:rsidR="00E74E0D" w:rsidRDefault="00E74E0D" w:rsidP="003866D6"/>
    <w:p w14:paraId="4668E661" w14:textId="3294C141" w:rsidR="00E74E0D" w:rsidRDefault="00E74E0D">
      <w:pPr>
        <w:spacing w:before="0" w:after="0" w:line="240" w:lineRule="auto"/>
      </w:pPr>
    </w:p>
    <w:sectPr w:rsidR="00E74E0D" w:rsidSect="00E74E0D">
      <w:pgSz w:w="11906" w:h="16838" w:code="9"/>
      <w:pgMar w:top="2041" w:right="2381" w:bottom="1247" w:left="1247"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41D84" w14:textId="77777777" w:rsidR="00551DA9" w:rsidRDefault="00551DA9">
      <w:r>
        <w:separator/>
      </w:r>
    </w:p>
  </w:endnote>
  <w:endnote w:type="continuationSeparator" w:id="0">
    <w:p w14:paraId="1C5F2E8D" w14:textId="77777777" w:rsidR="00551DA9" w:rsidRDefault="0055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C27CA" w14:textId="77777777" w:rsidR="00551DA9" w:rsidRDefault="00551DA9">
      <w:r>
        <w:separator/>
      </w:r>
    </w:p>
  </w:footnote>
  <w:footnote w:type="continuationSeparator" w:id="0">
    <w:p w14:paraId="5B618D10" w14:textId="77777777" w:rsidR="00551DA9" w:rsidRDefault="00551DA9">
      <w:r>
        <w:continuationSeparator/>
      </w:r>
    </w:p>
  </w:footnote>
  <w:footnote w:id="1">
    <w:p w14:paraId="08AD0597" w14:textId="77777777" w:rsidR="000767D0" w:rsidRDefault="000767D0" w:rsidP="000767D0">
      <w:pPr>
        <w:pStyle w:val="FootnoteText"/>
      </w:pPr>
      <w:r>
        <w:rPr>
          <w:rStyle w:val="FootnoteReference"/>
        </w:rPr>
        <w:footnoteRef/>
      </w:r>
      <w:r>
        <w:t xml:space="preserve"> Subject of a separate trial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45F1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ED8DF8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654B2"/>
    <w:multiLevelType w:val="hybridMultilevel"/>
    <w:tmpl w:val="E7B258E0"/>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A337B93"/>
    <w:multiLevelType w:val="hybridMultilevel"/>
    <w:tmpl w:val="0D444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6A7891"/>
    <w:multiLevelType w:val="multilevel"/>
    <w:tmpl w:val="E15E891A"/>
    <w:lvl w:ilvl="0">
      <w:start w:val="1"/>
      <w:numFmt w:val="decimal"/>
      <w:pStyle w:val="FigureHeading"/>
      <w:suff w:val="space"/>
      <w:lvlText w:val="Figure %1:"/>
      <w:lvlJc w:val="left"/>
      <w:pPr>
        <w:ind w:left="720" w:hanging="720"/>
      </w:pPr>
      <w:rPr>
        <w:rFonts w:ascii="Helvetica" w:hAnsi="Helvetica"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B3E399B"/>
    <w:multiLevelType w:val="hybridMultilevel"/>
    <w:tmpl w:val="8ECA47A8"/>
    <w:lvl w:ilvl="0" w:tplc="99CCAB5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97"/>
    <w:rsid w:val="000020BB"/>
    <w:rsid w:val="00005785"/>
    <w:rsid w:val="00006876"/>
    <w:rsid w:val="000079AD"/>
    <w:rsid w:val="00007D1F"/>
    <w:rsid w:val="00010D84"/>
    <w:rsid w:val="00010F15"/>
    <w:rsid w:val="00011CE3"/>
    <w:rsid w:val="000176B5"/>
    <w:rsid w:val="00022E9C"/>
    <w:rsid w:val="00024EF0"/>
    <w:rsid w:val="00025631"/>
    <w:rsid w:val="000271BD"/>
    <w:rsid w:val="00027B26"/>
    <w:rsid w:val="00030705"/>
    <w:rsid w:val="00032861"/>
    <w:rsid w:val="00032B77"/>
    <w:rsid w:val="00037F3D"/>
    <w:rsid w:val="00042285"/>
    <w:rsid w:val="00043256"/>
    <w:rsid w:val="00045A89"/>
    <w:rsid w:val="00046F8E"/>
    <w:rsid w:val="00047524"/>
    <w:rsid w:val="0005040E"/>
    <w:rsid w:val="0005087D"/>
    <w:rsid w:val="00050F9E"/>
    <w:rsid w:val="000547EF"/>
    <w:rsid w:val="00056004"/>
    <w:rsid w:val="0006075A"/>
    <w:rsid w:val="00061C84"/>
    <w:rsid w:val="00062484"/>
    <w:rsid w:val="00063129"/>
    <w:rsid w:val="00064EE9"/>
    <w:rsid w:val="00065022"/>
    <w:rsid w:val="00065A5E"/>
    <w:rsid w:val="00070681"/>
    <w:rsid w:val="0007097B"/>
    <w:rsid w:val="00070F67"/>
    <w:rsid w:val="00072DA5"/>
    <w:rsid w:val="000767D0"/>
    <w:rsid w:val="00080A09"/>
    <w:rsid w:val="00081CEB"/>
    <w:rsid w:val="00083082"/>
    <w:rsid w:val="00083F36"/>
    <w:rsid w:val="00086D9F"/>
    <w:rsid w:val="00087B2C"/>
    <w:rsid w:val="00087D4E"/>
    <w:rsid w:val="00087DBD"/>
    <w:rsid w:val="00090718"/>
    <w:rsid w:val="00091B4E"/>
    <w:rsid w:val="00091CD7"/>
    <w:rsid w:val="00093DD5"/>
    <w:rsid w:val="000A03DD"/>
    <w:rsid w:val="000A1A09"/>
    <w:rsid w:val="000A47A8"/>
    <w:rsid w:val="000A48B2"/>
    <w:rsid w:val="000A73FB"/>
    <w:rsid w:val="000B0129"/>
    <w:rsid w:val="000B218A"/>
    <w:rsid w:val="000B48C3"/>
    <w:rsid w:val="000C014D"/>
    <w:rsid w:val="000C14EC"/>
    <w:rsid w:val="000C29B4"/>
    <w:rsid w:val="000C5861"/>
    <w:rsid w:val="000C5CD8"/>
    <w:rsid w:val="000C7A69"/>
    <w:rsid w:val="000D1158"/>
    <w:rsid w:val="000D4703"/>
    <w:rsid w:val="000E12D4"/>
    <w:rsid w:val="000E39EF"/>
    <w:rsid w:val="000E51CE"/>
    <w:rsid w:val="000E620E"/>
    <w:rsid w:val="000E62A8"/>
    <w:rsid w:val="000F2063"/>
    <w:rsid w:val="000F3D28"/>
    <w:rsid w:val="000F63C4"/>
    <w:rsid w:val="000F7463"/>
    <w:rsid w:val="00100200"/>
    <w:rsid w:val="0010263D"/>
    <w:rsid w:val="00102824"/>
    <w:rsid w:val="0010300A"/>
    <w:rsid w:val="00103E56"/>
    <w:rsid w:val="001057F0"/>
    <w:rsid w:val="001131F0"/>
    <w:rsid w:val="001139C7"/>
    <w:rsid w:val="00114EBC"/>
    <w:rsid w:val="00115AF1"/>
    <w:rsid w:val="001239B3"/>
    <w:rsid w:val="0012427E"/>
    <w:rsid w:val="001247E0"/>
    <w:rsid w:val="001252F6"/>
    <w:rsid w:val="00126750"/>
    <w:rsid w:val="001271A1"/>
    <w:rsid w:val="00131C0F"/>
    <w:rsid w:val="001325BF"/>
    <w:rsid w:val="00132F0D"/>
    <w:rsid w:val="00133713"/>
    <w:rsid w:val="00135B7E"/>
    <w:rsid w:val="00140FC9"/>
    <w:rsid w:val="001413C5"/>
    <w:rsid w:val="0014231B"/>
    <w:rsid w:val="00142956"/>
    <w:rsid w:val="00142D10"/>
    <w:rsid w:val="001432B0"/>
    <w:rsid w:val="00144868"/>
    <w:rsid w:val="001452BC"/>
    <w:rsid w:val="00150D2A"/>
    <w:rsid w:val="00150E25"/>
    <w:rsid w:val="00150EA9"/>
    <w:rsid w:val="00151650"/>
    <w:rsid w:val="00155B98"/>
    <w:rsid w:val="00156473"/>
    <w:rsid w:val="00157001"/>
    <w:rsid w:val="00157709"/>
    <w:rsid w:val="00160B66"/>
    <w:rsid w:val="00160E91"/>
    <w:rsid w:val="00165626"/>
    <w:rsid w:val="00166272"/>
    <w:rsid w:val="001671D2"/>
    <w:rsid w:val="00167CF4"/>
    <w:rsid w:val="00170BE9"/>
    <w:rsid w:val="0017147C"/>
    <w:rsid w:val="0017194E"/>
    <w:rsid w:val="0017249B"/>
    <w:rsid w:val="001727A4"/>
    <w:rsid w:val="00177EC4"/>
    <w:rsid w:val="00181533"/>
    <w:rsid w:val="001824C8"/>
    <w:rsid w:val="00182698"/>
    <w:rsid w:val="001864FD"/>
    <w:rsid w:val="001936A7"/>
    <w:rsid w:val="001943DD"/>
    <w:rsid w:val="00196BAC"/>
    <w:rsid w:val="001A009A"/>
    <w:rsid w:val="001A0BF0"/>
    <w:rsid w:val="001A13F6"/>
    <w:rsid w:val="001A2D78"/>
    <w:rsid w:val="001A3E68"/>
    <w:rsid w:val="001A7249"/>
    <w:rsid w:val="001B385A"/>
    <w:rsid w:val="001B3904"/>
    <w:rsid w:val="001B3AEC"/>
    <w:rsid w:val="001B3E8D"/>
    <w:rsid w:val="001B5259"/>
    <w:rsid w:val="001B53B8"/>
    <w:rsid w:val="001B60D4"/>
    <w:rsid w:val="001B6F28"/>
    <w:rsid w:val="001C4F4F"/>
    <w:rsid w:val="001C6BA1"/>
    <w:rsid w:val="001C6F22"/>
    <w:rsid w:val="001D141C"/>
    <w:rsid w:val="001D2201"/>
    <w:rsid w:val="001D2904"/>
    <w:rsid w:val="001D652D"/>
    <w:rsid w:val="001D693F"/>
    <w:rsid w:val="001D6EDF"/>
    <w:rsid w:val="001D6F9E"/>
    <w:rsid w:val="001E38FB"/>
    <w:rsid w:val="001E52C2"/>
    <w:rsid w:val="001E6A27"/>
    <w:rsid w:val="001F0BE1"/>
    <w:rsid w:val="001F101A"/>
    <w:rsid w:val="001F2163"/>
    <w:rsid w:val="001F24EF"/>
    <w:rsid w:val="001F56C7"/>
    <w:rsid w:val="00203039"/>
    <w:rsid w:val="00204B17"/>
    <w:rsid w:val="002069D2"/>
    <w:rsid w:val="00210FD8"/>
    <w:rsid w:val="002111E1"/>
    <w:rsid w:val="00211DA2"/>
    <w:rsid w:val="00213693"/>
    <w:rsid w:val="00215137"/>
    <w:rsid w:val="00215479"/>
    <w:rsid w:val="00215CCB"/>
    <w:rsid w:val="00216CF5"/>
    <w:rsid w:val="0022037B"/>
    <w:rsid w:val="00222C8D"/>
    <w:rsid w:val="002256A8"/>
    <w:rsid w:val="00225C97"/>
    <w:rsid w:val="00230E6B"/>
    <w:rsid w:val="00232B97"/>
    <w:rsid w:val="0023523A"/>
    <w:rsid w:val="0023757C"/>
    <w:rsid w:val="00237C47"/>
    <w:rsid w:val="002402E4"/>
    <w:rsid w:val="002421A0"/>
    <w:rsid w:val="00242B98"/>
    <w:rsid w:val="002445A1"/>
    <w:rsid w:val="00244763"/>
    <w:rsid w:val="00244DF5"/>
    <w:rsid w:val="00246FE6"/>
    <w:rsid w:val="002470E3"/>
    <w:rsid w:val="0025207D"/>
    <w:rsid w:val="002535AE"/>
    <w:rsid w:val="00254DE9"/>
    <w:rsid w:val="002615D3"/>
    <w:rsid w:val="00261856"/>
    <w:rsid w:val="0026268A"/>
    <w:rsid w:val="00262845"/>
    <w:rsid w:val="002672F1"/>
    <w:rsid w:val="00271414"/>
    <w:rsid w:val="00271922"/>
    <w:rsid w:val="00273412"/>
    <w:rsid w:val="0027373F"/>
    <w:rsid w:val="00273855"/>
    <w:rsid w:val="00274ACF"/>
    <w:rsid w:val="00277388"/>
    <w:rsid w:val="00277C8F"/>
    <w:rsid w:val="0028159B"/>
    <w:rsid w:val="00282671"/>
    <w:rsid w:val="00282861"/>
    <w:rsid w:val="002843E2"/>
    <w:rsid w:val="00287BAA"/>
    <w:rsid w:val="0029180D"/>
    <w:rsid w:val="00293489"/>
    <w:rsid w:val="00295B30"/>
    <w:rsid w:val="00296CF5"/>
    <w:rsid w:val="00296F5E"/>
    <w:rsid w:val="002A30F0"/>
    <w:rsid w:val="002A38A4"/>
    <w:rsid w:val="002A47A0"/>
    <w:rsid w:val="002A6DF5"/>
    <w:rsid w:val="002B1E32"/>
    <w:rsid w:val="002B6406"/>
    <w:rsid w:val="002B6809"/>
    <w:rsid w:val="002C4231"/>
    <w:rsid w:val="002C4F32"/>
    <w:rsid w:val="002C7080"/>
    <w:rsid w:val="002D00B0"/>
    <w:rsid w:val="002D2364"/>
    <w:rsid w:val="002D2379"/>
    <w:rsid w:val="002D2E16"/>
    <w:rsid w:val="002D4C82"/>
    <w:rsid w:val="002D6050"/>
    <w:rsid w:val="002D6E3E"/>
    <w:rsid w:val="002E21D6"/>
    <w:rsid w:val="002E45F0"/>
    <w:rsid w:val="002E7778"/>
    <w:rsid w:val="00304B3E"/>
    <w:rsid w:val="00304D97"/>
    <w:rsid w:val="0031180A"/>
    <w:rsid w:val="00313127"/>
    <w:rsid w:val="00313304"/>
    <w:rsid w:val="003155F4"/>
    <w:rsid w:val="003168FC"/>
    <w:rsid w:val="00320309"/>
    <w:rsid w:val="00321D1E"/>
    <w:rsid w:val="0032530E"/>
    <w:rsid w:val="00325A61"/>
    <w:rsid w:val="00326976"/>
    <w:rsid w:val="003279E4"/>
    <w:rsid w:val="00327EFA"/>
    <w:rsid w:val="003311D7"/>
    <w:rsid w:val="00332B8B"/>
    <w:rsid w:val="0033521E"/>
    <w:rsid w:val="003364C7"/>
    <w:rsid w:val="00337CA2"/>
    <w:rsid w:val="003404A4"/>
    <w:rsid w:val="003418E4"/>
    <w:rsid w:val="00346843"/>
    <w:rsid w:val="00347104"/>
    <w:rsid w:val="00350852"/>
    <w:rsid w:val="0035096E"/>
    <w:rsid w:val="0035129C"/>
    <w:rsid w:val="0035219F"/>
    <w:rsid w:val="00355D01"/>
    <w:rsid w:val="00360B81"/>
    <w:rsid w:val="00366283"/>
    <w:rsid w:val="00366664"/>
    <w:rsid w:val="00366EA6"/>
    <w:rsid w:val="0036777E"/>
    <w:rsid w:val="003701FA"/>
    <w:rsid w:val="00372A26"/>
    <w:rsid w:val="00372EC7"/>
    <w:rsid w:val="0037484C"/>
    <w:rsid w:val="003749CD"/>
    <w:rsid w:val="00374A6C"/>
    <w:rsid w:val="00377C45"/>
    <w:rsid w:val="00382718"/>
    <w:rsid w:val="00382B3B"/>
    <w:rsid w:val="00385ED2"/>
    <w:rsid w:val="003866D6"/>
    <w:rsid w:val="0038714A"/>
    <w:rsid w:val="00391F86"/>
    <w:rsid w:val="003923FB"/>
    <w:rsid w:val="003931C7"/>
    <w:rsid w:val="00393F00"/>
    <w:rsid w:val="003945C0"/>
    <w:rsid w:val="003A0A77"/>
    <w:rsid w:val="003A25A7"/>
    <w:rsid w:val="003B52CE"/>
    <w:rsid w:val="003B535C"/>
    <w:rsid w:val="003B5F0C"/>
    <w:rsid w:val="003C2120"/>
    <w:rsid w:val="003C47C0"/>
    <w:rsid w:val="003C4BB1"/>
    <w:rsid w:val="003C63A3"/>
    <w:rsid w:val="003D030E"/>
    <w:rsid w:val="003D040D"/>
    <w:rsid w:val="003D1F49"/>
    <w:rsid w:val="003D2061"/>
    <w:rsid w:val="003D543B"/>
    <w:rsid w:val="003D6AE7"/>
    <w:rsid w:val="003D7E3D"/>
    <w:rsid w:val="003E02C5"/>
    <w:rsid w:val="003E1FE3"/>
    <w:rsid w:val="003E32A7"/>
    <w:rsid w:val="003E74AE"/>
    <w:rsid w:val="003E76BD"/>
    <w:rsid w:val="003F1A33"/>
    <w:rsid w:val="003F3072"/>
    <w:rsid w:val="003F31E6"/>
    <w:rsid w:val="00401057"/>
    <w:rsid w:val="004024E4"/>
    <w:rsid w:val="004061B4"/>
    <w:rsid w:val="00406289"/>
    <w:rsid w:val="00406578"/>
    <w:rsid w:val="004074EF"/>
    <w:rsid w:val="004102C3"/>
    <w:rsid w:val="00412694"/>
    <w:rsid w:val="0041307C"/>
    <w:rsid w:val="00413699"/>
    <w:rsid w:val="004167B4"/>
    <w:rsid w:val="004167BC"/>
    <w:rsid w:val="0042032D"/>
    <w:rsid w:val="004225DC"/>
    <w:rsid w:val="00423A41"/>
    <w:rsid w:val="00425FBA"/>
    <w:rsid w:val="00427C7D"/>
    <w:rsid w:val="00430D7E"/>
    <w:rsid w:val="00432332"/>
    <w:rsid w:val="00432368"/>
    <w:rsid w:val="0043324A"/>
    <w:rsid w:val="00433B04"/>
    <w:rsid w:val="0043784D"/>
    <w:rsid w:val="00440256"/>
    <w:rsid w:val="00440E22"/>
    <w:rsid w:val="0044547D"/>
    <w:rsid w:val="00446F93"/>
    <w:rsid w:val="00451A74"/>
    <w:rsid w:val="004552AB"/>
    <w:rsid w:val="004553FF"/>
    <w:rsid w:val="0045622C"/>
    <w:rsid w:val="00464B51"/>
    <w:rsid w:val="00464FB1"/>
    <w:rsid w:val="00467185"/>
    <w:rsid w:val="00467736"/>
    <w:rsid w:val="0047050C"/>
    <w:rsid w:val="00472A45"/>
    <w:rsid w:val="00473930"/>
    <w:rsid w:val="00474D25"/>
    <w:rsid w:val="004750DB"/>
    <w:rsid w:val="00480F21"/>
    <w:rsid w:val="0048108E"/>
    <w:rsid w:val="004821BA"/>
    <w:rsid w:val="0048537F"/>
    <w:rsid w:val="004874E5"/>
    <w:rsid w:val="00487885"/>
    <w:rsid w:val="00490A65"/>
    <w:rsid w:val="0049116C"/>
    <w:rsid w:val="00491968"/>
    <w:rsid w:val="004930C9"/>
    <w:rsid w:val="00493F62"/>
    <w:rsid w:val="00494832"/>
    <w:rsid w:val="004948D0"/>
    <w:rsid w:val="004957C2"/>
    <w:rsid w:val="00495AF1"/>
    <w:rsid w:val="00497A89"/>
    <w:rsid w:val="004A4CED"/>
    <w:rsid w:val="004A4D74"/>
    <w:rsid w:val="004A6BE6"/>
    <w:rsid w:val="004B047F"/>
    <w:rsid w:val="004B0828"/>
    <w:rsid w:val="004B3304"/>
    <w:rsid w:val="004B3DF1"/>
    <w:rsid w:val="004B4BC0"/>
    <w:rsid w:val="004B5555"/>
    <w:rsid w:val="004C0484"/>
    <w:rsid w:val="004C259B"/>
    <w:rsid w:val="004C777E"/>
    <w:rsid w:val="004D0C54"/>
    <w:rsid w:val="004D16A4"/>
    <w:rsid w:val="004E6682"/>
    <w:rsid w:val="004E6D8A"/>
    <w:rsid w:val="004F0411"/>
    <w:rsid w:val="004F15EF"/>
    <w:rsid w:val="004F22FE"/>
    <w:rsid w:val="004F774D"/>
    <w:rsid w:val="005013B0"/>
    <w:rsid w:val="005015E4"/>
    <w:rsid w:val="005017A6"/>
    <w:rsid w:val="0050291D"/>
    <w:rsid w:val="005064CD"/>
    <w:rsid w:val="00506C00"/>
    <w:rsid w:val="00511016"/>
    <w:rsid w:val="005159B3"/>
    <w:rsid w:val="00522C03"/>
    <w:rsid w:val="00523110"/>
    <w:rsid w:val="005233A5"/>
    <w:rsid w:val="00525EA4"/>
    <w:rsid w:val="005276B7"/>
    <w:rsid w:val="0052791F"/>
    <w:rsid w:val="00532312"/>
    <w:rsid w:val="00532CFF"/>
    <w:rsid w:val="00534D3D"/>
    <w:rsid w:val="00536880"/>
    <w:rsid w:val="00540AD0"/>
    <w:rsid w:val="00543A76"/>
    <w:rsid w:val="00547738"/>
    <w:rsid w:val="00551DA9"/>
    <w:rsid w:val="005522F3"/>
    <w:rsid w:val="005523D1"/>
    <w:rsid w:val="0055532E"/>
    <w:rsid w:val="00555BC3"/>
    <w:rsid w:val="00557C8E"/>
    <w:rsid w:val="00561B2B"/>
    <w:rsid w:val="0056357E"/>
    <w:rsid w:val="00564952"/>
    <w:rsid w:val="0056645F"/>
    <w:rsid w:val="00571AB1"/>
    <w:rsid w:val="00577E1C"/>
    <w:rsid w:val="00580DB1"/>
    <w:rsid w:val="005814AC"/>
    <w:rsid w:val="00584676"/>
    <w:rsid w:val="00584923"/>
    <w:rsid w:val="005854B7"/>
    <w:rsid w:val="00587AB1"/>
    <w:rsid w:val="0059070B"/>
    <w:rsid w:val="0059283C"/>
    <w:rsid w:val="00595082"/>
    <w:rsid w:val="005A0D95"/>
    <w:rsid w:val="005A224B"/>
    <w:rsid w:val="005A5EAE"/>
    <w:rsid w:val="005B1225"/>
    <w:rsid w:val="005B17D8"/>
    <w:rsid w:val="005B1D82"/>
    <w:rsid w:val="005B4077"/>
    <w:rsid w:val="005B65E5"/>
    <w:rsid w:val="005C28B0"/>
    <w:rsid w:val="005C2F01"/>
    <w:rsid w:val="005C5F3C"/>
    <w:rsid w:val="005D01BE"/>
    <w:rsid w:val="005D1177"/>
    <w:rsid w:val="005D1D13"/>
    <w:rsid w:val="005D254A"/>
    <w:rsid w:val="005D5460"/>
    <w:rsid w:val="005E08CD"/>
    <w:rsid w:val="005E37E8"/>
    <w:rsid w:val="005E74C5"/>
    <w:rsid w:val="005E78F3"/>
    <w:rsid w:val="005E79E9"/>
    <w:rsid w:val="005F219D"/>
    <w:rsid w:val="005F2437"/>
    <w:rsid w:val="005F318A"/>
    <w:rsid w:val="005F48CC"/>
    <w:rsid w:val="005F7710"/>
    <w:rsid w:val="006004F7"/>
    <w:rsid w:val="00603261"/>
    <w:rsid w:val="00607597"/>
    <w:rsid w:val="00610F93"/>
    <w:rsid w:val="006127CC"/>
    <w:rsid w:val="00614661"/>
    <w:rsid w:val="006243C6"/>
    <w:rsid w:val="006273BC"/>
    <w:rsid w:val="00632009"/>
    <w:rsid w:val="00632D70"/>
    <w:rsid w:val="00633CF1"/>
    <w:rsid w:val="00635A6C"/>
    <w:rsid w:val="00637091"/>
    <w:rsid w:val="00642839"/>
    <w:rsid w:val="006457F8"/>
    <w:rsid w:val="00645CCB"/>
    <w:rsid w:val="0064700E"/>
    <w:rsid w:val="006472A3"/>
    <w:rsid w:val="006474E0"/>
    <w:rsid w:val="006478CB"/>
    <w:rsid w:val="00650B88"/>
    <w:rsid w:val="00652C58"/>
    <w:rsid w:val="006530EF"/>
    <w:rsid w:val="006554DD"/>
    <w:rsid w:val="0065764E"/>
    <w:rsid w:val="00657667"/>
    <w:rsid w:val="00660951"/>
    <w:rsid w:val="006636E2"/>
    <w:rsid w:val="00664C4E"/>
    <w:rsid w:val="00666273"/>
    <w:rsid w:val="00667FA9"/>
    <w:rsid w:val="0067233D"/>
    <w:rsid w:val="00672B2E"/>
    <w:rsid w:val="006745AE"/>
    <w:rsid w:val="00676870"/>
    <w:rsid w:val="00676AF3"/>
    <w:rsid w:val="00677895"/>
    <w:rsid w:val="00677BEF"/>
    <w:rsid w:val="006814A3"/>
    <w:rsid w:val="00682AFC"/>
    <w:rsid w:val="00683344"/>
    <w:rsid w:val="00684FC9"/>
    <w:rsid w:val="0069072B"/>
    <w:rsid w:val="0069174B"/>
    <w:rsid w:val="00693340"/>
    <w:rsid w:val="006A04C7"/>
    <w:rsid w:val="006A4287"/>
    <w:rsid w:val="006B05E3"/>
    <w:rsid w:val="006B09BC"/>
    <w:rsid w:val="006B6D5D"/>
    <w:rsid w:val="006B7B5A"/>
    <w:rsid w:val="006C0801"/>
    <w:rsid w:val="006C0C2C"/>
    <w:rsid w:val="006C1EAA"/>
    <w:rsid w:val="006C216F"/>
    <w:rsid w:val="006C45D4"/>
    <w:rsid w:val="006C490E"/>
    <w:rsid w:val="006D11BD"/>
    <w:rsid w:val="006D2042"/>
    <w:rsid w:val="006D66E3"/>
    <w:rsid w:val="006D75BA"/>
    <w:rsid w:val="006D7855"/>
    <w:rsid w:val="006E010C"/>
    <w:rsid w:val="006E1003"/>
    <w:rsid w:val="006E16BF"/>
    <w:rsid w:val="006E18F0"/>
    <w:rsid w:val="006E2C89"/>
    <w:rsid w:val="006E38AF"/>
    <w:rsid w:val="006E4F93"/>
    <w:rsid w:val="006F10FE"/>
    <w:rsid w:val="006F1174"/>
    <w:rsid w:val="006F3D7D"/>
    <w:rsid w:val="006F6E8D"/>
    <w:rsid w:val="00700135"/>
    <w:rsid w:val="0070212F"/>
    <w:rsid w:val="007034D5"/>
    <w:rsid w:val="00704C40"/>
    <w:rsid w:val="00705180"/>
    <w:rsid w:val="00710A39"/>
    <w:rsid w:val="00711605"/>
    <w:rsid w:val="00711DF6"/>
    <w:rsid w:val="00716FBC"/>
    <w:rsid w:val="00717090"/>
    <w:rsid w:val="00720739"/>
    <w:rsid w:val="0072253E"/>
    <w:rsid w:val="00723E1F"/>
    <w:rsid w:val="0072443D"/>
    <w:rsid w:val="007247E5"/>
    <w:rsid w:val="007248B7"/>
    <w:rsid w:val="007254CA"/>
    <w:rsid w:val="007267D2"/>
    <w:rsid w:val="00730CF8"/>
    <w:rsid w:val="00731A90"/>
    <w:rsid w:val="00732608"/>
    <w:rsid w:val="00733251"/>
    <w:rsid w:val="00734083"/>
    <w:rsid w:val="00736DCA"/>
    <w:rsid w:val="00745C47"/>
    <w:rsid w:val="00745E49"/>
    <w:rsid w:val="0075003D"/>
    <w:rsid w:val="00751D97"/>
    <w:rsid w:val="00752C55"/>
    <w:rsid w:val="007562D4"/>
    <w:rsid w:val="007573FA"/>
    <w:rsid w:val="00757EF9"/>
    <w:rsid w:val="007612EC"/>
    <w:rsid w:val="00761DBF"/>
    <w:rsid w:val="00761FCF"/>
    <w:rsid w:val="00765503"/>
    <w:rsid w:val="00767B7E"/>
    <w:rsid w:val="007705E9"/>
    <w:rsid w:val="00771D7D"/>
    <w:rsid w:val="007745B7"/>
    <w:rsid w:val="007750C8"/>
    <w:rsid w:val="00776538"/>
    <w:rsid w:val="007802BE"/>
    <w:rsid w:val="00780EEF"/>
    <w:rsid w:val="0078134C"/>
    <w:rsid w:val="00781C47"/>
    <w:rsid w:val="007837C7"/>
    <w:rsid w:val="007841FE"/>
    <w:rsid w:val="00784B44"/>
    <w:rsid w:val="00785465"/>
    <w:rsid w:val="00787656"/>
    <w:rsid w:val="00791767"/>
    <w:rsid w:val="0079268A"/>
    <w:rsid w:val="00794859"/>
    <w:rsid w:val="00797C88"/>
    <w:rsid w:val="007A1013"/>
    <w:rsid w:val="007A235B"/>
    <w:rsid w:val="007A4CA9"/>
    <w:rsid w:val="007A60B4"/>
    <w:rsid w:val="007A7D19"/>
    <w:rsid w:val="007A7EC2"/>
    <w:rsid w:val="007B042D"/>
    <w:rsid w:val="007B05BB"/>
    <w:rsid w:val="007B6E0A"/>
    <w:rsid w:val="007B764C"/>
    <w:rsid w:val="007C0ADA"/>
    <w:rsid w:val="007C118A"/>
    <w:rsid w:val="007C636F"/>
    <w:rsid w:val="007D0FC7"/>
    <w:rsid w:val="007D39EB"/>
    <w:rsid w:val="007E7319"/>
    <w:rsid w:val="007E74E1"/>
    <w:rsid w:val="007E77A8"/>
    <w:rsid w:val="007F1538"/>
    <w:rsid w:val="007F491C"/>
    <w:rsid w:val="00800D07"/>
    <w:rsid w:val="008025F3"/>
    <w:rsid w:val="00803BF8"/>
    <w:rsid w:val="008061C9"/>
    <w:rsid w:val="008066D8"/>
    <w:rsid w:val="008074BB"/>
    <w:rsid w:val="00811A18"/>
    <w:rsid w:val="008121AF"/>
    <w:rsid w:val="00812E18"/>
    <w:rsid w:val="00813711"/>
    <w:rsid w:val="00821E64"/>
    <w:rsid w:val="008253C4"/>
    <w:rsid w:val="008263C2"/>
    <w:rsid w:val="008307DB"/>
    <w:rsid w:val="00831A7E"/>
    <w:rsid w:val="00832039"/>
    <w:rsid w:val="00833398"/>
    <w:rsid w:val="0083379A"/>
    <w:rsid w:val="00835D9D"/>
    <w:rsid w:val="00835FC9"/>
    <w:rsid w:val="008368F8"/>
    <w:rsid w:val="008370E3"/>
    <w:rsid w:val="008418FA"/>
    <w:rsid w:val="00842959"/>
    <w:rsid w:val="00843390"/>
    <w:rsid w:val="0085235A"/>
    <w:rsid w:val="00854138"/>
    <w:rsid w:val="00854410"/>
    <w:rsid w:val="008544DF"/>
    <w:rsid w:val="008602B6"/>
    <w:rsid w:val="00860AAD"/>
    <w:rsid w:val="00861AA6"/>
    <w:rsid w:val="00864DD7"/>
    <w:rsid w:val="008708F3"/>
    <w:rsid w:val="00871354"/>
    <w:rsid w:val="00873611"/>
    <w:rsid w:val="00873C8F"/>
    <w:rsid w:val="008745FE"/>
    <w:rsid w:val="00874FB3"/>
    <w:rsid w:val="00877F7C"/>
    <w:rsid w:val="00880BE3"/>
    <w:rsid w:val="00881359"/>
    <w:rsid w:val="00882093"/>
    <w:rsid w:val="00882588"/>
    <w:rsid w:val="00884ADE"/>
    <w:rsid w:val="008856CF"/>
    <w:rsid w:val="00885864"/>
    <w:rsid w:val="00890A1D"/>
    <w:rsid w:val="00892523"/>
    <w:rsid w:val="0089383B"/>
    <w:rsid w:val="0089534B"/>
    <w:rsid w:val="0089616F"/>
    <w:rsid w:val="008A0232"/>
    <w:rsid w:val="008B0470"/>
    <w:rsid w:val="008B05E7"/>
    <w:rsid w:val="008B06C5"/>
    <w:rsid w:val="008B164E"/>
    <w:rsid w:val="008B4F06"/>
    <w:rsid w:val="008B502A"/>
    <w:rsid w:val="008B57D8"/>
    <w:rsid w:val="008B65CF"/>
    <w:rsid w:val="008B7A65"/>
    <w:rsid w:val="008C1219"/>
    <w:rsid w:val="008C123E"/>
    <w:rsid w:val="008C137D"/>
    <w:rsid w:val="008C22DD"/>
    <w:rsid w:val="008C3A54"/>
    <w:rsid w:val="008C3DFD"/>
    <w:rsid w:val="008C3ED0"/>
    <w:rsid w:val="008C482C"/>
    <w:rsid w:val="008C5DA5"/>
    <w:rsid w:val="008C5E94"/>
    <w:rsid w:val="008D196A"/>
    <w:rsid w:val="008D27BC"/>
    <w:rsid w:val="008E3EF2"/>
    <w:rsid w:val="008E51C9"/>
    <w:rsid w:val="008E5BEB"/>
    <w:rsid w:val="008E6306"/>
    <w:rsid w:val="008F6355"/>
    <w:rsid w:val="008F68F7"/>
    <w:rsid w:val="009005A6"/>
    <w:rsid w:val="009006CF"/>
    <w:rsid w:val="00900C71"/>
    <w:rsid w:val="00902A1C"/>
    <w:rsid w:val="009032C1"/>
    <w:rsid w:val="009037B6"/>
    <w:rsid w:val="00906CBE"/>
    <w:rsid w:val="00910024"/>
    <w:rsid w:val="00910384"/>
    <w:rsid w:val="0091643D"/>
    <w:rsid w:val="00916E33"/>
    <w:rsid w:val="0092093B"/>
    <w:rsid w:val="00930669"/>
    <w:rsid w:val="00932C33"/>
    <w:rsid w:val="00937C63"/>
    <w:rsid w:val="009427A1"/>
    <w:rsid w:val="00942FFE"/>
    <w:rsid w:val="009551E0"/>
    <w:rsid w:val="0095654E"/>
    <w:rsid w:val="00956F3C"/>
    <w:rsid w:val="00970678"/>
    <w:rsid w:val="00971C34"/>
    <w:rsid w:val="00972488"/>
    <w:rsid w:val="009726D0"/>
    <w:rsid w:val="0097421D"/>
    <w:rsid w:val="00976117"/>
    <w:rsid w:val="00976A23"/>
    <w:rsid w:val="009800BC"/>
    <w:rsid w:val="009816F6"/>
    <w:rsid w:val="009843BA"/>
    <w:rsid w:val="009900F0"/>
    <w:rsid w:val="00990B9B"/>
    <w:rsid w:val="00991370"/>
    <w:rsid w:val="00991769"/>
    <w:rsid w:val="00991ACA"/>
    <w:rsid w:val="009928B5"/>
    <w:rsid w:val="00993236"/>
    <w:rsid w:val="00993D8C"/>
    <w:rsid w:val="00994E3D"/>
    <w:rsid w:val="009A297E"/>
    <w:rsid w:val="009A6127"/>
    <w:rsid w:val="009B0CC1"/>
    <w:rsid w:val="009B69F0"/>
    <w:rsid w:val="009B713C"/>
    <w:rsid w:val="009C0F18"/>
    <w:rsid w:val="009C12C6"/>
    <w:rsid w:val="009C2555"/>
    <w:rsid w:val="009C705A"/>
    <w:rsid w:val="009C7778"/>
    <w:rsid w:val="009C7EE6"/>
    <w:rsid w:val="009D06AE"/>
    <w:rsid w:val="009D09E2"/>
    <w:rsid w:val="009D1E42"/>
    <w:rsid w:val="009D282B"/>
    <w:rsid w:val="009D7148"/>
    <w:rsid w:val="009E02FD"/>
    <w:rsid w:val="009E4C74"/>
    <w:rsid w:val="009E56CC"/>
    <w:rsid w:val="009E59F1"/>
    <w:rsid w:val="009E62B6"/>
    <w:rsid w:val="009F0A1A"/>
    <w:rsid w:val="009F26CA"/>
    <w:rsid w:val="009F35DA"/>
    <w:rsid w:val="009F4034"/>
    <w:rsid w:val="009F43D0"/>
    <w:rsid w:val="00A000F0"/>
    <w:rsid w:val="00A00568"/>
    <w:rsid w:val="00A00884"/>
    <w:rsid w:val="00A00EEB"/>
    <w:rsid w:val="00A020CE"/>
    <w:rsid w:val="00A02F62"/>
    <w:rsid w:val="00A02FA3"/>
    <w:rsid w:val="00A030C3"/>
    <w:rsid w:val="00A04803"/>
    <w:rsid w:val="00A10147"/>
    <w:rsid w:val="00A10EDE"/>
    <w:rsid w:val="00A11331"/>
    <w:rsid w:val="00A12348"/>
    <w:rsid w:val="00A131E6"/>
    <w:rsid w:val="00A13843"/>
    <w:rsid w:val="00A146A5"/>
    <w:rsid w:val="00A17466"/>
    <w:rsid w:val="00A204B3"/>
    <w:rsid w:val="00A20576"/>
    <w:rsid w:val="00A21593"/>
    <w:rsid w:val="00A221F7"/>
    <w:rsid w:val="00A22C21"/>
    <w:rsid w:val="00A2604E"/>
    <w:rsid w:val="00A31CCE"/>
    <w:rsid w:val="00A33C95"/>
    <w:rsid w:val="00A34FF3"/>
    <w:rsid w:val="00A35351"/>
    <w:rsid w:val="00A361C7"/>
    <w:rsid w:val="00A36723"/>
    <w:rsid w:val="00A43140"/>
    <w:rsid w:val="00A44E88"/>
    <w:rsid w:val="00A46DF5"/>
    <w:rsid w:val="00A5149A"/>
    <w:rsid w:val="00A53650"/>
    <w:rsid w:val="00A53E51"/>
    <w:rsid w:val="00A550B6"/>
    <w:rsid w:val="00A57183"/>
    <w:rsid w:val="00A60693"/>
    <w:rsid w:val="00A6196D"/>
    <w:rsid w:val="00A619C0"/>
    <w:rsid w:val="00A61ADF"/>
    <w:rsid w:val="00A62012"/>
    <w:rsid w:val="00A624CB"/>
    <w:rsid w:val="00A62AC0"/>
    <w:rsid w:val="00A75118"/>
    <w:rsid w:val="00A76BD2"/>
    <w:rsid w:val="00A8267D"/>
    <w:rsid w:val="00A82E14"/>
    <w:rsid w:val="00A8688E"/>
    <w:rsid w:val="00A8722B"/>
    <w:rsid w:val="00A901E9"/>
    <w:rsid w:val="00A917B6"/>
    <w:rsid w:val="00A91831"/>
    <w:rsid w:val="00A91B3B"/>
    <w:rsid w:val="00A93B4F"/>
    <w:rsid w:val="00A94F7A"/>
    <w:rsid w:val="00A95D3B"/>
    <w:rsid w:val="00A97341"/>
    <w:rsid w:val="00AA0081"/>
    <w:rsid w:val="00AA4E4D"/>
    <w:rsid w:val="00AA5E38"/>
    <w:rsid w:val="00AB09ED"/>
    <w:rsid w:val="00AB3DC0"/>
    <w:rsid w:val="00AB4CBB"/>
    <w:rsid w:val="00AC125E"/>
    <w:rsid w:val="00AC45DF"/>
    <w:rsid w:val="00AC474D"/>
    <w:rsid w:val="00AC4DFD"/>
    <w:rsid w:val="00AC4F47"/>
    <w:rsid w:val="00AC5663"/>
    <w:rsid w:val="00AC58FD"/>
    <w:rsid w:val="00AC5B03"/>
    <w:rsid w:val="00AD0F6D"/>
    <w:rsid w:val="00AD1166"/>
    <w:rsid w:val="00AD19D2"/>
    <w:rsid w:val="00AD1A96"/>
    <w:rsid w:val="00AD3042"/>
    <w:rsid w:val="00AD793A"/>
    <w:rsid w:val="00AE0120"/>
    <w:rsid w:val="00AE3038"/>
    <w:rsid w:val="00AE3D4A"/>
    <w:rsid w:val="00AE5956"/>
    <w:rsid w:val="00AE619F"/>
    <w:rsid w:val="00AE7A88"/>
    <w:rsid w:val="00AF060F"/>
    <w:rsid w:val="00AF13D2"/>
    <w:rsid w:val="00AF2A56"/>
    <w:rsid w:val="00AF51D1"/>
    <w:rsid w:val="00AF6200"/>
    <w:rsid w:val="00AF63AB"/>
    <w:rsid w:val="00B01784"/>
    <w:rsid w:val="00B0388B"/>
    <w:rsid w:val="00B03BEE"/>
    <w:rsid w:val="00B0517E"/>
    <w:rsid w:val="00B11314"/>
    <w:rsid w:val="00B113E3"/>
    <w:rsid w:val="00B1156A"/>
    <w:rsid w:val="00B138E3"/>
    <w:rsid w:val="00B13FB5"/>
    <w:rsid w:val="00B178FA"/>
    <w:rsid w:val="00B17D8E"/>
    <w:rsid w:val="00B207C3"/>
    <w:rsid w:val="00B21443"/>
    <w:rsid w:val="00B22468"/>
    <w:rsid w:val="00B23267"/>
    <w:rsid w:val="00B23906"/>
    <w:rsid w:val="00B23F96"/>
    <w:rsid w:val="00B25058"/>
    <w:rsid w:val="00B257BF"/>
    <w:rsid w:val="00B27149"/>
    <w:rsid w:val="00B34BB7"/>
    <w:rsid w:val="00B35B4D"/>
    <w:rsid w:val="00B362F0"/>
    <w:rsid w:val="00B36652"/>
    <w:rsid w:val="00B425AB"/>
    <w:rsid w:val="00B45279"/>
    <w:rsid w:val="00B47090"/>
    <w:rsid w:val="00B532D1"/>
    <w:rsid w:val="00B57925"/>
    <w:rsid w:val="00B601BB"/>
    <w:rsid w:val="00B602A5"/>
    <w:rsid w:val="00B61E3E"/>
    <w:rsid w:val="00B6332D"/>
    <w:rsid w:val="00B6432A"/>
    <w:rsid w:val="00B67A79"/>
    <w:rsid w:val="00B706AC"/>
    <w:rsid w:val="00B72335"/>
    <w:rsid w:val="00B72D62"/>
    <w:rsid w:val="00B76611"/>
    <w:rsid w:val="00B767AF"/>
    <w:rsid w:val="00B80511"/>
    <w:rsid w:val="00B80798"/>
    <w:rsid w:val="00B80876"/>
    <w:rsid w:val="00B82C3C"/>
    <w:rsid w:val="00B82DE6"/>
    <w:rsid w:val="00B831CD"/>
    <w:rsid w:val="00B846F6"/>
    <w:rsid w:val="00B85329"/>
    <w:rsid w:val="00B91B73"/>
    <w:rsid w:val="00B91B9D"/>
    <w:rsid w:val="00BA0219"/>
    <w:rsid w:val="00BA1B71"/>
    <w:rsid w:val="00BA3176"/>
    <w:rsid w:val="00BA5E20"/>
    <w:rsid w:val="00BA607C"/>
    <w:rsid w:val="00BA6734"/>
    <w:rsid w:val="00BB036A"/>
    <w:rsid w:val="00BB3E2A"/>
    <w:rsid w:val="00BB48A7"/>
    <w:rsid w:val="00BB7121"/>
    <w:rsid w:val="00BC0479"/>
    <w:rsid w:val="00BC1651"/>
    <w:rsid w:val="00BC16F5"/>
    <w:rsid w:val="00BC18FF"/>
    <w:rsid w:val="00BC287D"/>
    <w:rsid w:val="00BC2A38"/>
    <w:rsid w:val="00BC46EB"/>
    <w:rsid w:val="00BC57FE"/>
    <w:rsid w:val="00BC643B"/>
    <w:rsid w:val="00BD2A41"/>
    <w:rsid w:val="00BD32E5"/>
    <w:rsid w:val="00BD36C4"/>
    <w:rsid w:val="00BD4BC6"/>
    <w:rsid w:val="00BD6E1A"/>
    <w:rsid w:val="00BD79DE"/>
    <w:rsid w:val="00BE1095"/>
    <w:rsid w:val="00BE150A"/>
    <w:rsid w:val="00BE6767"/>
    <w:rsid w:val="00BE686C"/>
    <w:rsid w:val="00BE78EC"/>
    <w:rsid w:val="00BF46EE"/>
    <w:rsid w:val="00BF646E"/>
    <w:rsid w:val="00BF7E34"/>
    <w:rsid w:val="00C0613C"/>
    <w:rsid w:val="00C10D05"/>
    <w:rsid w:val="00C13970"/>
    <w:rsid w:val="00C13DF9"/>
    <w:rsid w:val="00C14FBA"/>
    <w:rsid w:val="00C15484"/>
    <w:rsid w:val="00C15EA1"/>
    <w:rsid w:val="00C174DB"/>
    <w:rsid w:val="00C17A8E"/>
    <w:rsid w:val="00C2378F"/>
    <w:rsid w:val="00C24F70"/>
    <w:rsid w:val="00C25615"/>
    <w:rsid w:val="00C25DC2"/>
    <w:rsid w:val="00C26A06"/>
    <w:rsid w:val="00C33479"/>
    <w:rsid w:val="00C36D70"/>
    <w:rsid w:val="00C37DE9"/>
    <w:rsid w:val="00C40ED2"/>
    <w:rsid w:val="00C41F10"/>
    <w:rsid w:val="00C432DD"/>
    <w:rsid w:val="00C4423A"/>
    <w:rsid w:val="00C501FE"/>
    <w:rsid w:val="00C56957"/>
    <w:rsid w:val="00C5784B"/>
    <w:rsid w:val="00C639FF"/>
    <w:rsid w:val="00C63CB4"/>
    <w:rsid w:val="00C6442A"/>
    <w:rsid w:val="00C64D15"/>
    <w:rsid w:val="00C66088"/>
    <w:rsid w:val="00C67C4C"/>
    <w:rsid w:val="00C74B5D"/>
    <w:rsid w:val="00C74F74"/>
    <w:rsid w:val="00C7554B"/>
    <w:rsid w:val="00C80951"/>
    <w:rsid w:val="00C8205E"/>
    <w:rsid w:val="00C8223A"/>
    <w:rsid w:val="00C82EB5"/>
    <w:rsid w:val="00C87966"/>
    <w:rsid w:val="00C902DE"/>
    <w:rsid w:val="00C916AE"/>
    <w:rsid w:val="00C93AAA"/>
    <w:rsid w:val="00C9462E"/>
    <w:rsid w:val="00C95FCD"/>
    <w:rsid w:val="00C97188"/>
    <w:rsid w:val="00CA0639"/>
    <w:rsid w:val="00CA11D0"/>
    <w:rsid w:val="00CA2E02"/>
    <w:rsid w:val="00CA583A"/>
    <w:rsid w:val="00CA5EC6"/>
    <w:rsid w:val="00CB529B"/>
    <w:rsid w:val="00CB5744"/>
    <w:rsid w:val="00CB7022"/>
    <w:rsid w:val="00CB7BC5"/>
    <w:rsid w:val="00CC141E"/>
    <w:rsid w:val="00CC586D"/>
    <w:rsid w:val="00CC7DBC"/>
    <w:rsid w:val="00CD09EE"/>
    <w:rsid w:val="00CD1BA3"/>
    <w:rsid w:val="00CD1D23"/>
    <w:rsid w:val="00CD3612"/>
    <w:rsid w:val="00CD3E69"/>
    <w:rsid w:val="00CD4224"/>
    <w:rsid w:val="00CD6B7D"/>
    <w:rsid w:val="00CD7D29"/>
    <w:rsid w:val="00CE0847"/>
    <w:rsid w:val="00CE0B6C"/>
    <w:rsid w:val="00CE11D0"/>
    <w:rsid w:val="00CE4708"/>
    <w:rsid w:val="00CE4C24"/>
    <w:rsid w:val="00CE4C50"/>
    <w:rsid w:val="00CE6858"/>
    <w:rsid w:val="00CE7450"/>
    <w:rsid w:val="00CE770C"/>
    <w:rsid w:val="00CF50BE"/>
    <w:rsid w:val="00CF538C"/>
    <w:rsid w:val="00CF7625"/>
    <w:rsid w:val="00D0506A"/>
    <w:rsid w:val="00D10FA1"/>
    <w:rsid w:val="00D1289C"/>
    <w:rsid w:val="00D142D3"/>
    <w:rsid w:val="00D1666F"/>
    <w:rsid w:val="00D2071A"/>
    <w:rsid w:val="00D22F44"/>
    <w:rsid w:val="00D25177"/>
    <w:rsid w:val="00D30F73"/>
    <w:rsid w:val="00D30F97"/>
    <w:rsid w:val="00D313A0"/>
    <w:rsid w:val="00D36FE0"/>
    <w:rsid w:val="00D40799"/>
    <w:rsid w:val="00D41A06"/>
    <w:rsid w:val="00D42ABF"/>
    <w:rsid w:val="00D42F40"/>
    <w:rsid w:val="00D44395"/>
    <w:rsid w:val="00D45B67"/>
    <w:rsid w:val="00D5034A"/>
    <w:rsid w:val="00D51F49"/>
    <w:rsid w:val="00D55EE8"/>
    <w:rsid w:val="00D562CB"/>
    <w:rsid w:val="00D569D1"/>
    <w:rsid w:val="00D56AD8"/>
    <w:rsid w:val="00D56C05"/>
    <w:rsid w:val="00D5785A"/>
    <w:rsid w:val="00D63293"/>
    <w:rsid w:val="00D6375F"/>
    <w:rsid w:val="00D64C48"/>
    <w:rsid w:val="00D6680B"/>
    <w:rsid w:val="00D72F4F"/>
    <w:rsid w:val="00D731C4"/>
    <w:rsid w:val="00D74EB4"/>
    <w:rsid w:val="00D801FC"/>
    <w:rsid w:val="00D833C9"/>
    <w:rsid w:val="00D85BE0"/>
    <w:rsid w:val="00D87FD7"/>
    <w:rsid w:val="00D91466"/>
    <w:rsid w:val="00D915ED"/>
    <w:rsid w:val="00D91DE4"/>
    <w:rsid w:val="00D92300"/>
    <w:rsid w:val="00D94AFC"/>
    <w:rsid w:val="00D950E6"/>
    <w:rsid w:val="00D97047"/>
    <w:rsid w:val="00DA3619"/>
    <w:rsid w:val="00DB0B88"/>
    <w:rsid w:val="00DB1652"/>
    <w:rsid w:val="00DB2933"/>
    <w:rsid w:val="00DB5652"/>
    <w:rsid w:val="00DB5773"/>
    <w:rsid w:val="00DB58A6"/>
    <w:rsid w:val="00DB6B99"/>
    <w:rsid w:val="00DC001A"/>
    <w:rsid w:val="00DD22BB"/>
    <w:rsid w:val="00DD4F44"/>
    <w:rsid w:val="00DD686C"/>
    <w:rsid w:val="00DD7E0C"/>
    <w:rsid w:val="00DE2AC3"/>
    <w:rsid w:val="00DE2E40"/>
    <w:rsid w:val="00DE3598"/>
    <w:rsid w:val="00DE3C31"/>
    <w:rsid w:val="00DE3FBD"/>
    <w:rsid w:val="00DE43F5"/>
    <w:rsid w:val="00DE65FB"/>
    <w:rsid w:val="00DF234F"/>
    <w:rsid w:val="00DF420A"/>
    <w:rsid w:val="00E02472"/>
    <w:rsid w:val="00E041F0"/>
    <w:rsid w:val="00E128D8"/>
    <w:rsid w:val="00E130C3"/>
    <w:rsid w:val="00E17EDF"/>
    <w:rsid w:val="00E2082D"/>
    <w:rsid w:val="00E221E2"/>
    <w:rsid w:val="00E2330D"/>
    <w:rsid w:val="00E24303"/>
    <w:rsid w:val="00E27A16"/>
    <w:rsid w:val="00E320C4"/>
    <w:rsid w:val="00E40F7B"/>
    <w:rsid w:val="00E43E48"/>
    <w:rsid w:val="00E45456"/>
    <w:rsid w:val="00E468D3"/>
    <w:rsid w:val="00E46D60"/>
    <w:rsid w:val="00E47C33"/>
    <w:rsid w:val="00E47F58"/>
    <w:rsid w:val="00E54BFC"/>
    <w:rsid w:val="00E55248"/>
    <w:rsid w:val="00E56D9D"/>
    <w:rsid w:val="00E60B64"/>
    <w:rsid w:val="00E60DD2"/>
    <w:rsid w:val="00E60E2E"/>
    <w:rsid w:val="00E67287"/>
    <w:rsid w:val="00E71A2D"/>
    <w:rsid w:val="00E72FB3"/>
    <w:rsid w:val="00E74A73"/>
    <w:rsid w:val="00E74E0D"/>
    <w:rsid w:val="00E823C1"/>
    <w:rsid w:val="00E82DB7"/>
    <w:rsid w:val="00E83C85"/>
    <w:rsid w:val="00E8579C"/>
    <w:rsid w:val="00E865FE"/>
    <w:rsid w:val="00E91408"/>
    <w:rsid w:val="00E91759"/>
    <w:rsid w:val="00E9654B"/>
    <w:rsid w:val="00EA13E4"/>
    <w:rsid w:val="00EA18DB"/>
    <w:rsid w:val="00EA2FBA"/>
    <w:rsid w:val="00EA4DC5"/>
    <w:rsid w:val="00EA5664"/>
    <w:rsid w:val="00EA66DF"/>
    <w:rsid w:val="00EA688E"/>
    <w:rsid w:val="00EA6ADC"/>
    <w:rsid w:val="00EB1175"/>
    <w:rsid w:val="00EB13A7"/>
    <w:rsid w:val="00EB14DF"/>
    <w:rsid w:val="00EB1A4D"/>
    <w:rsid w:val="00EB3A07"/>
    <w:rsid w:val="00EB3FEE"/>
    <w:rsid w:val="00EB5539"/>
    <w:rsid w:val="00EC3F31"/>
    <w:rsid w:val="00EC52E7"/>
    <w:rsid w:val="00EC7E0E"/>
    <w:rsid w:val="00ED3698"/>
    <w:rsid w:val="00ED4794"/>
    <w:rsid w:val="00ED7B59"/>
    <w:rsid w:val="00EE265C"/>
    <w:rsid w:val="00EE5C63"/>
    <w:rsid w:val="00EF416F"/>
    <w:rsid w:val="00F00449"/>
    <w:rsid w:val="00F0095C"/>
    <w:rsid w:val="00F01129"/>
    <w:rsid w:val="00F01CCA"/>
    <w:rsid w:val="00F01F2C"/>
    <w:rsid w:val="00F02104"/>
    <w:rsid w:val="00F02D8D"/>
    <w:rsid w:val="00F04EF6"/>
    <w:rsid w:val="00F06C17"/>
    <w:rsid w:val="00F121B2"/>
    <w:rsid w:val="00F138B4"/>
    <w:rsid w:val="00F13C82"/>
    <w:rsid w:val="00F1632B"/>
    <w:rsid w:val="00F202CA"/>
    <w:rsid w:val="00F223A7"/>
    <w:rsid w:val="00F26A64"/>
    <w:rsid w:val="00F334CB"/>
    <w:rsid w:val="00F3495A"/>
    <w:rsid w:val="00F34E2C"/>
    <w:rsid w:val="00F370BC"/>
    <w:rsid w:val="00F37143"/>
    <w:rsid w:val="00F41E50"/>
    <w:rsid w:val="00F4258B"/>
    <w:rsid w:val="00F50562"/>
    <w:rsid w:val="00F50A92"/>
    <w:rsid w:val="00F50B0B"/>
    <w:rsid w:val="00F50D01"/>
    <w:rsid w:val="00F55F0D"/>
    <w:rsid w:val="00F56BC1"/>
    <w:rsid w:val="00F618C4"/>
    <w:rsid w:val="00F65774"/>
    <w:rsid w:val="00F65A34"/>
    <w:rsid w:val="00F65F4C"/>
    <w:rsid w:val="00F71A60"/>
    <w:rsid w:val="00F725DA"/>
    <w:rsid w:val="00F7536E"/>
    <w:rsid w:val="00F75652"/>
    <w:rsid w:val="00F76137"/>
    <w:rsid w:val="00F7782D"/>
    <w:rsid w:val="00F8168B"/>
    <w:rsid w:val="00F81CF2"/>
    <w:rsid w:val="00F81F93"/>
    <w:rsid w:val="00F857D1"/>
    <w:rsid w:val="00F86FD9"/>
    <w:rsid w:val="00F91DCC"/>
    <w:rsid w:val="00F9323F"/>
    <w:rsid w:val="00F943FE"/>
    <w:rsid w:val="00F95814"/>
    <w:rsid w:val="00F95CE9"/>
    <w:rsid w:val="00F97100"/>
    <w:rsid w:val="00FA01D9"/>
    <w:rsid w:val="00FB0401"/>
    <w:rsid w:val="00FC1927"/>
    <w:rsid w:val="00FC1DFB"/>
    <w:rsid w:val="00FC1EF2"/>
    <w:rsid w:val="00FC3343"/>
    <w:rsid w:val="00FC33BA"/>
    <w:rsid w:val="00FC35AB"/>
    <w:rsid w:val="00FC6134"/>
    <w:rsid w:val="00FC654D"/>
    <w:rsid w:val="00FC77CF"/>
    <w:rsid w:val="00FD0555"/>
    <w:rsid w:val="00FD06F5"/>
    <w:rsid w:val="00FD5961"/>
    <w:rsid w:val="00FE3EFA"/>
    <w:rsid w:val="00FE5C56"/>
    <w:rsid w:val="00FE5E20"/>
    <w:rsid w:val="00FE7AAC"/>
    <w:rsid w:val="00FE7B06"/>
    <w:rsid w:val="00FE7E98"/>
    <w:rsid w:val="00FF06BC"/>
    <w:rsid w:val="00FF20AC"/>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F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3" w:qFormat="1"/>
    <w:lsdException w:name="heading 3" w:qFormat="1"/>
    <w:lsdException w:name="heading 4" w:qFormat="1"/>
    <w:lsdException w:name="heading 6" w:semiHidden="1"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3" w:unhideWhenUsed="1" w:qFormat="1"/>
    <w:lsdException w:name="List Number" w:uiPriority="5"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89"/>
    <w:pPr>
      <w:spacing w:before="120" w:after="120" w:line="320" w:lineRule="atLeast"/>
    </w:pPr>
    <w:rPr>
      <w:rFonts w:asciiTheme="minorHAnsi" w:hAnsiTheme="minorHAnsi"/>
      <w:color w:val="3F3F3F" w:themeColor="text1"/>
      <w:sz w:val="22"/>
      <w:szCs w:val="24"/>
    </w:rPr>
  </w:style>
  <w:style w:type="paragraph" w:styleId="Heading1">
    <w:name w:val="heading 1"/>
    <w:aliases w:val="Small H1"/>
    <w:basedOn w:val="Normal"/>
    <w:next w:val="Normal"/>
    <w:uiPriority w:val="2"/>
    <w:qFormat/>
    <w:rsid w:val="00595082"/>
    <w:pPr>
      <w:keepNext/>
      <w:keepLines/>
      <w:pBdr>
        <w:bottom w:val="single" w:sz="24" w:space="31" w:color="20B9A3" w:themeColor="background2"/>
      </w:pBdr>
      <w:spacing w:before="0" w:after="360" w:line="240" w:lineRule="auto"/>
      <w:contextualSpacing/>
      <w:outlineLvl w:val="0"/>
    </w:pPr>
    <w:rPr>
      <w:rFonts w:asciiTheme="majorHAnsi" w:hAnsiTheme="majorHAnsi"/>
      <w:b/>
      <w:color w:val="auto"/>
      <w:sz w:val="80"/>
      <w:szCs w:val="44"/>
    </w:rPr>
  </w:style>
  <w:style w:type="paragraph" w:styleId="Heading2">
    <w:name w:val="heading 2"/>
    <w:basedOn w:val="Normal"/>
    <w:next w:val="Normal"/>
    <w:link w:val="Heading2Char"/>
    <w:uiPriority w:val="3"/>
    <w:qFormat/>
    <w:rsid w:val="002535AE"/>
    <w:pPr>
      <w:keepNext/>
      <w:keepLines/>
      <w:spacing w:before="240"/>
      <w:contextualSpacing/>
      <w:outlineLvl w:val="1"/>
    </w:pPr>
    <w:rPr>
      <w:rFonts w:asciiTheme="majorHAnsi" w:hAnsiTheme="majorHAnsi"/>
      <w:b/>
      <w:color w:val="117479" w:themeColor="accent2"/>
      <w:sz w:val="24"/>
      <w:szCs w:val="44"/>
    </w:rPr>
  </w:style>
  <w:style w:type="paragraph" w:styleId="Heading3">
    <w:name w:val="heading 3"/>
    <w:basedOn w:val="Normal"/>
    <w:next w:val="Normal"/>
    <w:uiPriority w:val="3"/>
    <w:qFormat/>
    <w:rsid w:val="002535AE"/>
    <w:pPr>
      <w:keepNext/>
      <w:keepLines/>
      <w:spacing w:before="240"/>
      <w:contextualSpacing/>
      <w:outlineLvl w:val="2"/>
    </w:pPr>
    <w:rPr>
      <w:rFonts w:asciiTheme="majorHAnsi" w:hAnsiTheme="majorHAnsi"/>
      <w:b/>
      <w:color w:val="auto"/>
      <w:sz w:val="24"/>
      <w:szCs w:val="28"/>
    </w:rPr>
  </w:style>
  <w:style w:type="paragraph" w:styleId="Heading4">
    <w:name w:val="heading 4"/>
    <w:basedOn w:val="Normal"/>
    <w:next w:val="Normal"/>
    <w:uiPriority w:val="3"/>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ind w:left="357" w:hanging="357"/>
    </w:pPr>
  </w:style>
  <w:style w:type="paragraph" w:styleId="Footer">
    <w:name w:val="footer"/>
    <w:basedOn w:val="Header"/>
    <w:uiPriority w:val="99"/>
    <w:rsid w:val="00A00EEB"/>
    <w:pPr>
      <w:pBdr>
        <w:bottom w:val="single" w:sz="24" w:space="12" w:color="20B9A3" w:themeColor="background2"/>
      </w:pBdr>
      <w:tabs>
        <w:tab w:val="clear" w:pos="10319"/>
        <w:tab w:val="right" w:pos="9940"/>
      </w:tabs>
      <w:ind w:right="-1661"/>
    </w:pPr>
  </w:style>
  <w:style w:type="character" w:styleId="Hyperlink">
    <w:name w:val="Hyperlink"/>
    <w:basedOn w:val="DefaultParagraphFont"/>
    <w:uiPriority w:val="99"/>
    <w:rsid w:val="00B23F96"/>
    <w:rPr>
      <w:color w:val="117479" w:themeColor="accent2"/>
      <w:u w:val="single"/>
    </w:rPr>
  </w:style>
  <w:style w:type="character" w:customStyle="1" w:styleId="Heading5Char">
    <w:name w:val="Heading 5 Char"/>
    <w:basedOn w:val="DefaultParagraphFont"/>
    <w:link w:val="Heading5"/>
    <w:uiPriority w:val="99"/>
    <w:semiHidden/>
    <w:rsid w:val="00160B66"/>
    <w:rPr>
      <w:rFonts w:ascii="Arial" w:hAnsi="Arial"/>
      <w:b/>
      <w:color w:val="3F3F3F" w:themeColor="text1"/>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uiPriority w:val="34"/>
    <w:qFormat/>
    <w:rsid w:val="00010D84"/>
    <w:pPr>
      <w:ind w:left="720"/>
    </w:pPr>
  </w:style>
  <w:style w:type="character" w:customStyle="1" w:styleId="Heading2Char">
    <w:name w:val="Heading 2 Char"/>
    <w:basedOn w:val="DefaultParagraphFont"/>
    <w:link w:val="Heading2"/>
    <w:uiPriority w:val="3"/>
    <w:rsid w:val="009843BA"/>
    <w:rPr>
      <w:rFonts w:asciiTheme="majorHAnsi" w:hAnsiTheme="majorHAnsi"/>
      <w:b/>
      <w:color w:val="117479" w:themeColor="accent2"/>
      <w:sz w:val="24"/>
      <w:szCs w:val="44"/>
    </w:rPr>
  </w:style>
  <w:style w:type="paragraph" w:styleId="TOC1">
    <w:name w:val="toc 1"/>
    <w:basedOn w:val="Normal"/>
    <w:next w:val="Normal"/>
    <w:autoRedefine/>
    <w:uiPriority w:val="39"/>
    <w:rsid w:val="00087D4E"/>
    <w:pPr>
      <w:pBdr>
        <w:bottom w:val="single" w:sz="24" w:space="6" w:color="20B9A3" w:themeColor="background2"/>
        <w:between w:val="single" w:sz="24" w:space="1" w:color="20B9A3" w:themeColor="background2"/>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semiHidden/>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3F3F3F" w:themeColor="text1"/>
      <w:szCs w:val="22"/>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142E3B" w:themeColor="accent6"/>
          <w:bottom w:val="single" w:sz="4" w:space="0" w:color="142E3B" w:themeColor="accent6"/>
        </w:tcBorders>
        <w:shd w:val="clear" w:color="auto" w:fill="142E3B"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4"/>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E43E48"/>
    <w:pPr>
      <w:spacing w:after="80" w:line="240" w:lineRule="auto"/>
    </w:pPr>
    <w:rPr>
      <w:color w:val="FFFFFF" w:themeColor="background1"/>
    </w:rPr>
  </w:style>
  <w:style w:type="paragraph" w:customStyle="1" w:styleId="FigureHeading">
    <w:name w:val="Figure Heading"/>
    <w:basedOn w:val="Normal"/>
    <w:next w:val="Normal"/>
    <w:uiPriority w:val="48"/>
    <w:qFormat/>
    <w:rsid w:val="004061B4"/>
    <w:pPr>
      <w:keepNext/>
      <w:keepLines/>
      <w:numPr>
        <w:numId w:val="3"/>
      </w:numPr>
      <w:tabs>
        <w:tab w:val="left" w:pos="907"/>
      </w:tabs>
      <w:spacing w:before="240"/>
      <w:contextualSpacing/>
    </w:pPr>
    <w:rPr>
      <w:b/>
      <w:color w:val="auto"/>
      <w:sz w:val="24"/>
    </w:rPr>
  </w:style>
  <w:style w:type="character" w:customStyle="1" w:styleId="UnresolvedMention">
    <w:name w:val="Unresolved Mention"/>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1936A7"/>
    <w:pPr>
      <w:pBdr>
        <w:bottom w:val="single" w:sz="24" w:space="31" w:color="20B9A3" w:themeColor="background2"/>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C26A06"/>
    <w:pPr>
      <w:spacing w:before="240"/>
      <w:contextualSpacing/>
    </w:pPr>
    <w:rPr>
      <w:b/>
      <w:color w:val="117479" w:themeColor="accent2"/>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2"/>
    <w:qFormat/>
    <w:rsid w:val="009843BA"/>
    <w:rPr>
      <w:sz w:val="186"/>
      <w:szCs w:val="186"/>
    </w:rPr>
  </w:style>
  <w:style w:type="paragraph" w:styleId="ListNumber">
    <w:name w:val="List Number"/>
    <w:basedOn w:val="Normal"/>
    <w:uiPriority w:val="5"/>
    <w:qFormat/>
    <w:rsid w:val="00BA3176"/>
    <w:pPr>
      <w:numPr>
        <w:numId w:val="2"/>
      </w:numPr>
      <w:ind w:left="357" w:hanging="357"/>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 w:val="20"/>
      <w:szCs w:val="20"/>
    </w:rPr>
  </w:style>
  <w:style w:type="character" w:customStyle="1" w:styleId="CommentTextChar">
    <w:name w:val="Comment Text Char"/>
    <w:basedOn w:val="DefaultParagraphFont"/>
    <w:link w:val="CommentText"/>
    <w:uiPriority w:val="99"/>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character" w:customStyle="1" w:styleId="ListParagraphChar">
    <w:name w:val="List Paragraph Char"/>
    <w:basedOn w:val="DefaultParagraphFont"/>
    <w:link w:val="ListParagraph"/>
    <w:uiPriority w:val="34"/>
    <w:rsid w:val="0083379A"/>
    <w:rPr>
      <w:rFonts w:asciiTheme="minorHAnsi" w:hAnsiTheme="minorHAnsi"/>
      <w:color w:val="3F3F3F" w:themeColor="tex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117479"/>
      </a:accent2>
      <a:accent3>
        <a:srgbClr val="8D734A"/>
      </a:accent3>
      <a:accent4>
        <a:srgbClr val="9F2234"/>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HubID xmlns="e771ab56-0c5d-40e7-b080-2686d2b89623">DOC21-232791</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PMCdoc-213507164-64350</_dlc_DocId>
    <_dlc_DocIdUrl xmlns="d0dfa800-9ef0-44cb-8a12-633e29de1e0b">
      <Url>https://pmc01.sharepoint.com/sites/pmc-ms-cb/_layouts/15/DocIdRedir.aspx?ID=PMCdoc-213507164-64350</Url>
      <Description>PMCdoc-213507164-64350</Description>
    </_dlc_DocIdUrl>
    <lcf76f155ced4ddcb4097134ff3c332f xmlns="631b17cb-7e05-4b62-a9e3-205a319faa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A55501-9218-4D03-B4AB-1C93765039A9}">
  <ds:schemaRefs>
    <ds:schemaRef ds:uri="http://schemas.microsoft.com/sharepoint/v3/contenttype/forms"/>
  </ds:schemaRefs>
</ds:datastoreItem>
</file>

<file path=customXml/itemProps2.xml><?xml version="1.0" encoding="utf-8"?>
<ds:datastoreItem xmlns:ds="http://schemas.openxmlformats.org/officeDocument/2006/customXml" ds:itemID="{FC9244B2-0D0C-4851-B9FD-1A50C085615B}">
  <ds:schemaRefs>
    <ds:schemaRef ds:uri="http://schemas.microsoft.com/office/2006/metadata/properties"/>
    <ds:schemaRef ds:uri="http://schemas.microsoft.com/office/infopath/2007/PartnerControls"/>
    <ds:schemaRef ds:uri="685f9fda-bd71-4433-b331-92feb9553089"/>
    <ds:schemaRef ds:uri="166541c0-0594-4e6a-9105-c24d4b6de6f7"/>
  </ds:schemaRefs>
</ds:datastoreItem>
</file>

<file path=customXml/itemProps3.xml><?xml version="1.0" encoding="utf-8"?>
<ds:datastoreItem xmlns:ds="http://schemas.openxmlformats.org/officeDocument/2006/customXml" ds:itemID="{53FEC398-9AC7-4EDE-B691-5806EA2D0AB2}"/>
</file>

<file path=customXml/itemProps4.xml><?xml version="1.0" encoding="utf-8"?>
<ds:datastoreItem xmlns:ds="http://schemas.openxmlformats.org/officeDocument/2006/customXml" ds:itemID="{4CB3D017-839A-40D1-A0F6-DCC1B092026B}">
  <ds:schemaRefs>
    <ds:schemaRef ds:uri="http://schemas.openxmlformats.org/officeDocument/2006/bibliography"/>
  </ds:schemaRefs>
</ds:datastoreItem>
</file>

<file path=customXml/itemProps5.xml><?xml version="1.0" encoding="utf-8"?>
<ds:datastoreItem xmlns:ds="http://schemas.openxmlformats.org/officeDocument/2006/customXml" ds:itemID="{AE54A1E8-E6FC-4FA7-8F8C-AAAF5D3601E3}"/>
</file>

<file path=docProps/app.xml><?xml version="1.0" encoding="utf-8"?>
<Properties xmlns="http://schemas.openxmlformats.org/officeDocument/2006/extended-properties" xmlns:vt="http://schemas.openxmlformats.org/officeDocument/2006/docPropsVTypes">
  <Template>Normal</Template>
  <TotalTime>0</TotalTime>
  <Pages>6</Pages>
  <Words>1546</Words>
  <Characters>9246</Characters>
  <Application>Microsoft Office Word</Application>
  <DocSecurity>0</DocSecurity>
  <Lines>770</Lines>
  <Paragraphs>719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Pre-analysis plan: AFSA online ‘consequences tool’</dc:title>
  <dc:creator/>
  <cp:lastModifiedBy/>
  <cp:revision>1</cp:revision>
  <dcterms:created xsi:type="dcterms:W3CDTF">2021-07-22T03:15:00Z</dcterms:created>
  <dcterms:modified xsi:type="dcterms:W3CDTF">2021-08-16T23:43:00Z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57;#OFFICIAL|11463c70-78df-4e3b-b0ff-f66cd3cb26ec</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2021-08-12T13:32:55</vt:lpwstr>
  </property>
  <property fmtid="{D5CDD505-2E9C-101B-9397-08002B2CF9AE}" pid="7" name="SecurityClassification">
    <vt:i4>1</vt:i4>
  </property>
  <property fmtid="{D5CDD505-2E9C-101B-9397-08002B2CF9AE}" pid="8" name="_dlc_DocIdItemGuid">
    <vt:lpwstr>ace4c13e-af05-49e2-b2b0-8ee2025fa1a7</vt:lpwstr>
  </property>
</Properties>
</file>