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96326909" w:displacedByCustomXml="next"/>
    <w:sdt>
      <w:sdtPr>
        <w:alias w:val="Title"/>
        <w:tag w:val=""/>
        <w:id w:val="879900963"/>
        <w:placeholder>
          <w:docPart w:val="EB3877B5AEC84C26ABE300F48A833CD5"/>
        </w:placeholder>
        <w:dataBinding w:prefixMappings="xmlns:ns0='http://purl.org/dc/elements/1.1/' xmlns:ns1='http://schemas.openxmlformats.org/package/2006/metadata/core-properties' " w:xpath="/ns1:coreProperties[1]/ns0:title[1]" w:storeItemID="{6C3C8BC8-F283-45AE-878A-BAB7291924A1}"/>
        <w:text/>
      </w:sdtPr>
      <w:sdtEndPr/>
      <w:sdtContent>
        <w:p w14:paraId="3BB8E216" w14:textId="02F5EDBF" w:rsidR="002D3BA6" w:rsidRDefault="00B07018" w:rsidP="002D3BA6">
          <w:pPr>
            <w:pStyle w:val="Title"/>
          </w:pPr>
          <w:r>
            <w:t>Gender Diverse, including LGBTIQA+</w:t>
          </w:r>
        </w:p>
      </w:sdtContent>
    </w:sdt>
    <w:sdt>
      <w:sdtPr>
        <w:alias w:val="Subject"/>
        <w:tag w:val=""/>
        <w:id w:val="-472139675"/>
        <w:placeholder>
          <w:docPart w:val="10D6513FF7D9482DBF35F8C750840C0A"/>
        </w:placeholder>
        <w:dataBinding w:prefixMappings="xmlns:ns0='http://purl.org/dc/elements/1.1/' xmlns:ns1='http://schemas.openxmlformats.org/package/2006/metadata/core-properties' " w:xpath="/ns1:coreProperties[1]/ns0:subject[1]" w:storeItemID="{6C3C8BC8-F283-45AE-878A-BAB7291924A1}"/>
        <w:text/>
      </w:sdtPr>
      <w:sdtEndPr/>
      <w:sdtContent>
        <w:p w14:paraId="3EC6362A" w14:textId="515F0D2D" w:rsidR="002D3BA6" w:rsidRDefault="00B07018" w:rsidP="00B07018">
          <w:pPr>
            <w:pStyle w:val="Subtitle"/>
          </w:pPr>
          <w:r w:rsidRPr="00B07018">
            <w:t>Phase One Consultation: National Strategy to Achieve Gender Equality Introduction</w:t>
          </w:r>
        </w:p>
      </w:sdtContent>
    </w:sdt>
    <w:bookmarkEnd w:id="0"/>
    <w:p w14:paraId="61FEAC41" w14:textId="77777777" w:rsidR="003B64DA" w:rsidRDefault="003B64DA" w:rsidP="003B64DA">
      <w:pPr>
        <w:pStyle w:val="Heading1"/>
        <w:spacing w:line="276" w:lineRule="auto"/>
      </w:pPr>
      <w:r w:rsidRPr="00467470">
        <w:t>Introduction</w:t>
      </w:r>
    </w:p>
    <w:p w14:paraId="0223279D" w14:textId="77777777" w:rsidR="003B64DA" w:rsidRPr="00265614" w:rsidRDefault="003B64DA" w:rsidP="003B64DA">
      <w:pPr>
        <w:spacing w:line="276" w:lineRule="auto"/>
        <w:rPr>
          <w:rFonts w:eastAsia="Times New Roman"/>
          <w:lang w:eastAsia="en-AU"/>
        </w:rPr>
      </w:pPr>
      <w:r w:rsidRPr="00265614">
        <w:rPr>
          <w:rFonts w:eastAsia="Times New Roman"/>
          <w:lang w:eastAsia="en-AU"/>
        </w:rPr>
        <w:t>Gender equality is at the heart of the Australian Government’s vision for a better future, and the Government is committed to restoring Australia’s leadership on gender equality. </w:t>
      </w:r>
    </w:p>
    <w:p w14:paraId="19B35807" w14:textId="77777777" w:rsidR="003B64DA" w:rsidRPr="00265614" w:rsidRDefault="003B64DA" w:rsidP="003B64DA">
      <w:pPr>
        <w:spacing w:line="276" w:lineRule="auto"/>
        <w:rPr>
          <w:rFonts w:eastAsia="Times New Roman"/>
          <w:lang w:eastAsia="en-AU"/>
        </w:rPr>
      </w:pPr>
      <w:r w:rsidRPr="00265614">
        <w:rPr>
          <w:rFonts w:eastAsia="Times New Roman"/>
          <w:lang w:eastAsia="en-AU"/>
        </w:rPr>
        <w:t>The Government will develop a National Strategy to Achieve Gender Equality (the Strategy) to drive this ambition.</w:t>
      </w:r>
    </w:p>
    <w:p w14:paraId="1044BB8C" w14:textId="77777777" w:rsidR="003B64DA" w:rsidRPr="00583AAC" w:rsidRDefault="003B64DA" w:rsidP="003B64DA">
      <w:pPr>
        <w:pStyle w:val="Heading2"/>
        <w:spacing w:line="276" w:lineRule="auto"/>
        <w:rPr>
          <w:rFonts w:eastAsia="Times New Roman"/>
          <w:lang w:eastAsia="en-AU"/>
        </w:rPr>
      </w:pPr>
      <w:r w:rsidRPr="00583AAC">
        <w:rPr>
          <w:rFonts w:eastAsia="Times New Roman"/>
          <w:lang w:eastAsia="en-AU"/>
        </w:rPr>
        <w:t>What will the Strategy do?</w:t>
      </w:r>
    </w:p>
    <w:p w14:paraId="37DB9A6A" w14:textId="77777777" w:rsidR="003B64DA" w:rsidRPr="00583AAC" w:rsidRDefault="003B64DA" w:rsidP="003B64DA">
      <w:pPr>
        <w:spacing w:line="276" w:lineRule="auto"/>
        <w:rPr>
          <w:rFonts w:eastAsia="Times New Roman" w:cstheme="minorHAnsi"/>
          <w:lang w:eastAsia="en-AU"/>
        </w:rPr>
      </w:pPr>
      <w:r w:rsidRPr="00583AAC">
        <w:rPr>
          <w:rFonts w:eastAsia="Times New Roman" w:cstheme="minorHAnsi"/>
          <w:lang w:eastAsia="en-AU"/>
        </w:rPr>
        <w:t>The Strategy will guide whole of community action to help make Australia one of the best countries in the world for equality between women and men. It is an important mechanism to elevate and prioritise actions that will achieve gender equality.</w:t>
      </w:r>
    </w:p>
    <w:p w14:paraId="7EBFA2F4" w14:textId="77777777" w:rsidR="003B64DA" w:rsidRPr="00583AAC" w:rsidRDefault="003B64DA" w:rsidP="003B64DA">
      <w:pPr>
        <w:spacing w:line="276" w:lineRule="auto"/>
        <w:rPr>
          <w:rFonts w:eastAsia="Times New Roman" w:cstheme="minorHAnsi"/>
          <w:lang w:eastAsia="en-AU"/>
        </w:rPr>
      </w:pPr>
      <w:r w:rsidRPr="00583AAC">
        <w:rPr>
          <w:rFonts w:eastAsia="Times New Roman" w:cstheme="minorHAnsi"/>
          <w:lang w:eastAsia="en-AU"/>
        </w:rPr>
        <w:t>The Strategy will complement other efforts across Government to achieve gender equality, including:</w:t>
      </w:r>
    </w:p>
    <w:p w14:paraId="18DB71AA" w14:textId="77777777" w:rsidR="003B64DA" w:rsidRPr="00583AAC" w:rsidRDefault="003B64DA" w:rsidP="003B64DA">
      <w:pPr>
        <w:pStyle w:val="BulletedList-Level1"/>
        <w:spacing w:line="276" w:lineRule="auto"/>
        <w:rPr>
          <w:rFonts w:eastAsia="Times New Roman" w:cstheme="minorHAnsi"/>
          <w:lang w:eastAsia="en-AU"/>
        </w:rPr>
      </w:pPr>
      <w:r w:rsidRPr="00583AAC">
        <w:rPr>
          <w:rFonts w:eastAsia="Times New Roman" w:cstheme="minorHAnsi"/>
          <w:lang w:eastAsia="en-AU"/>
        </w:rPr>
        <w:t>the </w:t>
      </w:r>
      <w:hyperlink r:id="rId11" w:history="1">
        <w:r w:rsidRPr="00583AAC">
          <w:rPr>
            <w:rFonts w:eastAsia="Times New Roman" w:cstheme="minorHAnsi"/>
            <w:i/>
            <w:iCs/>
            <w:color w:val="0062A0"/>
            <w:u w:val="single"/>
            <w:bdr w:val="none" w:sz="0" w:space="0" w:color="auto" w:frame="1"/>
            <w:lang w:eastAsia="en-AU"/>
          </w:rPr>
          <w:t>National Plan to End Violence against Women and Children 2022–32</w:t>
        </w:r>
      </w:hyperlink>
      <w:r w:rsidRPr="00583AAC">
        <w:rPr>
          <w:rFonts w:eastAsia="Times New Roman" w:cstheme="minorHAnsi"/>
          <w:lang w:eastAsia="en-AU"/>
        </w:rPr>
        <w:t> (National Plan)</w:t>
      </w:r>
    </w:p>
    <w:p w14:paraId="35A44686" w14:textId="77777777" w:rsidR="003B64DA" w:rsidRPr="00583AAC" w:rsidRDefault="003B64DA" w:rsidP="003B64DA">
      <w:pPr>
        <w:pStyle w:val="BulletedList-Level1"/>
        <w:spacing w:line="276" w:lineRule="auto"/>
        <w:rPr>
          <w:rFonts w:eastAsia="Times New Roman" w:cstheme="minorHAnsi"/>
          <w:lang w:eastAsia="en-AU"/>
        </w:rPr>
      </w:pPr>
      <w:r w:rsidRPr="00583AAC">
        <w:rPr>
          <w:rFonts w:eastAsia="Times New Roman" w:cstheme="minorHAnsi"/>
          <w:lang w:eastAsia="en-AU"/>
        </w:rPr>
        <w:t>the Government’s response to the Australian Human Rights Commission’s </w:t>
      </w:r>
      <w:hyperlink r:id="rId12" w:history="1">
        <w:r w:rsidRPr="00583AAC">
          <w:rPr>
            <w:rFonts w:eastAsia="Times New Roman" w:cstheme="minorHAnsi"/>
            <w:color w:val="0062A0"/>
            <w:u w:val="single"/>
            <w:bdr w:val="none" w:sz="0" w:space="0" w:color="auto" w:frame="1"/>
            <w:lang w:eastAsia="en-AU"/>
          </w:rPr>
          <w:t>Respect@Work Report</w:t>
        </w:r>
      </w:hyperlink>
    </w:p>
    <w:p w14:paraId="7A324C42" w14:textId="77777777" w:rsidR="003B64DA" w:rsidRPr="00583AAC" w:rsidRDefault="003B64DA" w:rsidP="003B64DA">
      <w:pPr>
        <w:pStyle w:val="BulletedList-Level1"/>
        <w:spacing w:line="276" w:lineRule="auto"/>
        <w:rPr>
          <w:rFonts w:eastAsia="Times New Roman" w:cstheme="minorHAnsi"/>
          <w:lang w:eastAsia="en-AU"/>
        </w:rPr>
      </w:pPr>
      <w:r w:rsidRPr="00583AAC">
        <w:rPr>
          <w:rFonts w:eastAsia="Times New Roman" w:cstheme="minorHAnsi"/>
          <w:lang w:eastAsia="en-AU"/>
        </w:rPr>
        <w:t>the</w:t>
      </w:r>
      <w:r w:rsidRPr="00583AAC">
        <w:rPr>
          <w:rFonts w:eastAsia="Times New Roman" w:cstheme="minorHAnsi"/>
          <w:i/>
          <w:iCs/>
          <w:bdr w:val="none" w:sz="0" w:space="0" w:color="auto" w:frame="1"/>
          <w:lang w:eastAsia="en-AU"/>
        </w:rPr>
        <w:t> </w:t>
      </w:r>
      <w:hyperlink r:id="rId13" w:history="1">
        <w:r w:rsidRPr="00583AAC">
          <w:rPr>
            <w:rFonts w:eastAsia="Times New Roman" w:cstheme="minorHAnsi"/>
            <w:i/>
            <w:iCs/>
            <w:color w:val="0062A0"/>
            <w:u w:val="single"/>
            <w:bdr w:val="none" w:sz="0" w:space="0" w:color="auto" w:frame="1"/>
            <w:lang w:eastAsia="en-AU"/>
          </w:rPr>
          <w:t>National Women’s Health Strategy 2020–2030</w:t>
        </w:r>
      </w:hyperlink>
    </w:p>
    <w:p w14:paraId="76A4680D" w14:textId="77777777" w:rsidR="003B64DA" w:rsidRPr="00583AAC" w:rsidRDefault="003B64DA" w:rsidP="003B64DA">
      <w:pPr>
        <w:spacing w:line="276" w:lineRule="auto"/>
        <w:rPr>
          <w:rFonts w:eastAsia="Times New Roman" w:cstheme="minorHAnsi"/>
          <w:lang w:eastAsia="en-AU"/>
        </w:rPr>
      </w:pPr>
      <w:r w:rsidRPr="00583AAC">
        <w:rPr>
          <w:rFonts w:eastAsia="Times New Roman" w:cstheme="minorHAnsi"/>
          <w:lang w:eastAsia="en-AU"/>
        </w:rPr>
        <w:t>It will also support the work of similar state and territory plans.</w:t>
      </w:r>
    </w:p>
    <w:p w14:paraId="1C38A01A" w14:textId="77777777" w:rsidR="003B64DA" w:rsidRPr="00583AAC" w:rsidRDefault="003B64DA" w:rsidP="003B64DA">
      <w:pPr>
        <w:pStyle w:val="Heading2"/>
        <w:spacing w:line="276" w:lineRule="auto"/>
        <w:rPr>
          <w:rFonts w:eastAsia="Times New Roman"/>
          <w:lang w:eastAsia="en-AU"/>
        </w:rPr>
      </w:pPr>
      <w:r w:rsidRPr="00583AAC">
        <w:rPr>
          <w:rFonts w:eastAsia="Times New Roman"/>
          <w:lang w:eastAsia="en-AU"/>
        </w:rPr>
        <w:t>How will the Strategy be developed?</w:t>
      </w:r>
    </w:p>
    <w:p w14:paraId="4362D625" w14:textId="77777777" w:rsidR="003B64DA" w:rsidRPr="00583AAC" w:rsidRDefault="003B64DA" w:rsidP="003B64DA">
      <w:pPr>
        <w:spacing w:line="276" w:lineRule="auto"/>
        <w:rPr>
          <w:rFonts w:eastAsia="Times New Roman"/>
          <w:lang w:eastAsia="en-AU"/>
        </w:rPr>
      </w:pPr>
      <w:r w:rsidRPr="00583AAC">
        <w:rPr>
          <w:rFonts w:eastAsia="Times New Roman"/>
          <w:lang w:eastAsia="en-AU"/>
        </w:rPr>
        <w:t>The Government will deliver the Strategy by mid-2023.</w:t>
      </w:r>
    </w:p>
    <w:p w14:paraId="41BE14F8" w14:textId="77777777" w:rsidR="003B64DA" w:rsidRPr="00583AAC" w:rsidRDefault="003B64DA" w:rsidP="003B64DA">
      <w:pPr>
        <w:spacing w:line="276" w:lineRule="auto"/>
        <w:rPr>
          <w:rFonts w:eastAsia="Times New Roman"/>
          <w:lang w:eastAsia="en-AU"/>
        </w:rPr>
      </w:pPr>
      <w:r w:rsidRPr="00583AAC">
        <w:rPr>
          <w:rFonts w:eastAsia="Times New Roman"/>
          <w:lang w:eastAsia="en-AU"/>
        </w:rPr>
        <w:t xml:space="preserve">The Office for Women will develop the </w:t>
      </w:r>
      <w:r>
        <w:rPr>
          <w:rFonts w:eastAsia="Times New Roman"/>
          <w:lang w:eastAsia="en-AU"/>
        </w:rPr>
        <w:t>S</w:t>
      </w:r>
      <w:r w:rsidRPr="00583AAC">
        <w:rPr>
          <w:rFonts w:eastAsia="Times New Roman"/>
          <w:lang w:eastAsia="en-AU"/>
        </w:rPr>
        <w:t>trategy in consultation with women and girls around Australia, with a focus on ensuring that diverse voices are heard and included.</w:t>
      </w:r>
    </w:p>
    <w:p w14:paraId="34374B88" w14:textId="77777777" w:rsidR="003B64DA" w:rsidRPr="00583AAC" w:rsidRDefault="003B64DA" w:rsidP="003B64DA">
      <w:pPr>
        <w:spacing w:line="276" w:lineRule="auto"/>
        <w:rPr>
          <w:rFonts w:eastAsia="Times New Roman"/>
          <w:lang w:eastAsia="en-AU"/>
        </w:rPr>
      </w:pPr>
      <w:r w:rsidRPr="00583AAC">
        <w:rPr>
          <w:rFonts w:eastAsia="Times New Roman"/>
          <w:lang w:eastAsia="en-AU"/>
        </w:rPr>
        <w:t>The Government has also established the Women’s Economic Equality Taskforce (the Taskforce) to provide independent advice to Government, ensuring women are at the centre of policy and decision-making. The Taskforce will be a leading contributor to the Strategy, and as part of this will engage broadly with the Australian community to elevate and honour the voices of women in the Strategy.</w:t>
      </w:r>
    </w:p>
    <w:p w14:paraId="4859674A" w14:textId="77777777" w:rsidR="003B64DA" w:rsidRDefault="003B64DA" w:rsidP="003B64DA">
      <w:pPr>
        <w:spacing w:line="276" w:lineRule="auto"/>
        <w:rPr>
          <w:rFonts w:eastAsia="Times New Roman"/>
          <w:lang w:eastAsia="en-AU"/>
        </w:rPr>
      </w:pPr>
      <w:r w:rsidRPr="00583AAC">
        <w:rPr>
          <w:rFonts w:eastAsia="Times New Roman"/>
          <w:lang w:eastAsia="en-AU"/>
        </w:rPr>
        <w:t>The six </w:t>
      </w:r>
      <w:hyperlink r:id="rId14" w:history="1">
        <w:r w:rsidRPr="00583AAC">
          <w:rPr>
            <w:rFonts w:eastAsia="Times New Roman"/>
            <w:color w:val="0062A0"/>
            <w:u w:val="single"/>
            <w:bdr w:val="none" w:sz="0" w:space="0" w:color="auto" w:frame="1"/>
            <w:lang w:eastAsia="en-AU"/>
          </w:rPr>
          <w:t>National Women’s Alliances</w:t>
        </w:r>
      </w:hyperlink>
      <w:r w:rsidRPr="00583AAC">
        <w:rPr>
          <w:rFonts w:eastAsia="Times New Roman"/>
          <w:lang w:eastAsia="en-AU"/>
        </w:rPr>
        <w:t> will also play a key role in informing the development of the Strategy.</w:t>
      </w:r>
    </w:p>
    <w:p w14:paraId="28DC5548" w14:textId="77777777" w:rsidR="003B64DA" w:rsidRPr="00D01DE9" w:rsidRDefault="003B64DA" w:rsidP="003B64DA">
      <w:pPr>
        <w:spacing w:line="276" w:lineRule="auto"/>
        <w:rPr>
          <w:rFonts w:eastAsia="Times New Roman"/>
          <w:lang w:eastAsia="en-AU"/>
        </w:rPr>
      </w:pPr>
      <w:r w:rsidRPr="00265614">
        <w:rPr>
          <w:rFonts w:asciiTheme="majorHAnsi" w:eastAsia="Times New Roman" w:hAnsiTheme="majorHAnsi" w:cstheme="majorBidi"/>
          <w:color w:val="1B375C" w:themeColor="accent1"/>
          <w:sz w:val="40"/>
          <w:szCs w:val="40"/>
          <w:lang w:eastAsia="en-AU"/>
        </w:rPr>
        <w:lastRenderedPageBreak/>
        <w:t>Consultation</w:t>
      </w:r>
    </w:p>
    <w:p w14:paraId="27C06501" w14:textId="77777777" w:rsidR="003B64DA" w:rsidRPr="00583AAC" w:rsidRDefault="003B64DA" w:rsidP="003B64DA">
      <w:pPr>
        <w:spacing w:line="276" w:lineRule="auto"/>
        <w:rPr>
          <w:rFonts w:eastAsia="Times New Roman"/>
          <w:lang w:eastAsia="en-AU"/>
        </w:rPr>
      </w:pPr>
      <w:r w:rsidRPr="00583AAC">
        <w:rPr>
          <w:rFonts w:eastAsia="Times New Roman"/>
          <w:lang w:eastAsia="en-AU"/>
        </w:rPr>
        <w:t xml:space="preserve">Consultations will reach people </w:t>
      </w:r>
      <w:r w:rsidRPr="00583AAC">
        <w:t>w</w:t>
      </w:r>
      <w:r w:rsidRPr="00583AAC">
        <w:rPr>
          <w:lang w:eastAsia="en-AU"/>
        </w:rPr>
        <w:t>ith lived experience of gender inequalit</w:t>
      </w:r>
      <w:r w:rsidRPr="00583AAC">
        <w:t xml:space="preserve">y, </w:t>
      </w:r>
      <w:r w:rsidRPr="00583AAC">
        <w:rPr>
          <w:lang w:eastAsia="en-AU"/>
        </w:rPr>
        <w:t>living with disability</w:t>
      </w:r>
      <w:r w:rsidRPr="00583AAC">
        <w:t xml:space="preserve">, First Nations people, </w:t>
      </w:r>
      <w:r w:rsidRPr="00583AAC">
        <w:rPr>
          <w:lang w:eastAsia="en-AU"/>
        </w:rPr>
        <w:t>people who are LGBTQIA+</w:t>
      </w:r>
      <w:r w:rsidRPr="00583AAC">
        <w:t xml:space="preserve">, </w:t>
      </w:r>
      <w:r w:rsidRPr="00583AAC">
        <w:rPr>
          <w:lang w:eastAsia="en-AU"/>
        </w:rPr>
        <w:t>migrant and refugee women</w:t>
      </w:r>
      <w:r w:rsidRPr="00583AAC">
        <w:t xml:space="preserve">, </w:t>
      </w:r>
      <w:r w:rsidRPr="00583AAC">
        <w:rPr>
          <w:lang w:eastAsia="en-AU"/>
        </w:rPr>
        <w:t>those living in regional and remote areas</w:t>
      </w:r>
      <w:r w:rsidRPr="00583AAC">
        <w:t xml:space="preserve"> and </w:t>
      </w:r>
      <w:r w:rsidRPr="00583AAC">
        <w:rPr>
          <w:lang w:eastAsia="en-AU"/>
        </w:rPr>
        <w:t>people from all backgrounds and classes.</w:t>
      </w:r>
    </w:p>
    <w:p w14:paraId="1AEF9389" w14:textId="77777777" w:rsidR="003B64DA" w:rsidRPr="00583AAC" w:rsidRDefault="003B64DA" w:rsidP="003B64DA">
      <w:pPr>
        <w:spacing w:line="276" w:lineRule="auto"/>
        <w:rPr>
          <w:rFonts w:eastAsia="Times New Roman"/>
          <w:lang w:eastAsia="en-AU"/>
        </w:rPr>
      </w:pPr>
      <w:r w:rsidRPr="00583AAC">
        <w:rPr>
          <w:rFonts w:eastAsia="Times New Roman"/>
          <w:lang w:eastAsia="en-AU"/>
        </w:rPr>
        <w:t xml:space="preserve">The consultation will be undertaken in </w:t>
      </w:r>
      <w:r w:rsidRPr="009D0D28">
        <w:rPr>
          <w:rFonts w:eastAsia="Times New Roman"/>
          <w:b/>
          <w:lang w:eastAsia="en-AU"/>
        </w:rPr>
        <w:t>two stages.</w:t>
      </w:r>
      <w:bookmarkStart w:id="1" w:name="_GoBack"/>
      <w:bookmarkEnd w:id="1"/>
    </w:p>
    <w:p w14:paraId="73FB9CC6" w14:textId="77777777" w:rsidR="003B64DA" w:rsidRPr="00583AAC" w:rsidRDefault="003B64DA" w:rsidP="003B64DA">
      <w:pPr>
        <w:spacing w:line="276" w:lineRule="auto"/>
        <w:rPr>
          <w:rFonts w:eastAsia="Times New Roman"/>
          <w:lang w:eastAsia="en-AU"/>
        </w:rPr>
      </w:pPr>
      <w:r w:rsidRPr="00583AAC">
        <w:rPr>
          <w:rFonts w:eastAsia="Times New Roman"/>
          <w:lang w:eastAsia="en-AU"/>
        </w:rPr>
        <w:t>Starting in November</w:t>
      </w:r>
      <w:r>
        <w:rPr>
          <w:rFonts w:eastAsia="Times New Roman"/>
          <w:lang w:eastAsia="en-AU"/>
        </w:rPr>
        <w:t xml:space="preserve"> 2022</w:t>
      </w:r>
      <w:r w:rsidRPr="00583AAC">
        <w:rPr>
          <w:rFonts w:eastAsia="Times New Roman"/>
          <w:lang w:eastAsia="en-AU"/>
        </w:rPr>
        <w:t>, the Office for Women will lead targeted national consultations to inform the early development of the Strategy. These will take place across Australia and include discussions with a range of stakeholders including gender experts, academics, economists, women’s alliances, the community sector, unions and business.</w:t>
      </w:r>
    </w:p>
    <w:p w14:paraId="16BA4601" w14:textId="77777777" w:rsidR="003B64DA" w:rsidRPr="00583AAC" w:rsidRDefault="003B64DA" w:rsidP="003B64DA">
      <w:pPr>
        <w:spacing w:line="276" w:lineRule="auto"/>
        <w:rPr>
          <w:rFonts w:eastAsia="Times New Roman"/>
          <w:lang w:eastAsia="en-AU"/>
        </w:rPr>
      </w:pPr>
      <w:r>
        <w:rPr>
          <w:rFonts w:eastAsia="Times New Roman"/>
          <w:lang w:eastAsia="en-AU"/>
        </w:rPr>
        <w:t>In e</w:t>
      </w:r>
      <w:r w:rsidRPr="00583AAC">
        <w:rPr>
          <w:rFonts w:eastAsia="Times New Roman"/>
          <w:lang w:eastAsia="en-AU"/>
        </w:rPr>
        <w:t xml:space="preserve">arly 2023, broader community consultations will provide an opportunity for people to share their views of how we achieve gender equality and how this should be reflected in the </w:t>
      </w:r>
      <w:r>
        <w:rPr>
          <w:rFonts w:eastAsia="Times New Roman"/>
          <w:lang w:eastAsia="en-AU"/>
        </w:rPr>
        <w:t>S</w:t>
      </w:r>
      <w:r w:rsidRPr="00583AAC">
        <w:rPr>
          <w:rFonts w:eastAsia="Times New Roman"/>
          <w:lang w:eastAsia="en-AU"/>
        </w:rPr>
        <w:t>trategy.</w:t>
      </w:r>
    </w:p>
    <w:p w14:paraId="031C4166" w14:textId="77777777" w:rsidR="003B64DA" w:rsidRPr="00583AAC" w:rsidRDefault="003B64DA" w:rsidP="003B64DA">
      <w:pPr>
        <w:spacing w:line="276" w:lineRule="auto"/>
        <w:rPr>
          <w:rFonts w:eastAsia="Times New Roman"/>
          <w:lang w:eastAsia="en-AU"/>
        </w:rPr>
      </w:pPr>
      <w:r w:rsidRPr="00583AAC">
        <w:rPr>
          <w:rFonts w:eastAsia="Times New Roman"/>
          <w:lang w:eastAsia="en-AU"/>
        </w:rPr>
        <w:t>The Strategy will draw from a comprehensive evidence base, and reflect public commentary, recent consultations and submissions to government. It will draw from contemporary research and reports, including those prepared for the </w:t>
      </w:r>
      <w:hyperlink r:id="rId15" w:history="1">
        <w:r w:rsidRPr="00583AAC">
          <w:rPr>
            <w:rFonts w:eastAsia="Times New Roman"/>
            <w:color w:val="0062A0"/>
            <w:u w:val="single"/>
            <w:bdr w:val="none" w:sz="0" w:space="0" w:color="auto" w:frame="1"/>
            <w:lang w:eastAsia="en-AU"/>
          </w:rPr>
          <w:t>Jobs and Skills Summit and resulting Employment White Paper</w:t>
        </w:r>
      </w:hyperlink>
    </w:p>
    <w:p w14:paraId="6E059FE6" w14:textId="77777777" w:rsidR="003B64DA" w:rsidRPr="00583AAC" w:rsidRDefault="003B64DA" w:rsidP="003B64DA">
      <w:pPr>
        <w:spacing w:line="276" w:lineRule="auto"/>
        <w:rPr>
          <w:rFonts w:eastAsia="Times New Roman"/>
          <w:lang w:eastAsia="en-AU"/>
        </w:rPr>
      </w:pPr>
      <w:r w:rsidRPr="00583AAC">
        <w:rPr>
          <w:rFonts w:eastAsia="Times New Roman"/>
          <w:lang w:eastAsia="en-AU"/>
        </w:rPr>
        <w:t xml:space="preserve">Further information on consultation will be provided on the Office for Women’s </w:t>
      </w:r>
      <w:hyperlink r:id="rId16" w:history="1">
        <w:r w:rsidRPr="00583AAC">
          <w:rPr>
            <w:rFonts w:eastAsia="Times New Roman"/>
            <w:color w:val="3266AB"/>
            <w:u w:val="single"/>
            <w:lang w:eastAsia="en-AU"/>
          </w:rPr>
          <w:t>webpage</w:t>
        </w:r>
      </w:hyperlink>
      <w:r w:rsidRPr="00583AAC">
        <w:rPr>
          <w:rFonts w:eastAsia="Times New Roman"/>
          <w:lang w:eastAsia="en-AU"/>
        </w:rPr>
        <w:t>.</w:t>
      </w:r>
    </w:p>
    <w:p w14:paraId="2E36C081" w14:textId="77777777" w:rsidR="003B64DA" w:rsidRDefault="003B64DA" w:rsidP="003B64DA">
      <w:pPr>
        <w:rPr>
          <w:rFonts w:eastAsia="Times New Roman"/>
          <w:color w:val="0062A0"/>
          <w:u w:val="single"/>
          <w:bdr w:val="none" w:sz="0" w:space="0" w:color="auto" w:frame="1"/>
          <w:lang w:eastAsia="en-AU"/>
        </w:rPr>
      </w:pPr>
      <w:r w:rsidRPr="00583AAC">
        <w:rPr>
          <w:rFonts w:eastAsia="Times New Roman"/>
          <w:lang w:eastAsia="en-AU"/>
        </w:rPr>
        <w:t>For further information</w:t>
      </w:r>
      <w:r>
        <w:rPr>
          <w:rFonts w:eastAsia="Times New Roman"/>
          <w:lang w:eastAsia="en-AU"/>
        </w:rPr>
        <w:t xml:space="preserve"> or to</w:t>
      </w:r>
      <w:r w:rsidRPr="00583AAC">
        <w:rPr>
          <w:rFonts w:eastAsia="Times New Roman"/>
          <w:lang w:eastAsia="en-AU"/>
        </w:rPr>
        <w:t xml:space="preserve"> express interest in being included in consultation</w:t>
      </w:r>
      <w:r>
        <w:rPr>
          <w:rFonts w:eastAsia="Times New Roman"/>
          <w:lang w:eastAsia="en-AU"/>
        </w:rPr>
        <w:t>, please</w:t>
      </w:r>
      <w:r w:rsidRPr="00583AAC">
        <w:rPr>
          <w:rFonts w:eastAsia="Times New Roman"/>
          <w:lang w:eastAsia="en-AU"/>
        </w:rPr>
        <w:t xml:space="preserve"> contact: </w:t>
      </w:r>
      <w:hyperlink r:id="rId17" w:history="1">
        <w:r w:rsidRPr="00583AAC">
          <w:rPr>
            <w:rFonts w:eastAsia="Times New Roman"/>
            <w:color w:val="0062A0"/>
            <w:u w:val="single"/>
            <w:bdr w:val="none" w:sz="0" w:space="0" w:color="auto" w:frame="1"/>
            <w:lang w:eastAsia="en-AU"/>
          </w:rPr>
          <w:t>OFWengagement@pmc.gov.au</w:t>
        </w:r>
      </w:hyperlink>
    </w:p>
    <w:p w14:paraId="768C8F16" w14:textId="5FB7EE1D" w:rsidR="002D0CA7" w:rsidRPr="00FE630C" w:rsidRDefault="002D0CA7" w:rsidP="003B64DA">
      <w:pPr>
        <w:pStyle w:val="Heading1"/>
      </w:pPr>
      <w:r>
        <w:t xml:space="preserve">Current situation </w:t>
      </w:r>
    </w:p>
    <w:p w14:paraId="079629DD" w14:textId="73BE3B97" w:rsidR="003B64DA" w:rsidRDefault="003B64DA" w:rsidP="003B64DA">
      <w:pPr>
        <w:spacing w:after="200"/>
      </w:pPr>
      <w:r>
        <w:t>(Note: The research and evidence outlined in this paper are not intended to be comprehensive, instead it is used to facilitate consultation.)</w:t>
      </w:r>
    </w:p>
    <w:p w14:paraId="467D3A57" w14:textId="048F9AC4" w:rsidR="003502D3" w:rsidRPr="001E10D4" w:rsidRDefault="00A17EA3" w:rsidP="001E10D4">
      <w:pPr>
        <w:pStyle w:val="BodyText3"/>
        <w:numPr>
          <w:ilvl w:val="0"/>
          <w:numId w:val="42"/>
        </w:numPr>
        <w:spacing w:line="276" w:lineRule="auto"/>
        <w:rPr>
          <w:rFonts w:asciiTheme="minorHAnsi" w:hAnsiTheme="minorHAnsi" w:cstheme="minorHAnsi"/>
          <w:sz w:val="22"/>
        </w:rPr>
      </w:pPr>
      <w:r>
        <w:rPr>
          <w:rFonts w:asciiTheme="minorHAnsi" w:hAnsiTheme="minorHAnsi" w:cstheme="minorHAnsi"/>
          <w:sz w:val="22"/>
        </w:rPr>
        <w:t>Gender divers</w:t>
      </w:r>
      <w:r w:rsidR="00BA1935">
        <w:rPr>
          <w:rFonts w:asciiTheme="minorHAnsi" w:hAnsiTheme="minorHAnsi" w:cstheme="minorHAnsi"/>
          <w:sz w:val="22"/>
        </w:rPr>
        <w:t>e</w:t>
      </w:r>
      <w:r>
        <w:rPr>
          <w:rFonts w:asciiTheme="minorHAnsi" w:hAnsiTheme="minorHAnsi" w:cstheme="minorHAnsi"/>
          <w:sz w:val="22"/>
        </w:rPr>
        <w:t xml:space="preserve"> people, </w:t>
      </w:r>
      <w:r w:rsidR="003502D3" w:rsidRPr="001E10D4">
        <w:rPr>
          <w:rFonts w:asciiTheme="minorHAnsi" w:hAnsiTheme="minorHAnsi" w:cstheme="minorHAnsi"/>
          <w:sz w:val="22"/>
        </w:rPr>
        <w:t xml:space="preserve">including </w:t>
      </w:r>
      <w:r>
        <w:rPr>
          <w:rFonts w:asciiTheme="minorHAnsi" w:hAnsiTheme="minorHAnsi" w:cstheme="minorHAnsi"/>
          <w:sz w:val="22"/>
        </w:rPr>
        <w:t>transgender</w:t>
      </w:r>
      <w:r w:rsidR="003502D3" w:rsidRPr="001E10D4">
        <w:rPr>
          <w:rFonts w:asciiTheme="minorHAnsi" w:hAnsiTheme="minorHAnsi" w:cstheme="minorHAnsi"/>
          <w:sz w:val="22"/>
        </w:rPr>
        <w:t xml:space="preserve"> and non-binary people experience physical and sexual assault, abuse, discrimination, homelessness, and suicide at disproportionately higher rates than cis</w:t>
      </w:r>
      <w:r w:rsidR="003502D3" w:rsidRPr="001E10D4">
        <w:rPr>
          <w:rFonts w:asciiTheme="minorHAnsi" w:hAnsiTheme="minorHAnsi" w:cstheme="minorHAnsi"/>
          <w:sz w:val="22"/>
        </w:rPr>
        <w:noBreakHyphen/>
        <w:t xml:space="preserve">gender people. </w:t>
      </w:r>
    </w:p>
    <w:p w14:paraId="3343E81E" w14:textId="77777777" w:rsidR="001A4E6A" w:rsidRDefault="001A4E6A" w:rsidP="001A4E6A">
      <w:pPr>
        <w:pStyle w:val="BodyText3"/>
        <w:numPr>
          <w:ilvl w:val="0"/>
          <w:numId w:val="42"/>
        </w:numPr>
        <w:spacing w:line="276" w:lineRule="auto"/>
        <w:rPr>
          <w:rFonts w:asciiTheme="minorHAnsi" w:hAnsiTheme="minorHAnsi" w:cstheme="minorHAnsi"/>
          <w:sz w:val="22"/>
        </w:rPr>
      </w:pPr>
      <w:r w:rsidRPr="00AE1DCD">
        <w:rPr>
          <w:rFonts w:asciiTheme="minorHAnsi" w:hAnsiTheme="minorHAnsi" w:cstheme="minorHAnsi"/>
          <w:sz w:val="22"/>
        </w:rPr>
        <w:t xml:space="preserve">People born with variations of sex characteristics experience stigmatisation, discrimination, bullying, body shaming and other forms of harm because of </w:t>
      </w:r>
      <w:r>
        <w:rPr>
          <w:rFonts w:asciiTheme="minorHAnsi" w:hAnsiTheme="minorHAnsi" w:cstheme="minorHAnsi"/>
          <w:sz w:val="22"/>
        </w:rPr>
        <w:t xml:space="preserve">their </w:t>
      </w:r>
      <w:r w:rsidRPr="00AE1DCD">
        <w:rPr>
          <w:rFonts w:asciiTheme="minorHAnsi" w:hAnsiTheme="minorHAnsi" w:cstheme="minorHAnsi"/>
          <w:sz w:val="22"/>
        </w:rPr>
        <w:t xml:space="preserve">sex characteristics, and also because of assumptions about </w:t>
      </w:r>
      <w:r>
        <w:rPr>
          <w:rFonts w:asciiTheme="minorHAnsi" w:hAnsiTheme="minorHAnsi" w:cstheme="minorHAnsi"/>
          <w:sz w:val="22"/>
        </w:rPr>
        <w:t>their</w:t>
      </w:r>
      <w:r w:rsidRPr="00AE1DCD">
        <w:rPr>
          <w:rFonts w:asciiTheme="minorHAnsi" w:hAnsiTheme="minorHAnsi" w:cstheme="minorHAnsi"/>
          <w:sz w:val="22"/>
        </w:rPr>
        <w:t xml:space="preserve"> identities. These violate </w:t>
      </w:r>
      <w:r>
        <w:rPr>
          <w:rFonts w:asciiTheme="minorHAnsi" w:hAnsiTheme="minorHAnsi" w:cstheme="minorHAnsi"/>
          <w:sz w:val="22"/>
        </w:rPr>
        <w:t xml:space="preserve">their rights </w:t>
      </w:r>
      <w:r w:rsidRPr="00AE1DCD">
        <w:rPr>
          <w:rFonts w:asciiTheme="minorHAnsi" w:hAnsiTheme="minorHAnsi" w:cstheme="minorHAnsi"/>
          <w:sz w:val="22"/>
        </w:rPr>
        <w:t xml:space="preserve">and limit </w:t>
      </w:r>
      <w:r>
        <w:rPr>
          <w:rFonts w:asciiTheme="minorHAnsi" w:hAnsiTheme="minorHAnsi" w:cstheme="minorHAnsi"/>
          <w:sz w:val="22"/>
        </w:rPr>
        <w:t xml:space="preserve">their </w:t>
      </w:r>
      <w:r w:rsidRPr="00AE1DCD">
        <w:rPr>
          <w:rFonts w:asciiTheme="minorHAnsi" w:hAnsiTheme="minorHAnsi" w:cstheme="minorHAnsi"/>
          <w:sz w:val="22"/>
        </w:rPr>
        <w:t>participation in society.</w:t>
      </w:r>
    </w:p>
    <w:p w14:paraId="7417FAA7" w14:textId="199EA384" w:rsidR="001A4E6A" w:rsidRPr="002F68CD" w:rsidRDefault="001A4E6A" w:rsidP="002F68CD">
      <w:pPr>
        <w:pStyle w:val="ListParagraph"/>
        <w:numPr>
          <w:ilvl w:val="1"/>
          <w:numId w:val="42"/>
        </w:numPr>
        <w:rPr>
          <w:rFonts w:eastAsia="Times New Roman" w:cstheme="minorHAnsi"/>
          <w:szCs w:val="20"/>
        </w:rPr>
      </w:pPr>
      <w:r w:rsidRPr="00AE1DCD">
        <w:rPr>
          <w:rFonts w:eastAsia="Times New Roman" w:cstheme="minorHAnsi"/>
          <w:szCs w:val="20"/>
        </w:rPr>
        <w:t>Many</w:t>
      </w:r>
      <w:r>
        <w:rPr>
          <w:rFonts w:eastAsia="Times New Roman" w:cstheme="minorHAnsi"/>
          <w:szCs w:val="20"/>
        </w:rPr>
        <w:t xml:space="preserve"> intersex</w:t>
      </w:r>
      <w:r w:rsidRPr="00AE1DCD">
        <w:rPr>
          <w:rFonts w:eastAsia="Times New Roman" w:cstheme="minorHAnsi"/>
          <w:szCs w:val="20"/>
        </w:rPr>
        <w:t xml:space="preserve"> people leave school early, without any qualifications. A 2015 s</w:t>
      </w:r>
      <w:r>
        <w:rPr>
          <w:rFonts w:eastAsia="Times New Roman" w:cstheme="minorHAnsi"/>
          <w:szCs w:val="20"/>
        </w:rPr>
        <w:t>ociological study</w:t>
      </w:r>
      <w:r w:rsidR="00842AA5">
        <w:rPr>
          <w:rFonts w:eastAsia="Times New Roman" w:cstheme="minorHAnsi"/>
          <w:szCs w:val="20"/>
        </w:rPr>
        <w:t xml:space="preserve"> in Australia</w:t>
      </w:r>
      <w:r>
        <w:rPr>
          <w:rFonts w:eastAsia="Times New Roman" w:cstheme="minorHAnsi"/>
          <w:szCs w:val="20"/>
        </w:rPr>
        <w:t xml:space="preserve"> found that 19 per cent</w:t>
      </w:r>
      <w:r w:rsidRPr="00AE1DCD">
        <w:rPr>
          <w:rFonts w:eastAsia="Times New Roman" w:cstheme="minorHAnsi"/>
          <w:szCs w:val="20"/>
        </w:rPr>
        <w:t xml:space="preserve"> of people born with atypical sex characteristics fail</w:t>
      </w:r>
      <w:r>
        <w:rPr>
          <w:rFonts w:eastAsia="Times New Roman" w:cstheme="minorHAnsi"/>
          <w:szCs w:val="20"/>
        </w:rPr>
        <w:t>ed to complete secondary school. The reasons</w:t>
      </w:r>
      <w:r w:rsidRPr="00AE1DCD">
        <w:rPr>
          <w:rFonts w:eastAsia="Times New Roman" w:cstheme="minorHAnsi"/>
          <w:szCs w:val="20"/>
        </w:rPr>
        <w:t xml:space="preserve"> include bullying on the basis of physical characteris</w:t>
      </w:r>
      <w:r w:rsidR="002F68CD">
        <w:rPr>
          <w:rFonts w:eastAsia="Times New Roman" w:cstheme="minorHAnsi"/>
          <w:szCs w:val="20"/>
        </w:rPr>
        <w:t xml:space="preserve">tics, developmental delay, </w:t>
      </w:r>
      <w:r w:rsidRPr="00AE1DCD">
        <w:rPr>
          <w:rFonts w:eastAsia="Times New Roman" w:cstheme="minorHAnsi"/>
          <w:szCs w:val="20"/>
        </w:rPr>
        <w:t xml:space="preserve">impact of medical interventions during </w:t>
      </w:r>
      <w:r w:rsidRPr="00AE1DCD">
        <w:rPr>
          <w:rFonts w:eastAsia="Times New Roman" w:cstheme="minorHAnsi"/>
          <w:szCs w:val="20"/>
        </w:rPr>
        <w:lastRenderedPageBreak/>
        <w:t>puberty, and lack of inclusive curricula.</w:t>
      </w:r>
      <w:r>
        <w:rPr>
          <w:rFonts w:eastAsia="Times New Roman" w:cstheme="minorHAnsi"/>
          <w:szCs w:val="20"/>
        </w:rPr>
        <w:t xml:space="preserve"> Only 25 per cent of participants in the study have rated their overall education experience positively.</w:t>
      </w:r>
      <w:r>
        <w:rPr>
          <w:rStyle w:val="FootnoteReference"/>
          <w:rFonts w:eastAsia="Times New Roman" w:cstheme="minorHAnsi"/>
          <w:szCs w:val="20"/>
        </w:rPr>
        <w:footnoteReference w:id="1"/>
      </w:r>
    </w:p>
    <w:p w14:paraId="1A8896F2" w14:textId="5CC45C5B" w:rsidR="00C97DB7" w:rsidRPr="001E10D4" w:rsidRDefault="00A17EA3" w:rsidP="001E10D4">
      <w:pPr>
        <w:pStyle w:val="BodyText3"/>
        <w:numPr>
          <w:ilvl w:val="0"/>
          <w:numId w:val="42"/>
        </w:numPr>
        <w:spacing w:line="276" w:lineRule="auto"/>
        <w:rPr>
          <w:rFonts w:asciiTheme="minorHAnsi" w:hAnsiTheme="minorHAnsi" w:cstheme="minorHAnsi"/>
          <w:sz w:val="22"/>
        </w:rPr>
      </w:pPr>
      <w:r>
        <w:rPr>
          <w:rFonts w:asciiTheme="minorHAnsi" w:hAnsiTheme="minorHAnsi" w:cstheme="minorHAnsi"/>
          <w:sz w:val="22"/>
        </w:rPr>
        <w:t>Gender diverse, t</w:t>
      </w:r>
      <w:r w:rsidR="00C97DB7" w:rsidRPr="001E10D4">
        <w:rPr>
          <w:rFonts w:asciiTheme="minorHAnsi" w:hAnsiTheme="minorHAnsi" w:cstheme="minorHAnsi"/>
          <w:sz w:val="22"/>
        </w:rPr>
        <w:t xml:space="preserve">ransgender and non-binary people experience significant health disparities </w:t>
      </w:r>
    </w:p>
    <w:p w14:paraId="6BFD3ABD" w14:textId="208B4130" w:rsidR="00C97DB7" w:rsidRPr="001E10D4" w:rsidRDefault="00C97DB7" w:rsidP="001E10D4">
      <w:pPr>
        <w:pStyle w:val="BodyText3"/>
        <w:numPr>
          <w:ilvl w:val="1"/>
          <w:numId w:val="42"/>
        </w:numPr>
        <w:spacing w:line="276" w:lineRule="auto"/>
        <w:rPr>
          <w:rFonts w:asciiTheme="minorHAnsi" w:hAnsiTheme="minorHAnsi" w:cstheme="minorHAnsi"/>
          <w:sz w:val="22"/>
        </w:rPr>
      </w:pPr>
      <w:r w:rsidRPr="001E10D4">
        <w:rPr>
          <w:rFonts w:asciiTheme="minorHAnsi" w:hAnsiTheme="minorHAnsi" w:cstheme="minorHAnsi"/>
          <w:sz w:val="22"/>
        </w:rPr>
        <w:t>73 per cent reporting lifetime diagnosis of depression; 67</w:t>
      </w:r>
      <w:r w:rsidR="00C64746">
        <w:rPr>
          <w:rFonts w:asciiTheme="minorHAnsi" w:hAnsiTheme="minorHAnsi" w:cstheme="minorHAnsi"/>
          <w:sz w:val="22"/>
        </w:rPr>
        <w:t xml:space="preserve"> per cent reporting anxiety; 63</w:t>
      </w:r>
      <w:r w:rsidR="00A17EA3">
        <w:rPr>
          <w:rFonts w:asciiTheme="minorHAnsi" w:hAnsiTheme="minorHAnsi" w:cstheme="minorHAnsi"/>
          <w:sz w:val="22"/>
        </w:rPr>
        <w:t> </w:t>
      </w:r>
      <w:r w:rsidR="00C64746">
        <w:rPr>
          <w:rFonts w:asciiTheme="minorHAnsi" w:hAnsiTheme="minorHAnsi" w:cstheme="minorHAnsi"/>
          <w:sz w:val="22"/>
        </w:rPr>
        <w:t xml:space="preserve">per cent </w:t>
      </w:r>
      <w:r w:rsidRPr="001E10D4">
        <w:rPr>
          <w:rFonts w:asciiTheme="minorHAnsi" w:hAnsiTheme="minorHAnsi" w:cstheme="minorHAnsi"/>
          <w:sz w:val="22"/>
        </w:rPr>
        <w:t>reporting previous self-harm and 43 per cent reporting they had attempted suicide.</w:t>
      </w:r>
    </w:p>
    <w:p w14:paraId="707FE215" w14:textId="77777777" w:rsidR="00C97DB7" w:rsidRPr="001E10D4" w:rsidRDefault="00C97DB7" w:rsidP="001E10D4">
      <w:pPr>
        <w:pStyle w:val="BodyText3"/>
        <w:numPr>
          <w:ilvl w:val="0"/>
          <w:numId w:val="42"/>
        </w:numPr>
        <w:spacing w:line="276" w:lineRule="auto"/>
        <w:rPr>
          <w:rFonts w:asciiTheme="minorHAnsi" w:hAnsiTheme="minorHAnsi" w:cstheme="minorHAnsi"/>
          <w:sz w:val="22"/>
        </w:rPr>
      </w:pPr>
      <w:r w:rsidRPr="001E10D4">
        <w:rPr>
          <w:rFonts w:asciiTheme="minorHAnsi" w:hAnsiTheme="minorHAnsi" w:cstheme="minorHAnsi"/>
          <w:sz w:val="22"/>
        </w:rPr>
        <w:t xml:space="preserve">Transgender and non-binary people experience the highest levels of intimate partner violence with 17.4 per cent of transgender women and 35.6 per cent of non-binary people reporting sexual violence. </w:t>
      </w:r>
    </w:p>
    <w:p w14:paraId="63F2796F" w14:textId="0C10830B" w:rsidR="00C97DB7" w:rsidRPr="001E10D4" w:rsidRDefault="00C97DB7" w:rsidP="001E10D4">
      <w:pPr>
        <w:pStyle w:val="BodyText3"/>
        <w:numPr>
          <w:ilvl w:val="0"/>
          <w:numId w:val="42"/>
        </w:numPr>
        <w:spacing w:line="276" w:lineRule="auto"/>
        <w:rPr>
          <w:rFonts w:asciiTheme="minorHAnsi" w:hAnsiTheme="minorHAnsi" w:cstheme="minorHAnsi"/>
          <w:sz w:val="22"/>
        </w:rPr>
      </w:pPr>
      <w:r w:rsidRPr="001E10D4">
        <w:rPr>
          <w:rFonts w:asciiTheme="minorHAnsi" w:hAnsiTheme="minorHAnsi" w:cstheme="minorHAnsi"/>
          <w:sz w:val="22"/>
        </w:rPr>
        <w:t>LGBTQIA+ communities face significant barriers to accessing essential inclusive services and supports in the community and are more likely in all Australian workplaces to experience sexual harassment.</w:t>
      </w:r>
      <w:r w:rsidRPr="001E10D4">
        <w:rPr>
          <w:rFonts w:asciiTheme="minorHAnsi" w:hAnsiTheme="minorHAnsi" w:cstheme="minorHAnsi"/>
          <w:sz w:val="22"/>
          <w:vertAlign w:val="superscript"/>
        </w:rPr>
        <w:footnoteReference w:id="2"/>
      </w:r>
    </w:p>
    <w:p w14:paraId="07551812" w14:textId="77777777" w:rsidR="003502D3" w:rsidRPr="001E10D4" w:rsidRDefault="00432601" w:rsidP="001E10D4">
      <w:pPr>
        <w:pStyle w:val="BodyText3"/>
        <w:numPr>
          <w:ilvl w:val="0"/>
          <w:numId w:val="42"/>
        </w:numPr>
        <w:spacing w:line="276" w:lineRule="auto"/>
        <w:rPr>
          <w:rFonts w:asciiTheme="minorHAnsi" w:hAnsiTheme="minorHAnsi" w:cstheme="minorHAnsi"/>
          <w:sz w:val="22"/>
        </w:rPr>
      </w:pPr>
      <w:r w:rsidRPr="001E10D4">
        <w:rPr>
          <w:rFonts w:asciiTheme="minorHAnsi" w:hAnsiTheme="minorHAnsi" w:cstheme="minorHAnsi"/>
          <w:sz w:val="22"/>
        </w:rPr>
        <w:t>A large number of LGBTI</w:t>
      </w:r>
      <w:r w:rsidR="00BF4F42" w:rsidRPr="001E10D4">
        <w:rPr>
          <w:rFonts w:asciiTheme="minorHAnsi" w:hAnsiTheme="minorHAnsi" w:cstheme="minorHAnsi"/>
          <w:sz w:val="22"/>
        </w:rPr>
        <w:t>Q+</w:t>
      </w:r>
      <w:r w:rsidRPr="001E10D4">
        <w:rPr>
          <w:rFonts w:asciiTheme="minorHAnsi" w:hAnsiTheme="minorHAnsi" w:cstheme="minorHAnsi"/>
          <w:sz w:val="22"/>
        </w:rPr>
        <w:t xml:space="preserve"> people hide their sexuality or gender identity when accessing services (34 per cent), at social and community events (42 per c</w:t>
      </w:r>
      <w:r w:rsidR="003502D3" w:rsidRPr="001E10D4">
        <w:rPr>
          <w:rFonts w:asciiTheme="minorHAnsi" w:hAnsiTheme="minorHAnsi" w:cstheme="minorHAnsi"/>
          <w:sz w:val="22"/>
        </w:rPr>
        <w:t>ent) and at work (39 per cent).</w:t>
      </w:r>
    </w:p>
    <w:p w14:paraId="6C07F975" w14:textId="465DC472" w:rsidR="00432601" w:rsidRPr="001E10D4" w:rsidRDefault="00432601" w:rsidP="001E10D4">
      <w:pPr>
        <w:pStyle w:val="BodyText3"/>
        <w:numPr>
          <w:ilvl w:val="1"/>
          <w:numId w:val="42"/>
        </w:numPr>
        <w:spacing w:line="276" w:lineRule="auto"/>
        <w:rPr>
          <w:rFonts w:asciiTheme="minorHAnsi" w:hAnsiTheme="minorHAnsi" w:cstheme="minorHAnsi"/>
          <w:sz w:val="22"/>
        </w:rPr>
      </w:pPr>
      <w:r w:rsidRPr="001E10D4">
        <w:rPr>
          <w:rFonts w:asciiTheme="minorHAnsi" w:hAnsiTheme="minorHAnsi" w:cstheme="minorHAnsi"/>
          <w:sz w:val="22"/>
        </w:rPr>
        <w:t>Young people aged 16 to 24 years are most likely to hide their sexuality or gender identity.</w:t>
      </w:r>
      <w:r w:rsidRPr="001E10D4">
        <w:rPr>
          <w:rFonts w:asciiTheme="minorHAnsi" w:hAnsiTheme="minorHAnsi" w:cstheme="minorHAnsi"/>
          <w:sz w:val="24"/>
          <w:vertAlign w:val="superscript"/>
        </w:rPr>
        <w:footnoteReference w:id="3"/>
      </w:r>
    </w:p>
    <w:p w14:paraId="76490E5B" w14:textId="2C43A825" w:rsidR="003502D3" w:rsidRPr="001E10D4" w:rsidRDefault="002B29D9" w:rsidP="001E10D4">
      <w:pPr>
        <w:pStyle w:val="BodyText3"/>
        <w:numPr>
          <w:ilvl w:val="0"/>
          <w:numId w:val="42"/>
        </w:numPr>
        <w:spacing w:line="276" w:lineRule="auto"/>
        <w:rPr>
          <w:rFonts w:asciiTheme="minorHAnsi" w:hAnsiTheme="minorHAnsi" w:cstheme="minorHAnsi"/>
          <w:sz w:val="22"/>
        </w:rPr>
      </w:pPr>
      <w:r w:rsidRPr="001E10D4">
        <w:rPr>
          <w:rFonts w:asciiTheme="minorHAnsi" w:hAnsiTheme="minorHAnsi" w:cstheme="minorHAnsi"/>
          <w:sz w:val="22"/>
        </w:rPr>
        <w:t xml:space="preserve">LGBTQIA+ employees are more likely to report lower levels of </w:t>
      </w:r>
      <w:r w:rsidR="00BD1BFF" w:rsidRPr="001E10D4">
        <w:rPr>
          <w:rFonts w:asciiTheme="minorHAnsi" w:hAnsiTheme="minorHAnsi" w:cstheme="minorHAnsi"/>
          <w:sz w:val="22"/>
        </w:rPr>
        <w:t>inclusion</w:t>
      </w:r>
      <w:r w:rsidRPr="001E10D4">
        <w:rPr>
          <w:rFonts w:asciiTheme="minorHAnsi" w:hAnsiTheme="minorHAnsi" w:cstheme="minorHAnsi"/>
          <w:sz w:val="22"/>
        </w:rPr>
        <w:t xml:space="preserve"> and higher levels of </w:t>
      </w:r>
      <w:r w:rsidR="00BD1BFF" w:rsidRPr="001E10D4">
        <w:rPr>
          <w:rFonts w:asciiTheme="minorHAnsi" w:hAnsiTheme="minorHAnsi" w:cstheme="minorHAnsi"/>
          <w:sz w:val="22"/>
        </w:rPr>
        <w:t>exclusion</w:t>
      </w:r>
      <w:r w:rsidRPr="001E10D4">
        <w:rPr>
          <w:rFonts w:asciiTheme="minorHAnsi" w:hAnsiTheme="minorHAnsi" w:cstheme="minorHAnsi"/>
          <w:sz w:val="22"/>
        </w:rPr>
        <w:t xml:space="preserve"> in the workplace. </w:t>
      </w:r>
    </w:p>
    <w:p w14:paraId="4FC93189" w14:textId="229E0B94" w:rsidR="002B29D9" w:rsidRPr="001E10D4" w:rsidRDefault="002B29D9" w:rsidP="001E10D4">
      <w:pPr>
        <w:pStyle w:val="BodyText3"/>
        <w:numPr>
          <w:ilvl w:val="1"/>
          <w:numId w:val="42"/>
        </w:numPr>
        <w:spacing w:line="276" w:lineRule="auto"/>
        <w:rPr>
          <w:rFonts w:asciiTheme="minorHAnsi" w:hAnsiTheme="minorHAnsi" w:cstheme="minorHAnsi"/>
          <w:sz w:val="22"/>
        </w:rPr>
      </w:pPr>
      <w:r w:rsidRPr="001E10D4">
        <w:rPr>
          <w:rFonts w:asciiTheme="minorHAnsi" w:hAnsiTheme="minorHAnsi" w:cstheme="minorHAnsi"/>
          <w:sz w:val="22"/>
        </w:rPr>
        <w:t>A survey conducted</w:t>
      </w:r>
      <w:r w:rsidR="00C97DB7" w:rsidRPr="001E10D4">
        <w:rPr>
          <w:rFonts w:asciiTheme="minorHAnsi" w:hAnsiTheme="minorHAnsi" w:cstheme="minorHAnsi"/>
          <w:sz w:val="22"/>
        </w:rPr>
        <w:t xml:space="preserve"> by PWC Australia found that 50 per cent</w:t>
      </w:r>
      <w:r w:rsidRPr="001E10D4">
        <w:rPr>
          <w:rFonts w:asciiTheme="minorHAnsi" w:hAnsiTheme="minorHAnsi" w:cstheme="minorHAnsi"/>
          <w:sz w:val="22"/>
        </w:rPr>
        <w:t xml:space="preserve"> of LGBTQIA+ respondents had observed homophobia in the workplace.</w:t>
      </w:r>
      <w:r w:rsidRPr="001E10D4">
        <w:rPr>
          <w:rFonts w:asciiTheme="minorHAnsi" w:hAnsiTheme="minorHAnsi"/>
          <w:sz w:val="22"/>
          <w:vertAlign w:val="superscript"/>
        </w:rPr>
        <w:footnoteReference w:id="4"/>
      </w:r>
    </w:p>
    <w:p w14:paraId="64E1685C" w14:textId="77777777" w:rsidR="00C97DB7" w:rsidRPr="001E10D4" w:rsidRDefault="00C97DB7" w:rsidP="001E10D4">
      <w:pPr>
        <w:pStyle w:val="BodyText3"/>
        <w:numPr>
          <w:ilvl w:val="0"/>
          <w:numId w:val="42"/>
        </w:numPr>
        <w:spacing w:line="276" w:lineRule="auto"/>
        <w:rPr>
          <w:rFonts w:asciiTheme="minorHAnsi" w:hAnsiTheme="minorHAnsi" w:cstheme="minorHAnsi"/>
          <w:sz w:val="22"/>
        </w:rPr>
      </w:pPr>
      <w:r w:rsidRPr="001E10D4">
        <w:rPr>
          <w:rFonts w:asciiTheme="minorHAnsi" w:hAnsiTheme="minorHAnsi" w:cstheme="minorHAnsi"/>
          <w:sz w:val="22"/>
        </w:rPr>
        <w:t xml:space="preserve">In the LGBTQIA+ community, 42 per cent of transgender women and 33 per cent of women of diverse sexualities report earning less than $400 a week, below the poverty line in Australia. </w:t>
      </w:r>
      <w:r w:rsidRPr="001E10D4">
        <w:rPr>
          <w:rFonts w:asciiTheme="minorHAnsi" w:hAnsiTheme="minorHAnsi"/>
          <w:sz w:val="22"/>
          <w:vertAlign w:val="superscript"/>
        </w:rPr>
        <w:footnoteReference w:id="5"/>
      </w:r>
    </w:p>
    <w:p w14:paraId="75F0ADAB" w14:textId="0A116C7C" w:rsidR="00C97DB7" w:rsidRPr="001E10D4" w:rsidRDefault="00C97DB7" w:rsidP="001E10D4">
      <w:pPr>
        <w:pStyle w:val="BodyText3"/>
        <w:numPr>
          <w:ilvl w:val="0"/>
          <w:numId w:val="42"/>
        </w:numPr>
        <w:spacing w:line="276" w:lineRule="auto"/>
        <w:rPr>
          <w:rFonts w:asciiTheme="minorHAnsi" w:hAnsiTheme="minorHAnsi" w:cstheme="minorHAnsi"/>
          <w:sz w:val="22"/>
        </w:rPr>
      </w:pPr>
      <w:r w:rsidRPr="001E10D4">
        <w:rPr>
          <w:rFonts w:asciiTheme="minorHAnsi" w:hAnsiTheme="minorHAnsi" w:cstheme="minorHAnsi"/>
          <w:sz w:val="22"/>
        </w:rPr>
        <w:t xml:space="preserve">32 per cent of transgender women and 20 per cent of women of diverse sexualities have experienced homelessness, compared to 13.4 per cent of the general population. </w:t>
      </w:r>
      <w:r w:rsidRPr="001E10D4">
        <w:rPr>
          <w:rFonts w:asciiTheme="minorHAnsi" w:hAnsiTheme="minorHAnsi"/>
          <w:sz w:val="22"/>
          <w:vertAlign w:val="superscript"/>
        </w:rPr>
        <w:footnoteReference w:id="6"/>
      </w:r>
    </w:p>
    <w:p w14:paraId="0ADA4366" w14:textId="47456360" w:rsidR="002D0CA7" w:rsidRPr="002871FE" w:rsidRDefault="002D0CA7" w:rsidP="002D0CA7">
      <w:pPr>
        <w:pStyle w:val="Heading1"/>
        <w:rPr>
          <w:highlight w:val="yellow"/>
        </w:rPr>
      </w:pPr>
      <w:r>
        <w:lastRenderedPageBreak/>
        <w:t>Drivers of gender inequality</w:t>
      </w:r>
    </w:p>
    <w:p w14:paraId="72586908" w14:textId="1101C3A0" w:rsidR="002D0CA7" w:rsidRDefault="002D0CA7" w:rsidP="003B64DA">
      <w:pPr>
        <w:spacing w:after="200"/>
        <w:rPr>
          <w:b/>
          <w:color w:val="FF0000"/>
          <w:highlight w:val="yellow"/>
        </w:rPr>
      </w:pPr>
      <w:r>
        <w:t>Our initial research and stakeholder feedback to date suggests</w:t>
      </w:r>
      <w:r w:rsidR="003B64DA">
        <w:t>, but are not limited to,</w:t>
      </w:r>
      <w:r>
        <w:t xml:space="preserve"> the following drivers of gender inequality for people who are part of the LGBTQIA+ communit</w:t>
      </w:r>
      <w:r w:rsidR="00BF4F42">
        <w:t>y:</w:t>
      </w:r>
    </w:p>
    <w:p w14:paraId="58CC43B0" w14:textId="77777777" w:rsidR="00436AA0" w:rsidRPr="001E10D4" w:rsidRDefault="00BF4F42" w:rsidP="001E10D4">
      <w:pPr>
        <w:pStyle w:val="BodyText3"/>
        <w:numPr>
          <w:ilvl w:val="0"/>
          <w:numId w:val="42"/>
        </w:numPr>
        <w:spacing w:line="276" w:lineRule="auto"/>
        <w:rPr>
          <w:rFonts w:asciiTheme="minorHAnsi" w:hAnsiTheme="minorHAnsi" w:cstheme="minorHAnsi"/>
          <w:sz w:val="22"/>
        </w:rPr>
      </w:pPr>
      <w:r w:rsidRPr="001E10D4">
        <w:rPr>
          <w:rFonts w:asciiTheme="minorHAnsi" w:hAnsiTheme="minorHAnsi" w:cstheme="minorHAnsi"/>
          <w:sz w:val="22"/>
        </w:rPr>
        <w:t xml:space="preserve">Different people experience inequality differently. For many people, the impacts of gender inequality are compounded by other forms of disadvantage and discrimination. </w:t>
      </w:r>
    </w:p>
    <w:p w14:paraId="49538C39" w14:textId="2E9004A8" w:rsidR="002B29D9" w:rsidRPr="001E10D4" w:rsidRDefault="00BF4F42" w:rsidP="001E10D4">
      <w:pPr>
        <w:pStyle w:val="BodyText3"/>
        <w:numPr>
          <w:ilvl w:val="0"/>
          <w:numId w:val="42"/>
        </w:numPr>
        <w:spacing w:line="276" w:lineRule="auto"/>
        <w:rPr>
          <w:rFonts w:asciiTheme="minorHAnsi" w:hAnsiTheme="minorHAnsi" w:cstheme="minorHAnsi"/>
          <w:sz w:val="22"/>
        </w:rPr>
      </w:pPr>
      <w:r w:rsidRPr="001E10D4">
        <w:rPr>
          <w:rFonts w:asciiTheme="minorHAnsi" w:hAnsiTheme="minorHAnsi" w:cstheme="minorHAnsi"/>
          <w:sz w:val="22"/>
        </w:rPr>
        <w:t>I</w:t>
      </w:r>
      <w:r w:rsidR="002B29D9" w:rsidRPr="001E10D4">
        <w:rPr>
          <w:rFonts w:asciiTheme="minorHAnsi" w:hAnsiTheme="minorHAnsi" w:cstheme="minorHAnsi"/>
          <w:sz w:val="22"/>
        </w:rPr>
        <w:t>nequality can be particularly compounded by the way gender-based discrimination intersects with other intersectional factors such as race, class, socio-economic status, ethnicity, sexual orientation, and disability.</w:t>
      </w:r>
    </w:p>
    <w:p w14:paraId="0C280952" w14:textId="3415481C" w:rsidR="004766B2" w:rsidRPr="001E10D4" w:rsidRDefault="002B29D9" w:rsidP="001E10D4">
      <w:pPr>
        <w:pStyle w:val="BodyText3"/>
        <w:numPr>
          <w:ilvl w:val="0"/>
          <w:numId w:val="42"/>
        </w:numPr>
        <w:spacing w:line="276" w:lineRule="auto"/>
        <w:rPr>
          <w:rFonts w:asciiTheme="minorHAnsi" w:hAnsiTheme="minorHAnsi" w:cstheme="minorHAnsi"/>
          <w:sz w:val="22"/>
        </w:rPr>
      </w:pPr>
      <w:r w:rsidRPr="001E10D4">
        <w:rPr>
          <w:rFonts w:asciiTheme="minorHAnsi" w:hAnsiTheme="minorHAnsi" w:cstheme="minorHAnsi"/>
          <w:sz w:val="22"/>
        </w:rPr>
        <w:t>To achieve equality and respect for all women, gender inequality cannot be seen as separate from other forms of discrimination and disadvantage that women face.</w:t>
      </w:r>
      <w:r w:rsidRPr="001E10D4">
        <w:rPr>
          <w:rFonts w:asciiTheme="minorHAnsi" w:hAnsiTheme="minorHAnsi" w:cstheme="minorHAnsi"/>
          <w:sz w:val="22"/>
          <w:vertAlign w:val="superscript"/>
        </w:rPr>
        <w:footnoteReference w:id="7"/>
      </w:r>
    </w:p>
    <w:p w14:paraId="6E424159" w14:textId="77777777" w:rsidR="002D0CA7" w:rsidRDefault="002D0CA7" w:rsidP="002D0CA7">
      <w:pPr>
        <w:pStyle w:val="Heading1"/>
      </w:pPr>
      <w:r>
        <w:t xml:space="preserve">Discussion </w:t>
      </w:r>
    </w:p>
    <w:p w14:paraId="7ED1E751" w14:textId="227DAB20" w:rsidR="002D0CA7" w:rsidRPr="00805037" w:rsidRDefault="002D0CA7" w:rsidP="002D0CA7">
      <w:pPr>
        <w:rPr>
          <w:b/>
        </w:rPr>
      </w:pPr>
      <w:r>
        <w:t>We ask that you contribute your views on:</w:t>
      </w:r>
    </w:p>
    <w:p w14:paraId="55A41585" w14:textId="1E388EA9" w:rsidR="002D0CA7" w:rsidRDefault="002D0CA7" w:rsidP="002D0CA7">
      <w:pPr>
        <w:pStyle w:val="ListParagraph"/>
        <w:numPr>
          <w:ilvl w:val="0"/>
          <w:numId w:val="36"/>
        </w:numPr>
      </w:pPr>
      <w:r>
        <w:t>What are the drivers of gender inequality for people who are part of the LGBTQIA+ community?</w:t>
      </w:r>
    </w:p>
    <w:p w14:paraId="12DA7C57" w14:textId="0E0FC4EE" w:rsidR="002D0CA7" w:rsidRDefault="002D0CA7" w:rsidP="002D0CA7">
      <w:pPr>
        <w:pStyle w:val="ListParagraph"/>
        <w:numPr>
          <w:ilvl w:val="0"/>
          <w:numId w:val="36"/>
        </w:numPr>
      </w:pPr>
      <w:r>
        <w:t>What are the barriers to achieve greater gender equality for people who are part of the LGBTQIA+ community in Australia?</w:t>
      </w:r>
    </w:p>
    <w:p w14:paraId="62E0D418" w14:textId="5E3C4015" w:rsidR="002D0CA7" w:rsidRDefault="002D0CA7" w:rsidP="002D0CA7">
      <w:pPr>
        <w:pStyle w:val="ListParagraph"/>
        <w:numPr>
          <w:ilvl w:val="0"/>
          <w:numId w:val="36"/>
        </w:numPr>
      </w:pPr>
      <w:r>
        <w:t xml:space="preserve">What are some concrete policy options that Government should consider to enable better outcomes for people who are part of the LGBTQIA+ community? </w:t>
      </w:r>
    </w:p>
    <w:p w14:paraId="6635894A" w14:textId="77777777" w:rsidR="002D0CA7" w:rsidRDefault="002D0CA7" w:rsidP="002D0CA7">
      <w:pPr>
        <w:pStyle w:val="ListParagraph"/>
        <w:numPr>
          <w:ilvl w:val="0"/>
          <w:numId w:val="36"/>
        </w:numPr>
      </w:pPr>
      <w:r>
        <w:t xml:space="preserve">How do you think we best measure success of the Strategy? </w:t>
      </w:r>
    </w:p>
    <w:p w14:paraId="2EE0BD4A" w14:textId="77777777" w:rsidR="002D0CA7" w:rsidRPr="007F10FD" w:rsidRDefault="002D0CA7" w:rsidP="00A17EA3">
      <w:pPr>
        <w:pStyle w:val="ListParagraph"/>
        <w:ind w:left="142"/>
      </w:pPr>
    </w:p>
    <w:p w14:paraId="242601AA" w14:textId="77777777" w:rsidR="00EE74AE" w:rsidRPr="00EE74AE" w:rsidRDefault="00EE74AE" w:rsidP="00EE74AE">
      <w:pPr>
        <w:pStyle w:val="BodyText3"/>
        <w:spacing w:line="276" w:lineRule="auto"/>
        <w:rPr>
          <w:rFonts w:asciiTheme="minorHAnsi" w:hAnsiTheme="minorHAnsi" w:cstheme="minorHAnsi"/>
          <w:sz w:val="22"/>
        </w:rPr>
      </w:pPr>
      <w:r w:rsidRPr="00EE74AE">
        <w:rPr>
          <w:rFonts w:asciiTheme="minorHAnsi" w:eastAsiaTheme="minorEastAsia" w:hAnsiTheme="minorHAnsi" w:cstheme="minorBidi"/>
          <w:sz w:val="22"/>
          <w:szCs w:val="21"/>
        </w:rPr>
        <w:t>We are mindful of the need to ensure the rich variety of lived experiences of people in Australia are captured during this consultation process. This includes hearing from those who:</w:t>
      </w:r>
    </w:p>
    <w:p w14:paraId="3E3B9716" w14:textId="3CF528AB" w:rsidR="002D0CA7" w:rsidRPr="001E10D4" w:rsidRDefault="002D0CA7" w:rsidP="00EE74AE">
      <w:pPr>
        <w:pStyle w:val="BodyText3"/>
        <w:numPr>
          <w:ilvl w:val="0"/>
          <w:numId w:val="42"/>
        </w:numPr>
        <w:spacing w:line="276" w:lineRule="auto"/>
        <w:rPr>
          <w:rFonts w:asciiTheme="minorHAnsi" w:hAnsiTheme="minorHAnsi" w:cstheme="minorHAnsi"/>
          <w:sz w:val="22"/>
        </w:rPr>
      </w:pPr>
      <w:r w:rsidRPr="001E10D4">
        <w:rPr>
          <w:rFonts w:asciiTheme="minorHAnsi" w:hAnsiTheme="minorHAnsi" w:cstheme="minorHAnsi"/>
          <w:sz w:val="22"/>
        </w:rPr>
        <w:t>are living with disability;</w:t>
      </w:r>
    </w:p>
    <w:p w14:paraId="0F1FF4D9" w14:textId="77777777" w:rsidR="002D0CA7" w:rsidRPr="001E10D4" w:rsidRDefault="002D0CA7" w:rsidP="001E10D4">
      <w:pPr>
        <w:pStyle w:val="BodyText3"/>
        <w:numPr>
          <w:ilvl w:val="0"/>
          <w:numId w:val="42"/>
        </w:numPr>
        <w:spacing w:line="276" w:lineRule="auto"/>
        <w:rPr>
          <w:rFonts w:asciiTheme="minorHAnsi" w:hAnsiTheme="minorHAnsi" w:cstheme="minorHAnsi"/>
          <w:sz w:val="22"/>
        </w:rPr>
      </w:pPr>
      <w:r w:rsidRPr="001E10D4">
        <w:rPr>
          <w:rFonts w:asciiTheme="minorHAnsi" w:hAnsiTheme="minorHAnsi" w:cstheme="minorHAnsi"/>
          <w:sz w:val="22"/>
        </w:rPr>
        <w:t xml:space="preserve">are First Nations people; </w:t>
      </w:r>
    </w:p>
    <w:p w14:paraId="5800D1BE" w14:textId="77777777" w:rsidR="002D0CA7" w:rsidRPr="001E10D4" w:rsidRDefault="002D0CA7" w:rsidP="001E10D4">
      <w:pPr>
        <w:pStyle w:val="BodyText3"/>
        <w:numPr>
          <w:ilvl w:val="0"/>
          <w:numId w:val="42"/>
        </w:numPr>
        <w:spacing w:line="276" w:lineRule="auto"/>
        <w:rPr>
          <w:rFonts w:asciiTheme="minorHAnsi" w:hAnsiTheme="minorHAnsi" w:cstheme="minorHAnsi"/>
          <w:sz w:val="22"/>
        </w:rPr>
      </w:pPr>
      <w:r w:rsidRPr="001E10D4">
        <w:rPr>
          <w:rFonts w:asciiTheme="minorHAnsi" w:hAnsiTheme="minorHAnsi" w:cstheme="minorHAnsi"/>
          <w:sz w:val="22"/>
        </w:rPr>
        <w:t>are people who are part of the LGBTQIA+ community;</w:t>
      </w:r>
    </w:p>
    <w:p w14:paraId="327B469B" w14:textId="4EB795FD" w:rsidR="002D0CA7" w:rsidRPr="001E10D4" w:rsidRDefault="002D0CA7" w:rsidP="001E10D4">
      <w:pPr>
        <w:pStyle w:val="BodyText3"/>
        <w:numPr>
          <w:ilvl w:val="0"/>
          <w:numId w:val="42"/>
        </w:numPr>
        <w:spacing w:line="276" w:lineRule="auto"/>
        <w:rPr>
          <w:rFonts w:asciiTheme="minorHAnsi" w:hAnsiTheme="minorHAnsi" w:cstheme="minorHAnsi"/>
          <w:sz w:val="22"/>
        </w:rPr>
      </w:pPr>
      <w:r w:rsidRPr="001E10D4">
        <w:rPr>
          <w:rFonts w:asciiTheme="minorHAnsi" w:hAnsiTheme="minorHAnsi" w:cstheme="minorHAnsi"/>
          <w:sz w:val="22"/>
        </w:rPr>
        <w:t xml:space="preserve">are </w:t>
      </w:r>
      <w:r w:rsidR="00842AA5">
        <w:rPr>
          <w:rFonts w:asciiTheme="minorHAnsi" w:hAnsiTheme="minorHAnsi" w:cstheme="minorHAnsi"/>
          <w:sz w:val="22"/>
        </w:rPr>
        <w:t>migrants and refugees</w:t>
      </w:r>
      <w:r w:rsidRPr="001E10D4">
        <w:rPr>
          <w:rFonts w:asciiTheme="minorHAnsi" w:hAnsiTheme="minorHAnsi" w:cstheme="minorHAnsi"/>
          <w:sz w:val="22"/>
        </w:rPr>
        <w:t>;</w:t>
      </w:r>
    </w:p>
    <w:p w14:paraId="3E508751" w14:textId="77777777" w:rsidR="002D0CA7" w:rsidRPr="001E10D4" w:rsidRDefault="002D0CA7" w:rsidP="001E10D4">
      <w:pPr>
        <w:pStyle w:val="BodyText3"/>
        <w:numPr>
          <w:ilvl w:val="0"/>
          <w:numId w:val="42"/>
        </w:numPr>
        <w:spacing w:line="276" w:lineRule="auto"/>
        <w:rPr>
          <w:rFonts w:asciiTheme="minorHAnsi" w:hAnsiTheme="minorHAnsi" w:cstheme="minorHAnsi"/>
          <w:sz w:val="22"/>
        </w:rPr>
      </w:pPr>
      <w:r w:rsidRPr="001E10D4">
        <w:rPr>
          <w:rFonts w:asciiTheme="minorHAnsi" w:hAnsiTheme="minorHAnsi" w:cstheme="minorHAnsi"/>
          <w:sz w:val="22"/>
        </w:rPr>
        <w:t>are people of colour;</w:t>
      </w:r>
    </w:p>
    <w:p w14:paraId="3264148E" w14:textId="77777777" w:rsidR="002D0CA7" w:rsidRPr="001E10D4" w:rsidRDefault="002D0CA7" w:rsidP="001E10D4">
      <w:pPr>
        <w:pStyle w:val="BodyText3"/>
        <w:numPr>
          <w:ilvl w:val="0"/>
          <w:numId w:val="42"/>
        </w:numPr>
        <w:spacing w:line="276" w:lineRule="auto"/>
        <w:rPr>
          <w:rFonts w:asciiTheme="minorHAnsi" w:hAnsiTheme="minorHAnsi" w:cstheme="minorHAnsi"/>
          <w:sz w:val="22"/>
        </w:rPr>
      </w:pPr>
      <w:r w:rsidRPr="001E10D4">
        <w:rPr>
          <w:rFonts w:asciiTheme="minorHAnsi" w:hAnsiTheme="minorHAnsi" w:cstheme="minorHAnsi"/>
          <w:sz w:val="22"/>
        </w:rPr>
        <w:t xml:space="preserve">are living in regional and remote areas; </w:t>
      </w:r>
    </w:p>
    <w:p w14:paraId="4475552A" w14:textId="77777777" w:rsidR="002D0CA7" w:rsidRPr="001E10D4" w:rsidRDefault="002D0CA7" w:rsidP="001E10D4">
      <w:pPr>
        <w:pStyle w:val="BodyText3"/>
        <w:numPr>
          <w:ilvl w:val="0"/>
          <w:numId w:val="42"/>
        </w:numPr>
        <w:spacing w:line="276" w:lineRule="auto"/>
        <w:rPr>
          <w:rFonts w:asciiTheme="minorHAnsi" w:hAnsiTheme="minorHAnsi" w:cstheme="minorHAnsi"/>
          <w:sz w:val="22"/>
        </w:rPr>
      </w:pPr>
      <w:r w:rsidRPr="001E10D4">
        <w:rPr>
          <w:rFonts w:asciiTheme="minorHAnsi" w:hAnsiTheme="minorHAnsi" w:cstheme="minorHAnsi"/>
          <w:sz w:val="22"/>
        </w:rPr>
        <w:lastRenderedPageBreak/>
        <w:t>are of different ages and life stages, education levels, migration status, and/or socio-economic background;</w:t>
      </w:r>
    </w:p>
    <w:p w14:paraId="4587868D" w14:textId="77777777" w:rsidR="00C340E7" w:rsidRDefault="002D0CA7" w:rsidP="00C340E7">
      <w:pPr>
        <w:pStyle w:val="BodyText3"/>
        <w:numPr>
          <w:ilvl w:val="0"/>
          <w:numId w:val="42"/>
        </w:numPr>
        <w:spacing w:line="276" w:lineRule="auto"/>
        <w:rPr>
          <w:rFonts w:asciiTheme="minorHAnsi" w:hAnsiTheme="minorHAnsi" w:cstheme="minorHAnsi"/>
          <w:sz w:val="22"/>
        </w:rPr>
      </w:pPr>
      <w:r w:rsidRPr="001E10D4">
        <w:rPr>
          <w:rFonts w:asciiTheme="minorHAnsi" w:hAnsiTheme="minorHAnsi" w:cstheme="minorHAnsi"/>
          <w:sz w:val="22"/>
        </w:rPr>
        <w:t xml:space="preserve">have experience of trauma; as well as </w:t>
      </w:r>
    </w:p>
    <w:p w14:paraId="67B22E40" w14:textId="1D2F9583" w:rsidR="006A5AA6" w:rsidRPr="00C340E7" w:rsidRDefault="002D0CA7" w:rsidP="00C340E7">
      <w:pPr>
        <w:pStyle w:val="BodyText3"/>
        <w:numPr>
          <w:ilvl w:val="0"/>
          <w:numId w:val="42"/>
        </w:numPr>
        <w:spacing w:line="276" w:lineRule="auto"/>
        <w:rPr>
          <w:rFonts w:asciiTheme="minorHAnsi" w:hAnsiTheme="minorHAnsi" w:cstheme="minorHAnsi"/>
          <w:sz w:val="22"/>
        </w:rPr>
      </w:pPr>
      <w:r w:rsidRPr="00C340E7">
        <w:rPr>
          <w:rFonts w:asciiTheme="minorHAnsi" w:hAnsiTheme="minorHAnsi" w:cstheme="minorHAnsi"/>
          <w:sz w:val="22"/>
        </w:rPr>
        <w:t>all other factors that may impact people’s experience of</w:t>
      </w:r>
      <w:r w:rsidR="00F608E7" w:rsidRPr="00C340E7">
        <w:rPr>
          <w:rFonts w:asciiTheme="minorHAnsi" w:hAnsiTheme="minorHAnsi" w:cstheme="minorHAnsi"/>
          <w:sz w:val="22"/>
        </w:rPr>
        <w:t xml:space="preserve"> gender equality or inequality</w:t>
      </w:r>
    </w:p>
    <w:sectPr w:rsidR="006A5AA6" w:rsidRPr="00C340E7" w:rsidSect="004009A3">
      <w:headerReference w:type="default" r:id="rId18"/>
      <w:footerReference w:type="default" r:id="rId19"/>
      <w:headerReference w:type="first" r:id="rId20"/>
      <w:footerReference w:type="first" r:id="rId21"/>
      <w:pgSz w:w="11906" w:h="16838"/>
      <w:pgMar w:top="1701" w:right="1134" w:bottom="1701" w:left="1134"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4D1B7" w14:textId="77777777" w:rsidR="006C1DC7" w:rsidRDefault="006C1DC7" w:rsidP="00F957C6">
      <w:pPr>
        <w:spacing w:after="0" w:line="240" w:lineRule="auto"/>
      </w:pPr>
      <w:r>
        <w:separator/>
      </w:r>
    </w:p>
  </w:endnote>
  <w:endnote w:type="continuationSeparator" w:id="0">
    <w:p w14:paraId="1E55B516" w14:textId="77777777" w:rsidR="006C1DC7" w:rsidRDefault="006C1DC7"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FC648" w14:textId="10B486FB" w:rsidR="00D10635" w:rsidRPr="00285CAF" w:rsidRDefault="00D10635" w:rsidP="00D10635">
    <w:pPr>
      <w:jc w:val="center"/>
    </w:pPr>
  </w:p>
  <w:p w14:paraId="665668DC" w14:textId="5AF5FB8F" w:rsidR="00037513" w:rsidRPr="008046D4" w:rsidRDefault="00037513" w:rsidP="00D10635">
    <w:pPr>
      <w:pStyle w:val="Header"/>
      <w:rPr>
        <w:rFonts w:ascii="Segoe UI" w:hAnsi="Segoe UI" w:cs="Segoe UI"/>
        <w:color w:val="7F7F7F" w:themeColor="text1" w:themeTint="80"/>
        <w:sz w:val="18"/>
      </w:rPr>
    </w:pPr>
    <w:r>
      <w:rPr>
        <w:color w:val="7F7F7F" w:themeColor="text1" w:themeTint="80"/>
        <w:sz w:val="18"/>
        <w:szCs w:val="18"/>
      </w:rPr>
      <w:t>PM&amp;C |</w:t>
    </w:r>
    <w:r w:rsidR="002160A7">
      <w:rPr>
        <w:color w:val="7F7F7F" w:themeColor="text1" w:themeTint="80"/>
        <w:sz w:val="18"/>
        <w:szCs w:val="18"/>
      </w:rPr>
      <w:t xml:space="preserve"> </w:t>
    </w:r>
    <w:sdt>
      <w:sdtPr>
        <w:rPr>
          <w:color w:val="7F7F7F" w:themeColor="text1" w:themeTint="80"/>
          <w:sz w:val="18"/>
          <w:szCs w:val="18"/>
        </w:rPr>
        <w:alias w:val="Manager"/>
        <w:tag w:val=""/>
        <w:id w:val="-1248491664"/>
        <w:dataBinding w:prefixMappings="xmlns:ns0='http://schemas.openxmlformats.org/officeDocument/2006/extended-properties' " w:xpath="/ns0:Properties[1]/ns0:Manager[1]" w:storeItemID="{6668398D-A668-4E3E-A5EB-62B293D839F1}"/>
        <w:text/>
      </w:sdtPr>
      <w:sdtEndPr/>
      <w:sdtContent>
        <w:r w:rsidR="002D0CA7">
          <w:rPr>
            <w:color w:val="7F7F7F" w:themeColor="text1" w:themeTint="80"/>
            <w:sz w:val="18"/>
            <w:szCs w:val="18"/>
          </w:rPr>
          <w:t>Office for Women</w:t>
        </w:r>
      </w:sdtContent>
    </w:sdt>
    <w:r w:rsidR="002160A7">
      <w:rPr>
        <w:color w:val="7F7F7F" w:themeColor="text1" w:themeTint="80"/>
        <w:sz w:val="18"/>
        <w:szCs w:val="18"/>
      </w:rPr>
      <w:t xml:space="preserve"> </w:t>
    </w:r>
    <w:r>
      <w:rPr>
        <w:color w:val="7F7F7F" w:themeColor="text1" w:themeTint="80"/>
        <w:sz w:val="18"/>
        <w:szCs w:val="18"/>
      </w:rPr>
      <w:t xml:space="preserve">| </w:t>
    </w:r>
    <w:sdt>
      <w:sdtPr>
        <w:rPr>
          <w:color w:val="7F7F7F" w:themeColor="text1" w:themeTint="80"/>
          <w:sz w:val="18"/>
          <w:szCs w:val="18"/>
        </w:rPr>
        <w:alias w:val="Title"/>
        <w:tag w:val=""/>
        <w:id w:val="-856421456"/>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B07018">
          <w:rPr>
            <w:color w:val="7F7F7F" w:themeColor="text1" w:themeTint="80"/>
            <w:sz w:val="18"/>
            <w:szCs w:val="18"/>
          </w:rPr>
          <w:t>Gender Diverse, including LGBTIQA+</w:t>
        </w:r>
      </w:sdtContent>
    </w:sdt>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9D0D28">
      <w:rPr>
        <w:rFonts w:ascii="Segoe UI" w:hAnsi="Segoe UI" w:cs="Segoe UI"/>
        <w:noProof/>
        <w:color w:val="7F7F7F" w:themeColor="text1" w:themeTint="80"/>
        <w:sz w:val="18"/>
      </w:rPr>
      <w:t>5</w:t>
    </w:r>
    <w:r w:rsidRPr="008046D4">
      <w:rPr>
        <w:rFonts w:ascii="Segoe UI" w:hAnsi="Segoe UI" w:cs="Segoe UI"/>
        <w:noProof/>
        <w:color w:val="7F7F7F" w:themeColor="text1" w:themeTint="8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6D564" w14:textId="706C862B" w:rsidR="002160A7" w:rsidRPr="00285CAF" w:rsidRDefault="002160A7" w:rsidP="002160A7">
    <w:pPr>
      <w:jc w:val="center"/>
    </w:pPr>
  </w:p>
  <w:p w14:paraId="70A5306C" w14:textId="11DB5038" w:rsidR="002160A7" w:rsidRPr="008046D4" w:rsidRDefault="002160A7" w:rsidP="002160A7">
    <w:pPr>
      <w:pStyle w:val="Header"/>
      <w:rPr>
        <w:rFonts w:ascii="Segoe UI" w:hAnsi="Segoe UI" w:cs="Segoe UI"/>
        <w:color w:val="7F7F7F" w:themeColor="text1" w:themeTint="80"/>
        <w:sz w:val="18"/>
      </w:rPr>
    </w:pPr>
    <w:r>
      <w:rPr>
        <w:color w:val="7F7F7F" w:themeColor="text1" w:themeTint="80"/>
        <w:sz w:val="18"/>
        <w:szCs w:val="18"/>
      </w:rPr>
      <w:t xml:space="preserve">PM&amp;C | </w:t>
    </w:r>
    <w:sdt>
      <w:sdtPr>
        <w:rPr>
          <w:color w:val="7F7F7F" w:themeColor="text1" w:themeTint="80"/>
          <w:sz w:val="18"/>
          <w:szCs w:val="18"/>
        </w:rPr>
        <w:alias w:val="Manager"/>
        <w:tag w:val=""/>
        <w:id w:val="1375738123"/>
        <w:dataBinding w:prefixMappings="xmlns:ns0='http://schemas.openxmlformats.org/officeDocument/2006/extended-properties' " w:xpath="/ns0:Properties[1]/ns0:Manager[1]" w:storeItemID="{6668398D-A668-4E3E-A5EB-62B293D839F1}"/>
        <w:text/>
      </w:sdtPr>
      <w:sdtEndPr/>
      <w:sdtContent>
        <w:r w:rsidR="002D0CA7">
          <w:rPr>
            <w:color w:val="7F7F7F" w:themeColor="text1" w:themeTint="80"/>
            <w:sz w:val="18"/>
            <w:szCs w:val="18"/>
          </w:rPr>
          <w:t>Office for Women</w:t>
        </w:r>
      </w:sdtContent>
    </w:sdt>
    <w:r>
      <w:rPr>
        <w:color w:val="7F7F7F" w:themeColor="text1" w:themeTint="80"/>
        <w:sz w:val="18"/>
        <w:szCs w:val="18"/>
      </w:rPr>
      <w:t xml:space="preserve"> | </w:t>
    </w:r>
    <w:sdt>
      <w:sdtPr>
        <w:rPr>
          <w:color w:val="7F7F7F" w:themeColor="text1" w:themeTint="80"/>
          <w:sz w:val="18"/>
          <w:szCs w:val="18"/>
        </w:rPr>
        <w:alias w:val="Title"/>
        <w:tag w:val=""/>
        <w:id w:val="177018151"/>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B07018">
          <w:rPr>
            <w:color w:val="7F7F7F" w:themeColor="text1" w:themeTint="80"/>
            <w:sz w:val="18"/>
            <w:szCs w:val="18"/>
          </w:rPr>
          <w:t>Gender Diverse, including LGBTIQA+</w:t>
        </w:r>
      </w:sdtContent>
    </w:sdt>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9D0D28">
      <w:rPr>
        <w:rFonts w:ascii="Segoe UI" w:hAnsi="Segoe UI" w:cs="Segoe UI"/>
        <w:noProof/>
        <w:color w:val="7F7F7F" w:themeColor="text1" w:themeTint="80"/>
        <w:sz w:val="18"/>
      </w:rPr>
      <w:t>1</w:t>
    </w:r>
    <w:r w:rsidRPr="008046D4">
      <w:rPr>
        <w:rFonts w:ascii="Segoe UI" w:hAnsi="Segoe UI" w:cs="Segoe UI"/>
        <w:noProof/>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E1BC5" w14:textId="77777777" w:rsidR="006C1DC7" w:rsidRDefault="006C1DC7" w:rsidP="00F957C6">
      <w:pPr>
        <w:spacing w:after="0" w:line="240" w:lineRule="auto"/>
      </w:pPr>
      <w:r>
        <w:separator/>
      </w:r>
    </w:p>
  </w:footnote>
  <w:footnote w:type="continuationSeparator" w:id="0">
    <w:p w14:paraId="3B23D1B4" w14:textId="77777777" w:rsidR="006C1DC7" w:rsidRDefault="006C1DC7" w:rsidP="00F957C6">
      <w:pPr>
        <w:spacing w:after="0" w:line="240" w:lineRule="auto"/>
      </w:pPr>
      <w:r>
        <w:continuationSeparator/>
      </w:r>
    </w:p>
  </w:footnote>
  <w:footnote w:id="1">
    <w:p w14:paraId="7ACC6A9C" w14:textId="7BC9FBD4" w:rsidR="001A4E6A" w:rsidRPr="002F68CD" w:rsidRDefault="001A4E6A" w:rsidP="001A4E6A">
      <w:pPr>
        <w:pStyle w:val="FootnoteText"/>
        <w:rPr>
          <w:rFonts w:ascii="Segoe UI Light" w:hAnsi="Segoe UI Light" w:cs="Segoe UI Light"/>
        </w:rPr>
      </w:pPr>
      <w:r w:rsidRPr="002F68CD">
        <w:rPr>
          <w:rStyle w:val="FootnoteReference"/>
          <w:rFonts w:ascii="Segoe UI Light" w:hAnsi="Segoe UI Light" w:cs="Segoe UI Light"/>
        </w:rPr>
        <w:footnoteRef/>
      </w:r>
      <w:r w:rsidR="002F68CD" w:rsidRPr="002F68CD">
        <w:rPr>
          <w:rFonts w:ascii="Segoe UI Light" w:hAnsi="Segoe UI Light" w:cs="Segoe UI Light"/>
        </w:rPr>
        <w:t xml:space="preserve"> </w:t>
      </w:r>
      <w:r w:rsidR="002F68CD">
        <w:rPr>
          <w:rFonts w:ascii="Segoe UI Light" w:hAnsi="Segoe UI Light" w:cs="Segoe UI Light"/>
        </w:rPr>
        <w:t xml:space="preserve">Jones T (2016) “The needs of students with intersex variations’, </w:t>
      </w:r>
      <w:r w:rsidR="002F68CD">
        <w:rPr>
          <w:rFonts w:ascii="Segoe UI Light" w:hAnsi="Segoe UI Light" w:cs="Segoe UI Light"/>
          <w:i/>
        </w:rPr>
        <w:t xml:space="preserve">Sex Education, </w:t>
      </w:r>
      <w:r w:rsidR="002F68CD">
        <w:rPr>
          <w:rFonts w:ascii="Segoe UI Light" w:hAnsi="Segoe UI Light" w:cs="Segoe UI Light"/>
        </w:rPr>
        <w:t>16: 602–618.</w:t>
      </w:r>
      <w:r w:rsidRPr="002F68CD">
        <w:rPr>
          <w:rFonts w:ascii="Segoe UI Light" w:hAnsi="Segoe UI Light" w:cs="Segoe UI Light"/>
        </w:rPr>
        <w:t xml:space="preserve"> </w:t>
      </w:r>
    </w:p>
  </w:footnote>
  <w:footnote w:id="2">
    <w:p w14:paraId="6829955A" w14:textId="40E151E5" w:rsidR="00C97DB7" w:rsidRPr="001840B4" w:rsidRDefault="00C97DB7" w:rsidP="00125E2F">
      <w:pPr>
        <w:pStyle w:val="FootnoteText"/>
        <w:rPr>
          <w:rFonts w:asciiTheme="minorHAnsi" w:hAnsiTheme="minorHAnsi" w:cstheme="minorHAnsi"/>
        </w:rPr>
      </w:pPr>
      <w:r w:rsidRPr="003D260C">
        <w:rPr>
          <w:rStyle w:val="FootnoteReference"/>
          <w:rFonts w:asciiTheme="minorHAnsi" w:hAnsiTheme="minorHAnsi" w:cstheme="minorHAnsi"/>
        </w:rPr>
        <w:footnoteRef/>
      </w:r>
      <w:r w:rsidRPr="003D260C">
        <w:rPr>
          <w:rFonts w:asciiTheme="minorHAnsi" w:hAnsiTheme="minorHAnsi" w:cstheme="minorHAnsi"/>
        </w:rPr>
        <w:t xml:space="preserve"> </w:t>
      </w:r>
      <w:r w:rsidRPr="003D260C">
        <w:rPr>
          <w:rFonts w:asciiTheme="minorHAnsi" w:hAnsiTheme="minorHAnsi" w:cstheme="minorHAnsi"/>
          <w:lang w:eastAsia="en-AU"/>
        </w:rPr>
        <w:t>Aust</w:t>
      </w:r>
      <w:r w:rsidR="003B3159">
        <w:rPr>
          <w:rFonts w:asciiTheme="minorHAnsi" w:hAnsiTheme="minorHAnsi" w:cstheme="minorHAnsi"/>
          <w:lang w:eastAsia="en-AU"/>
        </w:rPr>
        <w:t>ralian Human Rights Commission (2015)</w:t>
      </w:r>
      <w:r w:rsidRPr="003D260C">
        <w:rPr>
          <w:rFonts w:asciiTheme="minorHAnsi" w:hAnsiTheme="minorHAnsi" w:cstheme="minorHAnsi"/>
          <w:lang w:eastAsia="en-AU"/>
        </w:rPr>
        <w:t xml:space="preserve"> </w:t>
      </w:r>
      <w:r w:rsidR="003B3159">
        <w:rPr>
          <w:rFonts w:asciiTheme="minorHAnsi" w:hAnsiTheme="minorHAnsi" w:cstheme="minorHAnsi"/>
          <w:lang w:eastAsia="en-AU"/>
        </w:rPr>
        <w:t>‘</w:t>
      </w:r>
      <w:r w:rsidRPr="003D260C">
        <w:rPr>
          <w:rFonts w:asciiTheme="minorHAnsi" w:hAnsiTheme="minorHAnsi" w:cstheme="minorHAnsi"/>
          <w:lang w:eastAsia="en-AU"/>
        </w:rPr>
        <w:t>Face the facts: Lesbian, Gay, Bisexual, Trans and Intersex People</w:t>
      </w:r>
      <w:r w:rsidR="003B3159">
        <w:rPr>
          <w:rFonts w:asciiTheme="minorHAnsi" w:hAnsiTheme="minorHAnsi" w:cstheme="minorHAnsi"/>
          <w:lang w:eastAsia="en-AU"/>
        </w:rPr>
        <w:t>’</w:t>
      </w:r>
      <w:r w:rsidRPr="003D260C">
        <w:rPr>
          <w:rFonts w:asciiTheme="minorHAnsi" w:hAnsiTheme="minorHAnsi" w:cstheme="minorHAnsi"/>
          <w:lang w:eastAsia="en-AU"/>
        </w:rPr>
        <w:t>, </w:t>
      </w:r>
      <w:hyperlink r:id="rId1" w:tooltip="https://www.humanrights.gov.au/our-work/education/face-facts-lesbian-gay-bisexual-trans-and-intersex-people | You are going to a website which is not maintained or funded by the State of Victoria. Follow the link to continue." w:history="1">
        <w:r w:rsidRPr="003D260C">
          <w:rPr>
            <w:rFonts w:asciiTheme="minorHAnsi" w:hAnsiTheme="minorHAnsi" w:cstheme="minorHAnsi"/>
            <w:lang w:eastAsia="en-AU"/>
          </w:rPr>
          <w:t>https://www.humanrights.gov.au/our-work/education/face-facts-lesbian-gay-bisexual-trans-and-intersex-people</w:t>
        </w:r>
      </w:hyperlink>
      <w:r w:rsidR="003B3159">
        <w:rPr>
          <w:rFonts w:asciiTheme="minorHAnsi" w:hAnsiTheme="minorHAnsi" w:cstheme="minorHAnsi"/>
          <w:lang w:eastAsia="en-AU"/>
        </w:rPr>
        <w:t xml:space="preserve">. </w:t>
      </w:r>
    </w:p>
  </w:footnote>
  <w:footnote w:id="3">
    <w:p w14:paraId="6B290BC2" w14:textId="625E6ADE" w:rsidR="00432601" w:rsidRPr="003D260C" w:rsidRDefault="00432601" w:rsidP="00125E2F">
      <w:pPr>
        <w:pStyle w:val="FootnoteText"/>
        <w:rPr>
          <w:rFonts w:asciiTheme="minorHAnsi" w:hAnsiTheme="minorHAnsi" w:cstheme="minorHAnsi"/>
        </w:rPr>
      </w:pPr>
      <w:r w:rsidRPr="003D260C">
        <w:rPr>
          <w:rStyle w:val="FootnoteReference"/>
          <w:rFonts w:asciiTheme="minorHAnsi" w:hAnsiTheme="minorHAnsi" w:cstheme="minorHAnsi"/>
        </w:rPr>
        <w:footnoteRef/>
      </w:r>
      <w:r w:rsidRPr="003D260C">
        <w:rPr>
          <w:rFonts w:asciiTheme="minorHAnsi" w:hAnsiTheme="minorHAnsi" w:cstheme="minorHAnsi"/>
        </w:rPr>
        <w:t xml:space="preserve"> Australian Research Centre in Sex, Health and Society, La Trobe University, Private Lives 2: The second national survey of the health and wellbeing of GLBT Australians (2012).</w:t>
      </w:r>
    </w:p>
  </w:footnote>
  <w:footnote w:id="4">
    <w:p w14:paraId="1B7C5985" w14:textId="4056B596" w:rsidR="002B29D9" w:rsidRPr="00780332" w:rsidRDefault="002B29D9" w:rsidP="00125E2F">
      <w:pPr>
        <w:pStyle w:val="FootnoteText"/>
        <w:rPr>
          <w:rFonts w:asciiTheme="minorHAnsi" w:hAnsiTheme="minorHAnsi" w:cstheme="minorHAnsi"/>
        </w:rPr>
      </w:pPr>
      <w:r w:rsidRPr="00570814">
        <w:rPr>
          <w:rFonts w:asciiTheme="minorHAnsi" w:hAnsiTheme="minorHAnsi" w:cstheme="minorHAnsi"/>
          <w:vertAlign w:val="superscript"/>
        </w:rPr>
        <w:footnoteRef/>
      </w:r>
      <w:r w:rsidR="00780332" w:rsidRPr="00780332">
        <w:rPr>
          <w:rFonts w:asciiTheme="minorHAnsi" w:hAnsiTheme="minorHAnsi" w:cstheme="minorHAnsi"/>
        </w:rPr>
        <w:t xml:space="preserve"> GLEE@PwC (2017) ‘Perspectives on LGBTI+ inclusion in </w:t>
      </w:r>
      <w:r w:rsidR="009F19EF">
        <w:rPr>
          <w:rFonts w:asciiTheme="minorHAnsi" w:hAnsiTheme="minorHAnsi" w:cstheme="minorHAnsi"/>
        </w:rPr>
        <w:t>the workplace, PwC</w:t>
      </w:r>
      <w:r w:rsidR="00780332" w:rsidRPr="00780332">
        <w:rPr>
          <w:rFonts w:asciiTheme="minorHAnsi" w:hAnsiTheme="minorHAnsi" w:cstheme="minorHAnsi"/>
        </w:rPr>
        <w:t>.</w:t>
      </w:r>
    </w:p>
  </w:footnote>
  <w:footnote w:id="5">
    <w:p w14:paraId="366D6BDC" w14:textId="4F228133" w:rsidR="00C97DB7" w:rsidRPr="001840B4" w:rsidRDefault="00C97DB7" w:rsidP="00125E2F">
      <w:pPr>
        <w:pStyle w:val="FootnoteText"/>
        <w:rPr>
          <w:rFonts w:asciiTheme="minorHAnsi" w:hAnsiTheme="minorHAnsi" w:cstheme="minorHAnsi"/>
        </w:rPr>
      </w:pPr>
      <w:r w:rsidRPr="001840B4">
        <w:rPr>
          <w:rStyle w:val="FootnoteReference"/>
          <w:rFonts w:asciiTheme="minorHAnsi" w:hAnsiTheme="minorHAnsi" w:cstheme="minorHAnsi"/>
        </w:rPr>
        <w:footnoteRef/>
      </w:r>
      <w:r w:rsidR="00DD3F78">
        <w:rPr>
          <w:rFonts w:asciiTheme="minorHAnsi" w:hAnsiTheme="minorHAnsi" w:cstheme="minorHAnsi"/>
        </w:rPr>
        <w:t xml:space="preserve"> Hill A, Bourne A, McNair R, Carman M and Lyons</w:t>
      </w:r>
      <w:r w:rsidRPr="001840B4">
        <w:rPr>
          <w:rFonts w:asciiTheme="minorHAnsi" w:hAnsiTheme="minorHAnsi" w:cstheme="minorHAnsi"/>
        </w:rPr>
        <w:t xml:space="preserve"> A (20</w:t>
      </w:r>
      <w:r w:rsidR="00DD3F78">
        <w:rPr>
          <w:rFonts w:asciiTheme="minorHAnsi" w:hAnsiTheme="minorHAnsi" w:cstheme="minorHAnsi"/>
        </w:rPr>
        <w:t>20)</w:t>
      </w:r>
      <w:r w:rsidRPr="001840B4">
        <w:rPr>
          <w:rFonts w:asciiTheme="minorHAnsi" w:hAnsiTheme="minorHAnsi" w:cstheme="minorHAnsi"/>
        </w:rPr>
        <w:t xml:space="preserve"> </w:t>
      </w:r>
      <w:r w:rsidR="00DD3F78">
        <w:rPr>
          <w:rFonts w:asciiTheme="minorHAnsi" w:hAnsiTheme="minorHAnsi" w:cstheme="minorHAnsi"/>
        </w:rPr>
        <w:t>‘</w:t>
      </w:r>
      <w:r w:rsidRPr="001840B4">
        <w:rPr>
          <w:rFonts w:asciiTheme="minorHAnsi" w:hAnsiTheme="minorHAnsi" w:cstheme="minorHAnsi"/>
        </w:rPr>
        <w:t>Private Lives 3: The health and wellbeing</w:t>
      </w:r>
      <w:r w:rsidR="00DD3F78">
        <w:rPr>
          <w:rFonts w:asciiTheme="minorHAnsi" w:hAnsiTheme="minorHAnsi" w:cstheme="minorHAnsi"/>
        </w:rPr>
        <w:t xml:space="preserve"> of LGBTIQ people in Australia,’ </w:t>
      </w:r>
      <w:r w:rsidRPr="00DD3F78">
        <w:rPr>
          <w:rFonts w:asciiTheme="minorHAnsi" w:hAnsiTheme="minorHAnsi" w:cstheme="minorHAnsi"/>
          <w:i/>
        </w:rPr>
        <w:t>ARCSHS Monograph Series</w:t>
      </w:r>
      <w:r w:rsidR="00DD3F78">
        <w:rPr>
          <w:rFonts w:asciiTheme="minorHAnsi" w:hAnsiTheme="minorHAnsi" w:cstheme="minorHAnsi"/>
        </w:rPr>
        <w:t xml:space="preserve">, </w:t>
      </w:r>
      <w:r w:rsidRPr="001840B4">
        <w:rPr>
          <w:rFonts w:asciiTheme="minorHAnsi" w:hAnsiTheme="minorHAnsi" w:cstheme="minorHAnsi"/>
        </w:rPr>
        <w:t xml:space="preserve">122. Melbourne, Australia: Australian Research Centre in Sex, Health and Society, La Trobe University. </w:t>
      </w:r>
    </w:p>
  </w:footnote>
  <w:footnote w:id="6">
    <w:p w14:paraId="2D437368" w14:textId="025A33A1" w:rsidR="00C97DB7" w:rsidRPr="001840B4" w:rsidRDefault="00C97DB7" w:rsidP="00125E2F">
      <w:pPr>
        <w:pStyle w:val="FootnoteText"/>
        <w:rPr>
          <w:rFonts w:asciiTheme="minorHAnsi" w:hAnsiTheme="minorHAnsi" w:cstheme="minorHAnsi"/>
        </w:rPr>
      </w:pPr>
      <w:r w:rsidRPr="001840B4">
        <w:rPr>
          <w:rStyle w:val="FootnoteReference"/>
          <w:rFonts w:asciiTheme="minorHAnsi" w:hAnsiTheme="minorHAnsi" w:cstheme="minorHAnsi"/>
        </w:rPr>
        <w:footnoteRef/>
      </w:r>
      <w:r w:rsidRPr="001840B4">
        <w:rPr>
          <w:rFonts w:asciiTheme="minorHAnsi" w:hAnsiTheme="minorHAnsi" w:cstheme="minorHAnsi"/>
        </w:rPr>
        <w:t xml:space="preserve"> </w:t>
      </w:r>
      <w:r w:rsidR="00DD3F78">
        <w:rPr>
          <w:rFonts w:asciiTheme="minorHAnsi" w:hAnsiTheme="minorHAnsi" w:cstheme="minorHAnsi"/>
        </w:rPr>
        <w:t>Hill A, Bourne A, McNair R, Carman M and Lyons</w:t>
      </w:r>
      <w:r w:rsidR="00DD3F78" w:rsidRPr="001840B4">
        <w:rPr>
          <w:rFonts w:asciiTheme="minorHAnsi" w:hAnsiTheme="minorHAnsi" w:cstheme="minorHAnsi"/>
        </w:rPr>
        <w:t xml:space="preserve"> A (20</w:t>
      </w:r>
      <w:r w:rsidR="00DD3F78">
        <w:rPr>
          <w:rFonts w:asciiTheme="minorHAnsi" w:hAnsiTheme="minorHAnsi" w:cstheme="minorHAnsi"/>
        </w:rPr>
        <w:t>20)</w:t>
      </w:r>
      <w:r w:rsidR="00DD3F78" w:rsidRPr="001840B4">
        <w:rPr>
          <w:rFonts w:asciiTheme="minorHAnsi" w:hAnsiTheme="minorHAnsi" w:cstheme="minorHAnsi"/>
        </w:rPr>
        <w:t xml:space="preserve"> </w:t>
      </w:r>
      <w:r w:rsidR="00DD3F78">
        <w:rPr>
          <w:rFonts w:asciiTheme="minorHAnsi" w:hAnsiTheme="minorHAnsi" w:cstheme="minorHAnsi"/>
        </w:rPr>
        <w:t>‘</w:t>
      </w:r>
      <w:r w:rsidR="00DD3F78" w:rsidRPr="001840B4">
        <w:rPr>
          <w:rFonts w:asciiTheme="minorHAnsi" w:hAnsiTheme="minorHAnsi" w:cstheme="minorHAnsi"/>
        </w:rPr>
        <w:t>Private Lives 3: The health and wellbeing</w:t>
      </w:r>
      <w:r w:rsidR="00DD3F78">
        <w:rPr>
          <w:rFonts w:asciiTheme="minorHAnsi" w:hAnsiTheme="minorHAnsi" w:cstheme="minorHAnsi"/>
        </w:rPr>
        <w:t xml:space="preserve"> of LGBTIQ people in Australia,’ </w:t>
      </w:r>
      <w:r w:rsidR="00DD3F78" w:rsidRPr="00DD3F78">
        <w:rPr>
          <w:rFonts w:asciiTheme="minorHAnsi" w:hAnsiTheme="minorHAnsi" w:cstheme="minorHAnsi"/>
          <w:i/>
        </w:rPr>
        <w:t>ARCSHS Monograph Series</w:t>
      </w:r>
      <w:r w:rsidR="00DD3F78">
        <w:rPr>
          <w:rFonts w:asciiTheme="minorHAnsi" w:hAnsiTheme="minorHAnsi" w:cstheme="minorHAnsi"/>
        </w:rPr>
        <w:t xml:space="preserve">, </w:t>
      </w:r>
      <w:r w:rsidR="00DD3F78" w:rsidRPr="001840B4">
        <w:rPr>
          <w:rFonts w:asciiTheme="minorHAnsi" w:hAnsiTheme="minorHAnsi" w:cstheme="minorHAnsi"/>
        </w:rPr>
        <w:t>122. Melbourne, Australia: Australian Research Centre in Sex, Health and Society, La Trobe University.</w:t>
      </w:r>
    </w:p>
  </w:footnote>
  <w:footnote w:id="7">
    <w:p w14:paraId="55661901" w14:textId="662AB43C" w:rsidR="002B29D9" w:rsidRDefault="002B29D9" w:rsidP="002B29D9">
      <w:pPr>
        <w:pStyle w:val="FootnoteText"/>
      </w:pPr>
      <w:r w:rsidRPr="001840B4">
        <w:rPr>
          <w:rStyle w:val="FootnoteReference"/>
          <w:rFonts w:asciiTheme="minorHAnsi" w:eastAsiaTheme="majorEastAsia" w:hAnsiTheme="minorHAnsi" w:cstheme="minorHAnsi"/>
        </w:rPr>
        <w:footnoteRef/>
      </w:r>
      <w:r w:rsidRPr="001840B4">
        <w:rPr>
          <w:rFonts w:asciiTheme="minorHAnsi" w:hAnsiTheme="minorHAnsi" w:cstheme="minorHAnsi"/>
        </w:rPr>
        <w:t xml:space="preserve"> </w:t>
      </w:r>
      <w:r w:rsidR="00DD3F78" w:rsidRPr="00825A9C">
        <w:rPr>
          <w:rFonts w:asciiTheme="minorHAnsi" w:hAnsiTheme="minorHAnsi" w:cstheme="minorHAnsi"/>
        </w:rPr>
        <w:t xml:space="preserve">Our Watch (2018) </w:t>
      </w:r>
      <w:hyperlink r:id="rId2" w:history="1">
        <w:r w:rsidR="00DD3F78" w:rsidRPr="00825A9C">
          <w:rPr>
            <w:rStyle w:val="Hyperlink"/>
            <w:rFonts w:asciiTheme="minorHAnsi" w:hAnsiTheme="minorHAnsi" w:cstheme="minorHAnsi"/>
            <w:i/>
          </w:rPr>
          <w:t>Practice Guidance: Equality and respect for all women: an intersectional approach</w:t>
        </w:r>
      </w:hyperlink>
      <w:r w:rsidR="00DD3F78" w:rsidRPr="00825A9C">
        <w:rPr>
          <w:rFonts w:asciiTheme="minorHAnsi" w:hAnsiTheme="minorHAnsi" w:cstheme="minorHAnsi"/>
          <w:i/>
        </w:rPr>
        <w:t xml:space="preserve">. </w:t>
      </w:r>
      <w:r w:rsidR="00DD3F78" w:rsidRPr="00825A9C">
        <w:rPr>
          <w:rFonts w:asciiTheme="minorHAnsi" w:hAnsiTheme="minorHAnsi" w:cstheme="minorHAnsi"/>
        </w:rPr>
        <w:t>Workplace Equality and Respect, Victorian Government.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EACCC" w14:textId="545A4A80" w:rsidR="00037513" w:rsidRPr="00D10635" w:rsidRDefault="002160A7" w:rsidP="002160A7">
    <w:pPr>
      <w:jc w:val="center"/>
    </w:pPr>
    <w:r w:rsidRPr="002160A7">
      <w:rPr>
        <w:rStyle w:val="CLASSIFICATIONChar"/>
        <w:noProof/>
        <w:lang w:eastAsia="en-AU"/>
      </w:rPr>
      <mc:AlternateContent>
        <mc:Choice Requires="wps">
          <w:drawing>
            <wp:anchor distT="0" distB="0" distL="114300" distR="114300" simplePos="0" relativeHeight="251678720" behindDoc="1" locked="0" layoutInCell="1" allowOverlap="1" wp14:anchorId="701DB530" wp14:editId="3EBCEEBE">
              <wp:simplePos x="0" y="0"/>
              <wp:positionH relativeFrom="column">
                <wp:posOffset>6221730</wp:posOffset>
              </wp:positionH>
              <wp:positionV relativeFrom="page">
                <wp:posOffset>691515</wp:posOffset>
              </wp:positionV>
              <wp:extent cx="60840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E130D4" id="Straight Connector 3" o:spid="_x0000_s1026" style="position:absolute;z-index:-2516377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" strokecolor="black [3200]" strokeweight=".5pt">
              <v:stroke joinstyle="miter"/>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65B1E" w14:textId="77777777" w:rsidR="00CA30E2" w:rsidRDefault="007579AA" w:rsidP="00303C55">
    <w:pPr>
      <w:pStyle w:val="Header"/>
      <w:jc w:val="center"/>
      <w:rPr>
        <w:rStyle w:val="CLASSIFICATIONChar"/>
      </w:rPr>
    </w:pPr>
    <w:r>
      <w:rPr>
        <w:rFonts w:ascii="Segoe UI" w:hAnsi="Segoe UI"/>
        <w:caps/>
        <w:noProof/>
        <w:color w:val="C00000"/>
        <w:sz w:val="18"/>
        <w:lang w:eastAsia="en-AU"/>
      </w:rPr>
      <w:drawing>
        <wp:anchor distT="0" distB="0" distL="114300" distR="114300" simplePos="0" relativeHeight="251674623" behindDoc="1" locked="0" layoutInCell="1" allowOverlap="1" wp14:anchorId="711FD60C" wp14:editId="6D638131">
          <wp:simplePos x="0" y="0"/>
          <wp:positionH relativeFrom="column">
            <wp:posOffset>4751640</wp:posOffset>
          </wp:positionH>
          <wp:positionV relativeFrom="paragraph">
            <wp:posOffset>-493639</wp:posOffset>
          </wp:positionV>
          <wp:extent cx="1473795" cy="1789544"/>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
                    <a:extLst>
                      <a:ext uri="{28A0092B-C50C-407E-A947-70E740481C1C}">
                        <a14:useLocalDpi xmlns:a14="http://schemas.microsoft.com/office/drawing/2010/main" val="0"/>
                      </a:ext>
                    </a:extLst>
                  </a:blip>
                  <a:stretch>
                    <a:fillRect/>
                  </a:stretch>
                </pic:blipFill>
                <pic:spPr>
                  <a:xfrm>
                    <a:off x="0" y="0"/>
                    <a:ext cx="1473795" cy="1789544"/>
                  </a:xfrm>
                  <a:prstGeom prst="rect">
                    <a:avLst/>
                  </a:prstGeom>
                </pic:spPr>
              </pic:pic>
            </a:graphicData>
          </a:graphic>
          <wp14:sizeRelH relativeFrom="margin">
            <wp14:pctWidth>0</wp14:pctWidth>
          </wp14:sizeRelH>
          <wp14:sizeRelV relativeFrom="margin">
            <wp14:pctHeight>0</wp14:pctHeight>
          </wp14:sizeRelV>
        </wp:anchor>
      </w:drawing>
    </w:r>
    <w:r w:rsidR="004009A3" w:rsidRPr="002160A7">
      <w:rPr>
        <w:noProof/>
        <w:lang w:eastAsia="en-AU"/>
      </w:rPr>
      <mc:AlternateContent>
        <mc:Choice Requires="wps">
          <w:drawing>
            <wp:anchor distT="0" distB="0" distL="114300" distR="114300" simplePos="0" relativeHeight="251681792" behindDoc="1" locked="0" layoutInCell="1" allowOverlap="1" wp14:anchorId="1D60384D" wp14:editId="0F5CB36C">
              <wp:simplePos x="0" y="0"/>
              <wp:positionH relativeFrom="column">
                <wp:posOffset>6221730</wp:posOffset>
              </wp:positionH>
              <wp:positionV relativeFrom="page">
                <wp:posOffset>691515</wp:posOffset>
              </wp:positionV>
              <wp:extent cx="608400" cy="0"/>
              <wp:effectExtent l="0" t="0" r="20320" b="19050"/>
              <wp:wrapNone/>
              <wp:docPr id="192" name="Straight Connector 192"/>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0169E9" id="Straight Connector 192" o:spid="_x0000_s1026" style="position:absolute;z-index:-2516346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CtgEAALoDAAAOAAAAZHJzL2Uyb0RvYy54bWysU8GOEzEMvSPxD1HudKYVWi2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" strokecolor="black [3200]" strokeweight=".5pt">
              <v:stroke joinstyle="miter"/>
              <w10:wrap anchory="page"/>
            </v:line>
          </w:pict>
        </mc:Fallback>
      </mc:AlternateContent>
    </w:r>
    <w:r w:rsidR="004009A3" w:rsidRPr="002160A7">
      <w:rPr>
        <w:noProof/>
        <w:lang w:eastAsia="en-AU"/>
      </w:rPr>
      <w:drawing>
        <wp:anchor distT="0" distB="0" distL="114300" distR="114300" simplePos="0" relativeHeight="251680768" behindDoc="1" locked="0" layoutInCell="1" allowOverlap="1" wp14:anchorId="725BFAB7" wp14:editId="4DAE3F6E">
          <wp:simplePos x="0" y="0"/>
          <wp:positionH relativeFrom="column">
            <wp:posOffset>-313055</wp:posOffset>
          </wp:positionH>
          <wp:positionV relativeFrom="page">
            <wp:posOffset>183515</wp:posOffset>
          </wp:positionV>
          <wp:extent cx="3600000" cy="806400"/>
          <wp:effectExtent l="0" t="0" r="0" b="0"/>
          <wp:wrapNone/>
          <wp:docPr id="11" name="Picture 11"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2">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724E43" w14:textId="77777777" w:rsidR="002160A7" w:rsidRDefault="002160A7" w:rsidP="00303C55">
    <w:pPr>
      <w:pStyle w:val="Header"/>
      <w:jc w:val="center"/>
      <w:rPr>
        <w:rStyle w:val="CLASSIFICATIONChar"/>
      </w:rPr>
    </w:pPr>
  </w:p>
  <w:p w14:paraId="72313B4D" w14:textId="77777777" w:rsidR="002160A7" w:rsidRDefault="002160A7" w:rsidP="00303C55">
    <w:pPr>
      <w:pStyle w:val="Header"/>
      <w:jc w:val="center"/>
      <w:rPr>
        <w:rStyle w:val="CLASSIFICATIONChar"/>
      </w:rPr>
    </w:pPr>
  </w:p>
  <w:p w14:paraId="65BCE671" w14:textId="77777777" w:rsidR="00CA30E2" w:rsidRDefault="00CA30E2" w:rsidP="00303C55">
    <w:pPr>
      <w:pStyle w:val="Header"/>
      <w:jc w:val="center"/>
      <w:rPr>
        <w:rStyle w:val="CLASSIFICATIONChar"/>
      </w:rPr>
    </w:pPr>
  </w:p>
  <w:p w14:paraId="1AE1656E" w14:textId="7BA33E95" w:rsidR="00037513" w:rsidRDefault="00037513" w:rsidP="002160A7">
    <w:pPr>
      <w:pStyle w:val="CLASSIFICATION"/>
    </w:pPr>
  </w:p>
  <w:p w14:paraId="53FCE169" w14:textId="77777777" w:rsidR="001578AC" w:rsidRPr="002160A7" w:rsidRDefault="001578AC" w:rsidP="002160A7">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72DE1CAA"/>
    <w:lvl w:ilvl="0" w:tplc="1CB0EE9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C6B214D4"/>
    <w:lvl w:ilvl="0" w:tplc="8460E7C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864231E2"/>
    <w:lvl w:ilvl="0" w:tplc="8764996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94DC3E6A"/>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2DC5083A"/>
    <w:multiLevelType w:val="hybridMultilevel"/>
    <w:tmpl w:val="D6FC0D7A"/>
    <w:lvl w:ilvl="0" w:tplc="0C090001">
      <w:start w:val="1"/>
      <w:numFmt w:val="bullet"/>
      <w:lvlText w:val=""/>
      <w:lvlJc w:val="left"/>
      <w:pPr>
        <w:tabs>
          <w:tab w:val="num" w:pos="720"/>
        </w:tabs>
        <w:ind w:left="720" w:hanging="360"/>
      </w:pPr>
      <w:rPr>
        <w:rFonts w:ascii="Symbol" w:hAnsi="Symbol" w:hint="default"/>
      </w:rPr>
    </w:lvl>
    <w:lvl w:ilvl="1" w:tplc="477CEA5C">
      <w:start w:val="1"/>
      <w:numFmt w:val="bullet"/>
      <w:lvlText w:val=""/>
      <w:lvlJc w:val="left"/>
      <w:pPr>
        <w:tabs>
          <w:tab w:val="num" w:pos="1440"/>
        </w:tabs>
        <w:ind w:left="1440" w:hanging="360"/>
      </w:pPr>
      <w:rPr>
        <w:rFonts w:ascii="Symbol" w:hAnsi="Symbol" w:hint="default"/>
        <w:color w:val="auto"/>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B34FB7"/>
    <w:multiLevelType w:val="hybridMultilevel"/>
    <w:tmpl w:val="A9129956"/>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19" w15:restartNumberingAfterBreak="0">
    <w:nsid w:val="3F904465"/>
    <w:multiLevelType w:val="hybridMultilevel"/>
    <w:tmpl w:val="227EA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B22B27"/>
    <w:multiLevelType w:val="hybridMultilevel"/>
    <w:tmpl w:val="62606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BE77E8"/>
    <w:multiLevelType w:val="multilevel"/>
    <w:tmpl w:val="8140F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3"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4F327CB"/>
    <w:multiLevelType w:val="hybridMultilevel"/>
    <w:tmpl w:val="C11004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3C7E9D"/>
    <w:multiLevelType w:val="hybridMultilevel"/>
    <w:tmpl w:val="CC10FCDC"/>
    <w:lvl w:ilvl="0" w:tplc="72DE269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BA240C"/>
    <w:multiLevelType w:val="hybridMultilevel"/>
    <w:tmpl w:val="7DF8EF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7"/>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23"/>
  </w:num>
  <w:num w:numId="20">
    <w:abstractNumId w:val="23"/>
    <w:lvlOverride w:ilvl="0">
      <w:startOverride w:val="1"/>
    </w:lvlOverride>
  </w:num>
  <w:num w:numId="21">
    <w:abstractNumId w:val="29"/>
  </w:num>
  <w:num w:numId="22">
    <w:abstractNumId w:val="25"/>
  </w:num>
  <w:num w:numId="23">
    <w:abstractNumId w:val="11"/>
    <w:lvlOverride w:ilvl="0">
      <w:startOverride w:val="1"/>
    </w:lvlOverride>
  </w:num>
  <w:num w:numId="24">
    <w:abstractNumId w:val="29"/>
    <w:lvlOverride w:ilvl="0">
      <w:startOverride w:val="1"/>
    </w:lvlOverride>
  </w:num>
  <w:num w:numId="25">
    <w:abstractNumId w:val="25"/>
    <w:lvlOverride w:ilvl="0">
      <w:startOverride w:val="1"/>
    </w:lvlOverride>
  </w:num>
  <w:num w:numId="26">
    <w:abstractNumId w:val="25"/>
    <w:lvlOverride w:ilvl="0">
      <w:startOverride w:val="1"/>
    </w:lvlOverride>
  </w:num>
  <w:num w:numId="27">
    <w:abstractNumId w:val="14"/>
  </w:num>
  <w:num w:numId="28">
    <w:abstractNumId w:val="22"/>
  </w:num>
  <w:num w:numId="29">
    <w:abstractNumId w:val="13"/>
  </w:num>
  <w:num w:numId="30">
    <w:abstractNumId w:val="15"/>
  </w:num>
  <w:num w:numId="31">
    <w:abstractNumId w:val="12"/>
  </w:num>
  <w:num w:numId="32">
    <w:abstractNumId w:val="29"/>
    <w:lvlOverride w:ilvl="0">
      <w:startOverride w:val="1"/>
    </w:lvlOverride>
  </w:num>
  <w:num w:numId="33">
    <w:abstractNumId w:val="29"/>
    <w:lvlOverride w:ilvl="0">
      <w:startOverride w:val="1"/>
    </w:lvlOverride>
  </w:num>
  <w:num w:numId="34">
    <w:abstractNumId w:val="29"/>
    <w:lvlOverride w:ilvl="0">
      <w:startOverride w:val="1"/>
    </w:lvlOverride>
  </w:num>
  <w:num w:numId="35">
    <w:abstractNumId w:val="17"/>
  </w:num>
  <w:num w:numId="36">
    <w:abstractNumId w:val="26"/>
  </w:num>
  <w:num w:numId="37">
    <w:abstractNumId w:val="20"/>
  </w:num>
  <w:num w:numId="38">
    <w:abstractNumId w:val="19"/>
  </w:num>
  <w:num w:numId="39">
    <w:abstractNumId w:val="21"/>
  </w:num>
  <w:num w:numId="40">
    <w:abstractNumId w:val="24"/>
  </w:num>
  <w:num w:numId="41">
    <w:abstractNumId w:val="1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D8"/>
    <w:rsid w:val="00027038"/>
    <w:rsid w:val="0003154E"/>
    <w:rsid w:val="00037513"/>
    <w:rsid w:val="0006627F"/>
    <w:rsid w:val="000A4384"/>
    <w:rsid w:val="000B3417"/>
    <w:rsid w:val="000D749D"/>
    <w:rsid w:val="00117A77"/>
    <w:rsid w:val="00125E2F"/>
    <w:rsid w:val="00145AD3"/>
    <w:rsid w:val="001578AC"/>
    <w:rsid w:val="001840B4"/>
    <w:rsid w:val="001A4E6A"/>
    <w:rsid w:val="001B406E"/>
    <w:rsid w:val="001E10D4"/>
    <w:rsid w:val="001E3136"/>
    <w:rsid w:val="002160A7"/>
    <w:rsid w:val="00220DDA"/>
    <w:rsid w:val="00227DB5"/>
    <w:rsid w:val="00266CCC"/>
    <w:rsid w:val="002738BF"/>
    <w:rsid w:val="00274D42"/>
    <w:rsid w:val="00285CAF"/>
    <w:rsid w:val="002B29D9"/>
    <w:rsid w:val="002B661A"/>
    <w:rsid w:val="002C3610"/>
    <w:rsid w:val="002C7A05"/>
    <w:rsid w:val="002D0CA7"/>
    <w:rsid w:val="002D3BA6"/>
    <w:rsid w:val="002D6B3D"/>
    <w:rsid w:val="002F68CD"/>
    <w:rsid w:val="00303C55"/>
    <w:rsid w:val="00311C2D"/>
    <w:rsid w:val="003500FD"/>
    <w:rsid w:val="003502D3"/>
    <w:rsid w:val="00353E5E"/>
    <w:rsid w:val="00355BFC"/>
    <w:rsid w:val="00374D2A"/>
    <w:rsid w:val="00385BD5"/>
    <w:rsid w:val="00386CD3"/>
    <w:rsid w:val="003B3159"/>
    <w:rsid w:val="003B64DA"/>
    <w:rsid w:val="003D260C"/>
    <w:rsid w:val="003D676D"/>
    <w:rsid w:val="003F23E9"/>
    <w:rsid w:val="004009A3"/>
    <w:rsid w:val="00432601"/>
    <w:rsid w:val="00436AA0"/>
    <w:rsid w:val="004766B2"/>
    <w:rsid w:val="004B2C90"/>
    <w:rsid w:val="004F4C4F"/>
    <w:rsid w:val="005226B9"/>
    <w:rsid w:val="00560B58"/>
    <w:rsid w:val="00570814"/>
    <w:rsid w:val="00591288"/>
    <w:rsid w:val="005917FD"/>
    <w:rsid w:val="005A4AA1"/>
    <w:rsid w:val="005B5E57"/>
    <w:rsid w:val="005D4706"/>
    <w:rsid w:val="005E6E5D"/>
    <w:rsid w:val="00621EA3"/>
    <w:rsid w:val="0064343A"/>
    <w:rsid w:val="00646C0E"/>
    <w:rsid w:val="006A008F"/>
    <w:rsid w:val="006A09BD"/>
    <w:rsid w:val="006A5AA6"/>
    <w:rsid w:val="006C1DC7"/>
    <w:rsid w:val="006E170D"/>
    <w:rsid w:val="007204A9"/>
    <w:rsid w:val="0074732D"/>
    <w:rsid w:val="00756929"/>
    <w:rsid w:val="007579AA"/>
    <w:rsid w:val="00774646"/>
    <w:rsid w:val="00780332"/>
    <w:rsid w:val="00781695"/>
    <w:rsid w:val="0079109C"/>
    <w:rsid w:val="007C0935"/>
    <w:rsid w:val="007C1AB8"/>
    <w:rsid w:val="008046D4"/>
    <w:rsid w:val="008270F1"/>
    <w:rsid w:val="00833792"/>
    <w:rsid w:val="00842AA5"/>
    <w:rsid w:val="00843E05"/>
    <w:rsid w:val="008A0614"/>
    <w:rsid w:val="008C47A1"/>
    <w:rsid w:val="008D6B9E"/>
    <w:rsid w:val="008E1024"/>
    <w:rsid w:val="008F0457"/>
    <w:rsid w:val="00913ED0"/>
    <w:rsid w:val="00927650"/>
    <w:rsid w:val="00933E44"/>
    <w:rsid w:val="00942CB6"/>
    <w:rsid w:val="00942CE9"/>
    <w:rsid w:val="00950207"/>
    <w:rsid w:val="00954FF2"/>
    <w:rsid w:val="00962EE8"/>
    <w:rsid w:val="00976EE9"/>
    <w:rsid w:val="009A6D9C"/>
    <w:rsid w:val="009C2119"/>
    <w:rsid w:val="009C60F6"/>
    <w:rsid w:val="009D0D28"/>
    <w:rsid w:val="009F0889"/>
    <w:rsid w:val="009F19EF"/>
    <w:rsid w:val="00A12C83"/>
    <w:rsid w:val="00A17477"/>
    <w:rsid w:val="00A17EA3"/>
    <w:rsid w:val="00A35A8C"/>
    <w:rsid w:val="00A90952"/>
    <w:rsid w:val="00AA58B8"/>
    <w:rsid w:val="00AA705F"/>
    <w:rsid w:val="00AB57BB"/>
    <w:rsid w:val="00AE1DCD"/>
    <w:rsid w:val="00B07018"/>
    <w:rsid w:val="00B6596F"/>
    <w:rsid w:val="00B8619E"/>
    <w:rsid w:val="00BA1935"/>
    <w:rsid w:val="00BB3AC7"/>
    <w:rsid w:val="00BD1BFF"/>
    <w:rsid w:val="00BD57F5"/>
    <w:rsid w:val="00BE48A4"/>
    <w:rsid w:val="00BE56F0"/>
    <w:rsid w:val="00BF4F42"/>
    <w:rsid w:val="00C340E7"/>
    <w:rsid w:val="00C64746"/>
    <w:rsid w:val="00C830E9"/>
    <w:rsid w:val="00C97DB7"/>
    <w:rsid w:val="00CA30E2"/>
    <w:rsid w:val="00CC2890"/>
    <w:rsid w:val="00D03799"/>
    <w:rsid w:val="00D10635"/>
    <w:rsid w:val="00D525B8"/>
    <w:rsid w:val="00D90A3E"/>
    <w:rsid w:val="00DD3F78"/>
    <w:rsid w:val="00DE360B"/>
    <w:rsid w:val="00DF2F8D"/>
    <w:rsid w:val="00E00B55"/>
    <w:rsid w:val="00E224F4"/>
    <w:rsid w:val="00E2753F"/>
    <w:rsid w:val="00E84F06"/>
    <w:rsid w:val="00E92551"/>
    <w:rsid w:val="00ED0697"/>
    <w:rsid w:val="00EE74AE"/>
    <w:rsid w:val="00F608E7"/>
    <w:rsid w:val="00F62D1C"/>
    <w:rsid w:val="00F957C6"/>
    <w:rsid w:val="00FB075C"/>
    <w:rsid w:val="00FB52D8"/>
    <w:rsid w:val="00FD2C22"/>
    <w:rsid w:val="00FE2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D23011"/>
  <w14:defaultImageDpi w14:val="330"/>
  <w15:chartTrackingRefBased/>
  <w15:docId w15:val="{389DA279-0C1F-4FC5-AACA-FE49CA80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35"/>
    <w:pPr>
      <w:spacing w:after="120"/>
    </w:pPr>
    <w:rPr>
      <w:sz w:val="22"/>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heme="majorHAnsi" w:eastAsiaTheme="majorEastAsia" w:hAnsiTheme="majorHAnsi" w:cstheme="majorBidi"/>
      <w:color w:val="1B375C" w:themeColor="accent1"/>
      <w:sz w:val="40"/>
      <w:szCs w:val="40"/>
    </w:rPr>
  </w:style>
  <w:style w:type="paragraph" w:styleId="Heading2">
    <w:name w:val="heading 2"/>
    <w:basedOn w:val="Normal"/>
    <w:next w:val="Normal"/>
    <w:link w:val="Heading2Char"/>
    <w:uiPriority w:val="2"/>
    <w:qFormat/>
    <w:rsid w:val="00117A77"/>
    <w:pPr>
      <w:keepNext/>
      <w:keepLines/>
      <w:spacing w:before="240" w:line="240" w:lineRule="auto"/>
      <w:outlineLvl w:val="1"/>
    </w:pPr>
    <w:rPr>
      <w:rFonts w:asciiTheme="majorHAnsi" w:eastAsiaTheme="majorEastAsia" w:hAnsiTheme="majorHAnsi" w:cstheme="majorBidi"/>
      <w:color w:val="1B375C" w:themeColor="accent1"/>
      <w:sz w:val="32"/>
      <w:szCs w:val="28"/>
    </w:rPr>
  </w:style>
  <w:style w:type="paragraph" w:styleId="Heading3">
    <w:name w:val="heading 3"/>
    <w:basedOn w:val="Heading4"/>
    <w:next w:val="Normal"/>
    <w:link w:val="Heading3Char"/>
    <w:uiPriority w:val="2"/>
    <w:qFormat/>
    <w:rsid w:val="00FE2C7F"/>
    <w:pPr>
      <w:outlineLvl w:val="2"/>
    </w:pPr>
    <w:rPr>
      <w:color w:val="1B375C" w:themeColor="accent1"/>
      <w:sz w:val="26"/>
    </w:rPr>
  </w:style>
  <w:style w:type="paragraph" w:styleId="Heading4">
    <w:name w:val="heading 4"/>
    <w:basedOn w:val="Normal"/>
    <w:next w:val="Normal"/>
    <w:link w:val="Heading4Char"/>
    <w:uiPriority w:val="2"/>
    <w:qFormat/>
    <w:rsid w:val="005B5E57"/>
    <w:pPr>
      <w:keepNext/>
      <w:keepLines/>
      <w:spacing w:before="240"/>
      <w:outlineLvl w:val="3"/>
    </w:pPr>
    <w:rPr>
      <w:rFonts w:asciiTheme="majorHAnsi" w:eastAsiaTheme="majorEastAsia" w:hAnsiTheme="majorHAnsi" w:cstheme="majorBidi"/>
      <w:color w:val="3266AB"/>
      <w:szCs w:val="22"/>
    </w:rPr>
  </w:style>
  <w:style w:type="paragraph" w:styleId="Heading5">
    <w:name w:val="heading 5"/>
    <w:basedOn w:val="Normal"/>
    <w:next w:val="Normal"/>
    <w:link w:val="Heading5Char"/>
    <w:uiPriority w:val="2"/>
    <w:unhideWhenUsed/>
    <w:rsid w:val="005B5E57"/>
    <w:pPr>
      <w:keepNext/>
      <w:keepLines/>
      <w:spacing w:before="240"/>
      <w:outlineLvl w:val="4"/>
    </w:pPr>
    <w:rPr>
      <w:rFonts w:asciiTheme="majorHAnsi" w:eastAsiaTheme="majorEastAsia" w:hAnsiTheme="majorHAnsi" w:cstheme="majorBidi"/>
      <w:i/>
      <w:iCs/>
      <w:color w:val="3266AB"/>
      <w:szCs w:val="22"/>
    </w:rPr>
  </w:style>
  <w:style w:type="paragraph" w:styleId="Heading6">
    <w:name w:val="heading 6"/>
    <w:basedOn w:val="Normal"/>
    <w:next w:val="Normal"/>
    <w:link w:val="Heading6Char"/>
    <w:uiPriority w:val="2"/>
    <w:unhideWhenUsed/>
    <w:rsid w:val="005B5E57"/>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5B5E57"/>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5B5E57"/>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5B5E57"/>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12C83"/>
    <w:rPr>
      <w:rFonts w:asciiTheme="majorHAnsi" w:eastAsiaTheme="majorEastAsia" w:hAnsiTheme="majorHAnsi" w:cstheme="majorBidi"/>
      <w:color w:val="1B375C" w:themeColor="accent1"/>
      <w:sz w:val="40"/>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12C83"/>
    <w:rPr>
      <w:rFonts w:asciiTheme="majorHAnsi" w:eastAsiaTheme="majorEastAsia" w:hAnsiTheme="majorHAnsi" w:cstheme="majorBidi"/>
      <w:color w:val="1B375C" w:themeColor="accent1"/>
      <w:sz w:val="32"/>
      <w:szCs w:val="28"/>
    </w:rPr>
  </w:style>
  <w:style w:type="character" w:customStyle="1" w:styleId="Heading3Char">
    <w:name w:val="Heading 3 Char"/>
    <w:basedOn w:val="DefaultParagraphFont"/>
    <w:link w:val="Heading3"/>
    <w:uiPriority w:val="2"/>
    <w:rsid w:val="00A12C83"/>
    <w:rPr>
      <w:rFonts w:asciiTheme="majorHAnsi" w:eastAsiaTheme="majorEastAsia" w:hAnsiTheme="majorHAnsi" w:cstheme="majorBidi"/>
      <w:color w:val="1B375C" w:themeColor="accent1"/>
      <w:sz w:val="26"/>
      <w:szCs w:val="22"/>
    </w:rPr>
  </w:style>
  <w:style w:type="character" w:customStyle="1" w:styleId="Heading4Char">
    <w:name w:val="Heading 4 Char"/>
    <w:basedOn w:val="DefaultParagraphFont"/>
    <w:link w:val="Heading4"/>
    <w:uiPriority w:val="2"/>
    <w:rsid w:val="005B5E57"/>
    <w:rPr>
      <w:rFonts w:asciiTheme="majorHAnsi" w:eastAsiaTheme="majorEastAsia" w:hAnsiTheme="majorHAnsi" w:cstheme="majorBidi"/>
      <w:color w:val="3266AB"/>
      <w:sz w:val="22"/>
      <w:szCs w:val="22"/>
    </w:rPr>
  </w:style>
  <w:style w:type="character" w:customStyle="1" w:styleId="Heading5Char">
    <w:name w:val="Heading 5 Char"/>
    <w:basedOn w:val="DefaultParagraphFont"/>
    <w:link w:val="Heading5"/>
    <w:uiPriority w:val="2"/>
    <w:rsid w:val="005B5E57"/>
    <w:rPr>
      <w:rFonts w:asciiTheme="majorHAnsi" w:eastAsiaTheme="majorEastAsia" w:hAnsiTheme="majorHAnsi" w:cstheme="majorBidi"/>
      <w:i/>
      <w:iCs/>
      <w:color w:val="3266AB"/>
      <w:sz w:val="22"/>
      <w:szCs w:val="22"/>
    </w:rPr>
  </w:style>
  <w:style w:type="character" w:customStyle="1" w:styleId="Heading6Char">
    <w:name w:val="Heading 6 Char"/>
    <w:basedOn w:val="DefaultParagraphFont"/>
    <w:link w:val="Heading6"/>
    <w:uiPriority w:val="2"/>
    <w:rsid w:val="005B5E57"/>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5B5E57"/>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5B5E57"/>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5B5E57"/>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2D3BA6"/>
    <w:pPr>
      <w:numPr>
        <w:ilvl w:val="1"/>
      </w:numPr>
      <w:spacing w:after="480"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2D3BA6"/>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B5E57"/>
    <w:rPr>
      <w:i/>
      <w:iCs/>
      <w:color w:val="auto"/>
    </w:rPr>
  </w:style>
  <w:style w:type="paragraph" w:styleId="Quote">
    <w:name w:val="Quote"/>
    <w:basedOn w:val="Normal"/>
    <w:next w:val="Normal"/>
    <w:link w:val="QuoteChar"/>
    <w:uiPriority w:val="16"/>
    <w:qFormat/>
    <w:rsid w:val="005B5E57"/>
    <w:pPr>
      <w:spacing w:before="240"/>
      <w:ind w:left="720" w:right="720"/>
    </w:pPr>
    <w:rPr>
      <w:i/>
      <w:iCs/>
      <w:noProof/>
      <w:color w:val="3266AB"/>
    </w:rPr>
  </w:style>
  <w:style w:type="character" w:customStyle="1" w:styleId="QuoteChar">
    <w:name w:val="Quote Char"/>
    <w:basedOn w:val="DefaultParagraphFont"/>
    <w:link w:val="Quote"/>
    <w:uiPriority w:val="16"/>
    <w:rsid w:val="005B5E57"/>
    <w:rPr>
      <w:i/>
      <w:iCs/>
      <w:noProof/>
      <w:color w:val="3266AB"/>
      <w:sz w:val="22"/>
    </w:rPr>
  </w:style>
  <w:style w:type="paragraph" w:styleId="IntenseQuote">
    <w:name w:val="Intense Quote"/>
    <w:basedOn w:val="Normal"/>
    <w:next w:val="Normal"/>
    <w:link w:val="IntenseQuoteChar"/>
    <w:uiPriority w:val="17"/>
    <w:qFormat/>
    <w:rsid w:val="005B5E57"/>
    <w:pPr>
      <w:spacing w:before="120" w:line="264" w:lineRule="auto"/>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5B5E57"/>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5B5E57"/>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160A7"/>
    <w:pPr>
      <w:jc w:val="center"/>
    </w:pPr>
    <w:rPr>
      <w:rFonts w:ascii="Segoe UI" w:hAnsi="Segoe UI"/>
      <w:caps/>
      <w:color w:val="C00000"/>
      <w:sz w:val="18"/>
    </w:rPr>
  </w:style>
  <w:style w:type="paragraph" w:customStyle="1" w:styleId="BOXHeading2">
    <w:name w:val="BOX Heading 2"/>
    <w:basedOn w:val="Heading2"/>
    <w:next w:val="BOXText"/>
    <w:uiPriority w:val="6"/>
    <w:qFormat/>
    <w:rsid w:val="005B5E57"/>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basedOn w:val="DefaultParagraphFont"/>
    <w:link w:val="CLASSIFICATION"/>
    <w:uiPriority w:val="99"/>
    <w:rsid w:val="002160A7"/>
    <w:rPr>
      <w:rFonts w:ascii="Segoe UI" w:hAnsi="Segoe UI"/>
      <w:caps/>
      <w:color w:val="C00000"/>
      <w:sz w:val="18"/>
    </w:rPr>
  </w:style>
  <w:style w:type="paragraph" w:customStyle="1" w:styleId="BOXText">
    <w:name w:val="BOX Text"/>
    <w:basedOn w:val="Normal"/>
    <w:uiPriority w:val="4"/>
    <w:qFormat/>
    <w:rsid w:val="005B5E57"/>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uiPriority w:val="2"/>
    <w:qFormat/>
    <w:rsid w:val="005B5E57"/>
    <w:pPr>
      <w:numPr>
        <w:numId w:val="27"/>
      </w:numPr>
      <w:spacing w:before="240"/>
    </w:pPr>
    <w:rPr>
      <w:rFonts w:ascii="Segoe UI" w:hAnsi="Segoe UI" w:cs="Segoe UI"/>
      <w:noProof/>
      <w:color w:val="3266AB"/>
    </w:rPr>
  </w:style>
  <w:style w:type="paragraph" w:customStyle="1" w:styleId="TBLHeading">
    <w:name w:val="TBL Heading"/>
    <w:basedOn w:val="Normal"/>
    <w:autoRedefine/>
    <w:uiPriority w:val="11"/>
    <w:qFormat/>
    <w:rsid w:val="006E170D"/>
    <w:pPr>
      <w:spacing w:line="240" w:lineRule="auto"/>
    </w:pPr>
    <w:rPr>
      <w:rFonts w:ascii="Segoe UI" w:hAnsi="Segoe UI" w:cs="Segoe UI"/>
      <w:noProof/>
      <w:color w:val="FFFFFF" w:themeColor="background1"/>
      <w:sz w:val="18"/>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12"/>
      </w:numPr>
      <w:ind w:left="357" w:hanging="357"/>
    </w:pPr>
  </w:style>
  <w:style w:type="paragraph" w:customStyle="1" w:styleId="TBLNumberedList">
    <w:name w:val="TBL Numbered List"/>
    <w:basedOn w:val="TBLText"/>
    <w:uiPriority w:val="10"/>
    <w:qFormat/>
    <w:rsid w:val="00374D2A"/>
    <w:pPr>
      <w:numPr>
        <w:numId w:val="1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aliases w:val="List Square,List Paragraph1,List Paragraph11,List Paragraph2,Bulit List -  Paragraph,Main numbered paragraph,Numbered List Paragraph,Recommendation,Bullets,List Paragraph (numbered (a)),Table Heading,Dot pt,F5 List Paragraph,No Spacing1,L"/>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962EE8"/>
    <w:pPr>
      <w:numPr>
        <w:numId w:val="14"/>
      </w:numPr>
      <w:ind w:left="568" w:hanging="284"/>
    </w:pPr>
  </w:style>
  <w:style w:type="paragraph" w:customStyle="1" w:styleId="BulletedList-Level2">
    <w:name w:val="Bulleted List - Level 2"/>
    <w:basedOn w:val="BulletedList-Level1"/>
    <w:uiPriority w:val="1"/>
    <w:qFormat/>
    <w:rsid w:val="00962EE8"/>
    <w:pPr>
      <w:numPr>
        <w:numId w:val="30"/>
      </w:numPr>
    </w:pPr>
  </w:style>
  <w:style w:type="paragraph" w:customStyle="1" w:styleId="BulletedList-Level3">
    <w:name w:val="Bulleted List - Level 3"/>
    <w:basedOn w:val="ListParagraph"/>
    <w:uiPriority w:val="1"/>
    <w:qFormat/>
    <w:rsid w:val="00962EE8"/>
    <w:pPr>
      <w:numPr>
        <w:numId w:val="31"/>
      </w:numPr>
      <w:ind w:left="1135" w:hanging="284"/>
    </w:pPr>
  </w:style>
  <w:style w:type="paragraph" w:customStyle="1" w:styleId="NumberedList-Level1">
    <w:name w:val="Numbered List - Level 1"/>
    <w:basedOn w:val="ListParagraph"/>
    <w:uiPriority w:val="1"/>
    <w:qFormat/>
    <w:rsid w:val="00962EE8"/>
    <w:pPr>
      <w:numPr>
        <w:numId w:val="21"/>
      </w:numPr>
      <w:ind w:left="568" w:hanging="284"/>
    </w:pPr>
  </w:style>
  <w:style w:type="paragraph" w:customStyle="1" w:styleId="NumberedList-level2">
    <w:name w:val="Numbered List - level 2"/>
    <w:basedOn w:val="ListParagraph"/>
    <w:uiPriority w:val="1"/>
    <w:qFormat/>
    <w:rsid w:val="00962EE8"/>
    <w:pPr>
      <w:numPr>
        <w:ilvl w:val="1"/>
        <w:numId w:val="21"/>
      </w:numPr>
    </w:pPr>
  </w:style>
  <w:style w:type="paragraph" w:customStyle="1" w:styleId="NumberedList-Level3">
    <w:name w:val="Numbered List - Level 3"/>
    <w:basedOn w:val="ListParagraph"/>
    <w:uiPriority w:val="1"/>
    <w:qFormat/>
    <w:rsid w:val="00962EE8"/>
    <w:pPr>
      <w:numPr>
        <w:ilvl w:val="2"/>
        <w:numId w:val="21"/>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5B5E57"/>
    <w:rPr>
      <w:color w:val="3266AB"/>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FE2C7F"/>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paragraph" w:styleId="FootnoteText">
    <w:name w:val="footnote text"/>
    <w:basedOn w:val="Normal"/>
    <w:link w:val="FootnoteTextChar"/>
    <w:uiPriority w:val="99"/>
    <w:unhideWhenUsed/>
    <w:rsid w:val="002D0CA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D0CA7"/>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2D0CA7"/>
    <w:rPr>
      <w:vertAlign w:val="superscript"/>
    </w:rPr>
  </w:style>
  <w:style w:type="paragraph" w:styleId="BodyText3">
    <w:name w:val="Body Text 3"/>
    <w:basedOn w:val="Normal"/>
    <w:link w:val="BodyText3Char"/>
    <w:rsid w:val="002D0CA7"/>
    <w:pPr>
      <w:spacing w:line="240" w:lineRule="auto"/>
    </w:pPr>
    <w:rPr>
      <w:rFonts w:ascii="Times New Roman" w:eastAsia="Times New Roman" w:hAnsi="Times New Roman" w:cs="Times New Roman"/>
      <w:sz w:val="28"/>
      <w:szCs w:val="20"/>
    </w:rPr>
  </w:style>
  <w:style w:type="character" w:customStyle="1" w:styleId="BodyText3Char">
    <w:name w:val="Body Text 3 Char"/>
    <w:basedOn w:val="DefaultParagraphFont"/>
    <w:link w:val="BodyText3"/>
    <w:rsid w:val="002D0CA7"/>
    <w:rPr>
      <w:rFonts w:ascii="Times New Roman" w:eastAsia="Times New Roman" w:hAnsi="Times New Roman" w:cs="Times New Roman"/>
      <w:sz w:val="28"/>
      <w:szCs w:val="20"/>
    </w:rPr>
  </w:style>
  <w:style w:type="character" w:customStyle="1" w:styleId="ListParagraphChar">
    <w:name w:val="List Paragraph Char"/>
    <w:aliases w:val="List Square Char,List Paragraph1 Char,List Paragraph11 Char,List Paragraph2 Char,Bulit List -  Paragraph Char,Main numbered paragraph Char,Numbered List Paragraph Char,Recommendation Char,Bullets Char,Table Heading Char,Dot pt Char"/>
    <w:basedOn w:val="DefaultParagraphFont"/>
    <w:link w:val="ListParagraph"/>
    <w:uiPriority w:val="34"/>
    <w:qFormat/>
    <w:locked/>
    <w:rsid w:val="002D0CA7"/>
    <w:rPr>
      <w:sz w:val="22"/>
    </w:rPr>
  </w:style>
  <w:style w:type="character" w:customStyle="1" w:styleId="rpl-text-label">
    <w:name w:val="rpl-text-label"/>
    <w:basedOn w:val="DefaultParagraphFont"/>
    <w:rsid w:val="004766B2"/>
  </w:style>
  <w:style w:type="character" w:customStyle="1" w:styleId="rpl-text-icongroup">
    <w:name w:val="rpl-text-icon__group"/>
    <w:basedOn w:val="DefaultParagraphFont"/>
    <w:rsid w:val="004766B2"/>
  </w:style>
  <w:style w:type="paragraph" w:customStyle="1" w:styleId="bodycopy">
    <w:name w:val="bodycopy"/>
    <w:basedOn w:val="Normal"/>
    <w:rsid w:val="00386C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ndnoteReference">
    <w:name w:val="endnote reference"/>
    <w:basedOn w:val="DefaultParagraphFont"/>
    <w:uiPriority w:val="99"/>
    <w:semiHidden/>
    <w:unhideWhenUsed/>
    <w:rsid w:val="00386CD3"/>
  </w:style>
  <w:style w:type="character" w:styleId="FollowedHyperlink">
    <w:name w:val="FollowedHyperlink"/>
    <w:basedOn w:val="DefaultParagraphFont"/>
    <w:uiPriority w:val="99"/>
    <w:semiHidden/>
    <w:unhideWhenUsed/>
    <w:rsid w:val="00DD3F78"/>
    <w:rPr>
      <w:color w:val="1B375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87642">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68428263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213583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national-womens-health-strategy-2020-203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humanrights.gov.au/our-work/sex-discrimination/publications/respectwork-sexual-harassment-national-inquiry-report-2020" TargetMode="External"/><Relationship Id="rId17" Type="http://schemas.openxmlformats.org/officeDocument/2006/relationships/hyperlink" Target="mailto:OFWengagement@pmc.gov.au" TargetMode="External"/><Relationship Id="rId2" Type="http://schemas.openxmlformats.org/officeDocument/2006/relationships/customXml" Target="../customXml/item2.xml"/><Relationship Id="rId16" Type="http://schemas.openxmlformats.org/officeDocument/2006/relationships/hyperlink" Target="https://www.pmc.gov.au/office-women/national-strategy-achieve-gender-equalit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s.gov.au/women-programs-services-reducing-violence/the-national-plan-to-end-violence-against-women-and-children-2022-203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reasury.gov.au/employment-whitepaper/jobs-summit"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mc.gov.au/office-women/grants-and-funding/national-womens-allianc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hare.internal.pmc.gov.au/teams/spd_ofw/NSTAGE/Consultations/Consultation%20Phase%20One/PG_Equality-and-respect-for-all-women_UpdatedFeb2019.pdf%20(ourwatch.org.au)" TargetMode="External"/><Relationship Id="rId1" Type="http://schemas.openxmlformats.org/officeDocument/2006/relationships/hyperlink" Target="https://www.humanrights.gov.au/our-work/education/face-facts-lesbian-gay-bisexual-trans-and-intersex-peopl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3877B5AEC84C26ABE300F48A833CD5"/>
        <w:category>
          <w:name w:val="General"/>
          <w:gallery w:val="placeholder"/>
        </w:category>
        <w:types>
          <w:type w:val="bbPlcHdr"/>
        </w:types>
        <w:behaviors>
          <w:behavior w:val="content"/>
        </w:behaviors>
        <w:guid w:val="{0B8B1F41-D7B7-49B4-B40D-0F6F851A6A70}"/>
      </w:docPartPr>
      <w:docPartBody>
        <w:p w:rsidR="00A0394B" w:rsidRDefault="00A0394B">
          <w:pPr>
            <w:pStyle w:val="EB3877B5AEC84C26ABE300F48A833CD5"/>
          </w:pPr>
          <w:r w:rsidRPr="00F13E41">
            <w:rPr>
              <w:rStyle w:val="PlaceholderText"/>
            </w:rPr>
            <w:t>[Title]</w:t>
          </w:r>
        </w:p>
      </w:docPartBody>
    </w:docPart>
    <w:docPart>
      <w:docPartPr>
        <w:name w:val="10D6513FF7D9482DBF35F8C750840C0A"/>
        <w:category>
          <w:name w:val="General"/>
          <w:gallery w:val="placeholder"/>
        </w:category>
        <w:types>
          <w:type w:val="bbPlcHdr"/>
        </w:types>
        <w:behaviors>
          <w:behavior w:val="content"/>
        </w:behaviors>
        <w:guid w:val="{1F7802A0-D091-4685-A848-12A4A095AA20}"/>
      </w:docPartPr>
      <w:docPartBody>
        <w:p w:rsidR="00A0394B" w:rsidRDefault="00A0394B">
          <w:pPr>
            <w:pStyle w:val="10D6513FF7D9482DBF35F8C750840C0A"/>
          </w:pPr>
          <w:r w:rsidRPr="00F13E41">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4B"/>
    <w:rsid w:val="005A3C85"/>
    <w:rsid w:val="00A039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3877B5AEC84C26ABE300F48A833CD5">
    <w:name w:val="EB3877B5AEC84C26ABE300F48A833CD5"/>
  </w:style>
  <w:style w:type="paragraph" w:customStyle="1" w:styleId="10D6513FF7D9482DBF35F8C750840C0A">
    <w:name w:val="10D6513FF7D9482DBF35F8C750840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A878B020C141944B19F84D03957D1F2" ma:contentTypeVersion="7" ma:contentTypeDescription="ShareHub Document" ma:contentTypeScope="" ma:versionID="eeb96a464ca2a2fc4f41a1b7cf454653">
  <xsd:schema xmlns:xsd="http://www.w3.org/2001/XMLSchema" xmlns:xs="http://www.w3.org/2001/XMLSchema" xmlns:p="http://schemas.microsoft.com/office/2006/metadata/properties" xmlns:ns1="c5f2e3b8-678d-49cc-a09f-cfbaac9fe4ac" xmlns:ns3="685f9fda-bd71-4433-b331-92feb9553089" targetNamespace="http://schemas.microsoft.com/office/2006/metadata/properties" ma:root="true" ma:fieldsID="2431fab8f78af36a2fb430a4f555a2a6" ns1:_="" ns3:_="">
    <xsd:import namespace="c5f2e3b8-678d-49cc-a09f-cfbaac9fe4ac"/>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2e3b8-678d-49cc-a09f-cfbaac9fe4ac"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4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ec800d-e8ae-4e5b-bda9-de80f29b0884}" ma:internalName="TaxCatchAll" ma:showField="CatchAllData"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ec800d-e8ae-4e5b-bda9-de80f29b0884}" ma:internalName="TaxCatchAllLabel" ma:readOnly="true" ma:showField="CatchAllDataLabel"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f2e3b8-678d-49cc-a09f-cfbaac9fe4ac">
      <Value>48</Value>
    </TaxCatchAll>
    <jd1c641577414dfdab1686c9d5d0dbd0 xmlns="c5f2e3b8-678d-49cc-a09f-cfbaac9fe4ac">
      <Terms xmlns="http://schemas.microsoft.com/office/infopath/2007/PartnerControls"/>
    </jd1c641577414dfdab1686c9d5d0dbd0>
    <PMCNotes xmlns="c5f2e3b8-678d-49cc-a09f-cfbaac9fe4ac" xsi:nil="true"/>
    <ShareHubID xmlns="c5f2e3b8-678d-49cc-a09f-cfbaac9fe4ac">DOC23-84749</ShareHubID>
    <mc5611b894cf49d8aeeb8ebf39dc09bc xmlns="c5f2e3b8-678d-49cc-a09f-cfbaac9fe4a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7A606-09E4-48A5-BBB6-80398BEBE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2e3b8-678d-49cc-a09f-cfbaac9fe4a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AABE3-C765-4011-AAE3-8F8762E9568F}">
  <ds:schemaRefs>
    <ds:schemaRef ds:uri="http://schemas.microsoft.com/office/2006/metadata/properties"/>
    <ds:schemaRef ds:uri="http://schemas.microsoft.com/office/infopath/2007/PartnerControls"/>
    <ds:schemaRef ds:uri="c5f2e3b8-678d-49cc-a09f-cfbaac9fe4ac"/>
    <ds:schemaRef ds:uri="685f9fda-bd71-4433-b331-92feb9553089"/>
  </ds:schemaRefs>
</ds:datastoreItem>
</file>

<file path=customXml/itemProps3.xml><?xml version="1.0" encoding="utf-8"?>
<ds:datastoreItem xmlns:ds="http://schemas.openxmlformats.org/officeDocument/2006/customXml" ds:itemID="{FB338F1C-C245-4C33-9EF3-CF3F82FDDB51}">
  <ds:schemaRefs>
    <ds:schemaRef ds:uri="http://schemas.microsoft.com/sharepoint/v3/contenttype/forms"/>
  </ds:schemaRefs>
</ds:datastoreItem>
</file>

<file path=customXml/itemProps4.xml><?xml version="1.0" encoding="utf-8"?>
<ds:datastoreItem xmlns:ds="http://schemas.openxmlformats.org/officeDocument/2006/customXml" ds:itemID="{4B79B058-C851-4B27-A005-8E512730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Gender Diverse, including LGBTIQA+</vt:lpstr>
    </vt:vector>
  </TitlesOfParts>
  <Manager>Office for Women</Manager>
  <Company>Department of the Prime Minister and Cabinet</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Diverse, including LGBTIQA+</dc:title>
  <dc:subject>Phase One Consultation: National Strategy to Achieve Gender Equality Introduction</dc:subject>
  <dc:creator>Williams, Phoebe</dc:creator>
  <cp:keywords/>
  <dc:description/>
  <cp:revision>2</cp:revision>
  <dcterms:created xsi:type="dcterms:W3CDTF">2023-03-16T05:05:00Z</dcterms:created>
  <dcterms:modified xsi:type="dcterms:W3CDTF">2023-03-16T05:05:00Z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0x0101002825A64A6E1845A99A9D8EE8A5686ECB00FA878B020C141944B19F84D03957D1F2</vt:lpwstr>
  </property>
  <property fmtid="{D5CDD505-2E9C-101B-9397-08002B2CF9AE}" pid="3" name="HPRMSecurityCaveat">
    <vt:lpwstr/>
  </property>
  <property fmtid="{D5CDD505-2E9C-101B-9397-08002B2CF9AE}" pid="4" name="HPRMSecurityLevel">
    <vt:lpwstr>48;#OFFICIAL|11463c70-78df-4e3b-b0ff-f66cd3cb26ec</vt:lpwstr>
  </property>
</Properties>
</file>