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 w:displacedByCustomXml="next"/>
    <w:sdt>
      <w:sdtPr>
        <w:alias w:val="Title"/>
        <w:tag w:val=""/>
        <w:id w:val="879900963"/>
        <w:placeholder>
          <w:docPart w:val="EB3877B5AEC84C26ABE300F48A833CD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BB8E216" w14:textId="3C492F1D" w:rsidR="002D3BA6" w:rsidRDefault="00C2441A" w:rsidP="002D3BA6">
          <w:pPr>
            <w:pStyle w:val="Title"/>
          </w:pPr>
          <w:r>
            <w:t>Migrant and refugee women</w:t>
          </w:r>
        </w:p>
      </w:sdtContent>
    </w:sdt>
    <w:p w14:paraId="08093D3C" w14:textId="3D10F51B" w:rsidR="003022A1" w:rsidRDefault="003022A1" w:rsidP="005B5E57">
      <w:pPr>
        <w:pStyle w:val="Heading1"/>
        <w:rPr>
          <w:rFonts w:asciiTheme="minorHAnsi" w:hAnsiTheme="minorHAnsi" w:cstheme="minorHAnsi"/>
          <w:noProof/>
          <w:color w:val="auto"/>
          <w:sz w:val="28"/>
          <w:szCs w:val="30"/>
        </w:rPr>
      </w:pPr>
      <w:bookmarkStart w:id="1" w:name="_Toc96091122"/>
      <w:bookmarkStart w:id="2" w:name="_Toc96094525"/>
      <w:bookmarkStart w:id="3" w:name="_Toc96094558"/>
      <w:bookmarkStart w:id="4" w:name="_Toc96326913"/>
      <w:bookmarkEnd w:id="0"/>
      <w:r>
        <w:rPr>
          <w:rFonts w:asciiTheme="minorHAnsi" w:hAnsiTheme="minorHAnsi" w:cstheme="minorHAnsi"/>
          <w:noProof/>
          <w:color w:val="auto"/>
          <w:sz w:val="28"/>
          <w:szCs w:val="30"/>
        </w:rPr>
        <w:t>Phase One C</w:t>
      </w:r>
      <w:r w:rsidRPr="003022A1">
        <w:rPr>
          <w:rFonts w:asciiTheme="minorHAnsi" w:hAnsiTheme="minorHAnsi" w:cstheme="minorHAnsi"/>
          <w:noProof/>
          <w:color w:val="auto"/>
          <w:sz w:val="28"/>
          <w:szCs w:val="30"/>
        </w:rPr>
        <w:t xml:space="preserve">onsultation: National Strategy to Achieve Gender Equality </w:t>
      </w:r>
    </w:p>
    <w:bookmarkEnd w:id="1"/>
    <w:bookmarkEnd w:id="2"/>
    <w:bookmarkEnd w:id="3"/>
    <w:bookmarkEnd w:id="4"/>
    <w:p w14:paraId="2034F7B2" w14:textId="77777777" w:rsidR="00A72307" w:rsidRDefault="00A72307" w:rsidP="00297AF8">
      <w:pPr>
        <w:pStyle w:val="Heading1"/>
        <w:spacing w:line="276" w:lineRule="auto"/>
      </w:pPr>
      <w:r w:rsidRPr="00467470">
        <w:t>Introduction</w:t>
      </w:r>
    </w:p>
    <w:p w14:paraId="2B0F2D0D" w14:textId="64210E1C" w:rsidR="00A72307" w:rsidRPr="00265614" w:rsidRDefault="00A72307" w:rsidP="00297AF8">
      <w:pPr>
        <w:spacing w:line="276" w:lineRule="auto"/>
        <w:rPr>
          <w:rFonts w:eastAsia="Times New Roman"/>
          <w:lang w:eastAsia="en-AU"/>
        </w:rPr>
      </w:pPr>
      <w:r w:rsidRPr="00265614">
        <w:rPr>
          <w:rFonts w:eastAsia="Times New Roman"/>
          <w:lang w:eastAsia="en-AU"/>
        </w:rPr>
        <w:t xml:space="preserve">Gender equality is at the heart of the Australian Government’s vision for a better future, and the Government is committed to </w:t>
      </w:r>
      <w:r w:rsidR="002169C3">
        <w:rPr>
          <w:rFonts w:eastAsia="Times New Roman"/>
          <w:lang w:eastAsia="en-AU"/>
        </w:rPr>
        <w:t>strengthening</w:t>
      </w:r>
      <w:r w:rsidR="002169C3" w:rsidRPr="00265614">
        <w:rPr>
          <w:rFonts w:eastAsia="Times New Roman"/>
          <w:lang w:eastAsia="en-AU"/>
        </w:rPr>
        <w:t xml:space="preserve"> </w:t>
      </w:r>
      <w:r w:rsidRPr="00265614">
        <w:rPr>
          <w:rFonts w:eastAsia="Times New Roman"/>
          <w:lang w:eastAsia="en-AU"/>
        </w:rPr>
        <w:t>Australia’s leadership on gender equality. </w:t>
      </w:r>
    </w:p>
    <w:p w14:paraId="004006D8" w14:textId="77777777" w:rsidR="00A72307" w:rsidRPr="00265614" w:rsidRDefault="00A72307" w:rsidP="00297AF8">
      <w:pPr>
        <w:spacing w:line="276" w:lineRule="auto"/>
        <w:rPr>
          <w:rFonts w:eastAsia="Times New Roman"/>
          <w:lang w:eastAsia="en-AU"/>
        </w:rPr>
      </w:pPr>
      <w:r w:rsidRPr="00265614">
        <w:rPr>
          <w:rFonts w:eastAsia="Times New Roman"/>
          <w:lang w:eastAsia="en-AU"/>
        </w:rPr>
        <w:t>The Government will develop a National Strategy to Achieve Gender Equality (the Strategy) to drive this ambition.</w:t>
      </w:r>
    </w:p>
    <w:p w14:paraId="505277DB" w14:textId="77777777" w:rsidR="00D01DE9" w:rsidRPr="00583AAC" w:rsidRDefault="00D01DE9" w:rsidP="00297AF8">
      <w:pPr>
        <w:pStyle w:val="Heading2"/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>What will the Strategy do?</w:t>
      </w:r>
    </w:p>
    <w:p w14:paraId="06CCF157" w14:textId="77777777" w:rsidR="00D01DE9" w:rsidRPr="00583AAC" w:rsidRDefault="00D01DE9" w:rsidP="00297AF8">
      <w:pPr>
        <w:spacing w:line="276" w:lineRule="auto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 xml:space="preserve">The Strategy will guide whole of community action to help make Australia one of the best countries in the world for equality between women and men. </w:t>
      </w:r>
      <w:proofErr w:type="gramStart"/>
      <w:r w:rsidRPr="00583AAC">
        <w:rPr>
          <w:rFonts w:eastAsia="Times New Roman" w:cstheme="minorHAnsi"/>
          <w:lang w:eastAsia="en-AU"/>
        </w:rPr>
        <w:t>It is an important mechanism to elevate and prioritise actions that will achieve gender equality.</w:t>
      </w:r>
      <w:proofErr w:type="gramEnd"/>
    </w:p>
    <w:p w14:paraId="7F5355D7" w14:textId="77777777" w:rsidR="00D01DE9" w:rsidRPr="00583AAC" w:rsidRDefault="00D01DE9" w:rsidP="00297AF8">
      <w:pPr>
        <w:spacing w:line="276" w:lineRule="auto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>The Strategy will complement other efforts across Government to achieve gender equality, including:</w:t>
      </w:r>
    </w:p>
    <w:p w14:paraId="3B1124FF" w14:textId="77777777" w:rsidR="00D01DE9" w:rsidRPr="00583AAC" w:rsidRDefault="00D01DE9" w:rsidP="00297AF8">
      <w:pPr>
        <w:pStyle w:val="BulletedList-Level1"/>
        <w:numPr>
          <w:ilvl w:val="0"/>
          <w:numId w:val="14"/>
        </w:numPr>
        <w:spacing w:line="276" w:lineRule="auto"/>
        <w:ind w:left="568" w:hanging="284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>the </w:t>
      </w:r>
      <w:hyperlink r:id="rId11" w:history="1">
        <w:r w:rsidRPr="00583AAC">
          <w:rPr>
            <w:rFonts w:eastAsia="Times New Roman" w:cstheme="minorHAnsi"/>
            <w:i/>
            <w:iCs/>
            <w:color w:val="0062A0"/>
            <w:u w:val="single"/>
            <w:bdr w:val="none" w:sz="0" w:space="0" w:color="auto" w:frame="1"/>
            <w:lang w:eastAsia="en-AU"/>
          </w:rPr>
          <w:t>National Plan to End Violence against Women and Children 2022–32</w:t>
        </w:r>
      </w:hyperlink>
      <w:r w:rsidRPr="00583AAC">
        <w:rPr>
          <w:rFonts w:eastAsia="Times New Roman" w:cstheme="minorHAnsi"/>
          <w:lang w:eastAsia="en-AU"/>
        </w:rPr>
        <w:t> (National Plan)</w:t>
      </w:r>
    </w:p>
    <w:p w14:paraId="1BC52946" w14:textId="77777777" w:rsidR="00D01DE9" w:rsidRPr="00583AAC" w:rsidRDefault="00D01DE9" w:rsidP="00297AF8">
      <w:pPr>
        <w:pStyle w:val="BulletedList-Level1"/>
        <w:numPr>
          <w:ilvl w:val="0"/>
          <w:numId w:val="14"/>
        </w:numPr>
        <w:spacing w:line="276" w:lineRule="auto"/>
        <w:ind w:left="568" w:hanging="284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>the Government’s response to the Australian Human Rights Commission’s </w:t>
      </w:r>
      <w:proofErr w:type="spellStart"/>
      <w:r w:rsidR="00844C8E">
        <w:fldChar w:fldCharType="begin"/>
      </w:r>
      <w:r w:rsidR="00844C8E">
        <w:instrText xml:space="preserve"> HYPERLINK "https://humanrights.gov.au/our-work/sex-discrimination/publications/respectwork-sexual-harassment-national-inquiry-report-2020" </w:instrText>
      </w:r>
      <w:r w:rsidR="00844C8E">
        <w:fldChar w:fldCharType="separate"/>
      </w:r>
      <w:r w:rsidRPr="00583AAC">
        <w:rPr>
          <w:rFonts w:eastAsia="Times New Roman" w:cstheme="minorHAnsi"/>
          <w:color w:val="0062A0"/>
          <w:u w:val="single"/>
          <w:bdr w:val="none" w:sz="0" w:space="0" w:color="auto" w:frame="1"/>
          <w:lang w:eastAsia="en-AU"/>
        </w:rPr>
        <w:t>Respect@Work</w:t>
      </w:r>
      <w:proofErr w:type="spellEnd"/>
      <w:r w:rsidRPr="00583AAC">
        <w:rPr>
          <w:rFonts w:eastAsia="Times New Roman" w:cstheme="minorHAnsi"/>
          <w:color w:val="0062A0"/>
          <w:u w:val="single"/>
          <w:bdr w:val="none" w:sz="0" w:space="0" w:color="auto" w:frame="1"/>
          <w:lang w:eastAsia="en-AU"/>
        </w:rPr>
        <w:t xml:space="preserve"> Report</w:t>
      </w:r>
      <w:r w:rsidR="00844C8E">
        <w:rPr>
          <w:rFonts w:eastAsia="Times New Roman" w:cstheme="minorHAnsi"/>
          <w:color w:val="0062A0"/>
          <w:u w:val="single"/>
          <w:bdr w:val="none" w:sz="0" w:space="0" w:color="auto" w:frame="1"/>
          <w:lang w:eastAsia="en-AU"/>
        </w:rPr>
        <w:fldChar w:fldCharType="end"/>
      </w:r>
    </w:p>
    <w:p w14:paraId="75CD25B6" w14:textId="77777777" w:rsidR="00D01DE9" w:rsidRPr="00583AAC" w:rsidRDefault="00D01DE9" w:rsidP="00297AF8">
      <w:pPr>
        <w:pStyle w:val="BulletedList-Level1"/>
        <w:numPr>
          <w:ilvl w:val="0"/>
          <w:numId w:val="14"/>
        </w:numPr>
        <w:spacing w:line="276" w:lineRule="auto"/>
        <w:ind w:left="568" w:hanging="284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>the</w:t>
      </w:r>
      <w:r w:rsidRPr="00583AAC">
        <w:rPr>
          <w:rFonts w:eastAsia="Times New Roman" w:cstheme="minorHAnsi"/>
          <w:i/>
          <w:iCs/>
          <w:bdr w:val="none" w:sz="0" w:space="0" w:color="auto" w:frame="1"/>
          <w:lang w:eastAsia="en-AU"/>
        </w:rPr>
        <w:t> </w:t>
      </w:r>
      <w:hyperlink r:id="rId12" w:history="1">
        <w:r w:rsidRPr="00583AAC">
          <w:rPr>
            <w:rFonts w:eastAsia="Times New Roman" w:cstheme="minorHAnsi"/>
            <w:i/>
            <w:iCs/>
            <w:color w:val="0062A0"/>
            <w:u w:val="single"/>
            <w:bdr w:val="none" w:sz="0" w:space="0" w:color="auto" w:frame="1"/>
            <w:lang w:eastAsia="en-AU"/>
          </w:rPr>
          <w:t>National Women’s Health Strategy 2020–2030</w:t>
        </w:r>
      </w:hyperlink>
    </w:p>
    <w:p w14:paraId="5A2CBBAA" w14:textId="77777777" w:rsidR="00D01DE9" w:rsidRPr="00583AAC" w:rsidRDefault="00D01DE9" w:rsidP="00297AF8">
      <w:pPr>
        <w:spacing w:line="276" w:lineRule="auto"/>
        <w:rPr>
          <w:rFonts w:eastAsia="Times New Roman" w:cstheme="minorHAnsi"/>
          <w:lang w:eastAsia="en-AU"/>
        </w:rPr>
      </w:pPr>
      <w:r w:rsidRPr="00583AAC">
        <w:rPr>
          <w:rFonts w:eastAsia="Times New Roman" w:cstheme="minorHAnsi"/>
          <w:lang w:eastAsia="en-AU"/>
        </w:rPr>
        <w:t>It will also support the work of similar state and territory plans.</w:t>
      </w:r>
    </w:p>
    <w:p w14:paraId="01284F0A" w14:textId="77777777" w:rsidR="00D01DE9" w:rsidRPr="00583AAC" w:rsidRDefault="00D01DE9" w:rsidP="00297AF8">
      <w:pPr>
        <w:pStyle w:val="Heading2"/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How </w:t>
      </w:r>
      <w:proofErr w:type="gramStart"/>
      <w:r w:rsidRPr="00583AAC">
        <w:rPr>
          <w:rFonts w:eastAsia="Times New Roman"/>
          <w:lang w:eastAsia="en-AU"/>
        </w:rPr>
        <w:t>will the Strategy be developed</w:t>
      </w:r>
      <w:proofErr w:type="gramEnd"/>
      <w:r w:rsidRPr="00583AAC">
        <w:rPr>
          <w:rFonts w:eastAsia="Times New Roman"/>
          <w:lang w:eastAsia="en-AU"/>
        </w:rPr>
        <w:t>?</w:t>
      </w:r>
    </w:p>
    <w:p w14:paraId="026CE3CA" w14:textId="77777777" w:rsidR="00D01DE9" w:rsidRPr="00583AAC" w:rsidRDefault="00D01DE9" w:rsidP="00297AF8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>The Government will deliver the Strategy by mid-2023.</w:t>
      </w:r>
    </w:p>
    <w:p w14:paraId="266B75DB" w14:textId="77777777" w:rsidR="00D01DE9" w:rsidRPr="00583AAC" w:rsidRDefault="00D01DE9" w:rsidP="00297AF8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The Office for Women will develop the </w:t>
      </w:r>
      <w:r>
        <w:rPr>
          <w:rFonts w:eastAsia="Times New Roman"/>
          <w:lang w:eastAsia="en-AU"/>
        </w:rPr>
        <w:t>S</w:t>
      </w:r>
      <w:r w:rsidRPr="00583AAC">
        <w:rPr>
          <w:rFonts w:eastAsia="Times New Roman"/>
          <w:lang w:eastAsia="en-AU"/>
        </w:rPr>
        <w:t xml:space="preserve">trategy in consultation with women and girls around Australia, with a focus on ensuring that diverse voices </w:t>
      </w:r>
      <w:proofErr w:type="gramStart"/>
      <w:r w:rsidRPr="00583AAC">
        <w:rPr>
          <w:rFonts w:eastAsia="Times New Roman"/>
          <w:lang w:eastAsia="en-AU"/>
        </w:rPr>
        <w:t>are heard and included</w:t>
      </w:r>
      <w:proofErr w:type="gramEnd"/>
      <w:r w:rsidRPr="00583AAC">
        <w:rPr>
          <w:rFonts w:eastAsia="Times New Roman"/>
          <w:lang w:eastAsia="en-AU"/>
        </w:rPr>
        <w:t>.</w:t>
      </w:r>
    </w:p>
    <w:p w14:paraId="03951DC0" w14:textId="77777777" w:rsidR="00D01DE9" w:rsidRPr="00583AAC" w:rsidRDefault="00D01DE9" w:rsidP="00297AF8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The Government has also established the Women’s Economic Equality Taskforce (the Taskforce) to provide independent advice to </w:t>
      </w:r>
      <w:proofErr w:type="gramStart"/>
      <w:r w:rsidRPr="00583AAC">
        <w:rPr>
          <w:rFonts w:eastAsia="Times New Roman"/>
          <w:lang w:eastAsia="en-AU"/>
        </w:rPr>
        <w:t>Government,</w:t>
      </w:r>
      <w:proofErr w:type="gramEnd"/>
      <w:r w:rsidRPr="00583AAC">
        <w:rPr>
          <w:rFonts w:eastAsia="Times New Roman"/>
          <w:lang w:eastAsia="en-AU"/>
        </w:rPr>
        <w:t xml:space="preserve"> ensuring women are at the centre of policy and decision-making. The Taskforce will be a leading contributor to the Strategy, and as part of this will engage broadly with the Australian community to elevate and honour the voices of women in the Strategy.</w:t>
      </w:r>
    </w:p>
    <w:p w14:paraId="40A48967" w14:textId="77777777" w:rsidR="00B80548" w:rsidRDefault="00D01DE9" w:rsidP="00297AF8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>The six </w:t>
      </w:r>
      <w:hyperlink r:id="rId13" w:history="1">
        <w:r w:rsidRPr="00583AAC">
          <w:rPr>
            <w:rFonts w:eastAsia="Times New Roman"/>
            <w:color w:val="0062A0"/>
            <w:u w:val="single"/>
            <w:bdr w:val="none" w:sz="0" w:space="0" w:color="auto" w:frame="1"/>
            <w:lang w:eastAsia="en-AU"/>
          </w:rPr>
          <w:t>National Women’s Alliances</w:t>
        </w:r>
      </w:hyperlink>
      <w:r w:rsidRPr="00583AAC">
        <w:rPr>
          <w:rFonts w:eastAsia="Times New Roman"/>
          <w:lang w:eastAsia="en-AU"/>
        </w:rPr>
        <w:t> will also play a key role in informing the development of the Strategy.</w:t>
      </w:r>
    </w:p>
    <w:p w14:paraId="50B48633" w14:textId="20E30787" w:rsidR="00A72307" w:rsidRPr="00D01DE9" w:rsidRDefault="00A72307" w:rsidP="003E7F54">
      <w:pPr>
        <w:pStyle w:val="Heading1"/>
        <w:rPr>
          <w:rFonts w:eastAsia="Times New Roman"/>
          <w:lang w:eastAsia="en-AU"/>
        </w:rPr>
      </w:pPr>
      <w:r w:rsidRPr="00265614">
        <w:rPr>
          <w:rFonts w:eastAsia="Times New Roman"/>
          <w:lang w:eastAsia="en-AU"/>
        </w:rPr>
        <w:lastRenderedPageBreak/>
        <w:t>Consultation</w:t>
      </w:r>
    </w:p>
    <w:p w14:paraId="38B63BFA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Consultations will reach people </w:t>
      </w:r>
      <w:r w:rsidRPr="00583AAC">
        <w:t>w</w:t>
      </w:r>
      <w:r w:rsidRPr="00583AAC">
        <w:rPr>
          <w:lang w:eastAsia="en-AU"/>
        </w:rPr>
        <w:t>ith lived experience of gender inequalit</w:t>
      </w:r>
      <w:r w:rsidRPr="00583AAC">
        <w:t xml:space="preserve">y, </w:t>
      </w:r>
      <w:r w:rsidRPr="00583AAC">
        <w:rPr>
          <w:lang w:eastAsia="en-AU"/>
        </w:rPr>
        <w:t>living with disability</w:t>
      </w:r>
      <w:r w:rsidRPr="00583AAC">
        <w:t xml:space="preserve">, First Nations people, </w:t>
      </w:r>
      <w:r w:rsidRPr="00583AAC">
        <w:rPr>
          <w:lang w:eastAsia="en-AU"/>
        </w:rPr>
        <w:t>people who are LGBTQIA+</w:t>
      </w:r>
      <w:r w:rsidRPr="00583AAC">
        <w:t xml:space="preserve">, </w:t>
      </w:r>
      <w:r w:rsidRPr="00583AAC">
        <w:rPr>
          <w:lang w:eastAsia="en-AU"/>
        </w:rPr>
        <w:t>migrant and refugee women</w:t>
      </w:r>
      <w:r w:rsidRPr="00583AAC">
        <w:t xml:space="preserve">, </w:t>
      </w:r>
      <w:r w:rsidRPr="00583AAC">
        <w:rPr>
          <w:lang w:eastAsia="en-AU"/>
        </w:rPr>
        <w:t>those living in regional and remote areas</w:t>
      </w:r>
      <w:r w:rsidRPr="00583AAC">
        <w:t xml:space="preserve"> and </w:t>
      </w:r>
      <w:r w:rsidRPr="00583AAC">
        <w:rPr>
          <w:lang w:eastAsia="en-AU"/>
        </w:rPr>
        <w:t>people from all backgrounds and classes.</w:t>
      </w:r>
    </w:p>
    <w:p w14:paraId="4227B2C6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The consultation </w:t>
      </w:r>
      <w:proofErr w:type="gramStart"/>
      <w:r w:rsidRPr="00583AAC">
        <w:rPr>
          <w:rFonts w:eastAsia="Times New Roman"/>
          <w:lang w:eastAsia="en-AU"/>
        </w:rPr>
        <w:t>will be undertaken</w:t>
      </w:r>
      <w:proofErr w:type="gramEnd"/>
      <w:r w:rsidRPr="00583AAC">
        <w:rPr>
          <w:rFonts w:eastAsia="Times New Roman"/>
          <w:lang w:eastAsia="en-AU"/>
        </w:rPr>
        <w:t xml:space="preserve"> in </w:t>
      </w:r>
      <w:r w:rsidRPr="003E7F54">
        <w:rPr>
          <w:rFonts w:eastAsia="Times New Roman"/>
          <w:b/>
          <w:lang w:eastAsia="en-AU"/>
        </w:rPr>
        <w:t>two stages.</w:t>
      </w:r>
    </w:p>
    <w:p w14:paraId="08021E50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>Starting in November</w:t>
      </w:r>
      <w:r>
        <w:rPr>
          <w:rFonts w:eastAsia="Times New Roman"/>
          <w:lang w:eastAsia="en-AU"/>
        </w:rPr>
        <w:t xml:space="preserve"> 2022</w:t>
      </w:r>
      <w:r w:rsidRPr="00583AAC">
        <w:rPr>
          <w:rFonts w:eastAsia="Times New Roman"/>
          <w:lang w:eastAsia="en-AU"/>
        </w:rPr>
        <w:t>, the Office for Women will lead targeted national consultations to inform the early development of the Strategy. These will take place across Australia and include discussions with a range of stakeholders including gender experts, academics, economists, women’s alliances, the community sector, unions and business.</w:t>
      </w:r>
    </w:p>
    <w:p w14:paraId="5451A85F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In e</w:t>
      </w:r>
      <w:r w:rsidRPr="00583AAC">
        <w:rPr>
          <w:rFonts w:eastAsia="Times New Roman"/>
          <w:lang w:eastAsia="en-AU"/>
        </w:rPr>
        <w:t xml:space="preserve">arly 2023, broader community consultations will provide an opportunity for people to share their views of how we achieve gender equality and how this </w:t>
      </w:r>
      <w:proofErr w:type="gramStart"/>
      <w:r w:rsidRPr="00583AAC">
        <w:rPr>
          <w:rFonts w:eastAsia="Times New Roman"/>
          <w:lang w:eastAsia="en-AU"/>
        </w:rPr>
        <w:t>should be reflected</w:t>
      </w:r>
      <w:proofErr w:type="gramEnd"/>
      <w:r w:rsidRPr="00583AAC">
        <w:rPr>
          <w:rFonts w:eastAsia="Times New Roman"/>
          <w:lang w:eastAsia="en-AU"/>
        </w:rPr>
        <w:t xml:space="preserve"> in the </w:t>
      </w:r>
      <w:r>
        <w:rPr>
          <w:rFonts w:eastAsia="Times New Roman"/>
          <w:lang w:eastAsia="en-AU"/>
        </w:rPr>
        <w:t>S</w:t>
      </w:r>
      <w:r w:rsidRPr="00583AAC">
        <w:rPr>
          <w:rFonts w:eastAsia="Times New Roman"/>
          <w:lang w:eastAsia="en-AU"/>
        </w:rPr>
        <w:t>trategy.</w:t>
      </w:r>
    </w:p>
    <w:p w14:paraId="5BB51F06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>The Strategy will draw from a comprehensive evidence base, and reflect public commentary, recent consultations and submissions to government. It will draw from contemporary research and reports, including those prepared for the </w:t>
      </w:r>
      <w:hyperlink r:id="rId14" w:history="1">
        <w:r w:rsidRPr="00583AAC">
          <w:rPr>
            <w:rFonts w:eastAsia="Times New Roman"/>
            <w:color w:val="0062A0"/>
            <w:u w:val="single"/>
            <w:bdr w:val="none" w:sz="0" w:space="0" w:color="auto" w:frame="1"/>
            <w:lang w:eastAsia="en-AU"/>
          </w:rPr>
          <w:t>Jobs and Skills Summit and resulting Employment White Paper</w:t>
        </w:r>
      </w:hyperlink>
    </w:p>
    <w:p w14:paraId="4E741334" w14:textId="77777777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r w:rsidRPr="00583AAC">
        <w:rPr>
          <w:rFonts w:eastAsia="Times New Roman"/>
          <w:lang w:eastAsia="en-AU"/>
        </w:rPr>
        <w:t xml:space="preserve">Further information on consultation </w:t>
      </w:r>
      <w:proofErr w:type="gramStart"/>
      <w:r w:rsidRPr="00583AAC">
        <w:rPr>
          <w:rFonts w:eastAsia="Times New Roman"/>
          <w:lang w:eastAsia="en-AU"/>
        </w:rPr>
        <w:t>will be provided</w:t>
      </w:r>
      <w:proofErr w:type="gramEnd"/>
      <w:r w:rsidRPr="00583AAC">
        <w:rPr>
          <w:rFonts w:eastAsia="Times New Roman"/>
          <w:lang w:eastAsia="en-AU"/>
        </w:rPr>
        <w:t xml:space="preserve"> on the Office for Women’s </w:t>
      </w:r>
      <w:hyperlink r:id="rId15" w:history="1">
        <w:r w:rsidRPr="00583AAC">
          <w:rPr>
            <w:rFonts w:eastAsia="Times New Roman"/>
            <w:color w:val="3266AB"/>
            <w:u w:val="single"/>
            <w:lang w:eastAsia="en-AU"/>
          </w:rPr>
          <w:t>webpage</w:t>
        </w:r>
      </w:hyperlink>
      <w:r w:rsidRPr="00583AAC">
        <w:rPr>
          <w:rFonts w:eastAsia="Times New Roman"/>
          <w:lang w:eastAsia="en-AU"/>
        </w:rPr>
        <w:t>.</w:t>
      </w:r>
    </w:p>
    <w:p w14:paraId="56118C8E" w14:textId="1F47F13A" w:rsidR="00D01DE9" w:rsidRPr="00583AAC" w:rsidRDefault="00D01DE9" w:rsidP="00097642">
      <w:pPr>
        <w:spacing w:line="276" w:lineRule="auto"/>
        <w:rPr>
          <w:rFonts w:eastAsia="Times New Roman"/>
          <w:lang w:eastAsia="en-AU"/>
        </w:rPr>
      </w:pPr>
      <w:proofErr w:type="gramStart"/>
      <w:r w:rsidRPr="00583AAC">
        <w:rPr>
          <w:rFonts w:eastAsia="Times New Roman"/>
          <w:lang w:eastAsia="en-AU"/>
        </w:rPr>
        <w:t>For further information</w:t>
      </w:r>
      <w:r>
        <w:rPr>
          <w:rFonts w:eastAsia="Times New Roman"/>
          <w:lang w:eastAsia="en-AU"/>
        </w:rPr>
        <w:t xml:space="preserve"> or to</w:t>
      </w:r>
      <w:r w:rsidRPr="00583AAC">
        <w:rPr>
          <w:rFonts w:eastAsia="Times New Roman"/>
          <w:lang w:eastAsia="en-AU"/>
        </w:rPr>
        <w:t xml:space="preserve"> express interest in being included in consultation</w:t>
      </w:r>
      <w:r>
        <w:rPr>
          <w:rFonts w:eastAsia="Times New Roman"/>
          <w:lang w:eastAsia="en-AU"/>
        </w:rPr>
        <w:t>,</w:t>
      </w:r>
      <w:proofErr w:type="gramEnd"/>
      <w:r>
        <w:rPr>
          <w:rFonts w:eastAsia="Times New Roman"/>
          <w:lang w:eastAsia="en-AU"/>
        </w:rPr>
        <w:t xml:space="preserve"> please</w:t>
      </w:r>
      <w:r w:rsidRPr="00583AAC">
        <w:rPr>
          <w:rFonts w:eastAsia="Times New Roman"/>
          <w:lang w:eastAsia="en-AU"/>
        </w:rPr>
        <w:t xml:space="preserve"> contact: </w:t>
      </w:r>
      <w:hyperlink r:id="rId16" w:history="1">
        <w:r w:rsidRPr="00583AAC">
          <w:rPr>
            <w:rFonts w:eastAsia="Times New Roman"/>
            <w:color w:val="0062A0"/>
            <w:u w:val="single"/>
            <w:bdr w:val="none" w:sz="0" w:space="0" w:color="auto" w:frame="1"/>
            <w:lang w:eastAsia="en-AU"/>
          </w:rPr>
          <w:t>OFWengagement@pmc.gov.au</w:t>
        </w:r>
      </w:hyperlink>
      <w:r w:rsidR="00482D8B">
        <w:rPr>
          <w:rFonts w:eastAsia="Times New Roman"/>
          <w:color w:val="0062A0"/>
          <w:u w:val="single"/>
          <w:bdr w:val="none" w:sz="0" w:space="0" w:color="auto" w:frame="1"/>
          <w:lang w:eastAsia="en-AU"/>
        </w:rPr>
        <w:t>.</w:t>
      </w:r>
    </w:p>
    <w:p w14:paraId="7E8903FE" w14:textId="77777777" w:rsidR="00E04C5B" w:rsidRPr="00FE630C" w:rsidRDefault="00E04C5B" w:rsidP="00E04C5B">
      <w:pPr>
        <w:pStyle w:val="Heading1"/>
      </w:pPr>
      <w:r>
        <w:t xml:space="preserve">Current situation </w:t>
      </w:r>
    </w:p>
    <w:p w14:paraId="2D2B9699" w14:textId="77777777" w:rsidR="00717DFC" w:rsidRDefault="00717DFC" w:rsidP="00717DFC">
      <w:pPr>
        <w:spacing w:after="200"/>
        <w:rPr>
          <w:b/>
          <w:color w:val="FF0000"/>
        </w:rPr>
      </w:pPr>
      <w:r>
        <w:t xml:space="preserve">(Note: The research and evidence outlined in this paper are not intended to be </w:t>
      </w:r>
      <w:proofErr w:type="gramStart"/>
      <w:r>
        <w:t>comprehensive,</w:t>
      </w:r>
      <w:proofErr w:type="gramEnd"/>
      <w:r>
        <w:t xml:space="preserve"> instead it is used to facilitate consultation.)</w:t>
      </w:r>
    </w:p>
    <w:p w14:paraId="6697C2DB" w14:textId="77777777" w:rsidR="00530422" w:rsidRPr="00530422" w:rsidRDefault="00530422" w:rsidP="003E7F54">
      <w:pPr>
        <w:pStyle w:val="Heading2"/>
      </w:pPr>
      <w:r w:rsidRPr="00530422">
        <w:t xml:space="preserve">Safety of </w:t>
      </w:r>
      <w:r>
        <w:t>migrant and refugee women</w:t>
      </w:r>
    </w:p>
    <w:p w14:paraId="352B9C45" w14:textId="1C9D3952" w:rsidR="00530422" w:rsidRPr="00E56854" w:rsidRDefault="00530422" w:rsidP="00EA0494">
      <w:pPr>
        <w:pStyle w:val="BodyText3"/>
        <w:numPr>
          <w:ilvl w:val="0"/>
          <w:numId w:val="40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 w:rsidRPr="00E56854">
        <w:rPr>
          <w:rFonts w:asciiTheme="minorHAnsi" w:hAnsiTheme="minorHAnsi" w:cstheme="minorHAnsi"/>
          <w:sz w:val="22"/>
        </w:rPr>
        <w:t>A 2021 Safety and Security Survey of migrant and refugee women by Mon</w:t>
      </w:r>
      <w:r w:rsidR="009359C0">
        <w:rPr>
          <w:rFonts w:asciiTheme="minorHAnsi" w:hAnsiTheme="minorHAnsi" w:cstheme="minorHAnsi"/>
          <w:sz w:val="22"/>
        </w:rPr>
        <w:t>ash University found 33 per cent</w:t>
      </w:r>
      <w:r w:rsidRPr="00E56854">
        <w:rPr>
          <w:rFonts w:asciiTheme="minorHAnsi" w:hAnsiTheme="minorHAnsi" w:cstheme="minorHAnsi"/>
          <w:sz w:val="22"/>
        </w:rPr>
        <w:t xml:space="preserve"> had experienced some form of domestic and family violence (DFV)</w:t>
      </w:r>
      <w:r w:rsidRPr="00E56854">
        <w:rPr>
          <w:rStyle w:val="FootnoteReference"/>
          <w:rFonts w:asciiTheme="minorHAnsi" w:hAnsiTheme="minorHAnsi" w:cstheme="minorHAnsi"/>
          <w:sz w:val="22"/>
        </w:rPr>
        <w:footnoteReference w:id="2"/>
      </w:r>
      <w:r w:rsidRPr="00E56854">
        <w:rPr>
          <w:rFonts w:asciiTheme="minorHAnsi" w:hAnsiTheme="minorHAnsi" w:cstheme="minorHAnsi"/>
          <w:sz w:val="22"/>
        </w:rPr>
        <w:t>:</w:t>
      </w:r>
    </w:p>
    <w:p w14:paraId="6516E200" w14:textId="027F7197" w:rsidR="00530422" w:rsidRPr="00E56854" w:rsidRDefault="00530422" w:rsidP="00EA0494">
      <w:pPr>
        <w:pStyle w:val="BodyText3"/>
        <w:numPr>
          <w:ilvl w:val="1"/>
          <w:numId w:val="37"/>
        </w:numPr>
        <w:spacing w:line="276" w:lineRule="auto"/>
        <w:rPr>
          <w:rFonts w:asciiTheme="minorHAnsi" w:hAnsiTheme="minorHAnsi" w:cstheme="minorHAnsi"/>
          <w:sz w:val="22"/>
        </w:rPr>
      </w:pPr>
      <w:r w:rsidRPr="00E56854">
        <w:rPr>
          <w:rFonts w:asciiTheme="minorHAnsi" w:hAnsiTheme="minorHAnsi" w:cstheme="minorHAnsi"/>
          <w:sz w:val="22"/>
        </w:rPr>
        <w:t>Of the migrant and refugee women who had experienced DFV, 40</w:t>
      </w:r>
      <w:r w:rsidR="009359C0" w:rsidRPr="009359C0">
        <w:rPr>
          <w:rFonts w:asciiTheme="minorHAnsi" w:hAnsiTheme="minorHAnsi" w:cstheme="minorHAnsi"/>
          <w:sz w:val="22"/>
        </w:rPr>
        <w:t xml:space="preserve"> </w:t>
      </w:r>
      <w:r w:rsidR="009359C0">
        <w:rPr>
          <w:rFonts w:asciiTheme="minorHAnsi" w:hAnsiTheme="minorHAnsi" w:cstheme="minorHAnsi"/>
          <w:sz w:val="22"/>
        </w:rPr>
        <w:t>per cent</w:t>
      </w:r>
      <w:r w:rsidR="009359C0" w:rsidRPr="00E56854">
        <w:rPr>
          <w:rFonts w:asciiTheme="minorHAnsi" w:hAnsiTheme="minorHAnsi" w:cstheme="minorHAnsi"/>
          <w:sz w:val="22"/>
        </w:rPr>
        <w:t xml:space="preserve"> </w:t>
      </w:r>
      <w:r w:rsidRPr="00E56854">
        <w:rPr>
          <w:rFonts w:asciiTheme="minorHAnsi" w:hAnsiTheme="minorHAnsi" w:cstheme="minorHAnsi"/>
          <w:sz w:val="22"/>
        </w:rPr>
        <w:t>wer</w:t>
      </w:r>
      <w:r w:rsidR="009359C0">
        <w:rPr>
          <w:rFonts w:asciiTheme="minorHAnsi" w:hAnsiTheme="minorHAnsi" w:cstheme="minorHAnsi"/>
          <w:sz w:val="22"/>
        </w:rPr>
        <w:t>e temporary visa holders and 28</w:t>
      </w:r>
      <w:r w:rsidR="009359C0" w:rsidRPr="009359C0">
        <w:rPr>
          <w:rFonts w:asciiTheme="minorHAnsi" w:hAnsiTheme="minorHAnsi" w:cstheme="minorHAnsi"/>
          <w:sz w:val="22"/>
        </w:rPr>
        <w:t xml:space="preserve"> </w:t>
      </w:r>
      <w:r w:rsidR="009359C0">
        <w:rPr>
          <w:rFonts w:asciiTheme="minorHAnsi" w:hAnsiTheme="minorHAnsi" w:cstheme="minorHAnsi"/>
          <w:sz w:val="22"/>
        </w:rPr>
        <w:t>per cent</w:t>
      </w:r>
      <w:r w:rsidRPr="00E56854">
        <w:rPr>
          <w:rFonts w:asciiTheme="minorHAnsi" w:hAnsiTheme="minorHAnsi" w:cstheme="minorHAnsi"/>
          <w:sz w:val="22"/>
        </w:rPr>
        <w:t xml:space="preserve"> had a permanent visa.</w:t>
      </w:r>
    </w:p>
    <w:p w14:paraId="39E8F929" w14:textId="77777777" w:rsidR="00530422" w:rsidRPr="00E56854" w:rsidRDefault="00530422" w:rsidP="00EA0494">
      <w:pPr>
        <w:pStyle w:val="BodyText3"/>
        <w:numPr>
          <w:ilvl w:val="1"/>
          <w:numId w:val="3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 w:rsidRPr="00E56854">
        <w:rPr>
          <w:rFonts w:asciiTheme="minorHAnsi" w:hAnsiTheme="minorHAnsi" w:cstheme="minorHAnsi"/>
          <w:sz w:val="22"/>
        </w:rPr>
        <w:t xml:space="preserve">The 2021 Safety and Security Survey found 27 per cent of married respondents stated they did not give full consent to the marriage. </w:t>
      </w:r>
    </w:p>
    <w:p w14:paraId="7270A918" w14:textId="77777777" w:rsidR="0037765C" w:rsidRDefault="00530422" w:rsidP="00855BBE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E56854">
        <w:rPr>
          <w:rFonts w:asciiTheme="minorHAnsi" w:hAnsiTheme="minorHAnsi" w:cstheme="minorHAnsi"/>
          <w:sz w:val="22"/>
        </w:rPr>
        <w:t>Temporary visa holders report proportionately higher levels of family and domestic violence, including controlling behaviours.</w:t>
      </w:r>
    </w:p>
    <w:p w14:paraId="21CFE495" w14:textId="6EB2454D" w:rsidR="0037765C" w:rsidRDefault="0037765C" w:rsidP="0037765C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Migrant and refugee women’s experiences of violence have some distinct contributors that relate to other intersecting forms of inequality and discrimination, and </w:t>
      </w:r>
      <w:proofErr w:type="gramStart"/>
      <w:r>
        <w:rPr>
          <w:rFonts w:asciiTheme="minorHAnsi" w:hAnsiTheme="minorHAnsi" w:cstheme="minorHAnsi"/>
          <w:sz w:val="22"/>
        </w:rPr>
        <w:t>may also</w:t>
      </w:r>
      <w:proofErr w:type="gramEnd"/>
      <w:r>
        <w:rPr>
          <w:rFonts w:asciiTheme="minorHAnsi" w:hAnsiTheme="minorHAnsi" w:cstheme="minorHAnsi"/>
          <w:sz w:val="22"/>
        </w:rPr>
        <w:t xml:space="preserve"> include culturally specific norms about gender and relationships</w:t>
      </w:r>
      <w:r w:rsidR="00DE0BD2">
        <w:rPr>
          <w:rFonts w:asciiTheme="minorHAnsi" w:hAnsiTheme="minorHAnsi" w:cstheme="minorHAnsi"/>
          <w:sz w:val="22"/>
        </w:rPr>
        <w:t>.</w:t>
      </w:r>
      <w:r w:rsidR="00DE0BD2">
        <w:rPr>
          <w:rStyle w:val="FootnoteReference"/>
          <w:rFonts w:asciiTheme="minorHAnsi" w:hAnsiTheme="minorHAnsi" w:cstheme="minorHAnsi"/>
          <w:sz w:val="22"/>
        </w:rPr>
        <w:footnoteReference w:id="3"/>
      </w:r>
    </w:p>
    <w:p w14:paraId="1F180B45" w14:textId="05E52B9C" w:rsidR="0037765C" w:rsidRDefault="0037765C" w:rsidP="004A2FCE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Migrant and refugee women experience racism, sexism and other specific forms of </w:t>
      </w:r>
      <w:proofErr w:type="gramStart"/>
      <w:r>
        <w:rPr>
          <w:rFonts w:asciiTheme="minorHAnsi" w:hAnsiTheme="minorHAnsi" w:cstheme="minorHAnsi"/>
          <w:sz w:val="22"/>
        </w:rPr>
        <w:t xml:space="preserve">discrimination </w:t>
      </w:r>
      <w:r w:rsidR="004A2FCE">
        <w:rPr>
          <w:rFonts w:asciiTheme="minorHAnsi" w:hAnsiTheme="minorHAnsi" w:cstheme="minorHAnsi"/>
          <w:sz w:val="22"/>
        </w:rPr>
        <w:t>which</w:t>
      </w:r>
      <w:proofErr w:type="gramEnd"/>
      <w:r>
        <w:rPr>
          <w:rFonts w:asciiTheme="minorHAnsi" w:hAnsiTheme="minorHAnsi" w:cstheme="minorHAnsi"/>
          <w:sz w:val="22"/>
        </w:rPr>
        <w:t xml:space="preserve"> drive</w:t>
      </w:r>
      <w:r w:rsidR="004301CF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 xml:space="preserve"> increased levels of violence against women from these groups – violence that is both gendered and </w:t>
      </w:r>
      <w:proofErr w:type="spellStart"/>
      <w:r w:rsidR="00DE0BD2">
        <w:rPr>
          <w:rFonts w:asciiTheme="minorHAnsi" w:hAnsiTheme="minorHAnsi" w:cstheme="minorHAnsi"/>
          <w:sz w:val="22"/>
        </w:rPr>
        <w:t>racialis</w:t>
      </w:r>
      <w:r>
        <w:rPr>
          <w:rFonts w:asciiTheme="minorHAnsi" w:hAnsiTheme="minorHAnsi" w:cstheme="minorHAnsi"/>
          <w:sz w:val="22"/>
        </w:rPr>
        <w:t>ed</w:t>
      </w:r>
      <w:proofErr w:type="spellEnd"/>
      <w:r w:rsidR="00DE0BD2">
        <w:rPr>
          <w:rFonts w:asciiTheme="minorHAnsi" w:hAnsiTheme="minorHAnsi" w:cstheme="minorHAnsi"/>
          <w:sz w:val="22"/>
        </w:rPr>
        <w:t>.</w:t>
      </w:r>
      <w:r w:rsidR="00DE0BD2">
        <w:rPr>
          <w:rStyle w:val="FootnoteReference"/>
          <w:rFonts w:asciiTheme="minorHAnsi" w:hAnsiTheme="minorHAnsi" w:cstheme="minorHAnsi"/>
          <w:sz w:val="22"/>
        </w:rPr>
        <w:footnoteReference w:id="4"/>
      </w:r>
    </w:p>
    <w:p w14:paraId="43C6BCE3" w14:textId="7194F295" w:rsidR="002B1A14" w:rsidRPr="0037765C" w:rsidRDefault="002B1A14" w:rsidP="004A2FCE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Recent national surveys reveal that the COVID-19 pandemic saw a rise in racism and discrimination</w:t>
      </w:r>
      <w:r w:rsidR="006654AF">
        <w:rPr>
          <w:rFonts w:asciiTheme="minorHAnsi" w:hAnsiTheme="minorHAnsi" w:cstheme="minorHAnsi"/>
          <w:sz w:val="22"/>
        </w:rPr>
        <w:t xml:space="preserve"> towards migrant and refugee communities. </w:t>
      </w:r>
      <w:r w:rsidR="006654AF">
        <w:rPr>
          <w:rStyle w:val="FootnoteReference"/>
          <w:rFonts w:asciiTheme="minorHAnsi" w:hAnsiTheme="minorHAnsi" w:cstheme="minorHAnsi"/>
          <w:sz w:val="22"/>
        </w:rPr>
        <w:footnoteReference w:id="5"/>
      </w:r>
    </w:p>
    <w:p w14:paraId="0B74BC71" w14:textId="42C1593C" w:rsidR="0037765C" w:rsidRPr="004B60BE" w:rsidRDefault="0037765C" w:rsidP="0037765C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Migrant</w:t>
      </w:r>
      <w:r w:rsidRPr="00DF6C0E">
        <w:rPr>
          <w:rFonts w:asciiTheme="minorHAnsi" w:hAnsiTheme="minorHAnsi" w:cstheme="minorHAnsi"/>
          <w:sz w:val="22"/>
        </w:rPr>
        <w:t xml:space="preserve"> and refugee </w:t>
      </w:r>
      <w:r>
        <w:rPr>
          <w:rFonts w:asciiTheme="minorHAnsi" w:hAnsiTheme="minorHAnsi" w:cstheme="minorHAnsi"/>
          <w:sz w:val="22"/>
        </w:rPr>
        <w:t>women</w:t>
      </w:r>
      <w:r w:rsidRPr="00DF6C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are</w:t>
      </w:r>
      <w:r w:rsidRPr="00DF6C0E">
        <w:rPr>
          <w:rFonts w:asciiTheme="minorHAnsi" w:hAnsiTheme="minorHAnsi" w:cstheme="minorHAnsi"/>
          <w:sz w:val="22"/>
        </w:rPr>
        <w:t xml:space="preserve"> less likely to report violence</w:t>
      </w:r>
      <w:r>
        <w:rPr>
          <w:rFonts w:asciiTheme="minorHAnsi" w:hAnsiTheme="minorHAnsi" w:cstheme="minorHAnsi"/>
          <w:sz w:val="22"/>
        </w:rPr>
        <w:t xml:space="preserve"> and exploitation </w:t>
      </w:r>
      <w:r w:rsidRPr="00DF6C0E">
        <w:rPr>
          <w:rFonts w:asciiTheme="minorHAnsi" w:hAnsiTheme="minorHAnsi" w:cstheme="minorHAnsi"/>
          <w:sz w:val="22"/>
        </w:rPr>
        <w:t>due to a range of intersecting factors</w:t>
      </w:r>
      <w:r w:rsidR="00E67EA8">
        <w:rPr>
          <w:rFonts w:asciiTheme="minorHAnsi" w:hAnsiTheme="minorHAnsi" w:cstheme="minorHAnsi"/>
          <w:sz w:val="22"/>
        </w:rPr>
        <w:t>,</w:t>
      </w:r>
      <w:r w:rsidRPr="00DF6C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such as</w:t>
      </w:r>
      <w:r w:rsidRPr="00DF6C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lack of access to culturally sensitive services in-language,</w:t>
      </w:r>
      <w:r w:rsidRPr="00DF6C0E">
        <w:rPr>
          <w:rFonts w:asciiTheme="minorHAnsi" w:hAnsiTheme="minorHAnsi" w:cstheme="minorHAnsi"/>
          <w:sz w:val="22"/>
        </w:rPr>
        <w:t xml:space="preserve"> cultural or religious beliefs about gender roles and behaviours (particularly within marriage), trauma </w:t>
      </w:r>
      <w:r>
        <w:rPr>
          <w:rFonts w:asciiTheme="minorHAnsi" w:hAnsiTheme="minorHAnsi" w:cstheme="minorHAnsi"/>
          <w:sz w:val="22"/>
        </w:rPr>
        <w:t xml:space="preserve">and inadequate support from previous experiences of assault and violence, </w:t>
      </w:r>
      <w:r w:rsidRPr="00DF6C0E">
        <w:rPr>
          <w:rFonts w:asciiTheme="minorHAnsi" w:hAnsiTheme="minorHAnsi" w:cstheme="minorHAnsi"/>
          <w:sz w:val="22"/>
        </w:rPr>
        <w:t xml:space="preserve">financial insecurity and </w:t>
      </w:r>
      <w:r>
        <w:rPr>
          <w:rFonts w:asciiTheme="minorHAnsi" w:hAnsiTheme="minorHAnsi" w:cstheme="minorHAnsi"/>
          <w:sz w:val="22"/>
        </w:rPr>
        <w:t>fears that reporting violence will risk their visa</w:t>
      </w:r>
      <w:r w:rsidRPr="00DF6C0E">
        <w:rPr>
          <w:rFonts w:asciiTheme="minorHAnsi" w:hAnsiTheme="minorHAnsi" w:cstheme="minorHAnsi"/>
          <w:sz w:val="22"/>
        </w:rPr>
        <w:t>.</w:t>
      </w:r>
      <w:r>
        <w:rPr>
          <w:rStyle w:val="FootnoteReference"/>
          <w:rFonts w:asciiTheme="minorHAnsi" w:hAnsiTheme="minorHAnsi" w:cstheme="minorHAnsi"/>
          <w:sz w:val="22"/>
        </w:rPr>
        <w:footnoteReference w:id="6"/>
      </w:r>
      <w:proofErr w:type="gramEnd"/>
      <w:r w:rsidRPr="00DF6C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</w:p>
    <w:p w14:paraId="08C6B924" w14:textId="7D42C567" w:rsidR="002169C3" w:rsidRDefault="002169C3" w:rsidP="00E67EA8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Migrant and refugee women have a deficit of trust in police and cultural stigma generated by engaging </w:t>
      </w:r>
      <w:proofErr w:type="gramStart"/>
      <w:r>
        <w:rPr>
          <w:rFonts w:asciiTheme="minorHAnsi" w:hAnsiTheme="minorHAnsi" w:cstheme="minorHAnsi"/>
          <w:sz w:val="22"/>
        </w:rPr>
        <w:t>police which</w:t>
      </w:r>
      <w:proofErr w:type="gramEnd"/>
      <w:r>
        <w:rPr>
          <w:rFonts w:asciiTheme="minorHAnsi" w:hAnsiTheme="minorHAnsi" w:cstheme="minorHAnsi"/>
          <w:sz w:val="22"/>
        </w:rPr>
        <w:t xml:space="preserve"> impedes their access to justice systems.</w:t>
      </w:r>
      <w:r w:rsidR="00FF2879">
        <w:rPr>
          <w:rStyle w:val="FootnoteReference"/>
          <w:rFonts w:asciiTheme="minorHAnsi" w:hAnsiTheme="minorHAnsi" w:cstheme="minorHAnsi"/>
          <w:sz w:val="22"/>
        </w:rPr>
        <w:footnoteReference w:id="7"/>
      </w:r>
    </w:p>
    <w:p w14:paraId="1D5302D3" w14:textId="453B2351" w:rsidR="00F27338" w:rsidRPr="00F27338" w:rsidRDefault="00530422" w:rsidP="00E67EA8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F27338">
        <w:rPr>
          <w:rFonts w:asciiTheme="minorHAnsi" w:hAnsiTheme="minorHAnsi" w:cstheme="minorHAnsi"/>
          <w:sz w:val="22"/>
        </w:rPr>
        <w:t xml:space="preserve">International students and </w:t>
      </w:r>
      <w:proofErr w:type="gramStart"/>
      <w:r w:rsidRPr="00F27338">
        <w:rPr>
          <w:rFonts w:asciiTheme="minorHAnsi" w:hAnsiTheme="minorHAnsi" w:cstheme="minorHAnsi"/>
          <w:sz w:val="22"/>
        </w:rPr>
        <w:t>working holiday visa holders</w:t>
      </w:r>
      <w:proofErr w:type="gramEnd"/>
      <w:r w:rsidRPr="00F27338">
        <w:rPr>
          <w:rFonts w:asciiTheme="minorHAnsi" w:hAnsiTheme="minorHAnsi" w:cstheme="minorHAnsi"/>
          <w:sz w:val="22"/>
        </w:rPr>
        <w:t xml:space="preserve"> </w:t>
      </w:r>
      <w:r w:rsidR="00BB24F1" w:rsidRPr="00F27338">
        <w:rPr>
          <w:rFonts w:asciiTheme="minorHAnsi" w:hAnsiTheme="minorHAnsi" w:cstheme="minorHAnsi"/>
          <w:sz w:val="22"/>
        </w:rPr>
        <w:t xml:space="preserve">experience additional barriers to reporting and accessing support. This includes risk of visa cancellation and deportation if visa conditions (such as course attendance or employment) </w:t>
      </w:r>
      <w:proofErr w:type="gramStart"/>
      <w:r w:rsidR="00BB24F1" w:rsidRPr="00F27338">
        <w:rPr>
          <w:rFonts w:asciiTheme="minorHAnsi" w:hAnsiTheme="minorHAnsi" w:cstheme="minorHAnsi"/>
          <w:sz w:val="22"/>
        </w:rPr>
        <w:t>are not met</w:t>
      </w:r>
      <w:proofErr w:type="gramEnd"/>
      <w:r w:rsidR="00BB24F1" w:rsidRPr="00F27338">
        <w:rPr>
          <w:rFonts w:asciiTheme="minorHAnsi" w:hAnsiTheme="minorHAnsi" w:cstheme="minorHAnsi"/>
          <w:sz w:val="22"/>
        </w:rPr>
        <w:t xml:space="preserve">. Temporary visa migrants also experience restricted access to social services, such as Medicare, social security payments and social housing. </w:t>
      </w:r>
    </w:p>
    <w:p w14:paraId="1780FE59" w14:textId="13FA2F47" w:rsidR="00530422" w:rsidRPr="00530422" w:rsidRDefault="00530422" w:rsidP="003E7F54">
      <w:pPr>
        <w:pStyle w:val="Heading2"/>
      </w:pPr>
      <w:r>
        <w:t>Employment for</w:t>
      </w:r>
      <w:r w:rsidRPr="00530422">
        <w:t xml:space="preserve"> </w:t>
      </w:r>
      <w:r>
        <w:t>migrant and refugee women</w:t>
      </w:r>
    </w:p>
    <w:p w14:paraId="7241F58B" w14:textId="2C19F8D9" w:rsidR="00530422" w:rsidRPr="00E56854" w:rsidRDefault="009359C0" w:rsidP="00EA0494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Migrant and refugee women are 7</w:t>
      </w:r>
      <w:r w:rsidRPr="009359C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per cent</w:t>
      </w:r>
      <w:r w:rsidR="00530422" w:rsidRPr="00E56854">
        <w:rPr>
          <w:rFonts w:asciiTheme="minorHAnsi" w:hAnsiTheme="minorHAnsi" w:cstheme="minorHAnsi"/>
          <w:sz w:val="22"/>
        </w:rPr>
        <w:t xml:space="preserve"> less likely to be employed than those born in </w:t>
      </w:r>
      <w:proofErr w:type="gramStart"/>
      <w:r w:rsidR="00530422" w:rsidRPr="00E56854">
        <w:rPr>
          <w:rFonts w:asciiTheme="minorHAnsi" w:hAnsiTheme="minorHAnsi" w:cstheme="minorHAnsi"/>
          <w:sz w:val="22"/>
        </w:rPr>
        <w:t>Australia</w:t>
      </w:r>
      <w:proofErr w:type="gramEnd"/>
      <w:r w:rsidR="00456DF5">
        <w:rPr>
          <w:rFonts w:asciiTheme="minorHAnsi" w:hAnsiTheme="minorHAnsi" w:cstheme="minorHAnsi"/>
          <w:sz w:val="22"/>
        </w:rPr>
        <w:t>.</w:t>
      </w:r>
      <w:r w:rsidR="00530422" w:rsidRPr="00E56854">
        <w:rPr>
          <w:rStyle w:val="FootnoteReference"/>
          <w:rFonts w:asciiTheme="minorHAnsi" w:hAnsiTheme="minorHAnsi" w:cstheme="minorHAnsi"/>
          <w:sz w:val="22"/>
        </w:rPr>
        <w:footnoteReference w:id="8"/>
      </w:r>
    </w:p>
    <w:p w14:paraId="6775CB82" w14:textId="2F599B17" w:rsidR="00530422" w:rsidRDefault="00530422" w:rsidP="00EA0494">
      <w:pPr>
        <w:pStyle w:val="BodyText3"/>
        <w:numPr>
          <w:ilvl w:val="1"/>
          <w:numId w:val="3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unemployment rate for women who have migrated to </w:t>
      </w:r>
      <w:r w:rsidR="009359C0">
        <w:rPr>
          <w:rFonts w:asciiTheme="minorHAnsi" w:hAnsiTheme="minorHAnsi" w:cstheme="minorHAnsi"/>
          <w:sz w:val="22"/>
        </w:rPr>
        <w:t>Australia has 6.29</w:t>
      </w:r>
      <w:r w:rsidR="00787315">
        <w:rPr>
          <w:rFonts w:asciiTheme="minorHAnsi" w:hAnsiTheme="minorHAnsi" w:cstheme="minorHAnsi"/>
          <w:sz w:val="22"/>
        </w:rPr>
        <w:t> </w:t>
      </w:r>
      <w:r w:rsidR="009359C0">
        <w:rPr>
          <w:rFonts w:asciiTheme="minorHAnsi" w:hAnsiTheme="minorHAnsi" w:cstheme="minorHAnsi"/>
          <w:sz w:val="22"/>
        </w:rPr>
        <w:t>per</w:t>
      </w:r>
      <w:r w:rsidR="00787315">
        <w:rPr>
          <w:rFonts w:asciiTheme="minorHAnsi" w:hAnsiTheme="minorHAnsi" w:cstheme="minorHAnsi"/>
          <w:sz w:val="22"/>
        </w:rPr>
        <w:t> </w:t>
      </w:r>
      <w:r w:rsidR="009359C0">
        <w:rPr>
          <w:rFonts w:asciiTheme="minorHAnsi" w:hAnsiTheme="minorHAnsi" w:cstheme="minorHAnsi"/>
          <w:sz w:val="22"/>
        </w:rPr>
        <w:t>cent</w:t>
      </w:r>
      <w:r w:rsidR="009359C0" w:rsidRPr="00E56854">
        <w:rPr>
          <w:rFonts w:asciiTheme="minorHAnsi" w:hAnsiTheme="minorHAnsi" w:cstheme="minorHAnsi"/>
          <w:sz w:val="22"/>
        </w:rPr>
        <w:t xml:space="preserve"> </w:t>
      </w:r>
      <w:r w:rsidR="009359C0">
        <w:rPr>
          <w:rFonts w:asciiTheme="minorHAnsi" w:hAnsiTheme="minorHAnsi" w:cstheme="minorHAnsi"/>
          <w:sz w:val="22"/>
        </w:rPr>
        <w:t>compared to 5.40 per cent</w:t>
      </w:r>
      <w:r>
        <w:rPr>
          <w:rFonts w:asciiTheme="minorHAnsi" w:hAnsiTheme="minorHAnsi" w:cstheme="minorHAnsi"/>
          <w:sz w:val="22"/>
        </w:rPr>
        <w:t xml:space="preserve"> for all Australian women and migrant men.</w:t>
      </w:r>
      <w:r w:rsidRPr="00456DF5">
        <w:rPr>
          <w:rStyle w:val="FootnoteReference"/>
          <w:rFonts w:asciiTheme="minorHAnsi" w:eastAsiaTheme="majorEastAsia" w:hAnsiTheme="minorHAnsi" w:cstheme="minorHAnsi"/>
          <w:sz w:val="22"/>
        </w:rPr>
        <w:footnoteReference w:id="9"/>
      </w:r>
    </w:p>
    <w:p w14:paraId="006E4DAB" w14:textId="713984E3" w:rsidR="004477E6" w:rsidRDefault="004477E6" w:rsidP="00EA0494">
      <w:pPr>
        <w:pStyle w:val="BodyText3"/>
        <w:numPr>
          <w:ilvl w:val="0"/>
          <w:numId w:val="40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Migrant and refugee women have a significantly lower rate of workf</w:t>
      </w:r>
      <w:r w:rsidR="00304E53">
        <w:rPr>
          <w:rFonts w:asciiTheme="minorHAnsi" w:hAnsiTheme="minorHAnsi" w:cstheme="minorHAnsi"/>
          <w:sz w:val="22"/>
        </w:rPr>
        <w:t>orce participation compared to m</w:t>
      </w:r>
      <w:r>
        <w:rPr>
          <w:rFonts w:asciiTheme="minorHAnsi" w:hAnsiTheme="minorHAnsi" w:cstheme="minorHAnsi"/>
          <w:sz w:val="22"/>
        </w:rPr>
        <w:t xml:space="preserve">igrant and refugee men (47.3 per cent and 69.5 per cent respectively). </w:t>
      </w:r>
    </w:p>
    <w:p w14:paraId="5F7F96C2" w14:textId="436357A9" w:rsidR="00530422" w:rsidRPr="004477E6" w:rsidRDefault="00E56854" w:rsidP="00EA0494">
      <w:pPr>
        <w:pStyle w:val="BodyText3"/>
        <w:numPr>
          <w:ilvl w:val="1"/>
          <w:numId w:val="3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 w:rsidRPr="004477E6">
        <w:rPr>
          <w:rFonts w:asciiTheme="minorHAnsi" w:hAnsiTheme="minorHAnsi" w:cstheme="minorHAnsi"/>
          <w:sz w:val="22"/>
        </w:rPr>
        <w:t xml:space="preserve">Adult migrant women (who migrated after the age of 15) are less likely to be in </w:t>
      </w:r>
      <w:r w:rsidR="009359C0">
        <w:rPr>
          <w:rFonts w:asciiTheme="minorHAnsi" w:hAnsiTheme="minorHAnsi" w:cstheme="minorHAnsi"/>
          <w:sz w:val="22"/>
        </w:rPr>
        <w:t>the labour force than males (28 per cent</w:t>
      </w:r>
      <w:r w:rsidRPr="004477E6">
        <w:rPr>
          <w:rFonts w:asciiTheme="minorHAnsi" w:hAnsiTheme="minorHAnsi" w:cstheme="minorHAnsi"/>
          <w:sz w:val="22"/>
        </w:rPr>
        <w:t xml:space="preserve"> not in the</w:t>
      </w:r>
      <w:r w:rsidR="009359C0">
        <w:rPr>
          <w:rFonts w:asciiTheme="minorHAnsi" w:hAnsiTheme="minorHAnsi" w:cstheme="minorHAnsi"/>
          <w:sz w:val="22"/>
        </w:rPr>
        <w:t xml:space="preserve"> labour force, compared with 13 per cent</w:t>
      </w:r>
      <w:r w:rsidRPr="004477E6">
        <w:rPr>
          <w:rFonts w:asciiTheme="minorHAnsi" w:hAnsiTheme="minorHAnsi" w:cstheme="minorHAnsi"/>
          <w:sz w:val="22"/>
        </w:rPr>
        <w:t xml:space="preserve"> of male adult migrants).</w:t>
      </w:r>
      <w:r w:rsidRPr="00E56854">
        <w:rPr>
          <w:rStyle w:val="FootnoteReference"/>
          <w:rFonts w:asciiTheme="minorHAnsi" w:hAnsiTheme="minorHAnsi" w:cstheme="minorHAnsi"/>
          <w:sz w:val="22"/>
        </w:rPr>
        <w:footnoteReference w:id="10"/>
      </w:r>
      <w:r w:rsidRPr="004477E6">
        <w:rPr>
          <w:rFonts w:asciiTheme="minorHAnsi" w:hAnsiTheme="minorHAnsi" w:cstheme="minorHAnsi"/>
          <w:sz w:val="22"/>
        </w:rPr>
        <w:t xml:space="preserve"> </w:t>
      </w:r>
    </w:p>
    <w:p w14:paraId="726A7B68" w14:textId="7F3A2998" w:rsidR="00530422" w:rsidRPr="00E17CAF" w:rsidRDefault="00530422" w:rsidP="00EA0494">
      <w:pPr>
        <w:pStyle w:val="BodyText3"/>
        <w:numPr>
          <w:ilvl w:val="1"/>
          <w:numId w:val="37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Migrant and </w:t>
      </w:r>
      <w:r w:rsidR="00BB24F1">
        <w:rPr>
          <w:rFonts w:asciiTheme="minorHAnsi" w:hAnsiTheme="minorHAnsi" w:cstheme="minorHAnsi"/>
          <w:sz w:val="22"/>
        </w:rPr>
        <w:t xml:space="preserve">refugee </w:t>
      </w:r>
      <w:r>
        <w:rPr>
          <w:rFonts w:asciiTheme="minorHAnsi" w:hAnsiTheme="minorHAnsi" w:cstheme="minorHAnsi"/>
          <w:sz w:val="22"/>
        </w:rPr>
        <w:t>women face particular challenges relating to the formal recognition of overseas education, qualifications and skills and the need for access to childcare support.</w:t>
      </w:r>
    </w:p>
    <w:p w14:paraId="06FBA65D" w14:textId="0A65BAB9" w:rsidR="004B60BE" w:rsidRPr="00E17CAF" w:rsidRDefault="004B60BE" w:rsidP="004B60BE">
      <w:pPr>
        <w:pStyle w:val="BodyText3"/>
        <w:numPr>
          <w:ilvl w:val="0"/>
          <w:numId w:val="40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Migrant and refugee women are overrepresented </w:t>
      </w:r>
      <w:r w:rsidRPr="004B60BE">
        <w:rPr>
          <w:rFonts w:asciiTheme="minorHAnsi" w:hAnsiTheme="minorHAnsi" w:cstheme="minorHAnsi"/>
          <w:sz w:val="22"/>
        </w:rPr>
        <w:t>in non-professional care occupations</w:t>
      </w:r>
      <w:r>
        <w:rPr>
          <w:rFonts w:asciiTheme="minorHAnsi" w:hAnsiTheme="minorHAnsi" w:cstheme="minorHAnsi"/>
          <w:sz w:val="22"/>
        </w:rPr>
        <w:t>, including</w:t>
      </w:r>
      <w:r w:rsidRPr="004B60BE">
        <w:rPr>
          <w:rFonts w:asciiTheme="minorHAnsi" w:hAnsiTheme="minorHAnsi" w:cstheme="minorHAnsi"/>
          <w:sz w:val="22"/>
        </w:rPr>
        <w:t xml:space="preserve"> child carers, personal care assistants, and aged and disability carers.  </w:t>
      </w:r>
    </w:p>
    <w:p w14:paraId="02C2498E" w14:textId="612F04B4" w:rsidR="00530422" w:rsidRDefault="009359C0" w:rsidP="00EA0494">
      <w:pPr>
        <w:pStyle w:val="BodyText3"/>
        <w:numPr>
          <w:ilvl w:val="0"/>
          <w:numId w:val="40"/>
        </w:numPr>
        <w:tabs>
          <w:tab w:val="num" w:pos="720"/>
        </w:tabs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Only 47 per cent</w:t>
      </w:r>
      <w:r w:rsidR="00530422" w:rsidRPr="00530422">
        <w:rPr>
          <w:rFonts w:asciiTheme="minorHAnsi" w:hAnsiTheme="minorHAnsi" w:cstheme="minorHAnsi"/>
          <w:sz w:val="22"/>
        </w:rPr>
        <w:t xml:space="preserve"> of migrant</w:t>
      </w:r>
      <w:r w:rsidR="00D73B77">
        <w:rPr>
          <w:rFonts w:asciiTheme="minorHAnsi" w:hAnsiTheme="minorHAnsi" w:cstheme="minorHAnsi"/>
          <w:sz w:val="22"/>
        </w:rPr>
        <w:t xml:space="preserve"> women</w:t>
      </w:r>
      <w:r w:rsidR="00F55FB4">
        <w:rPr>
          <w:rFonts w:asciiTheme="minorHAnsi" w:hAnsiTheme="minorHAnsi" w:cstheme="minorHAnsi"/>
          <w:sz w:val="22"/>
        </w:rPr>
        <w:t xml:space="preserve"> </w:t>
      </w:r>
      <w:r w:rsidR="00530422" w:rsidRPr="00530422">
        <w:rPr>
          <w:rFonts w:asciiTheme="minorHAnsi" w:hAnsiTheme="minorHAnsi" w:cstheme="minorHAnsi"/>
          <w:sz w:val="22"/>
        </w:rPr>
        <w:t xml:space="preserve">without a qualification </w:t>
      </w:r>
      <w:proofErr w:type="gramStart"/>
      <w:r w:rsidR="00530422" w:rsidRPr="00530422">
        <w:rPr>
          <w:rFonts w:asciiTheme="minorHAnsi" w:hAnsiTheme="minorHAnsi" w:cstheme="minorHAnsi"/>
          <w:sz w:val="22"/>
        </w:rPr>
        <w:t>were emplo</w:t>
      </w:r>
      <w:r>
        <w:rPr>
          <w:rFonts w:asciiTheme="minorHAnsi" w:hAnsiTheme="minorHAnsi" w:cstheme="minorHAnsi"/>
          <w:sz w:val="22"/>
        </w:rPr>
        <w:t>yed</w:t>
      </w:r>
      <w:proofErr w:type="gramEnd"/>
      <w:r>
        <w:rPr>
          <w:rFonts w:asciiTheme="minorHAnsi" w:hAnsiTheme="minorHAnsi" w:cstheme="minorHAnsi"/>
          <w:sz w:val="22"/>
        </w:rPr>
        <w:t xml:space="preserve"> in 2018-19, compared to 71 per cent</w:t>
      </w:r>
      <w:r w:rsidRPr="00E56854">
        <w:rPr>
          <w:rFonts w:asciiTheme="minorHAnsi" w:hAnsiTheme="minorHAnsi" w:cstheme="minorHAnsi"/>
          <w:sz w:val="22"/>
        </w:rPr>
        <w:t xml:space="preserve"> </w:t>
      </w:r>
      <w:r w:rsidR="00530422" w:rsidRPr="00530422">
        <w:rPr>
          <w:rFonts w:asciiTheme="minorHAnsi" w:hAnsiTheme="minorHAnsi" w:cstheme="minorHAnsi"/>
          <w:sz w:val="22"/>
        </w:rPr>
        <w:t>of migrant males without a qualification.</w:t>
      </w:r>
    </w:p>
    <w:p w14:paraId="0B78EC0D" w14:textId="176DCEB1" w:rsidR="006844DF" w:rsidRDefault="004477E6" w:rsidP="003E7F54">
      <w:pPr>
        <w:pStyle w:val="Heading2"/>
      </w:pPr>
      <w:r>
        <w:t xml:space="preserve">Health for </w:t>
      </w:r>
      <w:r w:rsidR="00304E53">
        <w:t>m</w:t>
      </w:r>
      <w:r>
        <w:t>igrant and refugee women</w:t>
      </w:r>
    </w:p>
    <w:p w14:paraId="18A2A7DA" w14:textId="77777777" w:rsidR="004477E6" w:rsidRDefault="006844DF" w:rsidP="00EA0494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4477E6">
        <w:rPr>
          <w:rFonts w:asciiTheme="minorHAnsi" w:hAnsiTheme="minorHAnsi" w:cstheme="minorHAnsi"/>
          <w:sz w:val="22"/>
        </w:rPr>
        <w:t xml:space="preserve">Migrant and refugee women experience poorer health outcomes compared with Australian-born women. </w:t>
      </w:r>
    </w:p>
    <w:p w14:paraId="2463C794" w14:textId="62931A6E" w:rsidR="007C6D19" w:rsidRDefault="007C6D19" w:rsidP="00EA0494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4477E6">
        <w:rPr>
          <w:rFonts w:asciiTheme="minorHAnsi" w:hAnsiTheme="minorHAnsi" w:cstheme="minorHAnsi"/>
          <w:sz w:val="22"/>
        </w:rPr>
        <w:t>Migrant and refugee women are also less likely to access sexual health care, terminations and antenatal care.</w:t>
      </w:r>
    </w:p>
    <w:p w14:paraId="51224A23" w14:textId="5CB06146" w:rsidR="00B4103A" w:rsidRPr="00B4103A" w:rsidRDefault="00D8128B" w:rsidP="00E04C5B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Migrant and refugee women are more likely to </w:t>
      </w:r>
      <w:r w:rsidR="00D73B77">
        <w:rPr>
          <w:rFonts w:asciiTheme="minorHAnsi" w:hAnsiTheme="minorHAnsi" w:cstheme="minorHAnsi"/>
          <w:sz w:val="22"/>
        </w:rPr>
        <w:t xml:space="preserve">face </w:t>
      </w:r>
      <w:r>
        <w:rPr>
          <w:rFonts w:asciiTheme="minorHAnsi" w:hAnsiTheme="minorHAnsi" w:cstheme="minorHAnsi"/>
          <w:sz w:val="22"/>
        </w:rPr>
        <w:t>additional challenges during the maternity period compared to Australian-born women.</w:t>
      </w:r>
      <w:r>
        <w:rPr>
          <w:rStyle w:val="FootnoteReference"/>
          <w:rFonts w:asciiTheme="minorHAnsi" w:hAnsiTheme="minorHAnsi" w:cstheme="minorHAnsi"/>
          <w:sz w:val="22"/>
        </w:rPr>
        <w:footnoteReference w:id="11"/>
      </w:r>
      <w:r w:rsidR="00D73B77">
        <w:rPr>
          <w:rFonts w:asciiTheme="minorHAnsi" w:hAnsiTheme="minorHAnsi" w:cstheme="minorHAnsi"/>
          <w:sz w:val="22"/>
        </w:rPr>
        <w:t xml:space="preserve"> </w:t>
      </w:r>
      <w:r w:rsidR="00504D7C">
        <w:rPr>
          <w:rFonts w:asciiTheme="minorHAnsi" w:hAnsiTheme="minorHAnsi" w:cstheme="minorHAnsi"/>
          <w:sz w:val="22"/>
        </w:rPr>
        <w:t xml:space="preserve">Migrant and refugee women are at a greater risk of suffering poorer child </w:t>
      </w:r>
      <w:r w:rsidR="00D73B77">
        <w:rPr>
          <w:rFonts w:asciiTheme="minorHAnsi" w:hAnsiTheme="minorHAnsi" w:cstheme="minorHAnsi"/>
          <w:sz w:val="22"/>
        </w:rPr>
        <w:t xml:space="preserve">and maternal </w:t>
      </w:r>
      <w:r w:rsidR="00504D7C">
        <w:rPr>
          <w:rFonts w:asciiTheme="minorHAnsi" w:hAnsiTheme="minorHAnsi" w:cstheme="minorHAnsi"/>
          <w:sz w:val="22"/>
        </w:rPr>
        <w:t>health outcomes</w:t>
      </w:r>
      <w:r w:rsidR="00D73B77">
        <w:rPr>
          <w:rFonts w:asciiTheme="minorHAnsi" w:hAnsiTheme="minorHAnsi" w:cstheme="minorHAnsi"/>
          <w:sz w:val="22"/>
        </w:rPr>
        <w:t>, including mental health.</w:t>
      </w:r>
      <w:r>
        <w:rPr>
          <w:rStyle w:val="FootnoteReference"/>
          <w:rFonts w:asciiTheme="minorHAnsi" w:hAnsiTheme="minorHAnsi" w:cstheme="minorHAnsi"/>
          <w:sz w:val="22"/>
        </w:rPr>
        <w:footnoteReference w:id="12"/>
      </w:r>
    </w:p>
    <w:p w14:paraId="2C8BA76A" w14:textId="43E84332" w:rsidR="00E04C5B" w:rsidRPr="002871FE" w:rsidRDefault="00E04C5B" w:rsidP="00E04C5B">
      <w:pPr>
        <w:pStyle w:val="Heading1"/>
        <w:rPr>
          <w:highlight w:val="yellow"/>
        </w:rPr>
      </w:pPr>
      <w:r>
        <w:t>Drivers of gender inequality</w:t>
      </w:r>
    </w:p>
    <w:p w14:paraId="5DCE0994" w14:textId="505413B6" w:rsidR="00D342F5" w:rsidRDefault="006923C9" w:rsidP="00D342F5">
      <w:pPr>
        <w:spacing w:after="200" w:line="276" w:lineRule="auto"/>
        <w:rPr>
          <w:color w:val="0E090A"/>
          <w:szCs w:val="20"/>
        </w:rPr>
      </w:pPr>
      <w:r>
        <w:rPr>
          <w:color w:val="0E090A"/>
          <w:szCs w:val="20"/>
        </w:rPr>
        <w:t>R</w:t>
      </w:r>
      <w:r w:rsidR="00F74E87" w:rsidRPr="00F74E87">
        <w:rPr>
          <w:color w:val="0E090A"/>
          <w:szCs w:val="20"/>
        </w:rPr>
        <w:t>esearch and stakeholder feedback to date suggests, but are not limited to, the following driv</w:t>
      </w:r>
      <w:r w:rsidR="00D342F5">
        <w:rPr>
          <w:color w:val="0E090A"/>
          <w:szCs w:val="20"/>
        </w:rPr>
        <w:t>ers of gender inequality for migrant and refugee women</w:t>
      </w:r>
      <w:r w:rsidR="00F74E87" w:rsidRPr="00F74E87">
        <w:rPr>
          <w:color w:val="0E090A"/>
          <w:szCs w:val="20"/>
        </w:rPr>
        <w:t>:</w:t>
      </w:r>
    </w:p>
    <w:p w14:paraId="25E99132" w14:textId="4CCC89C4" w:rsidR="008A3B03" w:rsidRPr="00D342F5" w:rsidRDefault="008A3B03" w:rsidP="00D342F5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D342F5">
        <w:rPr>
          <w:rFonts w:asciiTheme="minorHAnsi" w:hAnsiTheme="minorHAnsi" w:cstheme="minorHAnsi"/>
          <w:sz w:val="22"/>
        </w:rPr>
        <w:lastRenderedPageBreak/>
        <w:t xml:space="preserve">To achieve equality and respect for all women, gender inequality </w:t>
      </w:r>
      <w:proofErr w:type="gramStart"/>
      <w:r w:rsidRPr="00D342F5">
        <w:rPr>
          <w:rFonts w:asciiTheme="minorHAnsi" w:hAnsiTheme="minorHAnsi" w:cstheme="minorHAnsi"/>
          <w:sz w:val="22"/>
        </w:rPr>
        <w:t>cannot be seen</w:t>
      </w:r>
      <w:proofErr w:type="gramEnd"/>
      <w:r w:rsidRPr="00D342F5">
        <w:rPr>
          <w:rFonts w:asciiTheme="minorHAnsi" w:hAnsiTheme="minorHAnsi" w:cstheme="minorHAnsi"/>
          <w:sz w:val="22"/>
        </w:rPr>
        <w:t xml:space="preserve"> as separate from other forms of discrimination and disadvantage that women face.</w:t>
      </w:r>
      <w:r w:rsidRPr="00D342F5">
        <w:rPr>
          <w:rFonts w:asciiTheme="minorHAnsi" w:hAnsiTheme="minorHAnsi" w:cstheme="minorHAnsi"/>
          <w:sz w:val="22"/>
          <w:vertAlign w:val="superscript"/>
        </w:rPr>
        <w:footnoteReference w:id="13"/>
      </w:r>
    </w:p>
    <w:p w14:paraId="74E3431A" w14:textId="776063EE" w:rsidR="00D342F5" w:rsidRDefault="006B0F24" w:rsidP="00D342F5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D342F5">
        <w:rPr>
          <w:rFonts w:asciiTheme="minorHAnsi" w:hAnsiTheme="minorHAnsi" w:cstheme="minorHAnsi"/>
          <w:sz w:val="22"/>
        </w:rPr>
        <w:t>M</w:t>
      </w:r>
      <w:r w:rsidR="00250D7C" w:rsidRPr="00D342F5">
        <w:rPr>
          <w:rFonts w:asciiTheme="minorHAnsi" w:hAnsiTheme="minorHAnsi" w:cstheme="minorHAnsi"/>
          <w:sz w:val="22"/>
        </w:rPr>
        <w:t xml:space="preserve">igrant and refugee </w:t>
      </w:r>
      <w:r w:rsidRPr="00D342F5">
        <w:rPr>
          <w:rFonts w:asciiTheme="minorHAnsi" w:hAnsiTheme="minorHAnsi" w:cstheme="minorHAnsi"/>
          <w:sz w:val="22"/>
        </w:rPr>
        <w:t>women</w:t>
      </w:r>
      <w:r w:rsidR="00250D7C" w:rsidRPr="00D342F5">
        <w:rPr>
          <w:rFonts w:asciiTheme="minorHAnsi" w:hAnsiTheme="minorHAnsi" w:cstheme="minorHAnsi"/>
          <w:sz w:val="22"/>
        </w:rPr>
        <w:t xml:space="preserve"> can fac</w:t>
      </w:r>
      <w:r w:rsidRPr="00D342F5">
        <w:rPr>
          <w:rFonts w:asciiTheme="minorHAnsi" w:hAnsiTheme="minorHAnsi" w:cstheme="minorHAnsi"/>
          <w:sz w:val="22"/>
        </w:rPr>
        <w:t xml:space="preserve">e a range of challenges </w:t>
      </w:r>
      <w:r w:rsidR="00250D7C" w:rsidRPr="00D342F5">
        <w:rPr>
          <w:rFonts w:asciiTheme="minorHAnsi" w:hAnsiTheme="minorHAnsi" w:cstheme="minorHAnsi"/>
          <w:sz w:val="22"/>
        </w:rPr>
        <w:t xml:space="preserve">such as navigating </w:t>
      </w:r>
      <w:r w:rsidR="004B60BE">
        <w:rPr>
          <w:rFonts w:asciiTheme="minorHAnsi" w:hAnsiTheme="minorHAnsi" w:cstheme="minorHAnsi"/>
          <w:sz w:val="22"/>
        </w:rPr>
        <w:t xml:space="preserve">complex and sometimes competing </w:t>
      </w:r>
      <w:r w:rsidR="00250D7C" w:rsidRPr="00D342F5">
        <w:rPr>
          <w:rFonts w:asciiTheme="minorHAnsi" w:hAnsiTheme="minorHAnsi" w:cstheme="minorHAnsi"/>
          <w:sz w:val="22"/>
        </w:rPr>
        <w:t>cultural expectations</w:t>
      </w:r>
      <w:r w:rsidR="00D342F5">
        <w:rPr>
          <w:rFonts w:asciiTheme="minorHAnsi" w:hAnsiTheme="minorHAnsi" w:cstheme="minorHAnsi"/>
          <w:sz w:val="22"/>
        </w:rPr>
        <w:t>.</w:t>
      </w:r>
    </w:p>
    <w:p w14:paraId="30DC9462" w14:textId="09A83801" w:rsidR="00D342F5" w:rsidRDefault="004B60BE" w:rsidP="00D342F5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</w:t>
      </w:r>
      <w:r w:rsidR="00AA5D66" w:rsidRPr="00D342F5">
        <w:rPr>
          <w:rFonts w:asciiTheme="minorHAnsi" w:hAnsiTheme="minorHAnsi" w:cstheme="minorHAnsi"/>
          <w:sz w:val="22"/>
        </w:rPr>
        <w:t xml:space="preserve">legal system, </w:t>
      </w:r>
      <w:r>
        <w:rPr>
          <w:rFonts w:asciiTheme="minorHAnsi" w:hAnsiTheme="minorHAnsi" w:cstheme="minorHAnsi"/>
          <w:sz w:val="22"/>
        </w:rPr>
        <w:t xml:space="preserve">health and social </w:t>
      </w:r>
      <w:r w:rsidR="00AA5D66" w:rsidRPr="00D342F5">
        <w:rPr>
          <w:rFonts w:asciiTheme="minorHAnsi" w:hAnsiTheme="minorHAnsi" w:cstheme="minorHAnsi"/>
          <w:sz w:val="22"/>
        </w:rPr>
        <w:t>services, public transport, jobs and training in Australia</w:t>
      </w:r>
      <w:r>
        <w:rPr>
          <w:rFonts w:asciiTheme="minorHAnsi" w:hAnsiTheme="minorHAnsi" w:cstheme="minorHAnsi"/>
          <w:sz w:val="22"/>
        </w:rPr>
        <w:t xml:space="preserve"> are complex and unfamiliar, and may not be available in-language or be culturally safe</w:t>
      </w:r>
      <w:r w:rsidR="00AA5D66" w:rsidRPr="00D342F5">
        <w:rPr>
          <w:rFonts w:asciiTheme="minorHAnsi" w:hAnsiTheme="minorHAnsi" w:cstheme="minorHAnsi"/>
          <w:sz w:val="22"/>
        </w:rPr>
        <w:t>.</w:t>
      </w:r>
      <w:r w:rsidR="00AA5D66" w:rsidRPr="00D342F5">
        <w:rPr>
          <w:rFonts w:asciiTheme="minorHAnsi" w:hAnsiTheme="minorHAnsi" w:cstheme="minorHAnsi"/>
          <w:sz w:val="22"/>
          <w:vertAlign w:val="superscript"/>
        </w:rPr>
        <w:footnoteReference w:id="14"/>
      </w:r>
    </w:p>
    <w:p w14:paraId="3B6E2C55" w14:textId="51F86483" w:rsidR="004B60BE" w:rsidRPr="00D342F5" w:rsidRDefault="00B453E3" w:rsidP="004B60BE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Australia’s system and services, including health and mental health services are often not </w:t>
      </w:r>
      <w:r w:rsidR="00F55FB4">
        <w:rPr>
          <w:rFonts w:asciiTheme="minorHAnsi" w:hAnsiTheme="minorHAnsi" w:cstheme="minorHAnsi"/>
          <w:sz w:val="22"/>
        </w:rPr>
        <w:t xml:space="preserve">easily </w:t>
      </w:r>
      <w:r>
        <w:rPr>
          <w:rFonts w:asciiTheme="minorHAnsi" w:hAnsiTheme="minorHAnsi" w:cstheme="minorHAnsi"/>
          <w:sz w:val="22"/>
        </w:rPr>
        <w:t>accessible to m</w:t>
      </w:r>
      <w:r w:rsidR="004B60BE" w:rsidRPr="00D342F5">
        <w:rPr>
          <w:rFonts w:asciiTheme="minorHAnsi" w:hAnsiTheme="minorHAnsi" w:cstheme="minorHAnsi"/>
          <w:sz w:val="22"/>
        </w:rPr>
        <w:t>igrant and refugee women</w:t>
      </w:r>
      <w:r>
        <w:rPr>
          <w:rFonts w:asciiTheme="minorHAnsi" w:hAnsiTheme="minorHAnsi" w:cstheme="minorHAnsi"/>
          <w:sz w:val="22"/>
        </w:rPr>
        <w:t>.</w:t>
      </w:r>
    </w:p>
    <w:p w14:paraId="53BF72AD" w14:textId="39ACD95F" w:rsidR="004B60BE" w:rsidRPr="00D342F5" w:rsidRDefault="004B60BE" w:rsidP="004B60BE">
      <w:pPr>
        <w:pStyle w:val="BodyText3"/>
        <w:numPr>
          <w:ilvl w:val="1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D342F5">
        <w:rPr>
          <w:rFonts w:asciiTheme="minorHAnsi" w:hAnsiTheme="minorHAnsi" w:cstheme="minorHAnsi"/>
          <w:sz w:val="22"/>
        </w:rPr>
        <w:t xml:space="preserve">They may also have limited trust of health services due to experiences in their home country, </w:t>
      </w:r>
      <w:r>
        <w:rPr>
          <w:rFonts w:asciiTheme="minorHAnsi" w:hAnsiTheme="minorHAnsi" w:cstheme="minorHAnsi"/>
          <w:sz w:val="22"/>
        </w:rPr>
        <w:t xml:space="preserve">and </w:t>
      </w:r>
      <w:r w:rsidRPr="00D342F5">
        <w:rPr>
          <w:rFonts w:asciiTheme="minorHAnsi" w:hAnsiTheme="minorHAnsi" w:cstheme="minorHAnsi"/>
          <w:sz w:val="22"/>
        </w:rPr>
        <w:t>possess lower health literacy</w:t>
      </w:r>
      <w:r>
        <w:rPr>
          <w:rFonts w:asciiTheme="minorHAnsi" w:hAnsiTheme="minorHAnsi" w:cstheme="minorHAnsi"/>
          <w:sz w:val="22"/>
        </w:rPr>
        <w:t>. Lack of accessible and culturally safe services</w:t>
      </w:r>
      <w:r w:rsidRPr="00D342F5">
        <w:rPr>
          <w:rFonts w:asciiTheme="minorHAnsi" w:hAnsiTheme="minorHAnsi" w:cstheme="minorHAnsi"/>
          <w:sz w:val="22"/>
        </w:rPr>
        <w:t xml:space="preserve"> may result in miscommunication, misdiagnosis, and lack of appropriate follow-up.</w:t>
      </w:r>
      <w:r w:rsidRPr="00D342F5">
        <w:rPr>
          <w:rFonts w:asciiTheme="minorHAnsi" w:hAnsiTheme="minorHAnsi" w:cstheme="minorHAnsi"/>
          <w:sz w:val="22"/>
          <w:vertAlign w:val="superscript"/>
        </w:rPr>
        <w:footnoteReference w:id="15"/>
      </w:r>
      <w:r w:rsidRPr="00D342F5">
        <w:rPr>
          <w:rFonts w:asciiTheme="minorHAnsi" w:hAnsiTheme="minorHAnsi" w:cstheme="minorHAnsi"/>
          <w:sz w:val="22"/>
          <w:vertAlign w:val="superscript"/>
        </w:rPr>
        <w:t xml:space="preserve"> </w:t>
      </w:r>
    </w:p>
    <w:p w14:paraId="6F964C4C" w14:textId="36A582B2" w:rsidR="00333E3C" w:rsidRPr="00D342F5" w:rsidRDefault="008A3B03" w:rsidP="00D342F5">
      <w:pPr>
        <w:pStyle w:val="BodyText3"/>
        <w:numPr>
          <w:ilvl w:val="0"/>
          <w:numId w:val="40"/>
        </w:numPr>
        <w:spacing w:line="276" w:lineRule="auto"/>
        <w:rPr>
          <w:rFonts w:asciiTheme="minorHAnsi" w:hAnsiTheme="minorHAnsi" w:cstheme="minorHAnsi"/>
          <w:sz w:val="22"/>
        </w:rPr>
      </w:pPr>
      <w:r w:rsidRPr="00D342F5">
        <w:rPr>
          <w:rFonts w:asciiTheme="minorHAnsi" w:hAnsiTheme="minorHAnsi" w:cstheme="minorHAnsi"/>
          <w:sz w:val="22"/>
        </w:rPr>
        <w:t xml:space="preserve">Migrant and refugee women </w:t>
      </w:r>
      <w:proofErr w:type="gramStart"/>
      <w:r w:rsidRPr="00D342F5">
        <w:rPr>
          <w:rFonts w:asciiTheme="minorHAnsi" w:hAnsiTheme="minorHAnsi" w:cstheme="minorHAnsi"/>
          <w:sz w:val="22"/>
        </w:rPr>
        <w:t>are over-represented</w:t>
      </w:r>
      <w:proofErr w:type="gramEnd"/>
      <w:r w:rsidRPr="00D342F5">
        <w:rPr>
          <w:rFonts w:asciiTheme="minorHAnsi" w:hAnsiTheme="minorHAnsi" w:cstheme="minorHAnsi"/>
          <w:sz w:val="22"/>
        </w:rPr>
        <w:t xml:space="preserve"> in low paid and insecure work, </w:t>
      </w:r>
      <w:r w:rsidR="004B60BE">
        <w:rPr>
          <w:rFonts w:asciiTheme="minorHAnsi" w:hAnsiTheme="minorHAnsi" w:cstheme="minorHAnsi"/>
          <w:sz w:val="22"/>
        </w:rPr>
        <w:t>including the critical care economy,</w:t>
      </w:r>
      <w:r w:rsidRPr="00D342F5">
        <w:rPr>
          <w:rFonts w:asciiTheme="minorHAnsi" w:hAnsiTheme="minorHAnsi" w:cstheme="minorHAnsi"/>
          <w:sz w:val="22"/>
        </w:rPr>
        <w:t xml:space="preserve"> facing intersecting barriers to employment such as </w:t>
      </w:r>
      <w:r w:rsidR="004B60BE">
        <w:rPr>
          <w:rFonts w:asciiTheme="minorHAnsi" w:hAnsiTheme="minorHAnsi" w:cstheme="minorHAnsi"/>
          <w:sz w:val="22"/>
        </w:rPr>
        <w:t xml:space="preserve">employer recognition of overseas skills and experiences, </w:t>
      </w:r>
      <w:r w:rsidRPr="00D342F5">
        <w:rPr>
          <w:rFonts w:asciiTheme="minorHAnsi" w:hAnsiTheme="minorHAnsi" w:cstheme="minorHAnsi"/>
          <w:sz w:val="22"/>
        </w:rPr>
        <w:t xml:space="preserve">language barriers, </w:t>
      </w:r>
      <w:r w:rsidR="004B60BE">
        <w:rPr>
          <w:rFonts w:asciiTheme="minorHAnsi" w:hAnsiTheme="minorHAnsi" w:cstheme="minorHAnsi"/>
          <w:sz w:val="22"/>
        </w:rPr>
        <w:t xml:space="preserve">and </w:t>
      </w:r>
      <w:r w:rsidRPr="00D342F5">
        <w:rPr>
          <w:rFonts w:asciiTheme="minorHAnsi" w:hAnsiTheme="minorHAnsi" w:cstheme="minorHAnsi"/>
          <w:sz w:val="22"/>
        </w:rPr>
        <w:t>social exclusion.</w:t>
      </w:r>
      <w:r w:rsidRPr="00D342F5">
        <w:rPr>
          <w:rFonts w:asciiTheme="minorHAnsi" w:hAnsiTheme="minorHAnsi" w:cstheme="minorHAnsi"/>
          <w:sz w:val="22"/>
          <w:vertAlign w:val="superscript"/>
        </w:rPr>
        <w:footnoteReference w:id="16"/>
      </w:r>
    </w:p>
    <w:p w14:paraId="52789314" w14:textId="77777777" w:rsidR="00E04C5B" w:rsidRDefault="00E04C5B" w:rsidP="00E04C5B">
      <w:pPr>
        <w:pStyle w:val="Heading1"/>
      </w:pPr>
      <w:r>
        <w:t xml:space="preserve">Discussion </w:t>
      </w:r>
    </w:p>
    <w:p w14:paraId="76AF4EB6" w14:textId="32FFF609" w:rsidR="00E04C5B" w:rsidRPr="00805037" w:rsidRDefault="00E04C5B" w:rsidP="00EA0494">
      <w:pPr>
        <w:spacing w:line="276" w:lineRule="auto"/>
        <w:rPr>
          <w:b/>
        </w:rPr>
      </w:pPr>
      <w:r>
        <w:t xml:space="preserve">We ask that you contribute your views on: </w:t>
      </w:r>
    </w:p>
    <w:p w14:paraId="4495DDEB" w14:textId="77777777" w:rsidR="00A22663" w:rsidRDefault="00E04C5B" w:rsidP="00A22663">
      <w:pPr>
        <w:pStyle w:val="ListParagraph"/>
        <w:numPr>
          <w:ilvl w:val="0"/>
          <w:numId w:val="35"/>
        </w:numPr>
        <w:spacing w:line="276" w:lineRule="auto"/>
      </w:pPr>
      <w:r>
        <w:t xml:space="preserve">What are the drivers of gender inequality for </w:t>
      </w:r>
      <w:r w:rsidR="00B47AB1">
        <w:t>migrant and refugee women</w:t>
      </w:r>
      <w:r w:rsidR="007E3AD5">
        <w:t>, including temporary visa holders</w:t>
      </w:r>
      <w:r>
        <w:t>?</w:t>
      </w:r>
      <w:r w:rsidR="001303C4">
        <w:t xml:space="preserve"> How </w:t>
      </w:r>
      <w:proofErr w:type="gramStart"/>
      <w:r w:rsidR="001303C4">
        <w:t>might these be addressed</w:t>
      </w:r>
      <w:proofErr w:type="gramEnd"/>
      <w:r w:rsidR="001303C4">
        <w:t>?</w:t>
      </w:r>
    </w:p>
    <w:p w14:paraId="5F272A5A" w14:textId="18DF2B89" w:rsidR="000F435A" w:rsidRDefault="00E04C5B" w:rsidP="00A22663">
      <w:pPr>
        <w:pStyle w:val="ListParagraph"/>
        <w:numPr>
          <w:ilvl w:val="0"/>
          <w:numId w:val="35"/>
        </w:numPr>
        <w:spacing w:line="276" w:lineRule="auto"/>
      </w:pPr>
      <w:r>
        <w:t xml:space="preserve">What are the barriers to achieve greater gender equality </w:t>
      </w:r>
      <w:r w:rsidR="00455DE2">
        <w:t xml:space="preserve">for </w:t>
      </w:r>
      <w:r w:rsidR="00B47AB1">
        <w:t>migrant and refugee women</w:t>
      </w:r>
      <w:r w:rsidR="007E3AD5">
        <w:t>, at a systems/institutional level, at the community level and wit</w:t>
      </w:r>
      <w:r w:rsidR="004B2D2D">
        <w:t>h</w:t>
      </w:r>
      <w:r w:rsidR="007E3AD5">
        <w:t>in the individual/family level</w:t>
      </w:r>
      <w:r>
        <w:t>?</w:t>
      </w:r>
    </w:p>
    <w:p w14:paraId="53CB43E8" w14:textId="5233700E" w:rsidR="000F435A" w:rsidRDefault="00351BF1" w:rsidP="00A22663">
      <w:pPr>
        <w:pStyle w:val="ListParagraph"/>
        <w:numPr>
          <w:ilvl w:val="1"/>
          <w:numId w:val="35"/>
        </w:numPr>
        <w:spacing w:line="276" w:lineRule="auto"/>
      </w:pPr>
      <w:r>
        <w:t>What barriers prevent migrant and refugee women’s full participation and utilisation of their skills and experience in the Australian labour market?</w:t>
      </w:r>
    </w:p>
    <w:p w14:paraId="6A10E2C7" w14:textId="0B80E7E6" w:rsidR="00334665" w:rsidRDefault="007E3D4D" w:rsidP="00A22663">
      <w:pPr>
        <w:pStyle w:val="ListParagraph"/>
        <w:numPr>
          <w:ilvl w:val="1"/>
          <w:numId w:val="35"/>
        </w:numPr>
        <w:spacing w:line="276" w:lineRule="auto"/>
      </w:pPr>
      <w:r>
        <w:t>What impact does acces</w:t>
      </w:r>
      <w:r w:rsidR="00455DE2">
        <w:t>s to government services (e.g. M</w:t>
      </w:r>
      <w:r>
        <w:t xml:space="preserve">edicare, </w:t>
      </w:r>
      <w:r w:rsidR="00C32107">
        <w:t xml:space="preserve">social security payments, </w:t>
      </w:r>
      <w:r>
        <w:t>childcare subsidy) have on:</w:t>
      </w:r>
    </w:p>
    <w:p w14:paraId="3B3BEAD1" w14:textId="4696F975" w:rsidR="00334665" w:rsidRDefault="00C32107" w:rsidP="00A22663">
      <w:pPr>
        <w:pStyle w:val="ListParagraph"/>
        <w:numPr>
          <w:ilvl w:val="0"/>
          <w:numId w:val="48"/>
        </w:numPr>
        <w:spacing w:line="276" w:lineRule="auto"/>
      </w:pPr>
      <w:r>
        <w:t>Migrant and refugee women’s c</w:t>
      </w:r>
      <w:r w:rsidR="007E3D4D">
        <w:t xml:space="preserve">hoices </w:t>
      </w:r>
      <w:r>
        <w:t xml:space="preserve">to participate in paid </w:t>
      </w:r>
      <w:proofErr w:type="gramStart"/>
      <w:r>
        <w:t>employment?</w:t>
      </w:r>
      <w:proofErr w:type="gramEnd"/>
      <w:r>
        <w:t xml:space="preserve"> </w:t>
      </w:r>
    </w:p>
    <w:p w14:paraId="70FD2CE0" w14:textId="63EEEBA6" w:rsidR="007E3D4D" w:rsidRDefault="007E3D4D" w:rsidP="00A22663">
      <w:pPr>
        <w:pStyle w:val="ListParagraph"/>
        <w:numPr>
          <w:ilvl w:val="0"/>
          <w:numId w:val="48"/>
        </w:numPr>
        <w:spacing w:line="276" w:lineRule="auto"/>
      </w:pPr>
      <w:r>
        <w:t>Prospective migrants deciding if they would consider moving to Australia</w:t>
      </w:r>
      <w:r w:rsidR="00C32107">
        <w:t>?</w:t>
      </w:r>
    </w:p>
    <w:p w14:paraId="47256D79" w14:textId="453CA4FE" w:rsidR="00E75CEB" w:rsidRDefault="00E04C5B" w:rsidP="00A22663">
      <w:pPr>
        <w:pStyle w:val="ListParagraph"/>
        <w:numPr>
          <w:ilvl w:val="0"/>
          <w:numId w:val="35"/>
        </w:numPr>
        <w:spacing w:line="276" w:lineRule="auto"/>
      </w:pPr>
      <w:r>
        <w:lastRenderedPageBreak/>
        <w:t>What are some concrete policy options that Government should consider to enable better outcomes</w:t>
      </w:r>
      <w:r w:rsidR="000E2F92">
        <w:t xml:space="preserve"> for</w:t>
      </w:r>
      <w:r>
        <w:t xml:space="preserve"> </w:t>
      </w:r>
      <w:r w:rsidR="00B47AB1">
        <w:t>migrant and refugee women</w:t>
      </w:r>
      <w:r w:rsidR="007E3AD5">
        <w:t>,</w:t>
      </w:r>
      <w:r w:rsidR="007E3AD5" w:rsidRPr="007E3AD5">
        <w:t xml:space="preserve"> </w:t>
      </w:r>
      <w:r w:rsidR="001303C4">
        <w:t>such as access to services, increased labour for</w:t>
      </w:r>
      <w:r w:rsidR="00BE5414">
        <w:t>ce</w:t>
      </w:r>
      <w:r w:rsidR="001303C4">
        <w:t xml:space="preserve"> participation and </w:t>
      </w:r>
      <w:r w:rsidR="007E3AD5">
        <w:t>within the migration system</w:t>
      </w:r>
      <w:r>
        <w:t xml:space="preserve">? </w:t>
      </w:r>
    </w:p>
    <w:p w14:paraId="1B10EB68" w14:textId="5FD32AD3" w:rsidR="007E3AD5" w:rsidRPr="00E75CEB" w:rsidRDefault="007E3AD5" w:rsidP="00A22663">
      <w:pPr>
        <w:pStyle w:val="ListParagraph"/>
        <w:numPr>
          <w:ilvl w:val="1"/>
          <w:numId w:val="35"/>
        </w:numPr>
        <w:spacing w:line="276" w:lineRule="auto"/>
      </w:pPr>
      <w:r>
        <w:t xml:space="preserve">What are the </w:t>
      </w:r>
      <w:r w:rsidR="00C32107">
        <w:t xml:space="preserve">strengths </w:t>
      </w:r>
      <w:r>
        <w:t>and sensitiv</w:t>
      </w:r>
      <w:r w:rsidR="009D170F">
        <w:t>iti</w:t>
      </w:r>
      <w:r>
        <w:t xml:space="preserve">es for migrant and refugee women that </w:t>
      </w:r>
      <w:proofErr w:type="gramStart"/>
      <w:r>
        <w:t>should be considered</w:t>
      </w:r>
      <w:proofErr w:type="gramEnd"/>
      <w:r>
        <w:t xml:space="preserve"> when developing policy options?</w:t>
      </w:r>
    </w:p>
    <w:p w14:paraId="1BDCF897" w14:textId="0CCC4D59" w:rsidR="00E04C5B" w:rsidRPr="000E2F92" w:rsidRDefault="000E2F92" w:rsidP="00A22663">
      <w:pPr>
        <w:pStyle w:val="ListParagraph"/>
        <w:numPr>
          <w:ilvl w:val="0"/>
          <w:numId w:val="35"/>
        </w:numPr>
        <w:spacing w:line="276" w:lineRule="auto"/>
      </w:pPr>
      <w:r w:rsidRPr="000E2F92">
        <w:t xml:space="preserve">What will success look like and how can it </w:t>
      </w:r>
      <w:proofErr w:type="gramStart"/>
      <w:r w:rsidRPr="000E2F92">
        <w:t>be measured and evaluated</w:t>
      </w:r>
      <w:proofErr w:type="gramEnd"/>
      <w:r w:rsidRPr="000E2F92">
        <w:t>?</w:t>
      </w:r>
    </w:p>
    <w:p w14:paraId="073968F7" w14:textId="77777777" w:rsidR="00E04C5B" w:rsidRPr="007F10FD" w:rsidRDefault="00E04C5B" w:rsidP="00EA0494">
      <w:pPr>
        <w:pStyle w:val="ListParagraph"/>
        <w:spacing w:line="276" w:lineRule="auto"/>
        <w:ind w:left="1080"/>
      </w:pPr>
    </w:p>
    <w:p w14:paraId="407C705F" w14:textId="785CDD4E" w:rsidR="00E04C5B" w:rsidRDefault="00E04C5B" w:rsidP="00EA0494">
      <w:pPr>
        <w:spacing w:line="276" w:lineRule="auto"/>
      </w:pPr>
      <w:r>
        <w:t xml:space="preserve">We are mindful of the need to ensure the rich variety of lived experiences of </w:t>
      </w:r>
      <w:r w:rsidR="0032100B">
        <w:t>people in Australia</w:t>
      </w:r>
      <w:r>
        <w:t xml:space="preserve"> </w:t>
      </w:r>
      <w:proofErr w:type="gramStart"/>
      <w:r>
        <w:t>are captured</w:t>
      </w:r>
      <w:proofErr w:type="gramEnd"/>
      <w:r>
        <w:t xml:space="preserve"> during this consultation process. This includes hearing from those who:</w:t>
      </w:r>
    </w:p>
    <w:p w14:paraId="00EFBF89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>are living with disability;</w:t>
      </w:r>
    </w:p>
    <w:p w14:paraId="0893A824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 xml:space="preserve">are First Nations people; </w:t>
      </w:r>
    </w:p>
    <w:p w14:paraId="23A6177E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>are people who are part of the LGBTQIA+ community;</w:t>
      </w:r>
    </w:p>
    <w:p w14:paraId="35DFF469" w14:textId="466034E1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 xml:space="preserve">are </w:t>
      </w:r>
      <w:r w:rsidR="00B453E3">
        <w:t xml:space="preserve">migrants or </w:t>
      </w:r>
      <w:r w:rsidR="000B1F8C">
        <w:t>refugees</w:t>
      </w:r>
      <w:r>
        <w:t>;</w:t>
      </w:r>
    </w:p>
    <w:p w14:paraId="5F0B6404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 xml:space="preserve">are living in regional and remote areas; </w:t>
      </w:r>
    </w:p>
    <w:p w14:paraId="5308E02B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>are of different ages and life stages, education levels, migration status, and/or socio-economic background;</w:t>
      </w:r>
    </w:p>
    <w:p w14:paraId="168CAEFC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r>
        <w:t xml:space="preserve">have experience of trauma; as well as </w:t>
      </w:r>
    </w:p>
    <w:p w14:paraId="2E21B976" w14:textId="77777777" w:rsidR="00E04C5B" w:rsidRDefault="00E04C5B" w:rsidP="00EA0494">
      <w:pPr>
        <w:pStyle w:val="ListParagraph"/>
        <w:numPr>
          <w:ilvl w:val="0"/>
          <w:numId w:val="36"/>
        </w:numPr>
        <w:spacing w:line="276" w:lineRule="auto"/>
      </w:pPr>
      <w:proofErr w:type="gramStart"/>
      <w:r>
        <w:t>all</w:t>
      </w:r>
      <w:proofErr w:type="gramEnd"/>
      <w:r>
        <w:t xml:space="preserve"> other factors that may impact people’s experience of gender equality or inequality. </w:t>
      </w:r>
    </w:p>
    <w:p w14:paraId="67B22E40" w14:textId="2EE191D7" w:rsidR="006A5AA6" w:rsidRPr="005B5E57" w:rsidRDefault="006A5AA6" w:rsidP="00EA0494">
      <w:pPr>
        <w:pStyle w:val="Heading1"/>
        <w:spacing w:line="276" w:lineRule="auto"/>
        <w:rPr>
          <w:noProof/>
        </w:rPr>
      </w:pPr>
    </w:p>
    <w:sectPr w:rsidR="006A5AA6" w:rsidRPr="005B5E57" w:rsidSect="004009A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134" w:bottom="1701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1F59" w14:textId="77777777" w:rsidR="00844C8E" w:rsidRDefault="00844C8E" w:rsidP="00F957C6">
      <w:pPr>
        <w:spacing w:after="0" w:line="240" w:lineRule="auto"/>
      </w:pPr>
      <w:r>
        <w:separator/>
      </w:r>
    </w:p>
  </w:endnote>
  <w:endnote w:type="continuationSeparator" w:id="0">
    <w:p w14:paraId="1C321FFE" w14:textId="77777777" w:rsidR="00844C8E" w:rsidRDefault="00844C8E" w:rsidP="00F957C6">
      <w:pPr>
        <w:spacing w:after="0" w:line="240" w:lineRule="auto"/>
      </w:pPr>
      <w:r>
        <w:continuationSeparator/>
      </w:r>
    </w:p>
  </w:endnote>
  <w:endnote w:type="continuationNotice" w:id="1">
    <w:p w14:paraId="4C8A313F" w14:textId="77777777" w:rsidR="00844C8E" w:rsidRDefault="00844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FC648" w14:textId="47111474" w:rsidR="00CC5CA8" w:rsidRPr="00285CAF" w:rsidRDefault="00CC5CA8" w:rsidP="00D10635">
    <w:pPr>
      <w:jc w:val="center"/>
    </w:pPr>
  </w:p>
  <w:p w14:paraId="665668DC" w14:textId="0EE4EA6B" w:rsidR="00CC5CA8" w:rsidRPr="008046D4" w:rsidRDefault="00CC5CA8" w:rsidP="00D10635">
    <w:pPr>
      <w:pStyle w:val="Header"/>
      <w:rPr>
        <w:rFonts w:ascii="Segoe UI" w:hAnsi="Segoe UI" w:cs="Segoe UI"/>
        <w:color w:val="7F7F7F" w:themeColor="text1" w:themeTint="80"/>
        <w:sz w:val="18"/>
      </w:rPr>
    </w:pPr>
    <w:r>
      <w:rPr>
        <w:color w:val="7F7F7F" w:themeColor="text1" w:themeTint="80"/>
        <w:sz w:val="18"/>
        <w:szCs w:val="18"/>
      </w:rPr>
      <w:t xml:space="preserve">PM&amp;C | </w:t>
    </w:r>
    <w:sdt>
      <w:sdtPr>
        <w:rPr>
          <w:color w:val="7F7F7F" w:themeColor="text1" w:themeTint="80"/>
          <w:sz w:val="18"/>
          <w:szCs w:val="18"/>
        </w:rPr>
        <w:alias w:val="Manager"/>
        <w:tag w:val=""/>
        <w:id w:val="-1248491664"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>
          <w:rPr>
            <w:color w:val="7F7F7F" w:themeColor="text1" w:themeTint="80"/>
            <w:sz w:val="18"/>
            <w:szCs w:val="18"/>
          </w:rPr>
          <w:t>Office for Women</w:t>
        </w:r>
      </w:sdtContent>
    </w:sdt>
    <w:r>
      <w:rPr>
        <w:color w:val="7F7F7F" w:themeColor="text1" w:themeTint="80"/>
        <w:sz w:val="18"/>
        <w:szCs w:val="18"/>
      </w:rPr>
      <w:t xml:space="preserve"> | </w:t>
    </w:r>
    <w:sdt>
      <w:sdtPr>
        <w:rPr>
          <w:color w:val="7F7F7F" w:themeColor="text1" w:themeTint="80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>
          <w:rPr>
            <w:color w:val="7F7F7F" w:themeColor="text1" w:themeTint="80"/>
            <w:sz w:val="18"/>
            <w:szCs w:val="18"/>
          </w:rPr>
          <w:t>Migrant and refugee women</w:t>
        </w:r>
      </w:sdtContent>
    </w:sdt>
    <w:r w:rsidRPr="008046D4">
      <w:rPr>
        <w:rFonts w:ascii="Segoe UI" w:hAnsi="Segoe UI" w:cs="Segoe UI"/>
        <w:sz w:val="18"/>
      </w:rPr>
      <w:ptab w:relativeTo="margin" w:alignment="center" w:leader="none"/>
    </w:r>
    <w:r>
      <w:ptab w:relativeTo="margin" w:alignment="right" w:leader="none"/>
    </w:r>
    <w:r w:rsidRPr="008046D4">
      <w:rPr>
        <w:rFonts w:ascii="Segoe UI" w:hAnsi="Segoe UI" w:cs="Segoe UI"/>
        <w:color w:val="7F7F7F" w:themeColor="text1" w:themeTint="80"/>
        <w:sz w:val="18"/>
      </w:rPr>
      <w:fldChar w:fldCharType="begin"/>
    </w:r>
    <w:r w:rsidRPr="008046D4">
      <w:rPr>
        <w:rFonts w:ascii="Segoe UI" w:hAnsi="Segoe UI" w:cs="Segoe UI"/>
        <w:color w:val="7F7F7F" w:themeColor="text1" w:themeTint="80"/>
        <w:sz w:val="18"/>
      </w:rPr>
      <w:instrText xml:space="preserve"> PAGE   \* MERGEFORMAT </w:instrText>
    </w:r>
    <w:r w:rsidRPr="008046D4">
      <w:rPr>
        <w:rFonts w:ascii="Segoe UI" w:hAnsi="Segoe UI" w:cs="Segoe UI"/>
        <w:color w:val="7F7F7F" w:themeColor="text1" w:themeTint="80"/>
        <w:sz w:val="18"/>
      </w:rPr>
      <w:fldChar w:fldCharType="separate"/>
    </w:r>
    <w:r w:rsidR="003E7F54">
      <w:rPr>
        <w:rFonts w:ascii="Segoe UI" w:hAnsi="Segoe UI" w:cs="Segoe UI"/>
        <w:noProof/>
        <w:color w:val="7F7F7F" w:themeColor="text1" w:themeTint="80"/>
        <w:sz w:val="18"/>
      </w:rPr>
      <w:t>2</w:t>
    </w:r>
    <w:r w:rsidRPr="008046D4">
      <w:rPr>
        <w:rFonts w:ascii="Segoe UI" w:hAnsi="Segoe UI" w:cs="Segoe UI"/>
        <w:noProof/>
        <w:color w:val="7F7F7F" w:themeColor="text1" w:themeTint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6D564" w14:textId="5B0DBF12" w:rsidR="00CC5CA8" w:rsidRPr="00285CAF" w:rsidRDefault="00CC5CA8" w:rsidP="002160A7">
    <w:pPr>
      <w:jc w:val="center"/>
    </w:pPr>
  </w:p>
  <w:p w14:paraId="70A5306C" w14:textId="0123E5DE" w:rsidR="00CC5CA8" w:rsidRPr="008046D4" w:rsidRDefault="00CC5CA8" w:rsidP="002160A7">
    <w:pPr>
      <w:pStyle w:val="Header"/>
      <w:rPr>
        <w:rFonts w:ascii="Segoe UI" w:hAnsi="Segoe UI" w:cs="Segoe UI"/>
        <w:color w:val="7F7F7F" w:themeColor="text1" w:themeTint="80"/>
        <w:sz w:val="18"/>
      </w:rPr>
    </w:pPr>
    <w:r>
      <w:rPr>
        <w:color w:val="7F7F7F" w:themeColor="text1" w:themeTint="80"/>
        <w:sz w:val="18"/>
        <w:szCs w:val="18"/>
      </w:rPr>
      <w:t xml:space="preserve">PM&amp;C | </w:t>
    </w:r>
    <w:sdt>
      <w:sdtPr>
        <w:rPr>
          <w:color w:val="7F7F7F" w:themeColor="text1" w:themeTint="80"/>
          <w:sz w:val="18"/>
          <w:szCs w:val="18"/>
        </w:rPr>
        <w:alias w:val="Manager"/>
        <w:tag w:val=""/>
        <w:id w:val="1375738123"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>
          <w:rPr>
            <w:color w:val="7F7F7F" w:themeColor="text1" w:themeTint="80"/>
            <w:sz w:val="18"/>
            <w:szCs w:val="18"/>
          </w:rPr>
          <w:t>Office for Women</w:t>
        </w:r>
      </w:sdtContent>
    </w:sdt>
    <w:r>
      <w:rPr>
        <w:color w:val="7F7F7F" w:themeColor="text1" w:themeTint="80"/>
        <w:sz w:val="18"/>
        <w:szCs w:val="18"/>
      </w:rPr>
      <w:t xml:space="preserve"> | </w:t>
    </w:r>
    <w:sdt>
      <w:sdtPr>
        <w:rPr>
          <w:color w:val="7F7F7F" w:themeColor="text1" w:themeTint="80"/>
          <w:sz w:val="18"/>
          <w:szCs w:val="18"/>
        </w:rPr>
        <w:alias w:val="Title"/>
        <w:tag w:val=""/>
        <w:id w:val="17701815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>
          <w:rPr>
            <w:color w:val="7F7F7F" w:themeColor="text1" w:themeTint="80"/>
            <w:sz w:val="18"/>
            <w:szCs w:val="18"/>
          </w:rPr>
          <w:t>Migrant and refugee women</w:t>
        </w:r>
      </w:sdtContent>
    </w:sdt>
    <w:r>
      <w:ptab w:relativeTo="margin" w:alignment="right" w:leader="none"/>
    </w:r>
    <w:r w:rsidRPr="008046D4">
      <w:rPr>
        <w:rFonts w:ascii="Segoe UI" w:hAnsi="Segoe UI" w:cs="Segoe UI"/>
        <w:color w:val="7F7F7F" w:themeColor="text1" w:themeTint="80"/>
        <w:sz w:val="18"/>
      </w:rPr>
      <w:fldChar w:fldCharType="begin"/>
    </w:r>
    <w:r w:rsidRPr="008046D4">
      <w:rPr>
        <w:rFonts w:ascii="Segoe UI" w:hAnsi="Segoe UI" w:cs="Segoe UI"/>
        <w:color w:val="7F7F7F" w:themeColor="text1" w:themeTint="80"/>
        <w:sz w:val="18"/>
      </w:rPr>
      <w:instrText xml:space="preserve"> PAGE   \* MERGEFORMAT </w:instrText>
    </w:r>
    <w:r w:rsidRPr="008046D4">
      <w:rPr>
        <w:rFonts w:ascii="Segoe UI" w:hAnsi="Segoe UI" w:cs="Segoe UI"/>
        <w:color w:val="7F7F7F" w:themeColor="text1" w:themeTint="80"/>
        <w:sz w:val="18"/>
      </w:rPr>
      <w:fldChar w:fldCharType="separate"/>
    </w:r>
    <w:r w:rsidR="003E7F54">
      <w:rPr>
        <w:rFonts w:ascii="Segoe UI" w:hAnsi="Segoe UI" w:cs="Segoe UI"/>
        <w:noProof/>
        <w:color w:val="7F7F7F" w:themeColor="text1" w:themeTint="80"/>
        <w:sz w:val="18"/>
      </w:rPr>
      <w:t>1</w:t>
    </w:r>
    <w:r w:rsidRPr="008046D4">
      <w:rPr>
        <w:rFonts w:ascii="Segoe UI" w:hAnsi="Segoe UI" w:cs="Segoe UI"/>
        <w:noProof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9D9DE" w14:textId="77777777" w:rsidR="00844C8E" w:rsidRDefault="00844C8E" w:rsidP="00F957C6">
      <w:pPr>
        <w:spacing w:after="0" w:line="240" w:lineRule="auto"/>
      </w:pPr>
      <w:r>
        <w:separator/>
      </w:r>
    </w:p>
  </w:footnote>
  <w:footnote w:type="continuationSeparator" w:id="0">
    <w:p w14:paraId="746C4B2C" w14:textId="77777777" w:rsidR="00844C8E" w:rsidRDefault="00844C8E" w:rsidP="00F957C6">
      <w:pPr>
        <w:spacing w:after="0" w:line="240" w:lineRule="auto"/>
      </w:pPr>
      <w:r>
        <w:continuationSeparator/>
      </w:r>
    </w:p>
  </w:footnote>
  <w:footnote w:type="continuationNotice" w:id="1">
    <w:p w14:paraId="29B82EBD" w14:textId="77777777" w:rsidR="00844C8E" w:rsidRDefault="00844C8E">
      <w:pPr>
        <w:spacing w:after="0" w:line="240" w:lineRule="auto"/>
      </w:pPr>
    </w:p>
  </w:footnote>
  <w:footnote w:id="2">
    <w:p w14:paraId="39AB6799" w14:textId="4028C0FE" w:rsidR="00CC5CA8" w:rsidRPr="00AC350C" w:rsidRDefault="00CC5CA8" w:rsidP="00075A13">
      <w:pPr>
        <w:pStyle w:val="FootnoteText"/>
        <w:rPr>
          <w:rFonts w:asciiTheme="minorHAnsi" w:hAnsiTheme="minorHAnsi" w:cstheme="minorHAnsi"/>
        </w:rPr>
      </w:pPr>
      <w:r w:rsidRPr="00AC350C">
        <w:rPr>
          <w:rStyle w:val="FootnoteReference"/>
          <w:rFonts w:asciiTheme="minorHAnsi" w:hAnsiTheme="minorHAnsi" w:cstheme="minorHAnsi"/>
        </w:rPr>
        <w:footnoteRef/>
      </w:r>
      <w:r w:rsidRPr="00AC350C">
        <w:rPr>
          <w:rFonts w:asciiTheme="minorHAnsi" w:hAnsiTheme="minorHAnsi" w:cstheme="minorHAnsi"/>
        </w:rPr>
        <w:t xml:space="preserve"> </w:t>
      </w:r>
      <w:proofErr w:type="spellStart"/>
      <w:r w:rsidRPr="00AC350C">
        <w:rPr>
          <w:rFonts w:asciiTheme="minorHAnsi" w:hAnsiTheme="minorHAnsi" w:cstheme="minorHAnsi"/>
        </w:rPr>
        <w:t>Seg</w:t>
      </w:r>
      <w:r>
        <w:rPr>
          <w:rFonts w:asciiTheme="minorHAnsi" w:hAnsiTheme="minorHAnsi" w:cstheme="minorHAnsi"/>
        </w:rPr>
        <w:t>rave</w:t>
      </w:r>
      <w:proofErr w:type="spellEnd"/>
      <w:r>
        <w:rPr>
          <w:rFonts w:asciiTheme="minorHAnsi" w:hAnsiTheme="minorHAnsi" w:cstheme="minorHAnsi"/>
        </w:rPr>
        <w:t xml:space="preserve"> M, Wickes R and Keel C</w:t>
      </w:r>
      <w:r w:rsidRPr="00AC350C">
        <w:rPr>
          <w:rFonts w:asciiTheme="minorHAnsi" w:hAnsiTheme="minorHAnsi" w:cstheme="minorHAnsi"/>
        </w:rPr>
        <w:t xml:space="preserve"> (2021) </w:t>
      </w:r>
      <w:r w:rsidRPr="003C7799">
        <w:rPr>
          <w:rFonts w:asciiTheme="minorHAnsi" w:hAnsiTheme="minorHAnsi" w:cstheme="minorHAnsi"/>
          <w:i/>
        </w:rPr>
        <w:t>Migrant and Refugee Women in Australia:</w:t>
      </w:r>
      <w:r>
        <w:rPr>
          <w:rFonts w:asciiTheme="minorHAnsi" w:hAnsiTheme="minorHAnsi" w:cstheme="minorHAnsi"/>
          <w:i/>
        </w:rPr>
        <w:t xml:space="preserve"> The Safety and Security Survey,</w:t>
      </w:r>
      <w:r w:rsidRPr="00AC350C">
        <w:rPr>
          <w:rFonts w:asciiTheme="minorHAnsi" w:hAnsiTheme="minorHAnsi" w:cstheme="minorHAnsi"/>
        </w:rPr>
        <w:t xml:space="preserve"> Monash University.</w:t>
      </w:r>
    </w:p>
  </w:footnote>
  <w:footnote w:id="3">
    <w:p w14:paraId="48198B5D" w14:textId="0068818B" w:rsidR="00CC5CA8" w:rsidRPr="00DE0BD2" w:rsidRDefault="00CC5CA8" w:rsidP="00DE0BD2">
      <w:pPr>
        <w:pStyle w:val="FootnoteText"/>
        <w:rPr>
          <w:rFonts w:asciiTheme="minorHAnsi" w:hAnsiTheme="minorHAnsi" w:cstheme="minorHAnsi"/>
        </w:rPr>
      </w:pPr>
      <w:r w:rsidRPr="00DE0BD2">
        <w:rPr>
          <w:rFonts w:asciiTheme="minorHAnsi" w:hAnsiTheme="minorHAnsi" w:cstheme="minorHAnsi"/>
          <w:vertAlign w:val="superscript"/>
        </w:rPr>
        <w:footnoteRef/>
      </w:r>
      <w:r w:rsidRPr="00DE0BD2">
        <w:rPr>
          <w:rFonts w:asciiTheme="minorHAnsi" w:hAnsiTheme="minorHAnsi" w:cstheme="minorHAnsi"/>
        </w:rPr>
        <w:t xml:space="preserve"> Department of Social Services (2022), </w:t>
      </w:r>
      <w:hyperlink r:id="rId1" w:history="1">
        <w:r w:rsidRPr="00DE0BD2">
          <w:rPr>
            <w:rStyle w:val="Hyperlink"/>
            <w:rFonts w:asciiTheme="minorHAnsi" w:hAnsiTheme="minorHAnsi" w:cstheme="minorHAnsi"/>
            <w:i/>
          </w:rPr>
          <w:t>National Plan to End Violence against Women and Children 2022-2032</w:t>
        </w:r>
      </w:hyperlink>
      <w:r w:rsidRPr="00DE0BD2">
        <w:rPr>
          <w:rFonts w:asciiTheme="minorHAnsi" w:hAnsiTheme="minorHAnsi" w:cstheme="minorHAnsi"/>
          <w:i/>
        </w:rPr>
        <w:t>,</w:t>
      </w:r>
      <w:r w:rsidRPr="00DE0BD2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ustralian </w:t>
      </w:r>
      <w:r w:rsidRPr="00DE0BD2">
        <w:rPr>
          <w:rFonts w:asciiTheme="minorHAnsi" w:hAnsiTheme="minorHAnsi" w:cstheme="minorHAnsi"/>
        </w:rPr>
        <w:t>Government, Canberra.</w:t>
      </w:r>
    </w:p>
  </w:footnote>
  <w:footnote w:id="4">
    <w:p w14:paraId="08662225" w14:textId="2D7E04D7" w:rsidR="00CC5CA8" w:rsidRDefault="00CC5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0BD2">
        <w:rPr>
          <w:rFonts w:asciiTheme="minorHAnsi" w:hAnsiTheme="minorHAnsi" w:cstheme="minorHAnsi"/>
        </w:rPr>
        <w:t xml:space="preserve">Department of Social Services (2022), </w:t>
      </w:r>
      <w:hyperlink r:id="rId2" w:history="1">
        <w:r w:rsidRPr="00DE0BD2">
          <w:rPr>
            <w:rStyle w:val="Hyperlink"/>
            <w:rFonts w:asciiTheme="minorHAnsi" w:hAnsiTheme="minorHAnsi" w:cstheme="minorHAnsi"/>
            <w:i/>
          </w:rPr>
          <w:t>National Plan to End Violence against Women and Children 2022-2032</w:t>
        </w:r>
      </w:hyperlink>
      <w:r w:rsidRPr="00DE0BD2">
        <w:rPr>
          <w:rFonts w:asciiTheme="minorHAnsi" w:hAnsiTheme="minorHAnsi" w:cstheme="minorHAnsi"/>
          <w:i/>
        </w:rPr>
        <w:t>,</w:t>
      </w:r>
      <w:r w:rsidRPr="00DE0BD2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ustralian </w:t>
      </w:r>
      <w:r w:rsidRPr="00DE0BD2">
        <w:rPr>
          <w:rFonts w:asciiTheme="minorHAnsi" w:hAnsiTheme="minorHAnsi" w:cstheme="minorHAnsi"/>
        </w:rPr>
        <w:t>Government, Canberra.</w:t>
      </w:r>
    </w:p>
  </w:footnote>
  <w:footnote w:id="5">
    <w:p w14:paraId="08E86F15" w14:textId="18A75C7A" w:rsidR="006654AF" w:rsidRPr="00760A44" w:rsidRDefault="006654AF" w:rsidP="006654AF">
      <w:pPr>
        <w:pStyle w:val="FootnoteText"/>
        <w:rPr>
          <w:rFonts w:asciiTheme="minorHAnsi" w:hAnsiTheme="minorHAnsi" w:cstheme="minorHAnsi"/>
        </w:rPr>
      </w:pPr>
      <w:r w:rsidRPr="00760A44">
        <w:rPr>
          <w:rStyle w:val="FootnoteReference"/>
          <w:rFonts w:asciiTheme="minorHAnsi" w:hAnsiTheme="minorHAnsi" w:cstheme="minorHAnsi"/>
        </w:rPr>
        <w:footnoteRef/>
      </w:r>
      <w:r w:rsidRPr="00760A44">
        <w:rPr>
          <w:rFonts w:asciiTheme="minorHAnsi" w:hAnsiTheme="minorHAnsi" w:cstheme="minorHAnsi"/>
        </w:rPr>
        <w:t xml:space="preserve"> Markus AB (2021), </w:t>
      </w:r>
      <w:r w:rsidRPr="00760A44">
        <w:rPr>
          <w:rFonts w:asciiTheme="minorHAnsi" w:hAnsiTheme="minorHAnsi" w:cstheme="minorHAnsi"/>
          <w:i/>
        </w:rPr>
        <w:t>Mapping social cohesion: The Scanlon Foundation surveys 2020</w:t>
      </w:r>
      <w:r w:rsidRPr="00760A44">
        <w:rPr>
          <w:rFonts w:asciiTheme="minorHAnsi" w:hAnsiTheme="minorHAnsi" w:cstheme="minorHAnsi"/>
        </w:rPr>
        <w:t xml:space="preserve">, ACJC Monash </w:t>
      </w:r>
    </w:p>
    <w:p w14:paraId="7A2B4093" w14:textId="57FA1BEB" w:rsidR="006654AF" w:rsidRDefault="006654AF" w:rsidP="006654AF">
      <w:pPr>
        <w:pStyle w:val="FootnoteText"/>
      </w:pPr>
      <w:r w:rsidRPr="00760A44">
        <w:rPr>
          <w:rFonts w:asciiTheme="minorHAnsi" w:hAnsiTheme="minorHAnsi" w:cstheme="minorHAnsi"/>
        </w:rPr>
        <w:t>University.</w:t>
      </w:r>
    </w:p>
  </w:footnote>
  <w:footnote w:id="6">
    <w:p w14:paraId="186DFD4A" w14:textId="77777777" w:rsidR="00CC5CA8" w:rsidRPr="00BE5414" w:rsidRDefault="00CC5CA8" w:rsidP="0037765C">
      <w:pPr>
        <w:pStyle w:val="FootnoteText"/>
        <w:rPr>
          <w:rStyle w:val="FootnoteReference"/>
          <w:rFonts w:asciiTheme="minorHAnsi" w:hAnsiTheme="minorHAnsi" w:cstheme="minorHAnsi"/>
        </w:rPr>
      </w:pPr>
      <w:r w:rsidRPr="00DE0BD2">
        <w:rPr>
          <w:rFonts w:asciiTheme="minorHAnsi" w:hAnsiTheme="minorHAnsi" w:cstheme="minorHAnsi"/>
          <w:vertAlign w:val="superscript"/>
        </w:rPr>
        <w:footnoteRef/>
      </w:r>
      <w:r w:rsidRPr="00DE0BD2"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Australasian Institute of Judicial Administration (2022) </w:t>
      </w:r>
      <w:hyperlink r:id="rId3" w:history="1">
        <w:r w:rsidRPr="00825A9C">
          <w:rPr>
            <w:rStyle w:val="Hyperlink"/>
            <w:rFonts w:asciiTheme="minorHAnsi" w:hAnsiTheme="minorHAnsi" w:cstheme="minorHAnsi"/>
            <w:i/>
          </w:rPr>
          <w:t>National Domestic and Family Violence bench book</w:t>
        </w:r>
        <w:r w:rsidRPr="00825A9C">
          <w:rPr>
            <w:rStyle w:val="Hyperlink"/>
            <w:rFonts w:asciiTheme="minorHAnsi" w:hAnsiTheme="minorHAnsi" w:cstheme="minorHAnsi"/>
          </w:rPr>
          <w:t>,</w:t>
        </w:r>
      </w:hyperlink>
      <w:r>
        <w:rPr>
          <w:rFonts w:asciiTheme="minorHAnsi" w:hAnsiTheme="minorHAnsi" w:cstheme="minorHAnsi"/>
        </w:rPr>
        <w:t xml:space="preserve"> AIJA.</w:t>
      </w:r>
    </w:p>
  </w:footnote>
  <w:footnote w:id="7">
    <w:p w14:paraId="311B4224" w14:textId="5DC41CE4" w:rsidR="00FF2879" w:rsidRPr="00760A44" w:rsidRDefault="00FF2879">
      <w:pPr>
        <w:pStyle w:val="FootnoteText"/>
        <w:rPr>
          <w:rFonts w:asciiTheme="minorHAnsi" w:hAnsiTheme="minorHAnsi" w:cstheme="minorHAnsi"/>
          <w:i/>
        </w:rPr>
      </w:pPr>
      <w:r w:rsidRPr="00760A44">
        <w:rPr>
          <w:rStyle w:val="FootnoteReference"/>
          <w:rFonts w:asciiTheme="minorHAnsi" w:hAnsiTheme="minorHAnsi" w:cstheme="minorHAnsi"/>
        </w:rPr>
        <w:footnoteRef/>
      </w:r>
      <w:r w:rsidRPr="00760A44">
        <w:rPr>
          <w:rFonts w:asciiTheme="minorHAnsi" w:hAnsiTheme="minorHAnsi" w:cstheme="minorHAnsi"/>
        </w:rPr>
        <w:t xml:space="preserve"> Harmony Alliance (2021), </w:t>
      </w:r>
      <w:r w:rsidRPr="00760A44">
        <w:rPr>
          <w:rFonts w:asciiTheme="minorHAnsi" w:hAnsiTheme="minorHAnsi" w:cstheme="minorHAnsi"/>
          <w:i/>
        </w:rPr>
        <w:t xml:space="preserve">Situational Analysis: Migrant and </w:t>
      </w:r>
      <w:proofErr w:type="spellStart"/>
      <w:r w:rsidRPr="00760A44">
        <w:rPr>
          <w:rFonts w:asciiTheme="minorHAnsi" w:hAnsiTheme="minorHAnsi" w:cstheme="minorHAnsi"/>
          <w:i/>
        </w:rPr>
        <w:t>refuee</w:t>
      </w:r>
      <w:proofErr w:type="spellEnd"/>
      <w:r w:rsidRPr="00760A44">
        <w:rPr>
          <w:rFonts w:asciiTheme="minorHAnsi" w:hAnsiTheme="minorHAnsi" w:cstheme="minorHAnsi"/>
          <w:i/>
        </w:rPr>
        <w:t xml:space="preserve"> </w:t>
      </w:r>
      <w:proofErr w:type="spellStart"/>
      <w:r w:rsidRPr="00760A44">
        <w:rPr>
          <w:rFonts w:asciiTheme="minorHAnsi" w:hAnsiTheme="minorHAnsi" w:cstheme="minorHAnsi"/>
          <w:i/>
        </w:rPr>
        <w:t>womne’s</w:t>
      </w:r>
      <w:proofErr w:type="spellEnd"/>
      <w:r w:rsidRPr="00760A44">
        <w:rPr>
          <w:rFonts w:asciiTheme="minorHAnsi" w:hAnsiTheme="minorHAnsi" w:cstheme="minorHAnsi"/>
          <w:i/>
        </w:rPr>
        <w:t xml:space="preserve"> experiences of policing and good practice in police responses.</w:t>
      </w:r>
    </w:p>
  </w:footnote>
  <w:footnote w:id="8">
    <w:p w14:paraId="2D0D175D" w14:textId="77777777" w:rsidR="00CC5CA8" w:rsidRPr="00AC350C" w:rsidRDefault="00CC5CA8" w:rsidP="00075A13">
      <w:pPr>
        <w:pStyle w:val="FootnoteText"/>
        <w:rPr>
          <w:rFonts w:asciiTheme="minorHAnsi" w:hAnsiTheme="minorHAnsi" w:cstheme="minorHAnsi"/>
        </w:rPr>
      </w:pPr>
      <w:r w:rsidRPr="003C7799">
        <w:rPr>
          <w:rFonts w:asciiTheme="minorHAnsi" w:hAnsiTheme="minorHAnsi" w:cstheme="minorHAnsi"/>
          <w:vertAlign w:val="superscript"/>
        </w:rPr>
        <w:footnoteRef/>
      </w:r>
      <w:r w:rsidRPr="00AC350C">
        <w:rPr>
          <w:rFonts w:asciiTheme="minorHAnsi" w:hAnsiTheme="minorHAnsi" w:cstheme="minorHAnsi"/>
        </w:rPr>
        <w:t xml:space="preserve"> Department of Premier and Cabinet </w:t>
      </w:r>
      <w:r>
        <w:rPr>
          <w:rFonts w:asciiTheme="minorHAnsi" w:hAnsiTheme="minorHAnsi" w:cstheme="minorHAnsi"/>
        </w:rPr>
        <w:t>(</w:t>
      </w:r>
      <w:r w:rsidRPr="00AC350C"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</w:rPr>
        <w:t>)</w:t>
      </w:r>
      <w:r w:rsidRPr="00AC350C">
        <w:rPr>
          <w:rFonts w:asciiTheme="minorHAnsi" w:hAnsiTheme="minorHAnsi" w:cstheme="minorHAnsi"/>
        </w:rPr>
        <w:t xml:space="preserve">, </w:t>
      </w:r>
      <w:r w:rsidRPr="003C7799">
        <w:rPr>
          <w:rFonts w:asciiTheme="minorHAnsi" w:hAnsiTheme="minorHAnsi" w:cstheme="minorHAnsi"/>
          <w:i/>
        </w:rPr>
        <w:t>Safe and Strong: A Victorian gender equality strategy</w:t>
      </w:r>
      <w:r w:rsidRPr="00AC350C">
        <w:rPr>
          <w:rFonts w:asciiTheme="minorHAnsi" w:hAnsiTheme="minorHAnsi" w:cstheme="minorHAnsi"/>
        </w:rPr>
        <w:t>, Victorian Government, Melbourne.</w:t>
      </w:r>
    </w:p>
  </w:footnote>
  <w:footnote w:id="9">
    <w:p w14:paraId="6A461C28" w14:textId="77777777" w:rsidR="00CC5CA8" w:rsidRPr="00AC350C" w:rsidRDefault="00CC5CA8" w:rsidP="00075A13">
      <w:pPr>
        <w:pStyle w:val="FootnoteText"/>
        <w:rPr>
          <w:rFonts w:asciiTheme="minorHAnsi" w:hAnsiTheme="minorHAnsi" w:cstheme="minorHAnsi"/>
        </w:rPr>
      </w:pPr>
      <w:r w:rsidRPr="00AC350C">
        <w:rPr>
          <w:rStyle w:val="FootnoteReference"/>
          <w:rFonts w:asciiTheme="minorHAnsi" w:eastAsiaTheme="majorEastAsia" w:hAnsiTheme="minorHAnsi" w:cstheme="minorHAnsi"/>
        </w:rPr>
        <w:footnoteRef/>
      </w:r>
      <w:r w:rsidRPr="00AC350C">
        <w:rPr>
          <w:rFonts w:asciiTheme="minorHAnsi" w:hAnsiTheme="minorHAnsi" w:cstheme="minorHAnsi"/>
        </w:rPr>
        <w:t xml:space="preserve"> Harmony Alliance (2021) </w:t>
      </w:r>
      <w:hyperlink r:id="rId4" w:history="1">
        <w:r w:rsidRPr="00825A9C">
          <w:rPr>
            <w:rStyle w:val="Hyperlink"/>
            <w:rFonts w:asciiTheme="minorHAnsi" w:hAnsiTheme="minorHAnsi" w:cstheme="minorHAnsi"/>
            <w:i/>
          </w:rPr>
          <w:t>Submission to the Review of the Workplace Gender Equality Act (WGEA)</w:t>
        </w:r>
        <w:r w:rsidRPr="00825A9C">
          <w:rPr>
            <w:rStyle w:val="Hyperlink"/>
            <w:rFonts w:asciiTheme="minorHAnsi" w:hAnsiTheme="minorHAnsi" w:cstheme="minorHAnsi"/>
          </w:rPr>
          <w:t>.</w:t>
        </w:r>
      </w:hyperlink>
    </w:p>
  </w:footnote>
  <w:footnote w:id="10">
    <w:p w14:paraId="26334AFA" w14:textId="45F8D68C" w:rsidR="00CC5CA8" w:rsidRPr="00AC350C" w:rsidRDefault="00CC5CA8" w:rsidP="00075A13">
      <w:pPr>
        <w:pStyle w:val="FootnoteText"/>
        <w:rPr>
          <w:rFonts w:asciiTheme="minorHAnsi" w:hAnsiTheme="minorHAnsi" w:cstheme="minorHAnsi"/>
        </w:rPr>
      </w:pPr>
      <w:r w:rsidRPr="00AC350C">
        <w:rPr>
          <w:rStyle w:val="FootnoteReference"/>
          <w:rFonts w:asciiTheme="minorHAnsi" w:hAnsiTheme="minorHAnsi" w:cstheme="minorHAnsi"/>
        </w:rPr>
        <w:footnoteRef/>
      </w:r>
      <w:r w:rsidRPr="00AC35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Australian Bureau of Statistics (2018-19), </w:t>
      </w:r>
      <w:r w:rsidRPr="00E75CEB">
        <w:rPr>
          <w:rFonts w:asciiTheme="minorHAnsi" w:hAnsiTheme="minorHAnsi" w:cstheme="minorHAnsi"/>
          <w:i/>
        </w:rPr>
        <w:t>Qualifications and work,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ABS, </w:t>
      </w:r>
      <w:hyperlink r:id="rId5" w:anchor="qualifications-of-adult-migrants" w:history="1">
        <w:r w:rsidRPr="00AC350C">
          <w:rPr>
            <w:rStyle w:val="Hyperlink"/>
            <w:rFonts w:asciiTheme="minorHAnsi" w:hAnsiTheme="minorHAnsi" w:cstheme="minorHAnsi"/>
          </w:rPr>
          <w:t>https://www.abs.gov.au/statistics/people/education/qualifications-and-work/latest-release#qualifications-of-adult-migrants</w:t>
        </w:r>
      </w:hyperlink>
      <w:r>
        <w:rPr>
          <w:rFonts w:asciiTheme="minorHAnsi" w:hAnsiTheme="minorHAnsi" w:cstheme="minorHAnsi"/>
        </w:rPr>
        <w:t>.</w:t>
      </w:r>
    </w:p>
  </w:footnote>
  <w:footnote w:id="11">
    <w:p w14:paraId="21015B00" w14:textId="39BD5DAD" w:rsidR="00CC5CA8" w:rsidRPr="00482A65" w:rsidRDefault="00CC5CA8" w:rsidP="00075A13">
      <w:pPr>
        <w:pStyle w:val="FootnoteText"/>
        <w:rPr>
          <w:rFonts w:asciiTheme="minorHAnsi" w:hAnsiTheme="minorHAnsi" w:cstheme="minorHAnsi"/>
        </w:rPr>
      </w:pPr>
      <w:r w:rsidRPr="00075A13">
        <w:rPr>
          <w:rStyle w:val="FootnoteReference"/>
          <w:rFonts w:asciiTheme="minorHAnsi" w:hAnsiTheme="minorHAnsi" w:cstheme="minorHAnsi"/>
        </w:rPr>
        <w:footnoteRef/>
      </w:r>
      <w:r w:rsidRPr="00075A13">
        <w:rPr>
          <w:rFonts w:asciiTheme="minorHAnsi" w:hAnsiTheme="minorHAnsi" w:cstheme="minorHAnsi"/>
        </w:rPr>
        <w:t xml:space="preserve"> </w:t>
      </w:r>
      <w:r w:rsidRPr="00482A65">
        <w:rPr>
          <w:rFonts w:asciiTheme="minorHAnsi" w:hAnsiTheme="minorHAnsi" w:cstheme="minorHAnsi"/>
        </w:rPr>
        <w:t xml:space="preserve">Billet H, Vazquez Corona M and </w:t>
      </w:r>
      <w:proofErr w:type="spellStart"/>
      <w:r w:rsidRPr="00482A65">
        <w:rPr>
          <w:rFonts w:asciiTheme="minorHAnsi" w:hAnsiTheme="minorHAnsi" w:cstheme="minorHAnsi"/>
        </w:rPr>
        <w:t>Bohren</w:t>
      </w:r>
      <w:proofErr w:type="spellEnd"/>
      <w:r w:rsidRPr="00482A65">
        <w:rPr>
          <w:rFonts w:asciiTheme="minorHAnsi" w:hAnsiTheme="minorHAnsi" w:cstheme="minorHAnsi"/>
        </w:rPr>
        <w:t xml:space="preserve"> MA (2020) ‘Women from migrant and refugee backgrounds perceptions and experiences of the continuum of maternity care in Australia: A qualitative evidence synthesis,’ </w:t>
      </w:r>
      <w:r w:rsidRPr="00482A65">
        <w:rPr>
          <w:rFonts w:asciiTheme="minorHAnsi" w:hAnsiTheme="minorHAnsi" w:cstheme="minorHAnsi"/>
          <w:i/>
        </w:rPr>
        <w:t>Women and Birth</w:t>
      </w:r>
      <w:r w:rsidRPr="00482A65">
        <w:rPr>
          <w:rFonts w:asciiTheme="minorHAnsi" w:hAnsiTheme="minorHAnsi" w:cstheme="minorHAnsi"/>
        </w:rPr>
        <w:t>, 35 (2022) 327-339.</w:t>
      </w:r>
    </w:p>
  </w:footnote>
  <w:footnote w:id="12">
    <w:p w14:paraId="04CB59A3" w14:textId="29762A4E" w:rsidR="00CC5CA8" w:rsidRPr="00ED14D7" w:rsidRDefault="00CC5CA8" w:rsidP="00075A13">
      <w:pPr>
        <w:pStyle w:val="FootnoteText"/>
        <w:rPr>
          <w:rFonts w:asciiTheme="minorHAnsi" w:hAnsiTheme="minorHAnsi" w:cstheme="minorHAnsi"/>
        </w:rPr>
      </w:pPr>
      <w:r w:rsidRPr="00482A65">
        <w:rPr>
          <w:rStyle w:val="FootnoteReference"/>
          <w:rFonts w:asciiTheme="minorHAnsi" w:hAnsiTheme="minorHAnsi" w:cstheme="minorHAnsi"/>
        </w:rPr>
        <w:footnoteRef/>
      </w:r>
      <w:r w:rsidRPr="00482A65">
        <w:rPr>
          <w:rFonts w:asciiTheme="minorHAnsi" w:hAnsiTheme="minorHAnsi" w:cstheme="minorHAnsi"/>
        </w:rPr>
        <w:t xml:space="preserve"> Billet H, Vazquez Corona M and </w:t>
      </w:r>
      <w:proofErr w:type="spellStart"/>
      <w:r w:rsidRPr="00482A65">
        <w:rPr>
          <w:rFonts w:asciiTheme="minorHAnsi" w:hAnsiTheme="minorHAnsi" w:cstheme="minorHAnsi"/>
        </w:rPr>
        <w:t>Bohren</w:t>
      </w:r>
      <w:proofErr w:type="spellEnd"/>
      <w:r w:rsidRPr="00482A65">
        <w:rPr>
          <w:rFonts w:asciiTheme="minorHAnsi" w:hAnsiTheme="minorHAnsi" w:cstheme="minorHAnsi"/>
        </w:rPr>
        <w:t xml:space="preserve"> MA (2020) ‘Women from migrant and refugee backgrounds perceptions and experiences of the continuum of maternity care in Australia: A qualitative evidence synthesis,’ </w:t>
      </w:r>
      <w:r w:rsidRPr="00482A65">
        <w:rPr>
          <w:rFonts w:asciiTheme="minorHAnsi" w:hAnsiTheme="minorHAnsi" w:cstheme="minorHAnsi"/>
          <w:i/>
        </w:rPr>
        <w:t>Women and Birth</w:t>
      </w:r>
      <w:r w:rsidRPr="00482A65">
        <w:rPr>
          <w:rFonts w:asciiTheme="minorHAnsi" w:hAnsiTheme="minorHAnsi" w:cstheme="minorHAnsi"/>
        </w:rPr>
        <w:t>, 35 (2022) 327-339.</w:t>
      </w:r>
    </w:p>
  </w:footnote>
  <w:footnote w:id="13">
    <w:p w14:paraId="7F46E012" w14:textId="6C55F74B" w:rsidR="00CC5CA8" w:rsidRPr="00825A9C" w:rsidRDefault="00CC5CA8" w:rsidP="00075A13">
      <w:pPr>
        <w:pStyle w:val="FootnoteText"/>
        <w:rPr>
          <w:rFonts w:asciiTheme="minorHAnsi" w:hAnsiTheme="minorHAnsi" w:cstheme="minorHAnsi"/>
        </w:rPr>
      </w:pPr>
      <w:r w:rsidRPr="00AC350C">
        <w:rPr>
          <w:rStyle w:val="FootnoteReference"/>
          <w:rFonts w:asciiTheme="minorHAnsi" w:eastAsiaTheme="majorEastAsia" w:hAnsiTheme="minorHAnsi" w:cstheme="minorHAnsi"/>
        </w:rPr>
        <w:footnoteRef/>
      </w:r>
      <w:r w:rsidRPr="00AC350C">
        <w:rPr>
          <w:rFonts w:asciiTheme="minorHAnsi" w:hAnsiTheme="minorHAnsi" w:cstheme="minorHAnsi"/>
        </w:rPr>
        <w:t xml:space="preserve"> </w:t>
      </w:r>
      <w:r w:rsidRPr="00825A9C">
        <w:rPr>
          <w:rFonts w:asciiTheme="minorHAnsi" w:hAnsiTheme="minorHAnsi" w:cstheme="minorHAnsi"/>
        </w:rPr>
        <w:t xml:space="preserve">Our Watch (2018) </w:t>
      </w:r>
      <w:hyperlink r:id="rId6" w:history="1">
        <w:r w:rsidRPr="00825A9C">
          <w:rPr>
            <w:rStyle w:val="Hyperlink"/>
            <w:rFonts w:asciiTheme="minorHAnsi" w:hAnsiTheme="minorHAnsi" w:cstheme="minorHAnsi"/>
            <w:i/>
          </w:rPr>
          <w:t>Practice Guidance: Equality and respect for all women: an intersectional approach</w:t>
        </w:r>
      </w:hyperlink>
      <w:r w:rsidRPr="00825A9C">
        <w:rPr>
          <w:rFonts w:asciiTheme="minorHAnsi" w:hAnsiTheme="minorHAnsi" w:cstheme="minorHAnsi"/>
          <w:i/>
        </w:rPr>
        <w:t xml:space="preserve">. </w:t>
      </w:r>
      <w:r w:rsidRPr="00825A9C">
        <w:rPr>
          <w:rFonts w:asciiTheme="minorHAnsi" w:hAnsiTheme="minorHAnsi" w:cstheme="minorHAnsi"/>
        </w:rPr>
        <w:t xml:space="preserve">Workplace Equality and Respect, Victorian Government. </w:t>
      </w:r>
    </w:p>
  </w:footnote>
  <w:footnote w:id="14">
    <w:p w14:paraId="31491793" w14:textId="4FCF47FD" w:rsidR="00CC5CA8" w:rsidRPr="00513BE4" w:rsidRDefault="00CC5CA8">
      <w:pPr>
        <w:pStyle w:val="FootnoteText"/>
        <w:rPr>
          <w:rFonts w:asciiTheme="minorHAnsi" w:hAnsiTheme="minorHAnsi" w:cstheme="minorHAnsi"/>
        </w:rPr>
      </w:pPr>
      <w:r w:rsidRPr="00513BE4">
        <w:rPr>
          <w:rStyle w:val="FootnoteReference"/>
          <w:rFonts w:asciiTheme="minorHAnsi" w:hAnsiTheme="minorHAnsi" w:cstheme="minorHAnsi"/>
        </w:rPr>
        <w:footnoteRef/>
      </w:r>
      <w:r w:rsidRPr="00513BE4">
        <w:rPr>
          <w:rFonts w:asciiTheme="minorHAnsi" w:hAnsiTheme="minorHAnsi" w:cstheme="minorHAnsi"/>
        </w:rPr>
        <w:t xml:space="preserve"> De </w:t>
      </w:r>
      <w:proofErr w:type="spellStart"/>
      <w:r w:rsidRPr="00513BE4">
        <w:rPr>
          <w:rFonts w:asciiTheme="minorHAnsi" w:hAnsiTheme="minorHAnsi" w:cstheme="minorHAnsi"/>
        </w:rPr>
        <w:t>Maio</w:t>
      </w:r>
      <w:proofErr w:type="spellEnd"/>
      <w:r w:rsidRPr="00513BE4">
        <w:rPr>
          <w:rFonts w:asciiTheme="minorHAnsi" w:hAnsiTheme="minorHAnsi" w:cstheme="minorHAnsi"/>
        </w:rPr>
        <w:t xml:space="preserve"> J, </w:t>
      </w:r>
      <w:proofErr w:type="spellStart"/>
      <w:r w:rsidRPr="00513BE4">
        <w:rPr>
          <w:rFonts w:asciiTheme="minorHAnsi" w:hAnsiTheme="minorHAnsi" w:cstheme="minorHAnsi"/>
        </w:rPr>
        <w:t>Silbert</w:t>
      </w:r>
      <w:proofErr w:type="spellEnd"/>
      <w:r w:rsidRPr="00513BE4">
        <w:rPr>
          <w:rFonts w:asciiTheme="minorHAnsi" w:hAnsiTheme="minorHAnsi" w:cstheme="minorHAnsi"/>
        </w:rPr>
        <w:t xml:space="preserve"> M, Stathopoulos M, </w:t>
      </w:r>
      <w:proofErr w:type="spellStart"/>
      <w:r w:rsidRPr="00513BE4">
        <w:rPr>
          <w:rFonts w:asciiTheme="minorHAnsi" w:hAnsiTheme="minorHAnsi" w:cstheme="minorHAnsi"/>
        </w:rPr>
        <w:t>Rioseco</w:t>
      </w:r>
      <w:proofErr w:type="spellEnd"/>
      <w:r w:rsidRPr="00513BE4">
        <w:rPr>
          <w:rFonts w:asciiTheme="minorHAnsi" w:hAnsiTheme="minorHAnsi" w:cstheme="minorHAnsi"/>
        </w:rPr>
        <w:t xml:space="preserve"> P, Jenkinson R and Edwards B (2017) </w:t>
      </w:r>
      <w:r w:rsidRPr="00513BE4">
        <w:rPr>
          <w:rFonts w:asciiTheme="minorHAnsi" w:hAnsiTheme="minorHAnsi" w:cstheme="minorHAnsi"/>
          <w:i/>
        </w:rPr>
        <w:t>Empowering migrant and refugee women: Supporting and empowering women beyond five-year post-settlement</w:t>
      </w:r>
      <w:r w:rsidRPr="00513BE4">
        <w:rPr>
          <w:rFonts w:asciiTheme="minorHAnsi" w:hAnsiTheme="minorHAnsi" w:cstheme="minorHAnsi"/>
        </w:rPr>
        <w:t>. (Research Report No. 38). Australian Institute of Family Studies.</w:t>
      </w:r>
    </w:p>
  </w:footnote>
  <w:footnote w:id="15">
    <w:p w14:paraId="729F2D2A" w14:textId="77777777" w:rsidR="00CC5CA8" w:rsidRPr="00825A9C" w:rsidRDefault="00CC5CA8" w:rsidP="004B60BE">
      <w:pPr>
        <w:pStyle w:val="FootnoteText"/>
        <w:rPr>
          <w:rFonts w:asciiTheme="minorHAnsi" w:hAnsiTheme="minorHAnsi" w:cstheme="minorHAnsi"/>
        </w:rPr>
      </w:pPr>
      <w:r w:rsidRPr="00825A9C">
        <w:rPr>
          <w:rStyle w:val="FootnoteReference"/>
          <w:rFonts w:asciiTheme="minorHAnsi" w:hAnsiTheme="minorHAnsi" w:cstheme="minorHAnsi"/>
        </w:rPr>
        <w:footnoteRef/>
      </w:r>
      <w:r w:rsidRPr="00825A9C">
        <w:rPr>
          <w:rFonts w:asciiTheme="minorHAnsi" w:hAnsiTheme="minorHAnsi" w:cstheme="minorHAnsi"/>
        </w:rPr>
        <w:t xml:space="preserve"> Australian Health Review (2018) </w:t>
      </w:r>
      <w:r w:rsidRPr="00825A9C">
        <w:rPr>
          <w:rFonts w:asciiTheme="minorHAnsi" w:hAnsiTheme="minorHAnsi" w:cstheme="minorHAnsi"/>
          <w:i/>
        </w:rPr>
        <w:t>Health professionals' views on health literacy issues for culturally and linguistically diverse women in maternity care</w:t>
      </w:r>
      <w:r>
        <w:rPr>
          <w:rFonts w:asciiTheme="minorHAnsi" w:hAnsiTheme="minorHAnsi" w:cstheme="minorHAnsi"/>
          <w:i/>
        </w:rPr>
        <w:t>,</w:t>
      </w:r>
      <w:r w:rsidRPr="00825A9C">
        <w:rPr>
          <w:rFonts w:asciiTheme="minorHAnsi" w:hAnsiTheme="minorHAnsi" w:cstheme="minorHAnsi"/>
        </w:rPr>
        <w:t xml:space="preserve"> </w:t>
      </w:r>
      <w:hyperlink r:id="rId7" w:history="1">
        <w:r w:rsidRPr="00825A9C">
          <w:rPr>
            <w:rFonts w:asciiTheme="minorHAnsi" w:hAnsiTheme="minorHAnsi" w:cstheme="minorHAnsi"/>
          </w:rPr>
          <w:t>https://pubmed.ncbi.nlm.nih.gov/29081348/</w:t>
        </w:r>
      </w:hyperlink>
      <w:r w:rsidRPr="00825A9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</w:footnote>
  <w:footnote w:id="16">
    <w:p w14:paraId="5EA55962" w14:textId="28EE3EF7" w:rsidR="00CC5CA8" w:rsidRPr="00825A9C" w:rsidRDefault="00CC5CA8" w:rsidP="00075A13">
      <w:pPr>
        <w:pStyle w:val="FootnoteText"/>
        <w:rPr>
          <w:rFonts w:asciiTheme="minorHAnsi" w:hAnsiTheme="minorHAnsi" w:cstheme="minorHAnsi"/>
        </w:rPr>
      </w:pPr>
      <w:r w:rsidRPr="00825A9C"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825A9C">
        <w:rPr>
          <w:rFonts w:asciiTheme="minorHAnsi" w:hAnsiTheme="minorHAnsi" w:cstheme="minorHAnsi"/>
        </w:rPr>
        <w:t xml:space="preserve">Workplace Gender Equality Agency (2022) </w:t>
      </w:r>
      <w:r w:rsidRPr="00825A9C">
        <w:rPr>
          <w:rFonts w:asciiTheme="minorHAnsi" w:hAnsiTheme="minorHAnsi" w:cstheme="minorHAnsi"/>
          <w:i/>
        </w:rPr>
        <w:t xml:space="preserve">Gender equality and intersecting forms of diversity. </w:t>
      </w:r>
      <w:hyperlink r:id="rId8" w:history="1">
        <w:r w:rsidRPr="00825A9C">
          <w:rPr>
            <w:rStyle w:val="Hyperlink"/>
            <w:rFonts w:asciiTheme="minorHAnsi" w:hAnsiTheme="minorHAnsi" w:cstheme="minorHAnsi"/>
          </w:rPr>
          <w:t>Gender equality and intersecting forms of diversity | WGEA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EACCC" w14:textId="4C8F7837" w:rsidR="00CC5CA8" w:rsidRPr="00D10635" w:rsidRDefault="00CC5CA8" w:rsidP="002160A7">
    <w:pPr>
      <w:jc w:val="center"/>
    </w:pPr>
    <w:r w:rsidRPr="002160A7">
      <w:rPr>
        <w:rStyle w:val="CLASSIFICATIONChar"/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01DB530" wp14:editId="3EBCEEBE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014575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6qLa61AQAAtg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65B1E" w14:textId="77777777" w:rsidR="00CC5CA8" w:rsidRDefault="00CC5CA8" w:rsidP="00303C55">
    <w:pPr>
      <w:pStyle w:val="Header"/>
      <w:jc w:val="center"/>
      <w:rPr>
        <w:rStyle w:val="CLASSIFICATIONChar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58240" behindDoc="1" locked="0" layoutInCell="1" allowOverlap="1" wp14:anchorId="711FD60C" wp14:editId="6D638131">
          <wp:simplePos x="0" y="0"/>
          <wp:positionH relativeFrom="column">
            <wp:posOffset>4751640</wp:posOffset>
          </wp:positionH>
          <wp:positionV relativeFrom="paragraph">
            <wp:posOffset>-493639</wp:posOffset>
          </wp:positionV>
          <wp:extent cx="1473795" cy="1789544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A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D60384D" wp14:editId="0F5CB36C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192" name="Straight Connector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55023" id="Straight Connector 192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" strokecolor="black [3200]" strokeweight=".5pt">
              <v:stroke joinstyle="miter"/>
              <w10:wrap anchory="page"/>
            </v:line>
          </w:pict>
        </mc:Fallback>
      </mc:AlternateContent>
    </w:r>
    <w:r w:rsidRPr="002160A7"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725BFAB7" wp14:editId="4DAE3F6E">
          <wp:simplePos x="0" y="0"/>
          <wp:positionH relativeFrom="column">
            <wp:posOffset>-313055</wp:posOffset>
          </wp:positionH>
          <wp:positionV relativeFrom="page">
            <wp:posOffset>183515</wp:posOffset>
          </wp:positionV>
          <wp:extent cx="3600000" cy="806400"/>
          <wp:effectExtent l="0" t="0" r="0" b="0"/>
          <wp:wrapNone/>
          <wp:docPr id="11" name="Picture 11" title="Australian Government Coat of Arms. Australian Government,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24E43" w14:textId="77777777" w:rsidR="00CC5CA8" w:rsidRDefault="00CC5CA8" w:rsidP="00303C55">
    <w:pPr>
      <w:pStyle w:val="Header"/>
      <w:jc w:val="center"/>
      <w:rPr>
        <w:rStyle w:val="CLASSIFICATIONChar"/>
      </w:rPr>
    </w:pPr>
  </w:p>
  <w:p w14:paraId="72313B4D" w14:textId="77777777" w:rsidR="00CC5CA8" w:rsidRDefault="00CC5CA8" w:rsidP="00303C55">
    <w:pPr>
      <w:pStyle w:val="Header"/>
      <w:jc w:val="center"/>
      <w:rPr>
        <w:rStyle w:val="CLASSIFICATIONChar"/>
      </w:rPr>
    </w:pPr>
  </w:p>
  <w:p w14:paraId="65BCE671" w14:textId="77777777" w:rsidR="00CC5CA8" w:rsidRDefault="00CC5CA8" w:rsidP="00303C55">
    <w:pPr>
      <w:pStyle w:val="Header"/>
      <w:jc w:val="center"/>
      <w:rPr>
        <w:rStyle w:val="CLASSIFICATIONChar"/>
      </w:rPr>
    </w:pPr>
  </w:p>
  <w:p w14:paraId="1AE1656E" w14:textId="720DE867" w:rsidR="00CC5CA8" w:rsidRDefault="00CC5CA8" w:rsidP="002160A7">
    <w:pPr>
      <w:pStyle w:val="CLASSIFICATION"/>
    </w:pPr>
  </w:p>
  <w:p w14:paraId="53FCE169" w14:textId="77777777" w:rsidR="00CC5CA8" w:rsidRPr="002160A7" w:rsidRDefault="00CC5CA8" w:rsidP="002160A7">
    <w:pPr>
      <w:pStyle w:val="CLASSIFICA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pStyle w:val="BulletedList-Level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pStyle w:val="BulletedList-Level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pStyle w:val="BoxDark-NumberedList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pStyle w:val="Figur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pStyle w:val="NumberedList-Level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pStyle w:val="BulletedList-Leve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pStyle w:val="TBLNumberedLi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pStyle w:val="BOX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pStyle w:val="TBL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51ACA69A"/>
    <w:lvl w:ilvl="0" w:tplc="080C0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72DE1CAA"/>
    <w:lvl w:ilvl="0" w:tplc="1CB0EE9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F542A2B0"/>
    <w:lvl w:ilvl="0" w:tplc="FA4E2F10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3CE07A5"/>
    <w:multiLevelType w:val="hybridMultilevel"/>
    <w:tmpl w:val="5DCE08F2"/>
    <w:lvl w:ilvl="0" w:tplc="0C09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91A51"/>
    <w:multiLevelType w:val="multilevel"/>
    <w:tmpl w:val="AE5C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33BBA"/>
    <w:multiLevelType w:val="hybridMultilevel"/>
    <w:tmpl w:val="C6B214D4"/>
    <w:lvl w:ilvl="0" w:tplc="8460E7C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507AC4"/>
    <w:multiLevelType w:val="hybridMultilevel"/>
    <w:tmpl w:val="864231E2"/>
    <w:lvl w:ilvl="0" w:tplc="87649966">
      <w:start w:val="1"/>
      <w:numFmt w:val="bullet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38973FD"/>
    <w:multiLevelType w:val="hybridMultilevel"/>
    <w:tmpl w:val="F640A21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7854A54"/>
    <w:multiLevelType w:val="hybridMultilevel"/>
    <w:tmpl w:val="94DC3E6A"/>
    <w:lvl w:ilvl="0" w:tplc="177076E2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27CE3734"/>
    <w:multiLevelType w:val="hybridMultilevel"/>
    <w:tmpl w:val="277667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036A3F"/>
    <w:multiLevelType w:val="hybridMultilevel"/>
    <w:tmpl w:val="5ED44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C148C"/>
    <w:multiLevelType w:val="hybridMultilevel"/>
    <w:tmpl w:val="C982243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DC5083A"/>
    <w:multiLevelType w:val="hybridMultilevel"/>
    <w:tmpl w:val="D3E81A6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  <w:sz w:val="24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3C2624"/>
    <w:multiLevelType w:val="hybridMultilevel"/>
    <w:tmpl w:val="F2727F6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3DB34FB7"/>
    <w:multiLevelType w:val="hybridMultilevel"/>
    <w:tmpl w:val="A9129956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0B22B27"/>
    <w:multiLevelType w:val="hybridMultilevel"/>
    <w:tmpl w:val="62606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67B8"/>
    <w:multiLevelType w:val="hybridMultilevel"/>
    <w:tmpl w:val="83061F0E"/>
    <w:lvl w:ilvl="0" w:tplc="0C09001B">
      <w:start w:val="1"/>
      <w:numFmt w:val="lowerRoman"/>
      <w:lvlText w:val="%1."/>
      <w:lvlJc w:val="right"/>
      <w:pPr>
        <w:ind w:left="2204" w:hanging="360"/>
      </w:pPr>
      <w:rPr>
        <w:rFonts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8" w15:restartNumberingAfterBreak="0">
    <w:nsid w:val="496C7FF6"/>
    <w:multiLevelType w:val="hybridMultilevel"/>
    <w:tmpl w:val="2DC077C0"/>
    <w:lvl w:ilvl="0" w:tplc="6F428F6E">
      <w:start w:val="1"/>
      <w:numFmt w:val="decimal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C447E9"/>
    <w:multiLevelType w:val="hybridMultilevel"/>
    <w:tmpl w:val="10F00B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760F02"/>
    <w:multiLevelType w:val="hybridMultilevel"/>
    <w:tmpl w:val="19486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C7E9D"/>
    <w:multiLevelType w:val="hybridMultilevel"/>
    <w:tmpl w:val="C1C07B94"/>
    <w:lvl w:ilvl="0" w:tplc="72DE269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plc="FE083E68">
      <w:numFmt w:val="bullet"/>
      <w:lvlText w:val="•"/>
      <w:lvlJc w:val="left"/>
      <w:pPr>
        <w:ind w:left="2406" w:hanging="360"/>
      </w:pPr>
      <w:rPr>
        <w:rFonts w:ascii="Segoe UI Light" w:eastAsiaTheme="minorEastAsia" w:hAnsi="Segoe UI Light" w:cs="Segoe UI Light" w:hint="default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E51B32"/>
    <w:multiLevelType w:val="hybridMultilevel"/>
    <w:tmpl w:val="915C1D12"/>
    <w:lvl w:ilvl="0" w:tplc="9CF4C53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240C"/>
    <w:multiLevelType w:val="hybridMultilevel"/>
    <w:tmpl w:val="7DF8E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170D5"/>
    <w:multiLevelType w:val="hybridMultilevel"/>
    <w:tmpl w:val="3622095C"/>
    <w:lvl w:ilvl="0" w:tplc="0718682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931294C8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5508A634">
      <w:start w:val="1"/>
      <w:numFmt w:val="lowerRoman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6B5"/>
    <w:multiLevelType w:val="hybridMultilevel"/>
    <w:tmpl w:val="392824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29"/>
  </w:num>
  <w:num w:numId="20">
    <w:abstractNumId w:val="29"/>
    <w:lvlOverride w:ilvl="0">
      <w:startOverride w:val="1"/>
    </w:lvlOverride>
  </w:num>
  <w:num w:numId="21">
    <w:abstractNumId w:val="36"/>
  </w:num>
  <w:num w:numId="22">
    <w:abstractNumId w:val="32"/>
  </w:num>
  <w:num w:numId="23">
    <w:abstractNumId w:val="11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32"/>
    <w:lvlOverride w:ilvl="0">
      <w:startOverride w:val="1"/>
    </w:lvlOverride>
  </w:num>
  <w:num w:numId="26">
    <w:abstractNumId w:val="32"/>
    <w:lvlOverride w:ilvl="0">
      <w:startOverride w:val="1"/>
    </w:lvlOverride>
  </w:num>
  <w:num w:numId="27">
    <w:abstractNumId w:val="16"/>
  </w:num>
  <w:num w:numId="28">
    <w:abstractNumId w:val="28"/>
  </w:num>
  <w:num w:numId="29">
    <w:abstractNumId w:val="13"/>
  </w:num>
  <w:num w:numId="30">
    <w:abstractNumId w:val="17"/>
  </w:num>
  <w:num w:numId="31">
    <w:abstractNumId w:val="12"/>
  </w:num>
  <w:num w:numId="32">
    <w:abstractNumId w:val="36"/>
    <w:lvlOverride w:ilvl="0">
      <w:startOverride w:val="1"/>
    </w:lvlOverride>
  </w:num>
  <w:num w:numId="33">
    <w:abstractNumId w:val="36"/>
    <w:lvlOverride w:ilvl="0">
      <w:startOverride w:val="1"/>
    </w:lvlOverride>
  </w:num>
  <w:num w:numId="34">
    <w:abstractNumId w:val="36"/>
    <w:lvlOverride w:ilvl="0">
      <w:startOverride w:val="1"/>
    </w:lvlOverride>
  </w:num>
  <w:num w:numId="35">
    <w:abstractNumId w:val="33"/>
  </w:num>
  <w:num w:numId="36">
    <w:abstractNumId w:val="26"/>
  </w:num>
  <w:num w:numId="37">
    <w:abstractNumId w:val="23"/>
  </w:num>
  <w:num w:numId="38">
    <w:abstractNumId w:val="15"/>
  </w:num>
  <w:num w:numId="39">
    <w:abstractNumId w:val="31"/>
  </w:num>
  <w:num w:numId="40">
    <w:abstractNumId w:val="35"/>
  </w:num>
  <w:num w:numId="41">
    <w:abstractNumId w:val="25"/>
  </w:num>
  <w:num w:numId="42">
    <w:abstractNumId w:val="21"/>
  </w:num>
  <w:num w:numId="43">
    <w:abstractNumId w:val="18"/>
  </w:num>
  <w:num w:numId="44">
    <w:abstractNumId w:val="22"/>
  </w:num>
  <w:num w:numId="45">
    <w:abstractNumId w:val="20"/>
  </w:num>
  <w:num w:numId="46">
    <w:abstractNumId w:val="30"/>
  </w:num>
  <w:num w:numId="47">
    <w:abstractNumId w:val="37"/>
  </w:num>
  <w:num w:numId="48">
    <w:abstractNumId w:val="27"/>
  </w:num>
  <w:num w:numId="49">
    <w:abstractNumId w:val="24"/>
  </w:num>
  <w:num w:numId="5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D8"/>
    <w:rsid w:val="000256B2"/>
    <w:rsid w:val="00027038"/>
    <w:rsid w:val="0003154E"/>
    <w:rsid w:val="00037513"/>
    <w:rsid w:val="00053E67"/>
    <w:rsid w:val="00065FEB"/>
    <w:rsid w:val="0006627F"/>
    <w:rsid w:val="00075A13"/>
    <w:rsid w:val="00092EDE"/>
    <w:rsid w:val="000937D6"/>
    <w:rsid w:val="00097642"/>
    <w:rsid w:val="000A55C8"/>
    <w:rsid w:val="000B1F8C"/>
    <w:rsid w:val="000B21C9"/>
    <w:rsid w:val="000B3417"/>
    <w:rsid w:val="000C3010"/>
    <w:rsid w:val="000D749D"/>
    <w:rsid w:val="000D7501"/>
    <w:rsid w:val="000E2F92"/>
    <w:rsid w:val="000F1E5F"/>
    <w:rsid w:val="000F435A"/>
    <w:rsid w:val="00117A77"/>
    <w:rsid w:val="001303C4"/>
    <w:rsid w:val="00141ED0"/>
    <w:rsid w:val="00151CE3"/>
    <w:rsid w:val="00154EAF"/>
    <w:rsid w:val="001578AC"/>
    <w:rsid w:val="00190309"/>
    <w:rsid w:val="00194454"/>
    <w:rsid w:val="001B0D79"/>
    <w:rsid w:val="001B4F8A"/>
    <w:rsid w:val="001C7998"/>
    <w:rsid w:val="001E309A"/>
    <w:rsid w:val="001E3136"/>
    <w:rsid w:val="00204AC0"/>
    <w:rsid w:val="002160A7"/>
    <w:rsid w:val="002169C3"/>
    <w:rsid w:val="00220DDA"/>
    <w:rsid w:val="00227DB5"/>
    <w:rsid w:val="00250D7C"/>
    <w:rsid w:val="00252C75"/>
    <w:rsid w:val="00266CCC"/>
    <w:rsid w:val="002738BF"/>
    <w:rsid w:val="00274D42"/>
    <w:rsid w:val="0027713B"/>
    <w:rsid w:val="00285CAF"/>
    <w:rsid w:val="00287AE6"/>
    <w:rsid w:val="00297AF8"/>
    <w:rsid w:val="002A1FC7"/>
    <w:rsid w:val="002B1A14"/>
    <w:rsid w:val="002B2DAF"/>
    <w:rsid w:val="002B661A"/>
    <w:rsid w:val="002C7A05"/>
    <w:rsid w:val="002D28CB"/>
    <w:rsid w:val="002D3BA6"/>
    <w:rsid w:val="002D6B3D"/>
    <w:rsid w:val="002F720F"/>
    <w:rsid w:val="003022A1"/>
    <w:rsid w:val="00303C55"/>
    <w:rsid w:val="00304E53"/>
    <w:rsid w:val="00306087"/>
    <w:rsid w:val="003104D4"/>
    <w:rsid w:val="00311C2D"/>
    <w:rsid w:val="0032100B"/>
    <w:rsid w:val="00333E3C"/>
    <w:rsid w:val="00334665"/>
    <w:rsid w:val="00337C42"/>
    <w:rsid w:val="003500FD"/>
    <w:rsid w:val="00351BF1"/>
    <w:rsid w:val="00353E5E"/>
    <w:rsid w:val="0036089E"/>
    <w:rsid w:val="003623F9"/>
    <w:rsid w:val="00374D2A"/>
    <w:rsid w:val="003774A8"/>
    <w:rsid w:val="0037765C"/>
    <w:rsid w:val="00385BD5"/>
    <w:rsid w:val="00396231"/>
    <w:rsid w:val="003B6F8A"/>
    <w:rsid w:val="003C7799"/>
    <w:rsid w:val="003D676D"/>
    <w:rsid w:val="003E7F54"/>
    <w:rsid w:val="003F23E9"/>
    <w:rsid w:val="004009A3"/>
    <w:rsid w:val="004301CF"/>
    <w:rsid w:val="00437199"/>
    <w:rsid w:val="004477E6"/>
    <w:rsid w:val="00455DE2"/>
    <w:rsid w:val="00456DF5"/>
    <w:rsid w:val="004722DD"/>
    <w:rsid w:val="00482A65"/>
    <w:rsid w:val="00482D8B"/>
    <w:rsid w:val="004A2FCE"/>
    <w:rsid w:val="004A6F6B"/>
    <w:rsid w:val="004B2C90"/>
    <w:rsid w:val="004B2D2D"/>
    <w:rsid w:val="004B39A6"/>
    <w:rsid w:val="004B60BE"/>
    <w:rsid w:val="004C09D3"/>
    <w:rsid w:val="004E4518"/>
    <w:rsid w:val="004F4C4F"/>
    <w:rsid w:val="004F74CF"/>
    <w:rsid w:val="00504D7C"/>
    <w:rsid w:val="00510354"/>
    <w:rsid w:val="00513BE4"/>
    <w:rsid w:val="00517738"/>
    <w:rsid w:val="005226B9"/>
    <w:rsid w:val="00530422"/>
    <w:rsid w:val="00531B28"/>
    <w:rsid w:val="00535F69"/>
    <w:rsid w:val="00560B58"/>
    <w:rsid w:val="00570E5D"/>
    <w:rsid w:val="00577CC7"/>
    <w:rsid w:val="00582DC5"/>
    <w:rsid w:val="00591288"/>
    <w:rsid w:val="005917FD"/>
    <w:rsid w:val="00596DE6"/>
    <w:rsid w:val="005A03B6"/>
    <w:rsid w:val="005A4AA1"/>
    <w:rsid w:val="005A5E45"/>
    <w:rsid w:val="005B5E57"/>
    <w:rsid w:val="005D4706"/>
    <w:rsid w:val="00621EA3"/>
    <w:rsid w:val="00630063"/>
    <w:rsid w:val="00636766"/>
    <w:rsid w:val="0064343A"/>
    <w:rsid w:val="00657001"/>
    <w:rsid w:val="006654AF"/>
    <w:rsid w:val="00677872"/>
    <w:rsid w:val="00677D28"/>
    <w:rsid w:val="006844DF"/>
    <w:rsid w:val="006923C9"/>
    <w:rsid w:val="00695A65"/>
    <w:rsid w:val="006A008F"/>
    <w:rsid w:val="006A09BD"/>
    <w:rsid w:val="006A250D"/>
    <w:rsid w:val="006A35C7"/>
    <w:rsid w:val="006A5AA6"/>
    <w:rsid w:val="006B0F24"/>
    <w:rsid w:val="006E170D"/>
    <w:rsid w:val="006E2AD3"/>
    <w:rsid w:val="00706136"/>
    <w:rsid w:val="00714E69"/>
    <w:rsid w:val="00714EAF"/>
    <w:rsid w:val="00717DFC"/>
    <w:rsid w:val="007204A9"/>
    <w:rsid w:val="00725AF2"/>
    <w:rsid w:val="00736564"/>
    <w:rsid w:val="00756929"/>
    <w:rsid w:val="007579AA"/>
    <w:rsid w:val="00760A44"/>
    <w:rsid w:val="00774646"/>
    <w:rsid w:val="00781695"/>
    <w:rsid w:val="00787315"/>
    <w:rsid w:val="007C0935"/>
    <w:rsid w:val="007C6B9B"/>
    <w:rsid w:val="007C6D19"/>
    <w:rsid w:val="007E1289"/>
    <w:rsid w:val="007E3AD5"/>
    <w:rsid w:val="007E3D4D"/>
    <w:rsid w:val="007E51F0"/>
    <w:rsid w:val="008046D4"/>
    <w:rsid w:val="00825A9C"/>
    <w:rsid w:val="00833792"/>
    <w:rsid w:val="00844C8E"/>
    <w:rsid w:val="00852519"/>
    <w:rsid w:val="00855BBE"/>
    <w:rsid w:val="00856A37"/>
    <w:rsid w:val="00877C74"/>
    <w:rsid w:val="00882A69"/>
    <w:rsid w:val="008A0614"/>
    <w:rsid w:val="008A1B91"/>
    <w:rsid w:val="008A3B03"/>
    <w:rsid w:val="008C190A"/>
    <w:rsid w:val="008C47A1"/>
    <w:rsid w:val="008D44DC"/>
    <w:rsid w:val="008D6B9E"/>
    <w:rsid w:val="008E1024"/>
    <w:rsid w:val="008F556E"/>
    <w:rsid w:val="00913ED0"/>
    <w:rsid w:val="00927650"/>
    <w:rsid w:val="009359C0"/>
    <w:rsid w:val="00942CB6"/>
    <w:rsid w:val="00942CE9"/>
    <w:rsid w:val="00950207"/>
    <w:rsid w:val="00954FF2"/>
    <w:rsid w:val="00962EE8"/>
    <w:rsid w:val="00976EE9"/>
    <w:rsid w:val="00980B3E"/>
    <w:rsid w:val="009A6D9C"/>
    <w:rsid w:val="009C2119"/>
    <w:rsid w:val="009C60F6"/>
    <w:rsid w:val="009D170F"/>
    <w:rsid w:val="009D4F6E"/>
    <w:rsid w:val="009F0889"/>
    <w:rsid w:val="00A06281"/>
    <w:rsid w:val="00A12C83"/>
    <w:rsid w:val="00A16BAE"/>
    <w:rsid w:val="00A2196A"/>
    <w:rsid w:val="00A22663"/>
    <w:rsid w:val="00A30996"/>
    <w:rsid w:val="00A357F6"/>
    <w:rsid w:val="00A35A02"/>
    <w:rsid w:val="00A57428"/>
    <w:rsid w:val="00A72307"/>
    <w:rsid w:val="00A9637D"/>
    <w:rsid w:val="00AA526F"/>
    <w:rsid w:val="00AA5D66"/>
    <w:rsid w:val="00AA705F"/>
    <w:rsid w:val="00AA71F9"/>
    <w:rsid w:val="00AC350C"/>
    <w:rsid w:val="00AD7C2A"/>
    <w:rsid w:val="00AE1C81"/>
    <w:rsid w:val="00AE20D6"/>
    <w:rsid w:val="00B40029"/>
    <w:rsid w:val="00B4103A"/>
    <w:rsid w:val="00B453E3"/>
    <w:rsid w:val="00B47AB1"/>
    <w:rsid w:val="00B6596F"/>
    <w:rsid w:val="00B72CBD"/>
    <w:rsid w:val="00B74744"/>
    <w:rsid w:val="00B80548"/>
    <w:rsid w:val="00B855C9"/>
    <w:rsid w:val="00BB24F1"/>
    <w:rsid w:val="00BD57F5"/>
    <w:rsid w:val="00BE48A4"/>
    <w:rsid w:val="00BE5414"/>
    <w:rsid w:val="00BE56F0"/>
    <w:rsid w:val="00C139F8"/>
    <w:rsid w:val="00C2441A"/>
    <w:rsid w:val="00C32107"/>
    <w:rsid w:val="00C65B75"/>
    <w:rsid w:val="00C70D23"/>
    <w:rsid w:val="00C729A9"/>
    <w:rsid w:val="00CA30E2"/>
    <w:rsid w:val="00CB7F36"/>
    <w:rsid w:val="00CC01CF"/>
    <w:rsid w:val="00CC2890"/>
    <w:rsid w:val="00CC451E"/>
    <w:rsid w:val="00CC5CA8"/>
    <w:rsid w:val="00CD47CF"/>
    <w:rsid w:val="00CE3252"/>
    <w:rsid w:val="00CF0F15"/>
    <w:rsid w:val="00CF382C"/>
    <w:rsid w:val="00D01DE9"/>
    <w:rsid w:val="00D03799"/>
    <w:rsid w:val="00D10635"/>
    <w:rsid w:val="00D236A0"/>
    <w:rsid w:val="00D342F5"/>
    <w:rsid w:val="00D525B8"/>
    <w:rsid w:val="00D638E4"/>
    <w:rsid w:val="00D73B77"/>
    <w:rsid w:val="00D8128B"/>
    <w:rsid w:val="00D83D93"/>
    <w:rsid w:val="00D92013"/>
    <w:rsid w:val="00D93369"/>
    <w:rsid w:val="00DC3057"/>
    <w:rsid w:val="00DC632E"/>
    <w:rsid w:val="00DD4D6E"/>
    <w:rsid w:val="00DD5288"/>
    <w:rsid w:val="00DE0BD2"/>
    <w:rsid w:val="00DE6EB9"/>
    <w:rsid w:val="00DF2F8D"/>
    <w:rsid w:val="00DF6C0E"/>
    <w:rsid w:val="00E04C5B"/>
    <w:rsid w:val="00E17CAF"/>
    <w:rsid w:val="00E224F4"/>
    <w:rsid w:val="00E23566"/>
    <w:rsid w:val="00E2703D"/>
    <w:rsid w:val="00E2753F"/>
    <w:rsid w:val="00E302CC"/>
    <w:rsid w:val="00E33E66"/>
    <w:rsid w:val="00E56854"/>
    <w:rsid w:val="00E67EA8"/>
    <w:rsid w:val="00E75CEB"/>
    <w:rsid w:val="00E84F06"/>
    <w:rsid w:val="00E85E9A"/>
    <w:rsid w:val="00E919F2"/>
    <w:rsid w:val="00E92551"/>
    <w:rsid w:val="00E96657"/>
    <w:rsid w:val="00EA0494"/>
    <w:rsid w:val="00EA21C3"/>
    <w:rsid w:val="00ED0697"/>
    <w:rsid w:val="00ED14D7"/>
    <w:rsid w:val="00F27338"/>
    <w:rsid w:val="00F302AF"/>
    <w:rsid w:val="00F34FE9"/>
    <w:rsid w:val="00F52A91"/>
    <w:rsid w:val="00F55FB4"/>
    <w:rsid w:val="00F56620"/>
    <w:rsid w:val="00F62D1C"/>
    <w:rsid w:val="00F635BB"/>
    <w:rsid w:val="00F749EC"/>
    <w:rsid w:val="00F74E87"/>
    <w:rsid w:val="00F75798"/>
    <w:rsid w:val="00F957C6"/>
    <w:rsid w:val="00FA49EC"/>
    <w:rsid w:val="00FB075C"/>
    <w:rsid w:val="00FB0996"/>
    <w:rsid w:val="00FB52D8"/>
    <w:rsid w:val="00FD2C22"/>
    <w:rsid w:val="00FD5565"/>
    <w:rsid w:val="00FE2C7F"/>
    <w:rsid w:val="00FF2879"/>
    <w:rsid w:val="00FF2BAF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D23011"/>
  <w14:defaultImageDpi w14:val="330"/>
  <w15:chartTrackingRefBased/>
  <w15:docId w15:val="{389DA279-0C1F-4FC5-AACA-FE49CA80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5B5E5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5B5E5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5B5E5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5B5E57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5B5E57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5B5E57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5B5E57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5B5E57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5B5E57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5B5E57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5B5E57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5B5E57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2D3BA6"/>
    <w:pPr>
      <w:numPr>
        <w:ilvl w:val="1"/>
      </w:numPr>
      <w:spacing w:after="48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2D3BA6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B5E57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5B5E57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5B5E57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5B5E57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5B5E57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5B5E57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160A7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5B5E57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2160A7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5B5E57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5B5E57"/>
    <w:pPr>
      <w:numPr>
        <w:numId w:val="6"/>
      </w:numPr>
      <w:spacing w:before="240"/>
    </w:pPr>
    <w:rPr>
      <w:rFonts w:ascii="Segoe UI" w:hAnsi="Segoe UI" w:cs="Segoe UI"/>
      <w:noProof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6E170D"/>
    <w:pPr>
      <w:spacing w:line="240" w:lineRule="auto"/>
    </w:pPr>
    <w:rPr>
      <w:rFonts w:ascii="Segoe UI" w:hAnsi="Segoe UI" w:cs="Segoe UI"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aliases w:val="List Square,List Paragraph1,List Paragraph11,List Paragraph2,Bulit List -  Paragraph,Main numbered paragraph,Numbered List Paragraph,Recommendation,Bullets,List Paragraph (numbered (a)),Table Heading,Dot pt,F5 List Paragraph,No Spacing1,L"/>
    <w:basedOn w:val="Normal"/>
    <w:link w:val="ListParagraphChar"/>
    <w:uiPriority w:val="34"/>
    <w:unhideWhenUsed/>
    <w:qFormat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tabs>
        <w:tab w:val="num" w:pos="1209"/>
      </w:tabs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B5E57"/>
    <w:rPr>
      <w:color w:val="3266AB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character" w:customStyle="1" w:styleId="ListParagraphChar">
    <w:name w:val="List Paragraph Char"/>
    <w:aliases w:val="List Square Char,List Paragraph1 Char,List Paragraph11 Char,List Paragraph2 Char,Bulit List -  Paragraph Char,Main numbered paragraph Char,Numbered List Paragraph Char,Recommendation Char,Bullets Char,Table Heading Char,Dot pt Char"/>
    <w:basedOn w:val="DefaultParagraphFont"/>
    <w:link w:val="ListParagraph"/>
    <w:uiPriority w:val="34"/>
    <w:qFormat/>
    <w:locked/>
    <w:rsid w:val="00E04C5B"/>
    <w:rPr>
      <w:sz w:val="22"/>
    </w:rPr>
  </w:style>
  <w:style w:type="paragraph" w:styleId="BodyText3">
    <w:name w:val="Body Text 3"/>
    <w:basedOn w:val="Normal"/>
    <w:link w:val="BodyText3Char"/>
    <w:rsid w:val="00E85E9A"/>
    <w:pPr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85E9A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85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5E9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5E9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F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copy">
    <w:name w:val="bodycopy"/>
    <w:basedOn w:val="Normal"/>
    <w:rsid w:val="00CF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75CEB"/>
    <w:rPr>
      <w:color w:val="1B375C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7E3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6915700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mc.gov.au/office-women/grants-and-funding/national-womens-allian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national-womens-health-strategy-2020-203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FWengagement@pmc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ss.gov.au/women-programs-services-reducing-violence/the-national-plan-to-end-violence-against-women-and-children-2022-20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mc.gov.au/office-women/national-strategy-achieve-gender-equalit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easury.gov.au/employment-whitepaper/jobs-summit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gea.gov.au/gender-equality-and-diversity" TargetMode="External"/><Relationship Id="rId3" Type="http://schemas.openxmlformats.org/officeDocument/2006/relationships/hyperlink" Target="https://dfvbenchbook.aija.org.au/vulnerable-groups/people-from-culturally-and-linguistically-diverse-backgrounds/" TargetMode="External"/><Relationship Id="rId7" Type="http://schemas.openxmlformats.org/officeDocument/2006/relationships/hyperlink" Target="https://pubmed.ncbi.nlm.nih.gov/29081348/" TargetMode="External"/><Relationship Id="rId2" Type="http://schemas.openxmlformats.org/officeDocument/2006/relationships/hyperlink" Target="https://www.dss.gov.au/sites/default/files/documents/10_2022/national_plan_accessible_version_for_website.pdf" TargetMode="External"/><Relationship Id="rId1" Type="http://schemas.openxmlformats.org/officeDocument/2006/relationships/hyperlink" Target="https://www.dss.gov.au/sites/default/files/documents/10_2022/national_plan_accessible_version_for_website.pdf" TargetMode="External"/><Relationship Id="rId6" Type="http://schemas.openxmlformats.org/officeDocument/2006/relationships/hyperlink" Target="../PG_Equality-and-respect-for-all-women_UpdatedFeb2019.pdf%20(ourwatch.org.au)" TargetMode="External"/><Relationship Id="rId5" Type="http://schemas.openxmlformats.org/officeDocument/2006/relationships/hyperlink" Target="https://www.abs.gov.au/statistics/people/education/qualifications-and-work/latest-release" TargetMode="External"/><Relationship Id="rId4" Type="http://schemas.openxmlformats.org/officeDocument/2006/relationships/hyperlink" Target="https://harmonyalliance.org.au/wp-content/uploads/2021/12/Harmony-Alliance-submission-Review-of-the-Workplace-Gender-Equality-Act-2012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877B5AEC84C26ABE300F48A833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1F41-D7B7-49B4-B40D-0F6F851A6A70}"/>
      </w:docPartPr>
      <w:docPartBody>
        <w:p w:rsidR="007634A2" w:rsidRDefault="007634A2">
          <w:pPr>
            <w:pStyle w:val="EB3877B5AEC84C26ABE300F48A833CD5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A2"/>
    <w:rsid w:val="003D1EB6"/>
    <w:rsid w:val="003D45DD"/>
    <w:rsid w:val="0055446A"/>
    <w:rsid w:val="0060225C"/>
    <w:rsid w:val="007634A2"/>
    <w:rsid w:val="0082119C"/>
    <w:rsid w:val="00BC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19C"/>
    <w:rPr>
      <w:color w:val="808080"/>
    </w:rPr>
  </w:style>
  <w:style w:type="paragraph" w:customStyle="1" w:styleId="EB3877B5AEC84C26ABE300F48A833CD5">
    <w:name w:val="EB3877B5AEC84C26ABE300F48A833CD5"/>
  </w:style>
  <w:style w:type="paragraph" w:customStyle="1" w:styleId="10D6513FF7D9482DBF35F8C750840C0A">
    <w:name w:val="10D6513FF7D9482DBF35F8C750840C0A"/>
  </w:style>
  <w:style w:type="paragraph" w:customStyle="1" w:styleId="BBE253B0410748ECA8D8C7C46850EAF6">
    <w:name w:val="BBE253B0410748ECA8D8C7C46850EAF6"/>
    <w:rsid w:val="0082119C"/>
  </w:style>
  <w:style w:type="paragraph" w:customStyle="1" w:styleId="17FE2EF881284149BB3A0E3058C542EF">
    <w:name w:val="17FE2EF881284149BB3A0E3058C542EF"/>
    <w:rsid w:val="0082119C"/>
  </w:style>
  <w:style w:type="paragraph" w:customStyle="1" w:styleId="A8DCA0069C8B4F9C817273C7B81C374B">
    <w:name w:val="A8DCA0069C8B4F9C817273C7B81C374B"/>
    <w:rsid w:val="0082119C"/>
  </w:style>
  <w:style w:type="paragraph" w:customStyle="1" w:styleId="8F78070E26EA4410A6C50E2A0AD3A3C8">
    <w:name w:val="8F78070E26EA4410A6C50E2A0AD3A3C8"/>
    <w:rsid w:val="0082119C"/>
  </w:style>
  <w:style w:type="paragraph" w:customStyle="1" w:styleId="6D2F7843CD194AB6AF904D6C8B9A8C3B">
    <w:name w:val="6D2F7843CD194AB6AF904D6C8B9A8C3B"/>
    <w:rsid w:val="0082119C"/>
  </w:style>
  <w:style w:type="paragraph" w:customStyle="1" w:styleId="6BA91C3C850D4E4A8151CFC2F3B88140">
    <w:name w:val="6BA91C3C850D4E4A8151CFC2F3B88140"/>
    <w:rsid w:val="00821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BA4C12DF371E8F4BB93A2BEA4DE4AEC1" ma:contentTypeVersion="7" ma:contentTypeDescription="ShareHub Document" ma:contentTypeScope="" ma:versionID="0fadfeb0e644ff012fc6c2d6ff120b19">
  <xsd:schema xmlns:xsd="http://www.w3.org/2001/XMLSchema" xmlns:xs="http://www.w3.org/2001/XMLSchema" xmlns:p="http://schemas.microsoft.com/office/2006/metadata/properties" xmlns:ns1="c5f2e3b8-678d-49cc-a09f-cfbaac9fe4ac" xmlns:ns3="685f9fda-bd71-4433-b331-92feb9553089" targetNamespace="http://schemas.microsoft.com/office/2006/metadata/properties" ma:root="true" ma:fieldsID="2431fab8f78af36a2fb430a4f555a2a6" ns1:_="" ns3:_="">
    <xsd:import namespace="c5f2e3b8-678d-49cc-a09f-cfbaac9fe4ac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2e3b8-678d-49cc-a09f-cfbaac9fe4ac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readOnly="false" ma:default="48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dec800d-e8ae-4e5b-bda9-de80f29b0884}" ma:internalName="TaxCatchAll" ma:showField="CatchAllData" ma:web="c5f2e3b8-678d-49cc-a09f-cfbaac9f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dec800d-e8ae-4e5b-bda9-de80f29b0884}" ma:internalName="TaxCatchAllLabel" ma:readOnly="true" ma:showField="CatchAllDataLabel" ma:web="c5f2e3b8-678d-49cc-a09f-cfbaac9f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2e3b8-678d-49cc-a09f-cfbaac9fe4ac">
      <Value>48</Value>
    </TaxCatchAll>
    <jd1c641577414dfdab1686c9d5d0dbd0 xmlns="c5f2e3b8-678d-49cc-a09f-cfbaac9fe4ac">
      <Terms xmlns="http://schemas.microsoft.com/office/infopath/2007/PartnerControls"/>
    </jd1c641577414dfdab1686c9d5d0dbd0>
    <PMCNotes xmlns="c5f2e3b8-678d-49cc-a09f-cfbaac9fe4ac" xsi:nil="true"/>
    <ShareHubID xmlns="c5f2e3b8-678d-49cc-a09f-cfbaac9fe4ac">DOC22-302556</ShareHubID>
    <mc5611b894cf49d8aeeb8ebf39dc09bc xmlns="c5f2e3b8-678d-49cc-a09f-cfbaac9fe4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NonRecordJustification xmlns="685f9fda-bd71-4433-b331-92feb9553089">None</NonRecordJust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A51F-95D4-44A1-A1FE-59CBCF31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2e3b8-678d-49cc-a09f-cfbaac9fe4ac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AABE3-C765-4011-AAE3-8F8762E9568F}">
  <ds:schemaRefs>
    <ds:schemaRef ds:uri="http://schemas.microsoft.com/office/2006/metadata/properties"/>
    <ds:schemaRef ds:uri="http://schemas.microsoft.com/office/infopath/2007/PartnerControls"/>
    <ds:schemaRef ds:uri="c5f2e3b8-678d-49cc-a09f-cfbaac9fe4ac"/>
    <ds:schemaRef ds:uri="685f9fda-bd71-4433-b331-92feb9553089"/>
  </ds:schemaRefs>
</ds:datastoreItem>
</file>

<file path=customXml/itemProps3.xml><?xml version="1.0" encoding="utf-8"?>
<ds:datastoreItem xmlns:ds="http://schemas.openxmlformats.org/officeDocument/2006/customXml" ds:itemID="{FB338F1C-C245-4C33-9EF3-CF3F82FDD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AA3BB3-054F-4D50-941C-F4B15E67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Migrant and refugee women</vt:lpstr>
    </vt:vector>
  </TitlesOfParts>
  <Manager>Office for Women</Manager>
  <Company>Department of the Prime Minister and Cabinet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Migrant and refugee women</dc:title>
  <dc:subject>National Strategy to Achieve Gender Equality – Disucssion Paper</dc:subject>
  <dc:creator>Department of the Prime Minister and Cabinet</dc:creator>
  <cp:keywords/>
  <dc:description/>
  <cp:lastModifiedBy>Darrell Hooper</cp:lastModifiedBy>
  <cp:revision>3</cp:revision>
  <dcterms:created xsi:type="dcterms:W3CDTF">2022-11-02T04:41:00Z</dcterms:created>
  <dcterms:modified xsi:type="dcterms:W3CDTF">2023-02-13T04:41:00Z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0x0101002825A64A6E1845A99A9D8EE8A5686ECB00BA4C12DF371E8F4BB93A2BEA4DE4AEC1</vt:lpwstr>
  </property>
  <property fmtid="{D5CDD505-2E9C-101B-9397-08002B2CF9AE}" pid="3" name="HPRMSecurityCaveat">
    <vt:lpwstr/>
  </property>
  <property fmtid="{D5CDD505-2E9C-101B-9397-08002B2CF9AE}" pid="4" name="HPRMSecurityLevel">
    <vt:lpwstr>48;#OFFICIAL|11463c70-78df-4e3b-b0ff-f66cd3cb26ec</vt:lpwstr>
  </property>
</Properties>
</file>