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15D20" w14:textId="1B2FCBF8" w:rsidR="00267141" w:rsidRDefault="00267141" w:rsidP="00267141">
      <w:pPr>
        <w:pStyle w:val="Heading1"/>
      </w:pPr>
      <w:r>
        <w:t>APPENDIX A</w:t>
      </w:r>
      <w:r w:rsidR="00ED6713">
        <w:tab/>
      </w:r>
      <w:bookmarkStart w:id="0" w:name="_GoBack"/>
      <w:bookmarkEnd w:id="0"/>
      <w:r>
        <w:t>useful REFERENCE SOURCES AND CONTACT details</w:t>
      </w:r>
    </w:p>
    <w:p w14:paraId="47A05671" w14:textId="77777777" w:rsidR="00A9089E" w:rsidRPr="00A9089E" w:rsidRDefault="00FA0755" w:rsidP="00AA3700">
      <w:pPr>
        <w:pStyle w:val="Heading2"/>
      </w:pPr>
      <w:r w:rsidRPr="00A9089E">
        <w:t>Reference sources</w:t>
      </w:r>
    </w:p>
    <w:p w14:paraId="24D0647F" w14:textId="77777777" w:rsidR="00A9089E" w:rsidRDefault="00A9089E" w:rsidP="00AA3700">
      <w:r>
        <w:t>The following links provide access to reference material that may assist officers in the legislation process.</w:t>
      </w:r>
    </w:p>
    <w:p w14:paraId="6A8DFB8F" w14:textId="77777777" w:rsidR="00A9089E" w:rsidRPr="00954400" w:rsidRDefault="00CD0224" w:rsidP="00954400">
      <w:pPr>
        <w:pStyle w:val="Heading3"/>
      </w:pPr>
      <w:hyperlink r:id="rId9" w:history="1">
        <w:r w:rsidR="00A9089E" w:rsidRPr="00954400">
          <w:rPr>
            <w:rStyle w:val="Hyperlink"/>
            <w:color w:val="000000"/>
            <w:u w:val="none"/>
          </w:rPr>
          <w:t>Parliament House</w:t>
        </w:r>
      </w:hyperlink>
    </w:p>
    <w:p w14:paraId="516FECD5" w14:textId="77777777" w:rsidR="00A9089E" w:rsidRPr="00954400" w:rsidRDefault="00CD0224" w:rsidP="00954400">
      <w:pPr>
        <w:pStyle w:val="Bullet"/>
        <w:rPr>
          <w:i/>
        </w:rPr>
      </w:pPr>
      <w:hyperlink r:id="rId10" w:history="1">
        <w:r w:rsidR="00A9089E" w:rsidRPr="00954400">
          <w:rPr>
            <w:i/>
          </w:rPr>
          <w:t>Odgers’ Australian Senate Practice</w:t>
        </w:r>
      </w:hyperlink>
    </w:p>
    <w:p w14:paraId="4DDD9779" w14:textId="77777777" w:rsidR="00A9089E" w:rsidRPr="00954400" w:rsidRDefault="00CD0224" w:rsidP="00954400">
      <w:pPr>
        <w:pStyle w:val="Bullet"/>
        <w:rPr>
          <w:i/>
        </w:rPr>
      </w:pPr>
      <w:hyperlink r:id="rId11" w:history="1">
        <w:r w:rsidR="00A9089E" w:rsidRPr="00954400">
          <w:rPr>
            <w:i/>
          </w:rPr>
          <w:t xml:space="preserve">Senate Standing Orders and </w:t>
        </w:r>
        <w:r w:rsidR="0001473D" w:rsidRPr="00954400">
          <w:rPr>
            <w:i/>
          </w:rPr>
          <w:t>other orders of the Senate</w:t>
        </w:r>
      </w:hyperlink>
    </w:p>
    <w:p w14:paraId="4908CC9B" w14:textId="77777777" w:rsidR="0001473D" w:rsidRPr="00954400" w:rsidRDefault="00CD0224" w:rsidP="00954400">
      <w:pPr>
        <w:pStyle w:val="Bullet"/>
        <w:rPr>
          <w:i/>
        </w:rPr>
      </w:pPr>
      <w:hyperlink r:id="rId12" w:history="1">
        <w:r w:rsidR="0001473D" w:rsidRPr="00954400">
          <w:rPr>
            <w:i/>
          </w:rPr>
          <w:t>Annotated Standing Orders of the Australian Senate</w:t>
        </w:r>
      </w:hyperlink>
    </w:p>
    <w:p w14:paraId="719E335E" w14:textId="77777777" w:rsidR="0001473D" w:rsidRPr="00954400" w:rsidRDefault="00CD0224" w:rsidP="00954400">
      <w:pPr>
        <w:pStyle w:val="Bullet"/>
        <w:rPr>
          <w:i/>
        </w:rPr>
      </w:pPr>
      <w:hyperlink r:id="rId13" w:history="1">
        <w:r w:rsidR="0001473D" w:rsidRPr="00954400">
          <w:rPr>
            <w:i/>
          </w:rPr>
          <w:t>Brief Guides to Senate Procedure (No. 16: Consideration of legislation)</w:t>
        </w:r>
      </w:hyperlink>
    </w:p>
    <w:p w14:paraId="5D258DEA" w14:textId="77777777" w:rsidR="0001473D" w:rsidRPr="00954400" w:rsidRDefault="00CD0224" w:rsidP="00954400">
      <w:pPr>
        <w:pStyle w:val="Bullet"/>
        <w:rPr>
          <w:i/>
        </w:rPr>
      </w:pPr>
      <w:hyperlink r:id="rId14" w:history="1">
        <w:r w:rsidR="0001473D" w:rsidRPr="00954400">
          <w:rPr>
            <w:i/>
          </w:rPr>
          <w:t>Senate Briefs (No. 8: The Senate and Legislation)</w:t>
        </w:r>
      </w:hyperlink>
    </w:p>
    <w:p w14:paraId="04C23216" w14:textId="77777777" w:rsidR="00A9089E" w:rsidRPr="00954400" w:rsidRDefault="00CD0224" w:rsidP="00954400">
      <w:pPr>
        <w:pStyle w:val="Bullet"/>
        <w:rPr>
          <w:i/>
        </w:rPr>
      </w:pPr>
      <w:hyperlink r:id="rId15" w:history="1">
        <w:r w:rsidR="00A9089E" w:rsidRPr="00954400">
          <w:rPr>
            <w:i/>
          </w:rPr>
          <w:t>House of Representatives Practice</w:t>
        </w:r>
      </w:hyperlink>
    </w:p>
    <w:p w14:paraId="290834EF" w14:textId="77777777" w:rsidR="00A9089E" w:rsidRPr="00954400" w:rsidRDefault="00CD0224" w:rsidP="00954400">
      <w:pPr>
        <w:pStyle w:val="Bullet"/>
        <w:rPr>
          <w:i/>
        </w:rPr>
      </w:pPr>
      <w:hyperlink r:id="rId16" w:history="1">
        <w:r w:rsidR="00A9089E" w:rsidRPr="00954400">
          <w:rPr>
            <w:i/>
          </w:rPr>
          <w:t>House of Representatives Standing and Sessional Orders</w:t>
        </w:r>
      </w:hyperlink>
    </w:p>
    <w:p w14:paraId="3AE37E7B" w14:textId="77777777" w:rsidR="00A9089E" w:rsidRPr="00954400" w:rsidRDefault="00CD0224" w:rsidP="00954400">
      <w:pPr>
        <w:pStyle w:val="Bullet"/>
        <w:rPr>
          <w:i/>
        </w:rPr>
      </w:pPr>
      <w:hyperlink r:id="rId17" w:history="1">
        <w:r w:rsidR="00A9089E" w:rsidRPr="00954400">
          <w:rPr>
            <w:i/>
          </w:rPr>
          <w:t>Bills and Legislation</w:t>
        </w:r>
      </w:hyperlink>
    </w:p>
    <w:p w14:paraId="4477FD5D" w14:textId="77777777" w:rsidR="00A9089E" w:rsidRPr="00954400" w:rsidRDefault="00CD0224" w:rsidP="00954400">
      <w:pPr>
        <w:pStyle w:val="Bullet"/>
        <w:rPr>
          <w:i/>
        </w:rPr>
      </w:pPr>
      <w:hyperlink r:id="rId18" w:history="1">
        <w:r w:rsidR="00A9089E" w:rsidRPr="00954400">
          <w:rPr>
            <w:i/>
          </w:rPr>
          <w:t>Parliamentary Committees</w:t>
        </w:r>
      </w:hyperlink>
    </w:p>
    <w:p w14:paraId="450C75C9" w14:textId="77777777" w:rsidR="00A9089E" w:rsidRPr="00954400" w:rsidRDefault="00CD0224" w:rsidP="00954400">
      <w:pPr>
        <w:pStyle w:val="Heading3"/>
      </w:pPr>
      <w:hyperlink r:id="rId19" w:history="1">
        <w:r w:rsidR="00A9089E" w:rsidRPr="00954400">
          <w:rPr>
            <w:rStyle w:val="Hyperlink"/>
            <w:color w:val="000000"/>
            <w:u w:val="none"/>
          </w:rPr>
          <w:t>Department of the Prime Minister and Cabinet</w:t>
        </w:r>
      </w:hyperlink>
    </w:p>
    <w:p w14:paraId="0CC5F57D" w14:textId="77777777" w:rsidR="00A9089E" w:rsidRPr="00954400" w:rsidRDefault="00CD0224" w:rsidP="00954400">
      <w:pPr>
        <w:pStyle w:val="Bullet"/>
        <w:rPr>
          <w:i/>
        </w:rPr>
      </w:pPr>
      <w:hyperlink r:id="rId20" w:history="1">
        <w:r w:rsidR="00A9089E" w:rsidRPr="00954400">
          <w:rPr>
            <w:i/>
          </w:rPr>
          <w:t>Federal Executive Council Handbook</w:t>
        </w:r>
      </w:hyperlink>
    </w:p>
    <w:p w14:paraId="21676FF7" w14:textId="77777777" w:rsidR="00A9089E" w:rsidRPr="00954400" w:rsidRDefault="00CD0224" w:rsidP="00954400">
      <w:pPr>
        <w:pStyle w:val="Bullet"/>
        <w:rPr>
          <w:i/>
        </w:rPr>
      </w:pPr>
      <w:hyperlink r:id="rId21" w:history="1">
        <w:r w:rsidR="00A9089E" w:rsidRPr="00954400">
          <w:rPr>
            <w:i/>
          </w:rPr>
          <w:t>Cabinet Handbook</w:t>
        </w:r>
      </w:hyperlink>
    </w:p>
    <w:p w14:paraId="183F0903" w14:textId="77777777" w:rsidR="00A9089E" w:rsidRPr="00954400" w:rsidRDefault="00CD0224" w:rsidP="00954400">
      <w:pPr>
        <w:pStyle w:val="Bullet"/>
        <w:rPr>
          <w:i/>
        </w:rPr>
      </w:pPr>
      <w:hyperlink r:id="rId22" w:history="1">
        <w:r w:rsidR="00A9089E" w:rsidRPr="00954400">
          <w:rPr>
            <w:i/>
          </w:rPr>
          <w:t>Administrative Arrangements Order</w:t>
        </w:r>
      </w:hyperlink>
    </w:p>
    <w:p w14:paraId="454966FF" w14:textId="77777777" w:rsidR="00EE1AE2" w:rsidRPr="00954400" w:rsidRDefault="00CD0224" w:rsidP="00954400">
      <w:pPr>
        <w:pStyle w:val="Bullet"/>
        <w:rPr>
          <w:i/>
        </w:rPr>
      </w:pPr>
      <w:hyperlink r:id="rId23" w:history="1">
        <w:r w:rsidR="00EE1AE2" w:rsidRPr="00954400">
          <w:rPr>
            <w:i/>
          </w:rPr>
          <w:t>Office of Best Practice Regulation</w:t>
        </w:r>
      </w:hyperlink>
      <w:r w:rsidR="00FA0755" w:rsidRPr="00954400">
        <w:rPr>
          <w:i/>
        </w:rPr>
        <w:t xml:space="preserve"> publications</w:t>
      </w:r>
    </w:p>
    <w:p w14:paraId="37F98110" w14:textId="77777777" w:rsidR="00A9089E" w:rsidRPr="00954400" w:rsidRDefault="00CD0224" w:rsidP="00954400">
      <w:pPr>
        <w:pStyle w:val="Heading3"/>
      </w:pPr>
      <w:hyperlink r:id="rId24" w:history="1">
        <w:r w:rsidR="00A9089E" w:rsidRPr="00954400">
          <w:rPr>
            <w:rStyle w:val="Hyperlink"/>
            <w:color w:val="000000"/>
            <w:u w:val="none"/>
          </w:rPr>
          <w:t>Office of Parliamentary Counsel</w:t>
        </w:r>
      </w:hyperlink>
    </w:p>
    <w:p w14:paraId="1A8314F4" w14:textId="719029C8" w:rsidR="00A9089E" w:rsidRPr="00954400" w:rsidRDefault="00A9089E" w:rsidP="00AA3700">
      <w:pPr>
        <w:pStyle w:val="Bullet"/>
        <w:rPr>
          <w:i/>
        </w:rPr>
      </w:pPr>
      <w:r w:rsidRPr="00954400">
        <w:rPr>
          <w:i/>
        </w:rPr>
        <w:t>Working with OPC</w:t>
      </w:r>
      <w:r w:rsidR="00FA0755" w:rsidRPr="00954400">
        <w:rPr>
          <w:i/>
        </w:rPr>
        <w:t>:</w:t>
      </w:r>
      <w:r w:rsidRPr="00954400">
        <w:rPr>
          <w:i/>
        </w:rPr>
        <w:t xml:space="preserve"> A Guide for Clients</w:t>
      </w:r>
    </w:p>
    <w:p w14:paraId="31C7900F" w14:textId="77777777" w:rsidR="00FA0755" w:rsidRPr="00954400" w:rsidRDefault="00FA0755" w:rsidP="00AA3700">
      <w:pPr>
        <w:pStyle w:val="Bullet"/>
        <w:rPr>
          <w:i/>
        </w:rPr>
      </w:pPr>
      <w:r w:rsidRPr="00954400">
        <w:rPr>
          <w:i/>
        </w:rPr>
        <w:t>OPC’s Drafting Services: A Guide for Clients</w:t>
      </w:r>
    </w:p>
    <w:p w14:paraId="4FEE6ADC" w14:textId="77777777" w:rsidR="00A9089E" w:rsidRPr="00954400" w:rsidRDefault="00A9089E" w:rsidP="00AA3700">
      <w:pPr>
        <w:pStyle w:val="Bullet"/>
        <w:rPr>
          <w:i/>
        </w:rPr>
      </w:pPr>
      <w:r w:rsidRPr="00954400">
        <w:rPr>
          <w:i/>
        </w:rPr>
        <w:t>Giving Written Drafting Instructions</w:t>
      </w:r>
      <w:r w:rsidR="00FA0755" w:rsidRPr="00954400">
        <w:rPr>
          <w:i/>
        </w:rPr>
        <w:t xml:space="preserve"> to OPC</w:t>
      </w:r>
    </w:p>
    <w:p w14:paraId="08866AD8" w14:textId="77777777" w:rsidR="00A9089E" w:rsidRPr="00954400" w:rsidRDefault="00A9089E" w:rsidP="00AA3700">
      <w:pPr>
        <w:pStyle w:val="Bullet"/>
        <w:rPr>
          <w:i/>
        </w:rPr>
      </w:pPr>
      <w:r w:rsidRPr="00954400">
        <w:rPr>
          <w:i/>
        </w:rPr>
        <w:t>Reducing Complexity in Legislation</w:t>
      </w:r>
    </w:p>
    <w:p w14:paraId="27BD89AE" w14:textId="429FDF5B" w:rsidR="00A9089E" w:rsidRPr="00954400" w:rsidRDefault="003D14A2" w:rsidP="00AA3700">
      <w:pPr>
        <w:pStyle w:val="Bullet"/>
        <w:rPr>
          <w:i/>
        </w:rPr>
      </w:pPr>
      <w:r w:rsidRPr="00954400">
        <w:rPr>
          <w:i/>
        </w:rPr>
        <w:t>Legislation Proposal Advice</w:t>
      </w:r>
      <w:r w:rsidR="00FA0755" w:rsidRPr="00954400">
        <w:rPr>
          <w:i/>
        </w:rPr>
        <w:t>:</w:t>
      </w:r>
      <w:r w:rsidRPr="00954400">
        <w:rPr>
          <w:i/>
        </w:rPr>
        <w:t xml:space="preserve"> </w:t>
      </w:r>
      <w:r w:rsidR="00A9089E" w:rsidRPr="00954400">
        <w:rPr>
          <w:i/>
        </w:rPr>
        <w:t>Client Advisers</w:t>
      </w:r>
    </w:p>
    <w:p w14:paraId="2D57AE4E" w14:textId="77777777" w:rsidR="00A9089E" w:rsidRPr="00954400" w:rsidRDefault="0089144B" w:rsidP="00AA3700">
      <w:pPr>
        <w:pStyle w:val="Bullet"/>
        <w:rPr>
          <w:i/>
        </w:rPr>
      </w:pPr>
      <w:r w:rsidRPr="00954400">
        <w:rPr>
          <w:i/>
        </w:rPr>
        <w:t>I</w:t>
      </w:r>
      <w:r w:rsidR="00A9089E" w:rsidRPr="00954400">
        <w:rPr>
          <w:i/>
        </w:rPr>
        <w:t>nstruments Handbook</w:t>
      </w:r>
    </w:p>
    <w:p w14:paraId="3D15438C" w14:textId="77777777" w:rsidR="006F15B9" w:rsidRPr="00954400" w:rsidRDefault="00CD0224" w:rsidP="00954400">
      <w:pPr>
        <w:pStyle w:val="Heading3"/>
      </w:pPr>
      <w:hyperlink r:id="rId25" w:history="1">
        <w:r w:rsidR="006F15B9" w:rsidRPr="00954400">
          <w:rPr>
            <w:rStyle w:val="Hyperlink"/>
            <w:color w:val="000000"/>
            <w:u w:val="none"/>
          </w:rPr>
          <w:t>Attorney-General’s Department</w:t>
        </w:r>
      </w:hyperlink>
    </w:p>
    <w:p w14:paraId="2245D5DD" w14:textId="77777777" w:rsidR="006F15B9" w:rsidRPr="00954400" w:rsidRDefault="006F15B9" w:rsidP="00954400">
      <w:pPr>
        <w:pStyle w:val="Bullet"/>
        <w:rPr>
          <w:i/>
        </w:rPr>
      </w:pPr>
      <w:r w:rsidRPr="00954400">
        <w:rPr>
          <w:i/>
        </w:rPr>
        <w:t xml:space="preserve">Human rights </w:t>
      </w:r>
      <w:r w:rsidR="00FA0755" w:rsidRPr="00954400">
        <w:rPr>
          <w:i/>
        </w:rPr>
        <w:t>scrutiny—</w:t>
      </w:r>
      <w:r w:rsidRPr="00954400">
        <w:rPr>
          <w:i/>
        </w:rPr>
        <w:t>public sector guidance sheets</w:t>
      </w:r>
    </w:p>
    <w:p w14:paraId="6C2A45CA" w14:textId="77777777" w:rsidR="0036534B" w:rsidRPr="00954400" w:rsidRDefault="0036534B" w:rsidP="00954400">
      <w:pPr>
        <w:pStyle w:val="Bullet"/>
        <w:rPr>
          <w:i/>
        </w:rPr>
      </w:pPr>
      <w:r w:rsidRPr="00954400">
        <w:rPr>
          <w:i/>
        </w:rPr>
        <w:t>Guide to Framing Commonwealth Offences, Infringement Notices and Enforcement Powers</w:t>
      </w:r>
    </w:p>
    <w:p w14:paraId="566A0F0F" w14:textId="3DD08B77" w:rsidR="00847890" w:rsidRPr="00954400" w:rsidRDefault="00847890" w:rsidP="00954400">
      <w:pPr>
        <w:pStyle w:val="Bullet"/>
        <w:rPr>
          <w:i/>
        </w:rPr>
      </w:pPr>
      <w:r w:rsidRPr="00954400">
        <w:rPr>
          <w:i/>
        </w:rPr>
        <w:t>Guide to Managing Sunsetting of Legislative Instruments</w:t>
      </w:r>
    </w:p>
    <w:p w14:paraId="02CA6F36" w14:textId="77777777" w:rsidR="00A9089E" w:rsidRPr="00954400" w:rsidRDefault="00A9089E" w:rsidP="00954400">
      <w:pPr>
        <w:pStyle w:val="Heading3"/>
      </w:pPr>
      <w:r w:rsidRPr="00954400">
        <w:t>Other</w:t>
      </w:r>
    </w:p>
    <w:p w14:paraId="7EA9E49F" w14:textId="0A489016" w:rsidR="00A9089E" w:rsidRDefault="00A9089E" w:rsidP="00954400">
      <w:pPr>
        <w:pStyle w:val="Bullet"/>
      </w:pPr>
      <w:r>
        <w:t>Commonwealth Act</w:t>
      </w:r>
      <w:r w:rsidR="001767E0">
        <w:t>s and Legislative Instruments</w:t>
      </w:r>
      <w:r w:rsidR="00FA0755">
        <w:t>—</w:t>
      </w:r>
      <w:r>
        <w:t xml:space="preserve">see </w:t>
      </w:r>
      <w:hyperlink r:id="rId26" w:history="1">
        <w:r w:rsidR="0089144B" w:rsidRPr="00954400">
          <w:rPr>
            <w:rStyle w:val="Hyperlink"/>
          </w:rPr>
          <w:t>Federal Register of Legislation</w:t>
        </w:r>
      </w:hyperlink>
      <w:r>
        <w:t xml:space="preserve"> </w:t>
      </w:r>
    </w:p>
    <w:p w14:paraId="6A888CE4" w14:textId="10731058" w:rsidR="00A9089E" w:rsidRPr="00A9089E" w:rsidRDefault="00FA0755" w:rsidP="00954400">
      <w:pPr>
        <w:pStyle w:val="Heading2"/>
        <w:pageBreakBefore/>
      </w:pPr>
      <w:r>
        <w:lastRenderedPageBreak/>
        <w:t>Contact details</w:t>
      </w:r>
    </w:p>
    <w:p w14:paraId="612AD1D9" w14:textId="224BDEAC" w:rsidR="002C456E" w:rsidRPr="004F6EEA" w:rsidRDefault="002C456E" w:rsidP="00954400">
      <w:r w:rsidRPr="004F6EEA">
        <w:t xml:space="preserve">The following contact </w:t>
      </w:r>
      <w:r w:rsidR="00852D88">
        <w:t xml:space="preserve">details </w:t>
      </w:r>
      <w:r w:rsidRPr="004F6EEA">
        <w:t xml:space="preserve">are provided for use where the Legislation Handbook suggests </w:t>
      </w:r>
      <w:r w:rsidR="00852D88">
        <w:t>consulting</w:t>
      </w:r>
      <w:r w:rsidRPr="004F6EEA">
        <w:t xml:space="preserve"> the Department of the Prime</w:t>
      </w:r>
      <w:r w:rsidR="005D0C9F" w:rsidRPr="004F6EEA">
        <w:t> </w:t>
      </w:r>
      <w:r w:rsidRPr="004F6EEA">
        <w:t xml:space="preserve">Minister and Cabinet, </w:t>
      </w:r>
      <w:r w:rsidR="005D0C9F" w:rsidRPr="004F6EEA">
        <w:t>the Office of Parliamentary Counsel, the Table Offices in the House of Representatives and the Senate</w:t>
      </w:r>
      <w:r w:rsidR="008A6AAA">
        <w:t>,</w:t>
      </w:r>
      <w:r w:rsidR="008A6AAA" w:rsidRPr="008A6AAA">
        <w:t xml:space="preserve"> </w:t>
      </w:r>
      <w:r w:rsidR="00914898">
        <w:t xml:space="preserve">the </w:t>
      </w:r>
      <w:r w:rsidR="008A6AAA" w:rsidRPr="004F6EEA">
        <w:t>Attorney-General’s Department</w:t>
      </w:r>
      <w:r w:rsidR="005D0C9F" w:rsidRPr="004F6EEA">
        <w:t xml:space="preserve"> </w:t>
      </w:r>
      <w:r w:rsidRPr="004F6EEA">
        <w:t>and other government agencies.</w:t>
      </w:r>
      <w:r w:rsidR="00EE1AE2">
        <w:t xml:space="preserve"> Consultation with further government agencies can be initiated through the relevant Legislation Liaison Officer.</w:t>
      </w:r>
    </w:p>
    <w:p w14:paraId="4A22A62A" w14:textId="77777777" w:rsidR="00954400" w:rsidRPr="00727E70" w:rsidRDefault="00954400" w:rsidP="00727E70">
      <w:pPr>
        <w:pStyle w:val="DeptHeading"/>
      </w:pPr>
      <w:r w:rsidRPr="00727E70">
        <w:t>Department of the Prime Minister and Cabinet</w:t>
      </w:r>
      <w:r w:rsidRPr="00727E70">
        <w:rPr>
          <w:b w:val="0"/>
        </w:rPr>
        <w:t xml:space="preserve"> (switchboard: (02) 6271 5111)</w:t>
      </w:r>
    </w:p>
    <w:p w14:paraId="7C18B56D" w14:textId="77777777" w:rsidR="00954400" w:rsidRDefault="00954400" w:rsidP="00727E70">
      <w:pPr>
        <w:pStyle w:val="Heading3"/>
      </w:pPr>
      <w:r>
        <w:t>GOVERNMENT DIVISION</w:t>
      </w:r>
    </w:p>
    <w:p w14:paraId="473C7341" w14:textId="77777777" w:rsidR="00954400" w:rsidRPr="00AE2714" w:rsidRDefault="00954400" w:rsidP="00984DDF">
      <w:pPr>
        <w:tabs>
          <w:tab w:val="right" w:pos="8640"/>
        </w:tabs>
      </w:pPr>
      <w:r w:rsidRPr="00AE2714">
        <w:t>First Assistant Secretary</w:t>
      </w:r>
      <w:r w:rsidRPr="00AE2714">
        <w:tab/>
        <w:t>(02) 6271 5786</w:t>
      </w:r>
    </w:p>
    <w:p w14:paraId="751E71C8" w14:textId="77777777" w:rsidR="00954400" w:rsidRPr="00D63D17" w:rsidRDefault="00954400" w:rsidP="00984DDF">
      <w:pPr>
        <w:pStyle w:val="Heading3"/>
        <w:tabs>
          <w:tab w:val="right" w:pos="8640"/>
        </w:tabs>
      </w:pPr>
      <w:r>
        <w:t>Parliamentary and Government Branch</w:t>
      </w:r>
    </w:p>
    <w:p w14:paraId="2BFFF873" w14:textId="77777777" w:rsidR="00954400" w:rsidRPr="00AE2714" w:rsidRDefault="00954400" w:rsidP="00984DDF">
      <w:pPr>
        <w:tabs>
          <w:tab w:val="right" w:pos="8640"/>
        </w:tabs>
      </w:pPr>
      <w:r w:rsidRPr="00AE2714">
        <w:t>Assistant Secretary</w:t>
      </w:r>
      <w:r w:rsidRPr="00AE2714">
        <w:tab/>
        <w:t>(02</w:t>
      </w:r>
      <w:r w:rsidRPr="001B53D2">
        <w:t>) 6271 5</w:t>
      </w:r>
      <w:r>
        <w:t>909</w:t>
      </w:r>
    </w:p>
    <w:p w14:paraId="15EB11BF" w14:textId="77777777" w:rsidR="00954400" w:rsidRPr="00AE2714" w:rsidRDefault="00954400" w:rsidP="00984DDF">
      <w:pPr>
        <w:tabs>
          <w:tab w:val="right" w:pos="8640"/>
        </w:tabs>
      </w:pPr>
      <w:r w:rsidRPr="00AE2714">
        <w:t>Senior Adviser, Parliamentary Affairs and Legislation Section</w:t>
      </w:r>
      <w:r w:rsidRPr="00AE2714">
        <w:tab/>
        <w:t>(02) 6271 5787</w:t>
      </w:r>
    </w:p>
    <w:p w14:paraId="35BE0455" w14:textId="24214955" w:rsidR="00954400" w:rsidRPr="00AE2714" w:rsidRDefault="00954400" w:rsidP="00984DDF">
      <w:pPr>
        <w:tabs>
          <w:tab w:val="right" w:pos="8640"/>
        </w:tabs>
      </w:pPr>
      <w:r w:rsidRPr="00AE2714">
        <w:t>Advisers, Parliamentary Affairs and Legislation Section</w:t>
      </w:r>
      <w:r w:rsidR="00727E70">
        <w:br/>
      </w:r>
      <w:hyperlink r:id="rId27" w:history="1">
        <w:r w:rsidRPr="00727E70">
          <w:rPr>
            <w:rStyle w:val="Hyperlink"/>
          </w:rPr>
          <w:t>LegislationPMC@pmc.gov.au</w:t>
        </w:r>
      </w:hyperlink>
      <w:r w:rsidRPr="00AE2714">
        <w:rPr>
          <w:rFonts w:ascii="Arial" w:hAnsi="Arial" w:cs="Arial"/>
          <w:sz w:val="22"/>
          <w:szCs w:val="22"/>
        </w:rPr>
        <w:t xml:space="preserve"> </w:t>
      </w:r>
      <w:r w:rsidRPr="00727E70">
        <w:t>(enquiries)</w:t>
      </w:r>
      <w:r w:rsidR="00727E70">
        <w:br/>
      </w:r>
      <w:hyperlink r:id="rId28" w:history="1">
        <w:r w:rsidRPr="00727E70">
          <w:rPr>
            <w:rStyle w:val="Hyperlink"/>
          </w:rPr>
          <w:t>Lodgement@pmc.gov.au</w:t>
        </w:r>
      </w:hyperlink>
      <w:r w:rsidRPr="00727E70">
        <w:t xml:space="preserve"> </w:t>
      </w:r>
      <w:r>
        <w:t>(lodgement of papers)</w:t>
      </w:r>
      <w:r w:rsidRPr="00AE2714">
        <w:tab/>
        <w:t>(02) 6271 5762</w:t>
      </w:r>
      <w:r w:rsidRPr="00AE2714">
        <w:br/>
      </w:r>
      <w:r w:rsidR="00727E70">
        <w:tab/>
      </w:r>
      <w:r w:rsidRPr="00AE2714">
        <w:t>(02) 6271 5783</w:t>
      </w:r>
    </w:p>
    <w:p w14:paraId="2915F36C" w14:textId="19110CA6" w:rsidR="00954400" w:rsidRPr="00727E70" w:rsidRDefault="00954400" w:rsidP="00984DDF">
      <w:pPr>
        <w:tabs>
          <w:tab w:val="right" w:pos="8640"/>
        </w:tabs>
      </w:pPr>
      <w:r w:rsidRPr="00AE2714">
        <w:t>Senior Adviser, Government Section</w:t>
      </w:r>
      <w:r w:rsidR="00727E70">
        <w:br/>
      </w:r>
      <w:hyperlink r:id="rId29" w:history="1">
        <w:r w:rsidRPr="00727E70">
          <w:rPr>
            <w:rStyle w:val="Hyperlink"/>
            <w:rFonts w:cs="Arial"/>
            <w:szCs w:val="18"/>
          </w:rPr>
          <w:t>GovtSection@pmc.gov.au</w:t>
        </w:r>
      </w:hyperlink>
      <w:r w:rsidR="00727E70">
        <w:rPr>
          <w:rStyle w:val="Hyperlink"/>
          <w:rFonts w:cs="Arial"/>
          <w:szCs w:val="18"/>
        </w:rPr>
        <w:br/>
      </w:r>
      <w:hyperlink r:id="rId30" w:history="1">
        <w:r w:rsidRPr="00727E70">
          <w:rPr>
            <w:rStyle w:val="Hyperlink"/>
          </w:rPr>
          <w:t>AAO@pmc.gov.au</w:t>
        </w:r>
      </w:hyperlink>
      <w:r w:rsidRPr="00AE2714">
        <w:rPr>
          <w:rFonts w:ascii="Arial" w:hAnsi="Arial" w:cs="Arial"/>
          <w:sz w:val="22"/>
          <w:szCs w:val="22"/>
        </w:rPr>
        <w:tab/>
      </w:r>
      <w:r w:rsidRPr="00727E70">
        <w:t>(02) 6271 5535</w:t>
      </w:r>
    </w:p>
    <w:p w14:paraId="4A283D57" w14:textId="77777777" w:rsidR="00954400" w:rsidRDefault="00954400" w:rsidP="00984DDF">
      <w:pPr>
        <w:pStyle w:val="Heading3"/>
        <w:tabs>
          <w:tab w:val="right" w:pos="8640"/>
        </w:tabs>
      </w:pPr>
      <w:r w:rsidRPr="00852D88">
        <w:t>Honours, Symbols and Legal Policy Branch</w:t>
      </w:r>
    </w:p>
    <w:p w14:paraId="04C61AE9" w14:textId="77777777" w:rsidR="00954400" w:rsidRPr="00AE2714" w:rsidRDefault="00954400" w:rsidP="00984DDF">
      <w:pPr>
        <w:tabs>
          <w:tab w:val="right" w:pos="8640"/>
        </w:tabs>
      </w:pPr>
      <w:r>
        <w:t>Assistant Secretary</w:t>
      </w:r>
      <w:r w:rsidRPr="00AE2714">
        <w:tab/>
      </w:r>
      <w:r>
        <w:t>(02) 6271 5124</w:t>
      </w:r>
    </w:p>
    <w:p w14:paraId="3F030A20" w14:textId="77777777" w:rsidR="00954400" w:rsidRPr="00D63D17" w:rsidRDefault="00954400" w:rsidP="00984DDF">
      <w:pPr>
        <w:pStyle w:val="Heading3"/>
        <w:tabs>
          <w:tab w:val="right" w:pos="8640"/>
        </w:tabs>
      </w:pPr>
      <w:r>
        <w:t>Parliamentary Liaison Section</w:t>
      </w:r>
    </w:p>
    <w:p w14:paraId="3E4300F6" w14:textId="4506D023" w:rsidR="00954400" w:rsidRPr="00727E70" w:rsidRDefault="00954400" w:rsidP="00984DDF">
      <w:pPr>
        <w:tabs>
          <w:tab w:val="right" w:pos="8640"/>
        </w:tabs>
      </w:pPr>
      <w:r w:rsidRPr="00AE2714">
        <w:t>Parliamentary Liaison Offic</w:t>
      </w:r>
      <w:r>
        <w:t>er (House of Representatives)—</w:t>
      </w:r>
      <w:r w:rsidRPr="00AE2714">
        <w:t>Parliament House</w:t>
      </w:r>
      <w:r w:rsidR="00727E70">
        <w:br/>
      </w:r>
      <w:hyperlink r:id="rId31" w:history="1">
        <w:r w:rsidRPr="00727E70">
          <w:rPr>
            <w:rStyle w:val="Hyperlink"/>
          </w:rPr>
          <w:t>RepsPLO@pmc.gov.au</w:t>
        </w:r>
      </w:hyperlink>
      <w:r w:rsidRPr="00727E70">
        <w:rPr>
          <w:rStyle w:val="Hyperlink"/>
        </w:rPr>
        <w:t xml:space="preserve"> </w:t>
      </w:r>
      <w:r w:rsidRPr="00727E70">
        <w:tab/>
        <w:t>(02) 6277 7377</w:t>
      </w:r>
    </w:p>
    <w:p w14:paraId="3670835C" w14:textId="0A5C1F31" w:rsidR="00954400" w:rsidRPr="00727E70" w:rsidRDefault="00954400" w:rsidP="00984DDF">
      <w:pPr>
        <w:tabs>
          <w:tab w:val="right" w:pos="8640"/>
        </w:tabs>
      </w:pPr>
      <w:r w:rsidRPr="00AE2714">
        <w:t>Parliamen</w:t>
      </w:r>
      <w:r>
        <w:t>tary Liaison Officer (Senate)—</w:t>
      </w:r>
      <w:r w:rsidRPr="00AE2714">
        <w:t>Parliament House</w:t>
      </w:r>
      <w:r w:rsidR="00727E70">
        <w:br/>
      </w:r>
      <w:hyperlink r:id="rId32" w:history="1">
        <w:r w:rsidRPr="00727E70">
          <w:rPr>
            <w:rStyle w:val="Hyperlink"/>
          </w:rPr>
          <w:t>SenatePLO@pmc.gov.au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727E70">
        <w:tab/>
        <w:t>(02) 6277 7597</w:t>
      </w:r>
    </w:p>
    <w:p w14:paraId="156C2715" w14:textId="77777777" w:rsidR="00954400" w:rsidRPr="00D63D17" w:rsidRDefault="00954400" w:rsidP="00984DDF">
      <w:pPr>
        <w:pStyle w:val="Heading3"/>
        <w:tabs>
          <w:tab w:val="right" w:pos="8640"/>
        </w:tabs>
      </w:pPr>
      <w:r>
        <w:t>CABINET DIVISION</w:t>
      </w:r>
    </w:p>
    <w:p w14:paraId="0F64DE79" w14:textId="4499F02D" w:rsidR="00954400" w:rsidRPr="00781560" w:rsidRDefault="00954400" w:rsidP="00984DDF">
      <w:pPr>
        <w:tabs>
          <w:tab w:val="right" w:pos="8640"/>
        </w:tabs>
      </w:pPr>
      <w:r w:rsidRPr="00AE2714">
        <w:t>Secretary, Federal Executive Council</w:t>
      </w:r>
      <w:r w:rsidR="00781560">
        <w:br/>
      </w:r>
      <w:hyperlink r:id="rId33" w:history="1">
        <w:r w:rsidRPr="00781560">
          <w:rPr>
            <w:rStyle w:val="Hyperlink"/>
          </w:rPr>
          <w:t>exco@pmc.gov.au</w:t>
        </w:r>
      </w:hyperlink>
      <w:r w:rsidRPr="00781560">
        <w:t xml:space="preserve"> </w:t>
      </w:r>
      <w:r w:rsidRPr="00781560">
        <w:tab/>
        <w:t>(02) 6271 5322</w:t>
      </w:r>
    </w:p>
    <w:p w14:paraId="2BB78314" w14:textId="77777777" w:rsidR="00954400" w:rsidRPr="002231FC" w:rsidRDefault="00954400" w:rsidP="00984DDF">
      <w:pPr>
        <w:pStyle w:val="Heading3"/>
        <w:tabs>
          <w:tab w:val="right" w:pos="8640"/>
        </w:tabs>
      </w:pPr>
      <w:r>
        <w:t>OFFICE OF BEST PRACTICE REGULATION</w:t>
      </w:r>
    </w:p>
    <w:p w14:paraId="51E49ADF" w14:textId="0199DA10" w:rsidR="00954400" w:rsidRPr="00781560" w:rsidRDefault="00954400" w:rsidP="00984DDF">
      <w:pPr>
        <w:tabs>
          <w:tab w:val="right" w:pos="8640"/>
        </w:tabs>
      </w:pPr>
      <w:r>
        <w:t>Enquiries</w:t>
      </w:r>
      <w:r w:rsidR="00781560">
        <w:br/>
      </w:r>
      <w:hyperlink r:id="rId34" w:history="1">
        <w:r w:rsidRPr="00781560">
          <w:rPr>
            <w:rStyle w:val="Hyperlink"/>
          </w:rPr>
          <w:t>helpdesk-obpr@opbr.gov.au</w:t>
        </w:r>
      </w:hyperlink>
      <w:r w:rsidRPr="00781560">
        <w:tab/>
        <w:t>(02) 6271 6270</w:t>
      </w:r>
    </w:p>
    <w:p w14:paraId="4A165173" w14:textId="77777777" w:rsidR="00954400" w:rsidRPr="002231FC" w:rsidRDefault="00954400" w:rsidP="00727E70">
      <w:pPr>
        <w:pStyle w:val="Heading3"/>
      </w:pPr>
      <w:r>
        <w:lastRenderedPageBreak/>
        <w:t>REGULATORY REFORM DIVISION</w:t>
      </w:r>
    </w:p>
    <w:p w14:paraId="020F673A" w14:textId="291F7D8B" w:rsidR="00954400" w:rsidRPr="00781560" w:rsidRDefault="00954400" w:rsidP="00984DDF">
      <w:pPr>
        <w:tabs>
          <w:tab w:val="right" w:pos="8640"/>
        </w:tabs>
      </w:pPr>
      <w:r>
        <w:t>Enquiries</w:t>
      </w:r>
      <w:r w:rsidR="00781560">
        <w:br/>
      </w:r>
      <w:hyperlink r:id="rId35" w:history="1">
        <w:r w:rsidRPr="00781560">
          <w:rPr>
            <w:rStyle w:val="Hyperlink"/>
          </w:rPr>
          <w:t>regulatoryreform@pmc.gov.au</w:t>
        </w:r>
      </w:hyperlink>
      <w:r w:rsidRPr="00781560">
        <w:tab/>
        <w:t>(02) 6271 5111</w:t>
      </w:r>
    </w:p>
    <w:p w14:paraId="15B50CB0" w14:textId="77777777" w:rsidR="00954400" w:rsidRPr="00AE2714" w:rsidRDefault="00954400" w:rsidP="00727E70">
      <w:pPr>
        <w:pStyle w:val="DeptHeading"/>
      </w:pPr>
      <w:r w:rsidRPr="00727E70">
        <w:t>Office of Parliamentary Counsel</w:t>
      </w:r>
      <w:r>
        <w:t xml:space="preserve"> </w:t>
      </w:r>
      <w:r w:rsidRPr="00727E70">
        <w:rPr>
          <w:b w:val="0"/>
        </w:rPr>
        <w:t>(switchboard: (02) 6120 1400)</w:t>
      </w:r>
    </w:p>
    <w:p w14:paraId="71D1DCC2" w14:textId="283BA1CA" w:rsidR="00954400" w:rsidRPr="00781560" w:rsidRDefault="00954400" w:rsidP="00984DDF">
      <w:pPr>
        <w:tabs>
          <w:tab w:val="right" w:pos="8640"/>
        </w:tabs>
      </w:pPr>
      <w:r w:rsidRPr="00AE2714">
        <w:t>First Parliamentary Counsel</w:t>
      </w:r>
      <w:r w:rsidR="00781560">
        <w:br/>
      </w:r>
      <w:hyperlink r:id="rId36" w:history="1">
        <w:r w:rsidRPr="00781560">
          <w:rPr>
            <w:rStyle w:val="Hyperlink"/>
          </w:rPr>
          <w:t>fpc@opc.gov.au</w:t>
        </w:r>
      </w:hyperlink>
      <w:r w:rsidRPr="00781560">
        <w:tab/>
        <w:t>(02) 6120 1405</w:t>
      </w:r>
    </w:p>
    <w:p w14:paraId="27E2FB41" w14:textId="1B5B9024" w:rsidR="00954400" w:rsidRPr="00781560" w:rsidRDefault="00954400" w:rsidP="00984DDF">
      <w:pPr>
        <w:tabs>
          <w:tab w:val="right" w:pos="8640"/>
        </w:tabs>
        <w:rPr>
          <w:rStyle w:val="Hyperlink"/>
        </w:rPr>
      </w:pPr>
      <w:r>
        <w:t>Drafting instructions for bills</w:t>
      </w:r>
      <w:r w:rsidR="00781560">
        <w:br/>
      </w:r>
      <w:hyperlink r:id="rId37" w:history="1">
        <w:r w:rsidRPr="00781560">
          <w:rPr>
            <w:rStyle w:val="Hyperlink"/>
          </w:rPr>
          <w:t>bill.instructions@opc.gov.au</w:t>
        </w:r>
      </w:hyperlink>
    </w:p>
    <w:p w14:paraId="74911556" w14:textId="26F7048D" w:rsidR="00954400" w:rsidRPr="00781560" w:rsidRDefault="00954400" w:rsidP="00984DDF">
      <w:pPr>
        <w:tabs>
          <w:tab w:val="right" w:pos="8640"/>
        </w:tabs>
        <w:rPr>
          <w:rStyle w:val="Hyperlink"/>
        </w:rPr>
      </w:pPr>
      <w:r w:rsidRPr="00D70690">
        <w:t>Drafting instructions for legislative instruments</w:t>
      </w:r>
      <w:r w:rsidR="00781560">
        <w:br/>
      </w:r>
      <w:hyperlink r:id="rId38" w:history="1">
        <w:r w:rsidRPr="00781560">
          <w:rPr>
            <w:rStyle w:val="Hyperlink"/>
          </w:rPr>
          <w:t>instrument.instructions@opc.gov.au</w:t>
        </w:r>
      </w:hyperlink>
    </w:p>
    <w:p w14:paraId="19D56D40" w14:textId="6E9EC363" w:rsidR="00954400" w:rsidRPr="00781560" w:rsidRDefault="00954400" w:rsidP="00984DDF">
      <w:pPr>
        <w:tabs>
          <w:tab w:val="right" w:pos="8640"/>
        </w:tabs>
      </w:pPr>
      <w:r>
        <w:t>Enquiries</w:t>
      </w:r>
      <w:r w:rsidR="00781560">
        <w:br/>
      </w:r>
      <w:hyperlink r:id="rId39" w:history="1">
        <w:r w:rsidRPr="00781560">
          <w:rPr>
            <w:rStyle w:val="Hyperlink"/>
          </w:rPr>
          <w:t>lodge@legislation.gov.au</w:t>
        </w:r>
      </w:hyperlink>
      <w:r w:rsidRPr="00781560">
        <w:tab/>
        <w:t>(02) 6120 1350</w:t>
      </w:r>
    </w:p>
    <w:p w14:paraId="6D40A1F0" w14:textId="77777777" w:rsidR="00954400" w:rsidRPr="00AE2714" w:rsidRDefault="00954400" w:rsidP="00727E70">
      <w:pPr>
        <w:pStyle w:val="DeptHeading"/>
      </w:pPr>
      <w:r>
        <w:t>Parliament House</w:t>
      </w:r>
      <w:r w:rsidRPr="00727E70">
        <w:rPr>
          <w:b w:val="0"/>
        </w:rPr>
        <w:t xml:space="preserve"> (switchboard: (02) 6277 7111)</w:t>
      </w:r>
    </w:p>
    <w:p w14:paraId="63915CC9" w14:textId="77777777" w:rsidR="00954400" w:rsidRPr="00AE2714" w:rsidRDefault="00954400" w:rsidP="00781560">
      <w:pPr>
        <w:pStyle w:val="Heading3"/>
      </w:pPr>
      <w:r w:rsidRPr="00AE2714">
        <w:t>HOUSE OF REPRESENTATIVES</w:t>
      </w:r>
    </w:p>
    <w:p w14:paraId="7FEE77D4" w14:textId="6DE16A00" w:rsidR="00954400" w:rsidRPr="00781560" w:rsidRDefault="00954400" w:rsidP="00984DDF">
      <w:pPr>
        <w:tabs>
          <w:tab w:val="right" w:pos="8640"/>
        </w:tabs>
      </w:pPr>
      <w:r w:rsidRPr="00647D4A">
        <w:t>Director, Programming</w:t>
      </w:r>
      <w:r w:rsidR="00781560">
        <w:br/>
      </w:r>
      <w:hyperlink r:id="rId40" w:history="1">
        <w:r w:rsidRPr="00781560">
          <w:rPr>
            <w:rStyle w:val="Hyperlink"/>
          </w:rPr>
          <w:t>Dir.Programming.Reps@aph.gov.au</w:t>
        </w:r>
      </w:hyperlink>
      <w:r w:rsidRPr="00781560">
        <w:tab/>
        <w:t>(02) 6277 4801</w:t>
      </w:r>
    </w:p>
    <w:p w14:paraId="7A77F1AE" w14:textId="77777777" w:rsidR="00954400" w:rsidRPr="00AE2714" w:rsidRDefault="00954400" w:rsidP="00984DDF">
      <w:pPr>
        <w:tabs>
          <w:tab w:val="right" w:pos="8640"/>
        </w:tabs>
      </w:pPr>
      <w:r w:rsidRPr="00AE2714">
        <w:t>Director, Legislation and Records</w:t>
      </w:r>
      <w:r w:rsidRPr="00AE2714">
        <w:tab/>
        <w:t>(02) 6277 4788</w:t>
      </w:r>
    </w:p>
    <w:p w14:paraId="46A4B200" w14:textId="1FECE607" w:rsidR="00954400" w:rsidRPr="00781560" w:rsidRDefault="00954400" w:rsidP="00984DDF">
      <w:pPr>
        <w:tabs>
          <w:tab w:val="right" w:pos="8640"/>
        </w:tabs>
      </w:pPr>
      <w:r w:rsidRPr="00AE2714">
        <w:t>Bills Manager</w:t>
      </w:r>
      <w:r w:rsidR="00781560">
        <w:br/>
      </w:r>
      <w:hyperlink r:id="rId41" w:history="1">
        <w:r w:rsidRPr="00781560">
          <w:rPr>
            <w:rStyle w:val="Hyperlink"/>
          </w:rPr>
          <w:t>Bills.Manager.Reps@aph.gov.au</w:t>
        </w:r>
      </w:hyperlink>
      <w:r w:rsidRPr="00781560">
        <w:tab/>
        <w:t>(02) 6277 4802</w:t>
      </w:r>
    </w:p>
    <w:p w14:paraId="374D7F1F" w14:textId="77777777" w:rsidR="00954400" w:rsidRPr="00AE2714" w:rsidRDefault="00954400" w:rsidP="00984DDF">
      <w:pPr>
        <w:pStyle w:val="Heading3"/>
        <w:tabs>
          <w:tab w:val="right" w:pos="8640"/>
        </w:tabs>
      </w:pPr>
      <w:r w:rsidRPr="00AE2714">
        <w:t>SENATE</w:t>
      </w:r>
    </w:p>
    <w:p w14:paraId="331288ED" w14:textId="77777777" w:rsidR="00954400" w:rsidRPr="00AE2714" w:rsidRDefault="00954400" w:rsidP="00984DDF">
      <w:pPr>
        <w:tabs>
          <w:tab w:val="right" w:pos="8640"/>
        </w:tabs>
      </w:pPr>
      <w:r w:rsidRPr="00AE2714">
        <w:t>Director, Legislation and Documents</w:t>
      </w:r>
      <w:r w:rsidRPr="00AE2714">
        <w:tab/>
        <w:t>(02) 6277 3455</w:t>
      </w:r>
    </w:p>
    <w:p w14:paraId="681E0A06" w14:textId="0CBC4C13" w:rsidR="00954400" w:rsidRPr="00AE2714" w:rsidRDefault="00954400" w:rsidP="00984DDF">
      <w:pPr>
        <w:tabs>
          <w:tab w:val="right" w:pos="8640"/>
        </w:tabs>
      </w:pPr>
      <w:r w:rsidRPr="00AE2714">
        <w:t>Legislation Officer</w:t>
      </w:r>
      <w:r w:rsidR="00781560">
        <w:br/>
      </w:r>
      <w:hyperlink r:id="rId42" w:history="1">
        <w:r w:rsidRPr="00781560">
          <w:rPr>
            <w:rStyle w:val="Hyperlink"/>
          </w:rPr>
          <w:t>table.legislation.sen@aph.gov.au</w:t>
        </w:r>
      </w:hyperlink>
      <w:r w:rsidRPr="00AE2714">
        <w:t xml:space="preserve"> </w:t>
      </w:r>
      <w:r w:rsidRPr="00AE2714">
        <w:tab/>
        <w:t>(02) 6277 3033</w:t>
      </w:r>
    </w:p>
    <w:p w14:paraId="637371FA" w14:textId="77777777" w:rsidR="00954400" w:rsidRPr="00AE2714" w:rsidRDefault="00954400" w:rsidP="00984DDF">
      <w:pPr>
        <w:pStyle w:val="Heading3"/>
        <w:tabs>
          <w:tab w:val="right" w:pos="8640"/>
        </w:tabs>
      </w:pPr>
      <w:r>
        <w:t>COMMITTEES</w:t>
      </w:r>
    </w:p>
    <w:p w14:paraId="161B4E84" w14:textId="2DF19146" w:rsidR="00954400" w:rsidRPr="00AE2714" w:rsidRDefault="00954400" w:rsidP="00984DDF">
      <w:pPr>
        <w:tabs>
          <w:tab w:val="right" w:pos="8640"/>
        </w:tabs>
      </w:pPr>
      <w:r w:rsidRPr="00F10880">
        <w:t>Senate Standing Committee for the Scrutiny of Bills</w:t>
      </w:r>
      <w:r w:rsidR="00781560">
        <w:br/>
      </w:r>
      <w:r>
        <w:t>(Committee Secretary)</w:t>
      </w:r>
      <w:r w:rsidR="00781560">
        <w:br/>
      </w:r>
      <w:hyperlink r:id="rId43" w:history="1">
        <w:r w:rsidRPr="00781560">
          <w:rPr>
            <w:rStyle w:val="Hyperlink"/>
          </w:rPr>
          <w:t>scrutiny.sen@aph.gov.au</w:t>
        </w:r>
      </w:hyperlink>
      <w:r w:rsidRPr="00F10880">
        <w:tab/>
      </w:r>
      <w:r>
        <w:t>(02) 6277 3050</w:t>
      </w:r>
    </w:p>
    <w:p w14:paraId="7CEA895F" w14:textId="02E0407E" w:rsidR="00954400" w:rsidRPr="00F10880" w:rsidRDefault="00954400" w:rsidP="00984DDF">
      <w:pPr>
        <w:tabs>
          <w:tab w:val="right" w:pos="8640"/>
        </w:tabs>
      </w:pPr>
      <w:r w:rsidRPr="00F10880">
        <w:t>Senate Standing Committee on Regulations and Ordinances</w:t>
      </w:r>
      <w:r w:rsidR="00781560">
        <w:br/>
      </w:r>
      <w:r w:rsidRPr="00F10880">
        <w:t>(Committee Secretary)</w:t>
      </w:r>
      <w:r w:rsidR="00781560">
        <w:br/>
      </w:r>
      <w:hyperlink r:id="rId44" w:history="1">
        <w:r w:rsidRPr="00781560">
          <w:rPr>
            <w:rStyle w:val="Hyperlink"/>
          </w:rPr>
          <w:t>RegOrds.sen@aph.gov.au</w:t>
        </w:r>
      </w:hyperlink>
      <w:r w:rsidRPr="00F10880">
        <w:tab/>
      </w:r>
      <w:r>
        <w:t xml:space="preserve">(02) </w:t>
      </w:r>
      <w:r w:rsidRPr="00F10880">
        <w:t>6277 3066</w:t>
      </w:r>
    </w:p>
    <w:p w14:paraId="72988BB5" w14:textId="37982312" w:rsidR="00954400" w:rsidRPr="00AE2714" w:rsidRDefault="00954400" w:rsidP="00984DDF">
      <w:pPr>
        <w:tabs>
          <w:tab w:val="right" w:pos="8640"/>
        </w:tabs>
      </w:pPr>
      <w:r w:rsidRPr="00F10880">
        <w:t>Parliamentary Joint Committee on Human Rights</w:t>
      </w:r>
      <w:r w:rsidR="00781560">
        <w:br/>
      </w:r>
      <w:r w:rsidRPr="00F10880">
        <w:t>(Committee Secretary)</w:t>
      </w:r>
      <w:r w:rsidR="00781560">
        <w:br/>
      </w:r>
      <w:hyperlink r:id="rId45" w:history="1">
        <w:r w:rsidRPr="00781560">
          <w:rPr>
            <w:rStyle w:val="Hyperlink"/>
          </w:rPr>
          <w:t>human.rights@aph.gov.au</w:t>
        </w:r>
      </w:hyperlink>
      <w:r w:rsidRPr="00781560">
        <w:rPr>
          <w:rStyle w:val="Hyperlink"/>
        </w:rPr>
        <w:t xml:space="preserve"> </w:t>
      </w:r>
      <w:r w:rsidRPr="00F10880">
        <w:tab/>
      </w:r>
      <w:r>
        <w:t>(02) 6277 3823</w:t>
      </w:r>
    </w:p>
    <w:p w14:paraId="2F786868" w14:textId="19088675" w:rsidR="003550C6" w:rsidRDefault="0078159C" w:rsidP="00781560">
      <w:pPr>
        <w:keepLines/>
      </w:pPr>
      <w:r>
        <w:lastRenderedPageBreak/>
        <w:t xml:space="preserve">OPC’s </w:t>
      </w:r>
      <w:hyperlink r:id="rId46" w:history="1">
        <w:r w:rsidRPr="00781560">
          <w:rPr>
            <w:rStyle w:val="Hyperlink"/>
            <w:i/>
          </w:rPr>
          <w:t>Drafting Direction No. 4.2</w:t>
        </w:r>
        <w:r w:rsidR="00394236" w:rsidRPr="00781560">
          <w:rPr>
            <w:rStyle w:val="Hyperlink"/>
            <w:i/>
          </w:rPr>
          <w:t>:</w:t>
        </w:r>
        <w:r w:rsidRPr="00781560">
          <w:rPr>
            <w:rStyle w:val="Hyperlink"/>
            <w:i/>
          </w:rPr>
          <w:t xml:space="preserve"> Referral of drafts to agencies</w:t>
        </w:r>
      </w:hyperlink>
      <w:r>
        <w:t xml:space="preserve"> </w:t>
      </w:r>
      <w:r w:rsidR="00AA092C">
        <w:t xml:space="preserve">(see Attachments A and B to that direction) </w:t>
      </w:r>
      <w:r>
        <w:t xml:space="preserve">provides </w:t>
      </w:r>
      <w:r w:rsidR="00AA092C">
        <w:t xml:space="preserve">a </w:t>
      </w:r>
      <w:r w:rsidR="003429DD">
        <w:t xml:space="preserve">comprehensive </w:t>
      </w:r>
      <w:r w:rsidR="00AA092C">
        <w:t>list of</w:t>
      </w:r>
      <w:r>
        <w:t xml:space="preserve"> agencies </w:t>
      </w:r>
      <w:r w:rsidR="002524A2">
        <w:t>to</w:t>
      </w:r>
      <w:r>
        <w:t xml:space="preserve"> be consulted on legislative proposals that are directly relevant to their responsibilities. These </w:t>
      </w:r>
      <w:r w:rsidR="002524A2">
        <w:t xml:space="preserve">agencies </w:t>
      </w:r>
      <w:r w:rsidR="00AA092C">
        <w:t>must be</w:t>
      </w:r>
      <w:r>
        <w:t xml:space="preserve"> contacted as early as possible in the policy development process. Contact details for the most frequently con</w:t>
      </w:r>
      <w:r w:rsidR="003429DD">
        <w:t>sulted</w:t>
      </w:r>
      <w:r>
        <w:t xml:space="preserve"> agencies are provided below.</w:t>
      </w:r>
    </w:p>
    <w:p w14:paraId="79E205B1" w14:textId="77777777" w:rsidR="00954400" w:rsidRPr="00AE2714" w:rsidRDefault="00954400" w:rsidP="00727E70">
      <w:pPr>
        <w:pStyle w:val="DeptHeading"/>
      </w:pPr>
      <w:r w:rsidRPr="00727E70">
        <w:t>Attorney-General’s Department</w:t>
      </w:r>
      <w:r w:rsidRPr="00727E70">
        <w:rPr>
          <w:b w:val="0"/>
        </w:rPr>
        <w:t xml:space="preserve"> (switchboard: (02) 6141 6666)</w:t>
      </w:r>
    </w:p>
    <w:p w14:paraId="1FC0960C" w14:textId="2BA99CB7" w:rsidR="00954400" w:rsidRPr="00AE2714" w:rsidRDefault="00954400" w:rsidP="00984DDF">
      <w:pPr>
        <w:tabs>
          <w:tab w:val="right" w:pos="8640"/>
        </w:tabs>
      </w:pPr>
      <w:r w:rsidRPr="003307E5">
        <w:t>Jurisdiction of courts and tribunals</w:t>
      </w:r>
      <w:r w:rsidR="00984DDF">
        <w:br/>
      </w:r>
      <w:r>
        <w:t>Evidence law (including privileges and evidentiary certificates)</w:t>
      </w:r>
      <w:r w:rsidRPr="00AE2714">
        <w:tab/>
      </w:r>
      <w:hyperlink r:id="rId47" w:history="1">
        <w:r w:rsidRPr="00984DDF">
          <w:rPr>
            <w:rStyle w:val="Hyperlink"/>
          </w:rPr>
          <w:t>ctjpb.scrutiny@ag.gov.au</w:t>
        </w:r>
      </w:hyperlink>
    </w:p>
    <w:p w14:paraId="3A490361" w14:textId="553349F8" w:rsidR="00954400" w:rsidRPr="00AE2714" w:rsidRDefault="00954400" w:rsidP="00984DDF">
      <w:pPr>
        <w:tabs>
          <w:tab w:val="right" w:pos="8640"/>
        </w:tabs>
      </w:pPr>
      <w:r w:rsidRPr="00852D88">
        <w:t>Alternative dispute resolution</w:t>
      </w:r>
      <w:r w:rsidRPr="00852D88">
        <w:tab/>
      </w:r>
      <w:hyperlink r:id="rId48" w:history="1">
        <w:r w:rsidRPr="00984DDF">
          <w:rPr>
            <w:rStyle w:val="Hyperlink"/>
          </w:rPr>
          <w:t>adr@ag.gov.au</w:t>
        </w:r>
      </w:hyperlink>
    </w:p>
    <w:p w14:paraId="1E1382D9" w14:textId="51B2D8C8" w:rsidR="00954400" w:rsidRPr="00AE2714" w:rsidRDefault="00954400" w:rsidP="00984DDF">
      <w:pPr>
        <w:tabs>
          <w:tab w:val="right" w:pos="8640"/>
        </w:tabs>
      </w:pPr>
      <w:r>
        <w:t>Legal financial assistance (legal representation and disbursement costs)</w:t>
      </w:r>
      <w:r w:rsidRPr="00445D38">
        <w:tab/>
      </w:r>
      <w:hyperlink r:id="rId49" w:history="1">
        <w:r w:rsidRPr="00984DDF">
          <w:rPr>
            <w:rStyle w:val="Hyperlink"/>
          </w:rPr>
          <w:t>finass@ag.gov.au</w:t>
        </w:r>
      </w:hyperlink>
    </w:p>
    <w:p w14:paraId="335A8FC9" w14:textId="55F7B6A9" w:rsidR="00954400" w:rsidRPr="00AE2714" w:rsidRDefault="00954400" w:rsidP="00984DDF">
      <w:pPr>
        <w:tabs>
          <w:tab w:val="right" w:pos="8640"/>
        </w:tabs>
      </w:pPr>
      <w:r>
        <w:t>Administrative discretion and r</w:t>
      </w:r>
      <w:r w:rsidRPr="003307E5">
        <w:t>eview of administrative decisions</w:t>
      </w:r>
      <w:r w:rsidR="00984DDF">
        <w:br/>
      </w:r>
      <w:r>
        <w:t>Legislative instruments (including e</w:t>
      </w:r>
      <w:r w:rsidRPr="003307E5">
        <w:t>xemptions from the L</w:t>
      </w:r>
      <w:r>
        <w:t xml:space="preserve">egislation </w:t>
      </w:r>
      <w:r w:rsidRPr="003307E5">
        <w:t>A</w:t>
      </w:r>
      <w:r>
        <w:t>ct)</w:t>
      </w:r>
      <w:r w:rsidRPr="00AE2714">
        <w:tab/>
      </w:r>
      <w:hyperlink r:id="rId50" w:history="1">
        <w:r w:rsidRPr="00984DDF">
          <w:rPr>
            <w:rStyle w:val="Hyperlink"/>
          </w:rPr>
          <w:t>ajdalb@ag.gov.au</w:t>
        </w:r>
      </w:hyperlink>
    </w:p>
    <w:p w14:paraId="344AE5B7" w14:textId="3434C05D" w:rsidR="00954400" w:rsidRDefault="00954400" w:rsidP="00984DDF">
      <w:pPr>
        <w:tabs>
          <w:tab w:val="right" w:pos="8640"/>
        </w:tabs>
      </w:pPr>
      <w:r>
        <w:t>Native title rights and interests (including creation or removal of</w:t>
      </w:r>
      <w:r w:rsidR="00984DDF">
        <w:br/>
      </w:r>
      <w:r>
        <w:t>interests in land, or regulatory schemes around the use, preservation</w:t>
      </w:r>
      <w:r w:rsidR="00984DDF">
        <w:br/>
      </w:r>
      <w:r>
        <w:t>or extraction of resources, flora or fauna)</w:t>
      </w:r>
      <w:r>
        <w:tab/>
      </w:r>
      <w:hyperlink r:id="rId51" w:history="1">
        <w:r w:rsidRPr="00984DDF">
          <w:rPr>
            <w:rStyle w:val="Hyperlink"/>
          </w:rPr>
          <w:t>native.title@ag.gov.au</w:t>
        </w:r>
      </w:hyperlink>
    </w:p>
    <w:p w14:paraId="385B7333" w14:textId="74D3D782" w:rsidR="00954400" w:rsidRDefault="00954400" w:rsidP="00984DDF">
      <w:pPr>
        <w:tabs>
          <w:tab w:val="right" w:pos="8640"/>
        </w:tabs>
      </w:pPr>
      <w:r w:rsidRPr="00984DDF">
        <w:t>Privacy</w:t>
      </w:r>
      <w:r w:rsidRPr="00984DDF">
        <w:tab/>
      </w:r>
      <w:hyperlink r:id="rId52" w:history="1">
        <w:r w:rsidRPr="00984DDF">
          <w:rPr>
            <w:rStyle w:val="Hyperlink"/>
          </w:rPr>
          <w:t>privacy.draftlegislation@ag.gov.au</w:t>
        </w:r>
      </w:hyperlink>
    </w:p>
    <w:p w14:paraId="275F3D93" w14:textId="77777777" w:rsidR="00954400" w:rsidRDefault="00954400" w:rsidP="00984DDF">
      <w:pPr>
        <w:tabs>
          <w:tab w:val="right" w:pos="8640"/>
        </w:tabs>
      </w:pPr>
      <w:r>
        <w:t>Freedom of information</w:t>
      </w:r>
      <w:r>
        <w:tab/>
      </w:r>
      <w:hyperlink r:id="rId53" w:history="1">
        <w:r w:rsidRPr="00984DDF">
          <w:rPr>
            <w:rStyle w:val="Hyperlink"/>
          </w:rPr>
          <w:t>foi.draftlegislation@ag.gov.au</w:t>
        </w:r>
      </w:hyperlink>
    </w:p>
    <w:p w14:paraId="605F650C" w14:textId="46031B7C" w:rsidR="00954400" w:rsidRPr="00AE2714" w:rsidRDefault="00954400" w:rsidP="00984DDF">
      <w:pPr>
        <w:tabs>
          <w:tab w:val="right" w:pos="8640"/>
        </w:tabs>
      </w:pPr>
      <w:r>
        <w:t>Criminal law (including offence provisions and penalties)</w:t>
      </w:r>
      <w:r w:rsidR="00984DDF">
        <w:br/>
      </w:r>
      <w:r>
        <w:t>Issues relating to evidence or procedure in criminal matters,</w:t>
      </w:r>
      <w:r w:rsidR="00984DDF">
        <w:br/>
      </w:r>
      <w:r>
        <w:t>including a reversed burden of proof and evidentiary certificate</w:t>
      </w:r>
      <w:r w:rsidRPr="00AE2714">
        <w:tab/>
      </w:r>
      <w:hyperlink r:id="rId54" w:history="1">
        <w:r w:rsidRPr="00984DDF">
          <w:rPr>
            <w:rStyle w:val="Hyperlink"/>
          </w:rPr>
          <w:t>crjd.draftbills@ag.gov.au</w:t>
        </w:r>
      </w:hyperlink>
    </w:p>
    <w:p w14:paraId="46B47159" w14:textId="77777777" w:rsidR="00954400" w:rsidRPr="00AE2714" w:rsidRDefault="00954400" w:rsidP="00984DDF">
      <w:pPr>
        <w:tabs>
          <w:tab w:val="right" w:pos="8640"/>
        </w:tabs>
      </w:pPr>
      <w:r w:rsidRPr="003307E5">
        <w:t>International obligations under human rights instruments</w:t>
      </w:r>
      <w:r w:rsidRPr="0096530F">
        <w:tab/>
      </w:r>
      <w:hyperlink r:id="rId55" w:history="1">
        <w:r w:rsidRPr="00984DDF">
          <w:rPr>
            <w:rStyle w:val="Hyperlink"/>
          </w:rPr>
          <w:t>humanrights@ag.gov.au</w:t>
        </w:r>
      </w:hyperlink>
    </w:p>
    <w:p w14:paraId="136D4411" w14:textId="77777777" w:rsidR="00954400" w:rsidRPr="00145010" w:rsidRDefault="00954400" w:rsidP="00984DDF">
      <w:pPr>
        <w:tabs>
          <w:tab w:val="right" w:pos="8640"/>
        </w:tabs>
        <w:rPr>
          <w:rStyle w:val="Hyperlink"/>
          <w:rFonts w:ascii="Arial" w:hAnsi="Arial" w:cs="Arial"/>
          <w:sz w:val="22"/>
          <w:szCs w:val="22"/>
        </w:rPr>
      </w:pPr>
      <w:r w:rsidRPr="003307E5">
        <w:t>International law</w:t>
      </w:r>
      <w:r w:rsidRPr="003307E5">
        <w:tab/>
      </w:r>
      <w:r w:rsidRPr="00984DDF">
        <w:rPr>
          <w:rStyle w:val="Hyperlink"/>
        </w:rPr>
        <w:t>ILHRD@ag.gov.au</w:t>
      </w:r>
    </w:p>
    <w:p w14:paraId="61D906C2" w14:textId="25DB59CB" w:rsidR="00954400" w:rsidRPr="00AE2714" w:rsidRDefault="00954400" w:rsidP="00984DDF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984DDF">
        <w:t>Secrecy provisions</w:t>
      </w:r>
      <w:r w:rsidRPr="00984DDF">
        <w:tab/>
      </w:r>
      <w:hyperlink r:id="rId56" w:history="1">
        <w:r w:rsidRPr="00984DDF">
          <w:rPr>
            <w:rStyle w:val="Hyperlink"/>
          </w:rPr>
          <w:t>SLBDraftbills@ag.gov.au</w:t>
        </w:r>
      </w:hyperlink>
    </w:p>
    <w:p w14:paraId="2D6D5992" w14:textId="4317CF56" w:rsidR="00954400" w:rsidRPr="00AE2714" w:rsidRDefault="00954400" w:rsidP="00984DDF">
      <w:pPr>
        <w:tabs>
          <w:tab w:val="right" w:pos="8640"/>
        </w:tabs>
      </w:pPr>
      <w:r w:rsidRPr="003307E5">
        <w:t>Constitutional risks</w:t>
      </w:r>
      <w:r w:rsidR="00984DDF">
        <w:br/>
      </w:r>
      <w:r w:rsidRPr="003307E5">
        <w:t>Constitutional basis of cooperative schemes</w:t>
      </w:r>
      <w:r w:rsidR="00984DDF">
        <w:br/>
      </w:r>
      <w:r>
        <w:t>Delaying Royal Assent in</w:t>
      </w:r>
      <w:r w:rsidRPr="003307E5">
        <w:t xml:space="preserve"> exceptional circumstances</w:t>
      </w:r>
      <w:r w:rsidRPr="00AE2714">
        <w:tab/>
      </w:r>
      <w:hyperlink r:id="rId57" w:history="1">
        <w:r w:rsidRPr="00984DDF">
          <w:rPr>
            <w:rStyle w:val="Hyperlink"/>
          </w:rPr>
          <w:t>OCL@ag.gov.au</w:t>
        </w:r>
      </w:hyperlink>
    </w:p>
    <w:p w14:paraId="5711F221" w14:textId="77777777" w:rsidR="00954400" w:rsidRPr="00AE2714" w:rsidRDefault="00954400" w:rsidP="00984DDF">
      <w:pPr>
        <w:pStyle w:val="Heading3"/>
      </w:pPr>
      <w:r w:rsidRPr="00AE2714">
        <w:t>AUSTRALIAN GOVERNMENT SOLICITOR</w:t>
      </w:r>
    </w:p>
    <w:p w14:paraId="4368EAF1" w14:textId="591E2559" w:rsidR="00954400" w:rsidRPr="00984DDF" w:rsidRDefault="00954400" w:rsidP="00984DDF">
      <w:pPr>
        <w:tabs>
          <w:tab w:val="right" w:pos="8640"/>
        </w:tabs>
        <w:rPr>
          <w:rStyle w:val="Hyperlink"/>
        </w:rPr>
      </w:pPr>
      <w:r w:rsidRPr="003307E5">
        <w:t>Policy proposals involving legislation</w:t>
      </w:r>
      <w:r w:rsidRPr="00445D38">
        <w:tab/>
      </w:r>
      <w:r>
        <w:t>(02) 6253 7000</w:t>
      </w:r>
      <w:r w:rsidR="00984DDF">
        <w:br/>
      </w:r>
      <w:r w:rsidR="00984DDF">
        <w:tab/>
      </w:r>
      <w:hyperlink r:id="rId58" w:history="1">
        <w:r w:rsidRPr="00984DDF">
          <w:rPr>
            <w:rStyle w:val="Hyperlink"/>
          </w:rPr>
          <w:t>ags@ags.gov.au</w:t>
        </w:r>
      </w:hyperlink>
    </w:p>
    <w:p w14:paraId="54A2DC0B" w14:textId="77777777" w:rsidR="00954400" w:rsidRPr="00727E70" w:rsidRDefault="00954400" w:rsidP="00727E70">
      <w:pPr>
        <w:pStyle w:val="DeptHeading"/>
      </w:pPr>
      <w:r w:rsidRPr="00727E70">
        <w:t xml:space="preserve">Department of the Environment </w:t>
      </w:r>
      <w:r w:rsidRPr="00727E70">
        <w:rPr>
          <w:b w:val="0"/>
        </w:rPr>
        <w:t>(switchboard: (02) 6274 1111)</w:t>
      </w:r>
    </w:p>
    <w:p w14:paraId="6E083AB5" w14:textId="799454EF" w:rsidR="00954400" w:rsidRPr="002231FC" w:rsidRDefault="00954400" w:rsidP="00984DDF">
      <w:pPr>
        <w:tabs>
          <w:tab w:val="right" w:pos="8640"/>
        </w:tabs>
      </w:pPr>
      <w:r w:rsidRPr="00B954E1">
        <w:t>Operation of Commonwealth Acts in external territories (Antarctic territories)</w:t>
      </w:r>
      <w:r w:rsidR="00984DDF">
        <w:br/>
      </w:r>
      <w:r w:rsidRPr="002231FC">
        <w:t>Australian Antarctic Division</w:t>
      </w:r>
      <w:r w:rsidRPr="002231FC">
        <w:tab/>
        <w:t>(03) 6232 3209</w:t>
      </w:r>
    </w:p>
    <w:p w14:paraId="4CC13255" w14:textId="77777777" w:rsidR="00954400" w:rsidRPr="00235E60" w:rsidRDefault="00954400" w:rsidP="00727E70">
      <w:pPr>
        <w:pStyle w:val="DeptHeading"/>
      </w:pPr>
      <w:r w:rsidRPr="00235E60">
        <w:lastRenderedPageBreak/>
        <w:t>Department of Finance</w:t>
      </w:r>
      <w:r w:rsidRPr="00727E70">
        <w:rPr>
          <w:b w:val="0"/>
        </w:rPr>
        <w:t xml:space="preserve"> (switchboard: (02) 6215 2222)</w:t>
      </w:r>
    </w:p>
    <w:p w14:paraId="294203B5" w14:textId="0A5C51FC" w:rsidR="00954400" w:rsidRPr="008E5555" w:rsidRDefault="00954400" w:rsidP="008E5555">
      <w:pPr>
        <w:keepLines/>
        <w:tabs>
          <w:tab w:val="right" w:pos="8640"/>
        </w:tabs>
        <w:rPr>
          <w:rStyle w:val="Hyperlink"/>
        </w:rPr>
      </w:pPr>
      <w:r w:rsidRPr="00235E60">
        <w:t>Creation of statutory authorities or Commonwealth-owned companies</w:t>
      </w:r>
      <w:r w:rsidR="008E5555">
        <w:br/>
      </w:r>
      <w:r w:rsidRPr="00235E60">
        <w:t>Governance of statutory authorities and other portfolio bodies</w:t>
      </w:r>
      <w:r w:rsidR="008E5555">
        <w:br/>
      </w:r>
      <w:r w:rsidRPr="00235E60">
        <w:t>Financial provisions</w:t>
      </w:r>
      <w:r w:rsidR="008E5555">
        <w:br/>
      </w:r>
      <w:r w:rsidRPr="00235E60">
        <w:t>Legislation Review Branch</w:t>
      </w:r>
      <w:r w:rsidRPr="00235E60">
        <w:tab/>
      </w:r>
      <w:hyperlink r:id="rId59" w:history="1">
        <w:r w:rsidRPr="008E5555">
          <w:rPr>
            <w:rStyle w:val="Hyperlink"/>
          </w:rPr>
          <w:t>LRB@finance.gov.au</w:t>
        </w:r>
      </w:hyperlink>
      <w:r w:rsidR="008E5555">
        <w:br/>
      </w:r>
      <w:r w:rsidR="008E5555">
        <w:tab/>
      </w:r>
      <w:hyperlink r:id="rId60" w:history="1">
        <w:r w:rsidRPr="008E5555">
          <w:rPr>
            <w:rStyle w:val="Hyperlink"/>
          </w:rPr>
          <w:t>LegislativeReview@finance.gov.au</w:t>
        </w:r>
      </w:hyperlink>
      <w:r w:rsidR="008E5555">
        <w:rPr>
          <w:rStyle w:val="Hyperlink"/>
        </w:rPr>
        <w:br/>
      </w:r>
      <w:r w:rsidR="008E5555" w:rsidRPr="008E5555">
        <w:rPr>
          <w:rStyle w:val="Hyperlink"/>
          <w:u w:val="none"/>
        </w:rPr>
        <w:tab/>
      </w:r>
      <w:hyperlink r:id="rId61" w:history="1">
        <w:r w:rsidRPr="008E5555">
          <w:rPr>
            <w:rStyle w:val="Hyperlink"/>
          </w:rPr>
          <w:t>Governance@finance.gov.au</w:t>
        </w:r>
      </w:hyperlink>
    </w:p>
    <w:p w14:paraId="6494FC36" w14:textId="77777777" w:rsidR="00954400" w:rsidRPr="00727E70" w:rsidRDefault="00954400" w:rsidP="00727E70">
      <w:pPr>
        <w:pStyle w:val="DeptHeading"/>
      </w:pPr>
      <w:r w:rsidRPr="00727E70">
        <w:t>Department of Foreign Affairs and Trade</w:t>
      </w:r>
      <w:r w:rsidRPr="00727E70">
        <w:rPr>
          <w:b w:val="0"/>
        </w:rPr>
        <w:t xml:space="preserve"> (switchboard: (02) 6261 1111)</w:t>
      </w:r>
    </w:p>
    <w:p w14:paraId="0AB649F6" w14:textId="19E137ED" w:rsidR="00954400" w:rsidRPr="000F3223" w:rsidRDefault="00954400" w:rsidP="008E5555">
      <w:r w:rsidRPr="000F3223">
        <w:t>International conventions and treaties</w:t>
      </w:r>
      <w:r w:rsidR="008E5555">
        <w:br/>
      </w:r>
      <w:r>
        <w:t xml:space="preserve">Director, </w:t>
      </w:r>
      <w:r w:rsidRPr="000F3223">
        <w:t>Treaties Secretariat</w:t>
      </w:r>
      <w:r w:rsidRPr="000F3223">
        <w:tab/>
      </w:r>
      <w:r>
        <w:t>(02) 6261 3072</w:t>
      </w:r>
    </w:p>
    <w:p w14:paraId="0E40176B" w14:textId="30FF0583" w:rsidR="00954400" w:rsidRPr="00727E70" w:rsidRDefault="00954400" w:rsidP="00727E70">
      <w:pPr>
        <w:pStyle w:val="DeptHeading"/>
      </w:pPr>
      <w:r w:rsidRPr="00727E70">
        <w:t>Department of Infrastructure and Regional Development</w:t>
      </w:r>
      <w:r w:rsidRPr="00727E70">
        <w:rPr>
          <w:b w:val="0"/>
        </w:rPr>
        <w:t xml:space="preserve"> (switchboard: (02)</w:t>
      </w:r>
      <w:r w:rsidR="00727E70" w:rsidRPr="00727E70">
        <w:rPr>
          <w:b w:val="0"/>
        </w:rPr>
        <w:t> </w:t>
      </w:r>
      <w:r w:rsidRPr="00727E70">
        <w:rPr>
          <w:b w:val="0"/>
        </w:rPr>
        <w:t>6274</w:t>
      </w:r>
      <w:r w:rsidR="00727E70" w:rsidRPr="00727E70">
        <w:rPr>
          <w:b w:val="0"/>
        </w:rPr>
        <w:t> </w:t>
      </w:r>
      <w:r w:rsidRPr="00727E70">
        <w:rPr>
          <w:b w:val="0"/>
        </w:rPr>
        <w:t>7111)</w:t>
      </w:r>
    </w:p>
    <w:p w14:paraId="14C8FD14" w14:textId="770A7B45" w:rsidR="00954400" w:rsidRPr="008E5555" w:rsidRDefault="00954400" w:rsidP="008E5555">
      <w:pPr>
        <w:tabs>
          <w:tab w:val="right" w:pos="8640"/>
        </w:tabs>
      </w:pPr>
      <w:r w:rsidRPr="009565B6">
        <w:t>Operation of Commonwealth Acts in external territories</w:t>
      </w:r>
      <w:r w:rsidR="008E5555">
        <w:br/>
      </w:r>
      <w:r>
        <w:t>Territories Division</w:t>
      </w:r>
      <w:r w:rsidRPr="00783475">
        <w:tab/>
        <w:t>(02) 6274 7988</w:t>
      </w:r>
      <w:r w:rsidR="008E5555">
        <w:br/>
      </w:r>
      <w:r w:rsidR="008E5555">
        <w:tab/>
      </w:r>
      <w:hyperlink r:id="rId62" w:history="1">
        <w:r w:rsidRPr="008E5555">
          <w:rPr>
            <w:rStyle w:val="Hyperlink"/>
          </w:rPr>
          <w:t>territories@regional.gov.au</w:t>
        </w:r>
      </w:hyperlink>
    </w:p>
    <w:p w14:paraId="7DA1B6C9" w14:textId="77777777" w:rsidR="00954400" w:rsidRPr="00647101" w:rsidRDefault="00954400" w:rsidP="00727E70">
      <w:pPr>
        <w:pStyle w:val="DeptHeading"/>
        <w:rPr>
          <w:b w:val="0"/>
        </w:rPr>
      </w:pPr>
      <w:r w:rsidRPr="005072B9">
        <w:t>Australian National Audit Office</w:t>
      </w:r>
    </w:p>
    <w:p w14:paraId="783BAF61" w14:textId="544DBE59" w:rsidR="00954400" w:rsidRPr="00AE2714" w:rsidRDefault="00954400" w:rsidP="008E5555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>
        <w:t>Accounting and audit arrangements</w:t>
      </w:r>
      <w:r w:rsidR="008E5555">
        <w:br/>
      </w:r>
      <w:r>
        <w:t>Enquiries—Professional Services Branch</w:t>
      </w:r>
      <w:r w:rsidRPr="00AE2714">
        <w:tab/>
      </w:r>
      <w:r>
        <w:t>(02) 6203 7300</w:t>
      </w:r>
      <w:r w:rsidR="008E5555">
        <w:br/>
      </w:r>
      <w:r w:rsidR="008E5555" w:rsidRPr="008E5555">
        <w:tab/>
      </w:r>
      <w:hyperlink r:id="rId63" w:history="1">
        <w:r w:rsidRPr="008E5555">
          <w:rPr>
            <w:rStyle w:val="Hyperlink"/>
          </w:rPr>
          <w:t>ag1@anao.gov.au</w:t>
        </w:r>
      </w:hyperlink>
    </w:p>
    <w:p w14:paraId="24C404EA" w14:textId="77777777" w:rsidR="00954400" w:rsidRPr="00727E70" w:rsidRDefault="00954400" w:rsidP="00727E70">
      <w:pPr>
        <w:pStyle w:val="DeptHeading"/>
      </w:pPr>
      <w:r w:rsidRPr="00727E70">
        <w:t>Australian Public Service Commission</w:t>
      </w:r>
    </w:p>
    <w:p w14:paraId="64091C07" w14:textId="7EFC913A" w:rsidR="00954400" w:rsidRPr="00AE2714" w:rsidRDefault="00954400" w:rsidP="008E5555">
      <w:pPr>
        <w:tabs>
          <w:tab w:val="right" w:pos="8640"/>
        </w:tabs>
        <w:rPr>
          <w:rFonts w:ascii="Arial" w:hAnsi="Arial" w:cs="Arial"/>
          <w:sz w:val="22"/>
          <w:szCs w:val="22"/>
        </w:rPr>
      </w:pPr>
      <w:r w:rsidRPr="00277237">
        <w:t>Pub</w:t>
      </w:r>
      <w:r>
        <w:t>lic sector terms and conditions</w:t>
      </w:r>
      <w:r w:rsidR="008E5555">
        <w:br/>
      </w:r>
      <w:r>
        <w:t>Enquiries</w:t>
      </w:r>
      <w:r w:rsidRPr="00AE2714">
        <w:tab/>
      </w:r>
      <w:r>
        <w:t>(02) 6202 3500</w:t>
      </w:r>
      <w:r w:rsidR="008E5555">
        <w:br/>
      </w:r>
      <w:r w:rsidR="008E5555">
        <w:tab/>
      </w:r>
      <w:hyperlink r:id="rId64" w:history="1">
        <w:r w:rsidRPr="008E5555">
          <w:rPr>
            <w:rStyle w:val="Hyperlink"/>
          </w:rPr>
          <w:t>legislation@apsc.gov.au</w:t>
        </w:r>
      </w:hyperlink>
    </w:p>
    <w:p w14:paraId="3449F62F" w14:textId="77777777" w:rsidR="009565B6" w:rsidRPr="00277237" w:rsidRDefault="009565B6" w:rsidP="008E5555"/>
    <w:sectPr w:rsidR="009565B6" w:rsidRPr="00277237" w:rsidSect="00267141">
      <w:footerReference w:type="even" r:id="rId65"/>
      <w:footerReference w:type="default" r:id="rId66"/>
      <w:pgSz w:w="11906" w:h="16838" w:code="9"/>
      <w:pgMar w:top="1526" w:right="1584" w:bottom="1526" w:left="1584" w:header="720" w:footer="57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01F52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1C717A" w14:textId="77777777" w:rsidR="00CD0224" w:rsidRDefault="00CD0224">
      <w:r>
        <w:separator/>
      </w:r>
    </w:p>
  </w:endnote>
  <w:endnote w:type="continuationSeparator" w:id="0">
    <w:p w14:paraId="38CBF0A0" w14:textId="77777777" w:rsidR="00CD0224" w:rsidRDefault="00CD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8D0BC" w14:textId="77777777" w:rsidR="00881D8E" w:rsidRDefault="00881D8E" w:rsidP="00881D8E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ED6713">
      <w:rPr>
        <w:rStyle w:val="PageNumber"/>
        <w:noProof/>
      </w:rPr>
      <w:t>4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35391" w14:textId="580F20F0" w:rsidR="00881D8E" w:rsidRDefault="00881D8E" w:rsidP="00881D8E">
    <w:pPr>
      <w:pStyle w:val="Footer"/>
      <w:jc w:val="right"/>
    </w:pPr>
    <w:r>
      <w:t xml:space="preserve">APPENDIX A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ED6713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0BFEF2" w14:textId="77777777" w:rsidR="00CD0224" w:rsidRDefault="00CD0224">
      <w:r>
        <w:separator/>
      </w:r>
    </w:p>
  </w:footnote>
  <w:footnote w:type="continuationSeparator" w:id="0">
    <w:p w14:paraId="56E6DB4E" w14:textId="77777777" w:rsidR="00CD0224" w:rsidRDefault="00CD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460B5"/>
    <w:multiLevelType w:val="hybridMultilevel"/>
    <w:tmpl w:val="EE9426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05425"/>
    <w:multiLevelType w:val="multilevel"/>
    <w:tmpl w:val="D9FE8140"/>
    <w:lvl w:ilvl="0">
      <w:start w:val="1"/>
      <w:numFmt w:val="upperLetter"/>
      <w:lvlText w:val="Appendix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5B80ED4"/>
    <w:multiLevelType w:val="hybridMultilevel"/>
    <w:tmpl w:val="84461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27BCD"/>
    <w:multiLevelType w:val="multilevel"/>
    <w:tmpl w:val="80DAA414"/>
    <w:lvl w:ilvl="0">
      <w:start w:val="3"/>
      <w:numFmt w:val="upperLetter"/>
      <w:lvlText w:val="Appendix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209418D5"/>
    <w:multiLevelType w:val="hybridMultilevel"/>
    <w:tmpl w:val="A28A07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F70609"/>
    <w:multiLevelType w:val="hybridMultilevel"/>
    <w:tmpl w:val="CA2EF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739AE"/>
    <w:multiLevelType w:val="hybridMultilevel"/>
    <w:tmpl w:val="C11C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3C2073"/>
    <w:multiLevelType w:val="hybridMultilevel"/>
    <w:tmpl w:val="154C45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C75419"/>
    <w:multiLevelType w:val="hybridMultilevel"/>
    <w:tmpl w:val="290AAB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42135"/>
    <w:multiLevelType w:val="hybridMultilevel"/>
    <w:tmpl w:val="E3EECD0E"/>
    <w:lvl w:ilvl="0" w:tplc="1DB8A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BC51D4"/>
    <w:multiLevelType w:val="multilevel"/>
    <w:tmpl w:val="B57A80DC"/>
    <w:lvl w:ilvl="0">
      <w:start w:val="1"/>
      <w:numFmt w:val="decimal"/>
      <w:lvlText w:val="Chapter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782C1503"/>
    <w:multiLevelType w:val="hybridMultilevel"/>
    <w:tmpl w:val="727EC5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2"/>
  </w:num>
  <w:num w:numId="12">
    <w:abstractNumId w:val="8"/>
  </w:num>
  <w:num w:numId="13">
    <w:abstractNumId w:val="10"/>
  </w:num>
  <w:num w:numId="14">
    <w:abstractNumId w:val="10"/>
  </w:num>
  <w:num w:numId="15">
    <w:abstractNumId w:val="7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HH editor">
    <w15:presenceInfo w15:providerId="None" w15:userId="WHH edi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D"/>
    <w:rsid w:val="0000066A"/>
    <w:rsid w:val="0001473D"/>
    <w:rsid w:val="00024FA6"/>
    <w:rsid w:val="00037FB5"/>
    <w:rsid w:val="00041E42"/>
    <w:rsid w:val="000462D0"/>
    <w:rsid w:val="00064A2A"/>
    <w:rsid w:val="00064B99"/>
    <w:rsid w:val="00065CFE"/>
    <w:rsid w:val="00070C53"/>
    <w:rsid w:val="000731F5"/>
    <w:rsid w:val="00082C6B"/>
    <w:rsid w:val="000940F1"/>
    <w:rsid w:val="000968FE"/>
    <w:rsid w:val="000A30CB"/>
    <w:rsid w:val="000A6AE8"/>
    <w:rsid w:val="000B1753"/>
    <w:rsid w:val="000B41A3"/>
    <w:rsid w:val="000C167A"/>
    <w:rsid w:val="000C7F1C"/>
    <w:rsid w:val="000E2E3E"/>
    <w:rsid w:val="000F15DA"/>
    <w:rsid w:val="000F3144"/>
    <w:rsid w:val="000F3223"/>
    <w:rsid w:val="000F671A"/>
    <w:rsid w:val="0010129C"/>
    <w:rsid w:val="00101728"/>
    <w:rsid w:val="00103DE9"/>
    <w:rsid w:val="00104AC7"/>
    <w:rsid w:val="001065EC"/>
    <w:rsid w:val="0011042C"/>
    <w:rsid w:val="00110DFC"/>
    <w:rsid w:val="00112C09"/>
    <w:rsid w:val="00113DDF"/>
    <w:rsid w:val="00122EE0"/>
    <w:rsid w:val="001374F9"/>
    <w:rsid w:val="00143451"/>
    <w:rsid w:val="00144AAA"/>
    <w:rsid w:val="00145010"/>
    <w:rsid w:val="001625EB"/>
    <w:rsid w:val="00162AAC"/>
    <w:rsid w:val="00163069"/>
    <w:rsid w:val="00163861"/>
    <w:rsid w:val="0016701C"/>
    <w:rsid w:val="00172E52"/>
    <w:rsid w:val="00176001"/>
    <w:rsid w:val="001767E0"/>
    <w:rsid w:val="00186810"/>
    <w:rsid w:val="001B1195"/>
    <w:rsid w:val="001B2BB8"/>
    <w:rsid w:val="001B53D2"/>
    <w:rsid w:val="001C4B20"/>
    <w:rsid w:val="001D0B60"/>
    <w:rsid w:val="001D2825"/>
    <w:rsid w:val="001E0271"/>
    <w:rsid w:val="001E5003"/>
    <w:rsid w:val="001E5399"/>
    <w:rsid w:val="001F618D"/>
    <w:rsid w:val="001F74E2"/>
    <w:rsid w:val="00206275"/>
    <w:rsid w:val="00212950"/>
    <w:rsid w:val="002231FC"/>
    <w:rsid w:val="00226606"/>
    <w:rsid w:val="00230C7D"/>
    <w:rsid w:val="00235E60"/>
    <w:rsid w:val="00244035"/>
    <w:rsid w:val="002450A2"/>
    <w:rsid w:val="002524A2"/>
    <w:rsid w:val="00261760"/>
    <w:rsid w:val="002638B2"/>
    <w:rsid w:val="00265FF5"/>
    <w:rsid w:val="00267141"/>
    <w:rsid w:val="002739C2"/>
    <w:rsid w:val="00274844"/>
    <w:rsid w:val="002749D4"/>
    <w:rsid w:val="00277237"/>
    <w:rsid w:val="00284C18"/>
    <w:rsid w:val="00287533"/>
    <w:rsid w:val="00290905"/>
    <w:rsid w:val="00290D91"/>
    <w:rsid w:val="0029327A"/>
    <w:rsid w:val="002959C0"/>
    <w:rsid w:val="002A5B02"/>
    <w:rsid w:val="002C4069"/>
    <w:rsid w:val="002C456E"/>
    <w:rsid w:val="002E19E1"/>
    <w:rsid w:val="002E4B2B"/>
    <w:rsid w:val="002F050D"/>
    <w:rsid w:val="002F10EC"/>
    <w:rsid w:val="002F2AC0"/>
    <w:rsid w:val="002F762D"/>
    <w:rsid w:val="0030375E"/>
    <w:rsid w:val="00307B8A"/>
    <w:rsid w:val="00312FBB"/>
    <w:rsid w:val="003136D9"/>
    <w:rsid w:val="00314F2E"/>
    <w:rsid w:val="003168E5"/>
    <w:rsid w:val="00325454"/>
    <w:rsid w:val="00330626"/>
    <w:rsid w:val="003307E5"/>
    <w:rsid w:val="00334E77"/>
    <w:rsid w:val="003358C0"/>
    <w:rsid w:val="00336FE7"/>
    <w:rsid w:val="00340BED"/>
    <w:rsid w:val="003429DD"/>
    <w:rsid w:val="003550C6"/>
    <w:rsid w:val="0036262B"/>
    <w:rsid w:val="0036534B"/>
    <w:rsid w:val="00370FD5"/>
    <w:rsid w:val="00370FD7"/>
    <w:rsid w:val="00374A0A"/>
    <w:rsid w:val="003763F4"/>
    <w:rsid w:val="00382202"/>
    <w:rsid w:val="003849AB"/>
    <w:rsid w:val="003911DA"/>
    <w:rsid w:val="00393D11"/>
    <w:rsid w:val="00394236"/>
    <w:rsid w:val="003A2CF2"/>
    <w:rsid w:val="003B79F5"/>
    <w:rsid w:val="003C0E56"/>
    <w:rsid w:val="003C1481"/>
    <w:rsid w:val="003C23DE"/>
    <w:rsid w:val="003D14A2"/>
    <w:rsid w:val="003D2EE7"/>
    <w:rsid w:val="003D583B"/>
    <w:rsid w:val="003E7858"/>
    <w:rsid w:val="003E7ED6"/>
    <w:rsid w:val="004007FC"/>
    <w:rsid w:val="00400950"/>
    <w:rsid w:val="00403B01"/>
    <w:rsid w:val="00407C1B"/>
    <w:rsid w:val="004271E8"/>
    <w:rsid w:val="00427B64"/>
    <w:rsid w:val="00436C5B"/>
    <w:rsid w:val="00440ADD"/>
    <w:rsid w:val="00442D1C"/>
    <w:rsid w:val="004431D5"/>
    <w:rsid w:val="00445D38"/>
    <w:rsid w:val="00450D1D"/>
    <w:rsid w:val="004625C6"/>
    <w:rsid w:val="00462648"/>
    <w:rsid w:val="004657A6"/>
    <w:rsid w:val="004670C5"/>
    <w:rsid w:val="00467CD1"/>
    <w:rsid w:val="004739C5"/>
    <w:rsid w:val="004758AA"/>
    <w:rsid w:val="00477CF4"/>
    <w:rsid w:val="00486284"/>
    <w:rsid w:val="004903E8"/>
    <w:rsid w:val="004922D1"/>
    <w:rsid w:val="0049661A"/>
    <w:rsid w:val="00496DBB"/>
    <w:rsid w:val="004A1445"/>
    <w:rsid w:val="004B1444"/>
    <w:rsid w:val="004C609C"/>
    <w:rsid w:val="004C708C"/>
    <w:rsid w:val="004D1F93"/>
    <w:rsid w:val="004D3448"/>
    <w:rsid w:val="004D69CA"/>
    <w:rsid w:val="004F03B9"/>
    <w:rsid w:val="004F6EEA"/>
    <w:rsid w:val="004F7D03"/>
    <w:rsid w:val="00500174"/>
    <w:rsid w:val="00504B49"/>
    <w:rsid w:val="00506362"/>
    <w:rsid w:val="00507108"/>
    <w:rsid w:val="005072B9"/>
    <w:rsid w:val="00510C81"/>
    <w:rsid w:val="00510FE4"/>
    <w:rsid w:val="005112DB"/>
    <w:rsid w:val="00512462"/>
    <w:rsid w:val="00515FB4"/>
    <w:rsid w:val="00523584"/>
    <w:rsid w:val="005261E7"/>
    <w:rsid w:val="005318B4"/>
    <w:rsid w:val="00537347"/>
    <w:rsid w:val="00540F6F"/>
    <w:rsid w:val="00561F0F"/>
    <w:rsid w:val="00563A21"/>
    <w:rsid w:val="00567BA0"/>
    <w:rsid w:val="005728DD"/>
    <w:rsid w:val="00573826"/>
    <w:rsid w:val="00575438"/>
    <w:rsid w:val="00575B21"/>
    <w:rsid w:val="00576A0B"/>
    <w:rsid w:val="0058031C"/>
    <w:rsid w:val="005832D6"/>
    <w:rsid w:val="005845E2"/>
    <w:rsid w:val="005A6170"/>
    <w:rsid w:val="005A76E2"/>
    <w:rsid w:val="005B43B4"/>
    <w:rsid w:val="005B4772"/>
    <w:rsid w:val="005B4B7D"/>
    <w:rsid w:val="005C5DDD"/>
    <w:rsid w:val="005D0C9F"/>
    <w:rsid w:val="005D10FB"/>
    <w:rsid w:val="005E4108"/>
    <w:rsid w:val="005E5756"/>
    <w:rsid w:val="005E7C38"/>
    <w:rsid w:val="005E7EE1"/>
    <w:rsid w:val="005F3F69"/>
    <w:rsid w:val="005F5072"/>
    <w:rsid w:val="005F7105"/>
    <w:rsid w:val="00605DEA"/>
    <w:rsid w:val="00605F99"/>
    <w:rsid w:val="00606067"/>
    <w:rsid w:val="006120C8"/>
    <w:rsid w:val="00613E3C"/>
    <w:rsid w:val="006223CB"/>
    <w:rsid w:val="00633B51"/>
    <w:rsid w:val="00647101"/>
    <w:rsid w:val="00647D4A"/>
    <w:rsid w:val="006556E8"/>
    <w:rsid w:val="0065700F"/>
    <w:rsid w:val="00672505"/>
    <w:rsid w:val="00675A27"/>
    <w:rsid w:val="00680D68"/>
    <w:rsid w:val="00684A72"/>
    <w:rsid w:val="00691839"/>
    <w:rsid w:val="00695B9C"/>
    <w:rsid w:val="006A19AD"/>
    <w:rsid w:val="006A4743"/>
    <w:rsid w:val="006B1016"/>
    <w:rsid w:val="006B18CA"/>
    <w:rsid w:val="006B4C35"/>
    <w:rsid w:val="006B4C4B"/>
    <w:rsid w:val="006C3ECF"/>
    <w:rsid w:val="006D13D3"/>
    <w:rsid w:val="006D2A4E"/>
    <w:rsid w:val="006D3632"/>
    <w:rsid w:val="006D4CA6"/>
    <w:rsid w:val="006D5364"/>
    <w:rsid w:val="006D7E6E"/>
    <w:rsid w:val="006E0464"/>
    <w:rsid w:val="006E2346"/>
    <w:rsid w:val="006F15B9"/>
    <w:rsid w:val="006F2189"/>
    <w:rsid w:val="006F420E"/>
    <w:rsid w:val="006F71F3"/>
    <w:rsid w:val="006F7342"/>
    <w:rsid w:val="00705990"/>
    <w:rsid w:val="00705E29"/>
    <w:rsid w:val="00706D9C"/>
    <w:rsid w:val="007073FC"/>
    <w:rsid w:val="00707D89"/>
    <w:rsid w:val="007111B0"/>
    <w:rsid w:val="007119A1"/>
    <w:rsid w:val="00712EDA"/>
    <w:rsid w:val="00717B4B"/>
    <w:rsid w:val="00720B3B"/>
    <w:rsid w:val="00722E22"/>
    <w:rsid w:val="00723C9D"/>
    <w:rsid w:val="00727E70"/>
    <w:rsid w:val="00737CC2"/>
    <w:rsid w:val="00741AE6"/>
    <w:rsid w:val="00761ACF"/>
    <w:rsid w:val="007631A3"/>
    <w:rsid w:val="00764936"/>
    <w:rsid w:val="00773B2F"/>
    <w:rsid w:val="007776A6"/>
    <w:rsid w:val="00781373"/>
    <w:rsid w:val="00781560"/>
    <w:rsid w:val="0078159C"/>
    <w:rsid w:val="00783475"/>
    <w:rsid w:val="00791B2D"/>
    <w:rsid w:val="00796A7C"/>
    <w:rsid w:val="007A0853"/>
    <w:rsid w:val="007A0C3B"/>
    <w:rsid w:val="007A434A"/>
    <w:rsid w:val="007A5A70"/>
    <w:rsid w:val="007A733D"/>
    <w:rsid w:val="007B3C83"/>
    <w:rsid w:val="007B6CB0"/>
    <w:rsid w:val="007C0DD0"/>
    <w:rsid w:val="007C2BFB"/>
    <w:rsid w:val="007C71AB"/>
    <w:rsid w:val="007D25CD"/>
    <w:rsid w:val="007E0191"/>
    <w:rsid w:val="007E3185"/>
    <w:rsid w:val="008066F3"/>
    <w:rsid w:val="00827E62"/>
    <w:rsid w:val="008341E3"/>
    <w:rsid w:val="0083607C"/>
    <w:rsid w:val="00842312"/>
    <w:rsid w:val="00843B4A"/>
    <w:rsid w:val="00847890"/>
    <w:rsid w:val="00851819"/>
    <w:rsid w:val="00852D88"/>
    <w:rsid w:val="00853FE8"/>
    <w:rsid w:val="00857149"/>
    <w:rsid w:val="0086226E"/>
    <w:rsid w:val="00866640"/>
    <w:rsid w:val="00870C57"/>
    <w:rsid w:val="00875AEC"/>
    <w:rsid w:val="00876701"/>
    <w:rsid w:val="00881D8E"/>
    <w:rsid w:val="008908E5"/>
    <w:rsid w:val="0089144B"/>
    <w:rsid w:val="00893161"/>
    <w:rsid w:val="0089787D"/>
    <w:rsid w:val="008978C8"/>
    <w:rsid w:val="008A0DA2"/>
    <w:rsid w:val="008A6AAA"/>
    <w:rsid w:val="008B262F"/>
    <w:rsid w:val="008B4327"/>
    <w:rsid w:val="008B5B8B"/>
    <w:rsid w:val="008B738D"/>
    <w:rsid w:val="008C26C2"/>
    <w:rsid w:val="008D1CCB"/>
    <w:rsid w:val="008D2953"/>
    <w:rsid w:val="008D4A55"/>
    <w:rsid w:val="008D6AF8"/>
    <w:rsid w:val="008D7977"/>
    <w:rsid w:val="008E5287"/>
    <w:rsid w:val="008E5555"/>
    <w:rsid w:val="008E655D"/>
    <w:rsid w:val="008F1533"/>
    <w:rsid w:val="008F3215"/>
    <w:rsid w:val="00901EDB"/>
    <w:rsid w:val="0091099B"/>
    <w:rsid w:val="00914898"/>
    <w:rsid w:val="00921B6C"/>
    <w:rsid w:val="00925071"/>
    <w:rsid w:val="0093500E"/>
    <w:rsid w:val="009355AF"/>
    <w:rsid w:val="00937A3E"/>
    <w:rsid w:val="0095015F"/>
    <w:rsid w:val="00954269"/>
    <w:rsid w:val="00954400"/>
    <w:rsid w:val="009565B6"/>
    <w:rsid w:val="00957DEC"/>
    <w:rsid w:val="009618E6"/>
    <w:rsid w:val="0096225C"/>
    <w:rsid w:val="009630A7"/>
    <w:rsid w:val="0096530F"/>
    <w:rsid w:val="00973012"/>
    <w:rsid w:val="00975179"/>
    <w:rsid w:val="0097767C"/>
    <w:rsid w:val="00982822"/>
    <w:rsid w:val="00984DDF"/>
    <w:rsid w:val="00990891"/>
    <w:rsid w:val="00992860"/>
    <w:rsid w:val="0099458F"/>
    <w:rsid w:val="009A1EDE"/>
    <w:rsid w:val="009A2025"/>
    <w:rsid w:val="009C04C0"/>
    <w:rsid w:val="009C7B92"/>
    <w:rsid w:val="009D1409"/>
    <w:rsid w:val="009E5489"/>
    <w:rsid w:val="009F5930"/>
    <w:rsid w:val="009F6181"/>
    <w:rsid w:val="00A013B4"/>
    <w:rsid w:val="00A258D5"/>
    <w:rsid w:val="00A274AB"/>
    <w:rsid w:val="00A30BBA"/>
    <w:rsid w:val="00A4184D"/>
    <w:rsid w:val="00A42FD5"/>
    <w:rsid w:val="00A513B5"/>
    <w:rsid w:val="00A51F12"/>
    <w:rsid w:val="00A60F4D"/>
    <w:rsid w:val="00A626CC"/>
    <w:rsid w:val="00A63CFE"/>
    <w:rsid w:val="00A731EC"/>
    <w:rsid w:val="00A74DD1"/>
    <w:rsid w:val="00A8017B"/>
    <w:rsid w:val="00A83778"/>
    <w:rsid w:val="00A837FC"/>
    <w:rsid w:val="00A9089E"/>
    <w:rsid w:val="00A91427"/>
    <w:rsid w:val="00A976EE"/>
    <w:rsid w:val="00AA092C"/>
    <w:rsid w:val="00AA3700"/>
    <w:rsid w:val="00AA78EB"/>
    <w:rsid w:val="00AB005A"/>
    <w:rsid w:val="00AB7552"/>
    <w:rsid w:val="00AC224C"/>
    <w:rsid w:val="00AC67E7"/>
    <w:rsid w:val="00AC77F2"/>
    <w:rsid w:val="00AD42C8"/>
    <w:rsid w:val="00AD4739"/>
    <w:rsid w:val="00AD5583"/>
    <w:rsid w:val="00AD6999"/>
    <w:rsid w:val="00AE2714"/>
    <w:rsid w:val="00AE50C1"/>
    <w:rsid w:val="00AE54AA"/>
    <w:rsid w:val="00AE574A"/>
    <w:rsid w:val="00AF1016"/>
    <w:rsid w:val="00AF3E8A"/>
    <w:rsid w:val="00AF4DEA"/>
    <w:rsid w:val="00B0735D"/>
    <w:rsid w:val="00B10654"/>
    <w:rsid w:val="00B12A40"/>
    <w:rsid w:val="00B20B46"/>
    <w:rsid w:val="00B224F9"/>
    <w:rsid w:val="00B249DC"/>
    <w:rsid w:val="00B259C1"/>
    <w:rsid w:val="00B300FE"/>
    <w:rsid w:val="00B30B61"/>
    <w:rsid w:val="00B3104B"/>
    <w:rsid w:val="00B3371F"/>
    <w:rsid w:val="00B349C3"/>
    <w:rsid w:val="00B35FB0"/>
    <w:rsid w:val="00B37C84"/>
    <w:rsid w:val="00B400E9"/>
    <w:rsid w:val="00B525FD"/>
    <w:rsid w:val="00B52D46"/>
    <w:rsid w:val="00B60762"/>
    <w:rsid w:val="00B60ABF"/>
    <w:rsid w:val="00B61400"/>
    <w:rsid w:val="00B764C3"/>
    <w:rsid w:val="00B771ED"/>
    <w:rsid w:val="00B8164C"/>
    <w:rsid w:val="00B81887"/>
    <w:rsid w:val="00B954E1"/>
    <w:rsid w:val="00BA063D"/>
    <w:rsid w:val="00BA0DA7"/>
    <w:rsid w:val="00BA6838"/>
    <w:rsid w:val="00BA7EC2"/>
    <w:rsid w:val="00BB0FF9"/>
    <w:rsid w:val="00BB266D"/>
    <w:rsid w:val="00BB60BE"/>
    <w:rsid w:val="00BB7477"/>
    <w:rsid w:val="00BC1BE5"/>
    <w:rsid w:val="00BD0321"/>
    <w:rsid w:val="00BD379B"/>
    <w:rsid w:val="00BD6A58"/>
    <w:rsid w:val="00BD7420"/>
    <w:rsid w:val="00BE5D21"/>
    <w:rsid w:val="00BF0714"/>
    <w:rsid w:val="00BF1234"/>
    <w:rsid w:val="00BF4104"/>
    <w:rsid w:val="00BF67B4"/>
    <w:rsid w:val="00C00B77"/>
    <w:rsid w:val="00C032FF"/>
    <w:rsid w:val="00C07BB2"/>
    <w:rsid w:val="00C16BD1"/>
    <w:rsid w:val="00C17280"/>
    <w:rsid w:val="00C20D11"/>
    <w:rsid w:val="00C26F91"/>
    <w:rsid w:val="00C27C9C"/>
    <w:rsid w:val="00C33820"/>
    <w:rsid w:val="00C344BC"/>
    <w:rsid w:val="00C368B2"/>
    <w:rsid w:val="00C53AE1"/>
    <w:rsid w:val="00C63D63"/>
    <w:rsid w:val="00C6500E"/>
    <w:rsid w:val="00C719D5"/>
    <w:rsid w:val="00C75C47"/>
    <w:rsid w:val="00CA0F4F"/>
    <w:rsid w:val="00CA2CA6"/>
    <w:rsid w:val="00CB30C7"/>
    <w:rsid w:val="00CB48BB"/>
    <w:rsid w:val="00CB6690"/>
    <w:rsid w:val="00CB6AD9"/>
    <w:rsid w:val="00CC4D4E"/>
    <w:rsid w:val="00CD0224"/>
    <w:rsid w:val="00CD48DE"/>
    <w:rsid w:val="00CD724B"/>
    <w:rsid w:val="00CE5A8B"/>
    <w:rsid w:val="00CE694B"/>
    <w:rsid w:val="00D02269"/>
    <w:rsid w:val="00D057FB"/>
    <w:rsid w:val="00D12607"/>
    <w:rsid w:val="00D21B9D"/>
    <w:rsid w:val="00D27593"/>
    <w:rsid w:val="00D4010B"/>
    <w:rsid w:val="00D4168E"/>
    <w:rsid w:val="00D436E6"/>
    <w:rsid w:val="00D43CFA"/>
    <w:rsid w:val="00D5269D"/>
    <w:rsid w:val="00D608F4"/>
    <w:rsid w:val="00D630DB"/>
    <w:rsid w:val="00D63D17"/>
    <w:rsid w:val="00D64C84"/>
    <w:rsid w:val="00D70690"/>
    <w:rsid w:val="00D73332"/>
    <w:rsid w:val="00D76328"/>
    <w:rsid w:val="00D810A5"/>
    <w:rsid w:val="00D87E25"/>
    <w:rsid w:val="00D90D18"/>
    <w:rsid w:val="00D931E7"/>
    <w:rsid w:val="00D9775C"/>
    <w:rsid w:val="00DA1529"/>
    <w:rsid w:val="00DB0078"/>
    <w:rsid w:val="00DC227D"/>
    <w:rsid w:val="00DC690F"/>
    <w:rsid w:val="00DC6E70"/>
    <w:rsid w:val="00DD7700"/>
    <w:rsid w:val="00DE3137"/>
    <w:rsid w:val="00DE39EB"/>
    <w:rsid w:val="00DE63FF"/>
    <w:rsid w:val="00E003AF"/>
    <w:rsid w:val="00E03AD1"/>
    <w:rsid w:val="00E05210"/>
    <w:rsid w:val="00E05782"/>
    <w:rsid w:val="00E05E9B"/>
    <w:rsid w:val="00E069F6"/>
    <w:rsid w:val="00E100CF"/>
    <w:rsid w:val="00E15BCE"/>
    <w:rsid w:val="00E2334C"/>
    <w:rsid w:val="00E25AF6"/>
    <w:rsid w:val="00E26983"/>
    <w:rsid w:val="00E35F3D"/>
    <w:rsid w:val="00E62127"/>
    <w:rsid w:val="00E64307"/>
    <w:rsid w:val="00E65903"/>
    <w:rsid w:val="00E65A1D"/>
    <w:rsid w:val="00E708CE"/>
    <w:rsid w:val="00E7114E"/>
    <w:rsid w:val="00E74FD7"/>
    <w:rsid w:val="00E75702"/>
    <w:rsid w:val="00E772A7"/>
    <w:rsid w:val="00E83A88"/>
    <w:rsid w:val="00E84807"/>
    <w:rsid w:val="00E87DC9"/>
    <w:rsid w:val="00E91FD3"/>
    <w:rsid w:val="00EC4AE0"/>
    <w:rsid w:val="00ED2DFD"/>
    <w:rsid w:val="00ED51F5"/>
    <w:rsid w:val="00ED6713"/>
    <w:rsid w:val="00EE1023"/>
    <w:rsid w:val="00EE1AE2"/>
    <w:rsid w:val="00EE3662"/>
    <w:rsid w:val="00EE7FAF"/>
    <w:rsid w:val="00F071BA"/>
    <w:rsid w:val="00F10880"/>
    <w:rsid w:val="00F1682F"/>
    <w:rsid w:val="00F20C97"/>
    <w:rsid w:val="00F3076D"/>
    <w:rsid w:val="00F3630D"/>
    <w:rsid w:val="00F40935"/>
    <w:rsid w:val="00F511BE"/>
    <w:rsid w:val="00F52BF4"/>
    <w:rsid w:val="00F5454F"/>
    <w:rsid w:val="00F578C3"/>
    <w:rsid w:val="00F61D43"/>
    <w:rsid w:val="00F67587"/>
    <w:rsid w:val="00F71BC2"/>
    <w:rsid w:val="00F75C96"/>
    <w:rsid w:val="00F82C8A"/>
    <w:rsid w:val="00F84DF8"/>
    <w:rsid w:val="00F85E54"/>
    <w:rsid w:val="00F876B5"/>
    <w:rsid w:val="00FA0755"/>
    <w:rsid w:val="00FA33DF"/>
    <w:rsid w:val="00FA5BF1"/>
    <w:rsid w:val="00FA627D"/>
    <w:rsid w:val="00FA7AB4"/>
    <w:rsid w:val="00FD1865"/>
    <w:rsid w:val="00FD228E"/>
    <w:rsid w:val="00FD4693"/>
    <w:rsid w:val="00FD4F46"/>
    <w:rsid w:val="00FE69E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77A2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1"/>
    <w:pPr>
      <w:spacing w:after="176" w:line="240" w:lineRule="atLeast"/>
    </w:pPr>
    <w:rPr>
      <w:rFonts w:ascii="Montserrat Light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1C4B20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1C4B20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1C4B20"/>
    <w:pPr>
      <w:keepNext/>
      <w:spacing w:before="480" w:after="120"/>
      <w:outlineLvl w:val="2"/>
    </w:pPr>
    <w:rPr>
      <w:rFonts w:ascii="Montserrat" w:hAnsi="Montserra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64C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qFormat/>
    <w:rsid w:val="00954400"/>
    <w:pPr>
      <w:numPr>
        <w:numId w:val="16"/>
      </w:numPr>
      <w:spacing w:after="120"/>
      <w:ind w:left="360"/>
      <w:contextualSpacing/>
    </w:pPr>
    <w:rPr>
      <w:rFonts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AA3700"/>
    <w:pPr>
      <w:tabs>
        <w:tab w:val="center" w:pos="4513"/>
        <w:tab w:val="right" w:pos="9026"/>
      </w:tabs>
      <w:spacing w:after="120"/>
    </w:pPr>
    <w:rPr>
      <w:sz w:val="17"/>
    </w:rPr>
  </w:style>
  <w:style w:type="paragraph" w:customStyle="1" w:styleId="Dash">
    <w:name w:val="Dash"/>
    <w:basedOn w:val="Normal"/>
    <w:qFormat/>
    <w:rsid w:val="00AA3700"/>
    <w:pPr>
      <w:numPr>
        <w:ilvl w:val="1"/>
        <w:numId w:val="16"/>
      </w:numPr>
      <w:spacing w:after="120"/>
    </w:pPr>
    <w:rPr>
      <w:rFonts w:cs="Arial"/>
      <w:szCs w:val="22"/>
    </w:rPr>
  </w:style>
  <w:style w:type="character" w:customStyle="1" w:styleId="FooterChar">
    <w:name w:val="Footer Char"/>
    <w:link w:val="Footer"/>
    <w:uiPriority w:val="99"/>
    <w:rsid w:val="00AA3700"/>
    <w:rPr>
      <w:rFonts w:ascii="Montserrat Light" w:hAnsi="Montserrat Light"/>
      <w:color w:val="000000"/>
      <w:sz w:val="17"/>
    </w:rPr>
  </w:style>
  <w:style w:type="character" w:customStyle="1" w:styleId="Heading1Char">
    <w:name w:val="Heading 1 Char"/>
    <w:link w:val="Heading1"/>
    <w:rsid w:val="001C4B20"/>
    <w:rPr>
      <w:rFonts w:ascii="Montserrat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1C4B20"/>
    <w:rPr>
      <w:rFonts w:ascii="Montserrat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1C4B20"/>
    <w:rPr>
      <w:rFonts w:ascii="Montserrat" w:hAnsi="Montserrat"/>
      <w:b/>
      <w:color w:val="000000"/>
    </w:rPr>
  </w:style>
  <w:style w:type="paragraph" w:styleId="FootnoteText">
    <w:name w:val="footnote text"/>
    <w:basedOn w:val="Normal"/>
    <w:semiHidden/>
    <w:rsid w:val="00B61400"/>
    <w:pPr>
      <w:tabs>
        <w:tab w:val="left" w:pos="851"/>
      </w:tabs>
      <w:ind w:left="851" w:hanging="851"/>
    </w:pPr>
    <w:rPr>
      <w:sz w:val="20"/>
    </w:rPr>
  </w:style>
  <w:style w:type="character" w:styleId="PageNumber">
    <w:name w:val="page number"/>
    <w:rsid w:val="00AA3700"/>
    <w:rPr>
      <w:rFonts w:ascii="Montserrat Semi Bold" w:hAnsi="Montserrat Semi Bold"/>
      <w:b/>
      <w:color w:val="8D7248"/>
      <w:sz w:val="17"/>
      <w:vertAlign w:val="baseline"/>
    </w:rPr>
  </w:style>
  <w:style w:type="character" w:styleId="Hyperlink">
    <w:name w:val="Hyperlink"/>
    <w:rsid w:val="00AA3700"/>
    <w:rPr>
      <w:color w:val="auto"/>
      <w:u w:val="single"/>
    </w:rPr>
  </w:style>
  <w:style w:type="table" w:styleId="TableGrid">
    <w:name w:val="Table Grid"/>
    <w:basedOn w:val="TableNormal"/>
    <w:rsid w:val="00B6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61760"/>
    <w:rPr>
      <w:sz w:val="16"/>
      <w:szCs w:val="16"/>
    </w:rPr>
  </w:style>
  <w:style w:type="paragraph" w:styleId="CommentText">
    <w:name w:val="annotation text"/>
    <w:basedOn w:val="Normal"/>
    <w:semiHidden/>
    <w:rsid w:val="002617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760"/>
    <w:rPr>
      <w:b/>
      <w:bCs/>
    </w:rPr>
  </w:style>
  <w:style w:type="paragraph" w:styleId="BalloonText">
    <w:name w:val="Balloon Text"/>
    <w:basedOn w:val="Normal"/>
    <w:semiHidden/>
    <w:rsid w:val="00261760"/>
    <w:rPr>
      <w:rFonts w:ascii="Tahoma" w:hAnsi="Tahoma" w:cs="Tahoma"/>
      <w:sz w:val="16"/>
      <w:szCs w:val="16"/>
    </w:rPr>
  </w:style>
  <w:style w:type="paragraph" w:customStyle="1" w:styleId="DeptHeading">
    <w:name w:val="Dept Heading"/>
    <w:basedOn w:val="Normal"/>
    <w:rsid w:val="008E5555"/>
    <w:pPr>
      <w:keepNext/>
      <w:pBdr>
        <w:top w:val="single" w:sz="4" w:space="6" w:color="DDDDDD"/>
        <w:left w:val="single" w:sz="4" w:space="4" w:color="DDDDDD"/>
        <w:bottom w:val="single" w:sz="4" w:space="6" w:color="DDDDDD"/>
        <w:right w:val="single" w:sz="4" w:space="4" w:color="DDDDDD"/>
      </w:pBdr>
      <w:shd w:val="clear" w:color="auto" w:fill="DDDDDD"/>
      <w:spacing w:before="360" w:after="40"/>
      <w:ind w:left="101" w:right="-144"/>
    </w:pPr>
    <w:rPr>
      <w:rFonts w:cs="Arial"/>
      <w:b/>
      <w:sz w:val="20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91"/>
    <w:pPr>
      <w:spacing w:after="176" w:line="240" w:lineRule="atLeast"/>
    </w:pPr>
    <w:rPr>
      <w:rFonts w:ascii="Montserrat Light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1C4B20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1C4B20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1C4B20"/>
    <w:pPr>
      <w:keepNext/>
      <w:spacing w:before="480" w:after="120"/>
      <w:outlineLvl w:val="2"/>
    </w:pPr>
    <w:rPr>
      <w:rFonts w:ascii="Montserrat" w:hAnsi="Montserrat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64C"/>
    <w:pPr>
      <w:tabs>
        <w:tab w:val="center" w:pos="4153"/>
        <w:tab w:val="right" w:pos="8306"/>
      </w:tabs>
    </w:pPr>
  </w:style>
  <w:style w:type="paragraph" w:customStyle="1" w:styleId="Bullet">
    <w:name w:val="Bullet"/>
    <w:basedOn w:val="Normal"/>
    <w:qFormat/>
    <w:rsid w:val="00954400"/>
    <w:pPr>
      <w:numPr>
        <w:numId w:val="16"/>
      </w:numPr>
      <w:spacing w:after="120"/>
      <w:ind w:left="360"/>
      <w:contextualSpacing/>
    </w:pPr>
    <w:rPr>
      <w:rFonts w:cs="Arial"/>
      <w:szCs w:val="22"/>
    </w:rPr>
  </w:style>
  <w:style w:type="paragraph" w:styleId="Footer">
    <w:name w:val="footer"/>
    <w:basedOn w:val="Normal"/>
    <w:link w:val="FooterChar"/>
    <w:uiPriority w:val="99"/>
    <w:unhideWhenUsed/>
    <w:rsid w:val="00AA3700"/>
    <w:pPr>
      <w:tabs>
        <w:tab w:val="center" w:pos="4513"/>
        <w:tab w:val="right" w:pos="9026"/>
      </w:tabs>
      <w:spacing w:after="120"/>
    </w:pPr>
    <w:rPr>
      <w:sz w:val="17"/>
    </w:rPr>
  </w:style>
  <w:style w:type="paragraph" w:customStyle="1" w:styleId="Dash">
    <w:name w:val="Dash"/>
    <w:basedOn w:val="Normal"/>
    <w:qFormat/>
    <w:rsid w:val="00AA3700"/>
    <w:pPr>
      <w:numPr>
        <w:ilvl w:val="1"/>
        <w:numId w:val="16"/>
      </w:numPr>
      <w:spacing w:after="120"/>
    </w:pPr>
    <w:rPr>
      <w:rFonts w:cs="Arial"/>
      <w:szCs w:val="22"/>
    </w:rPr>
  </w:style>
  <w:style w:type="character" w:customStyle="1" w:styleId="FooterChar">
    <w:name w:val="Footer Char"/>
    <w:link w:val="Footer"/>
    <w:uiPriority w:val="99"/>
    <w:rsid w:val="00AA3700"/>
    <w:rPr>
      <w:rFonts w:ascii="Montserrat Light" w:hAnsi="Montserrat Light"/>
      <w:color w:val="000000"/>
      <w:sz w:val="17"/>
    </w:rPr>
  </w:style>
  <w:style w:type="character" w:customStyle="1" w:styleId="Heading1Char">
    <w:name w:val="Heading 1 Char"/>
    <w:link w:val="Heading1"/>
    <w:rsid w:val="001C4B20"/>
    <w:rPr>
      <w:rFonts w:ascii="Montserrat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1C4B20"/>
    <w:rPr>
      <w:rFonts w:ascii="Montserrat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1C4B20"/>
    <w:rPr>
      <w:rFonts w:ascii="Montserrat" w:hAnsi="Montserrat"/>
      <w:b/>
      <w:color w:val="000000"/>
    </w:rPr>
  </w:style>
  <w:style w:type="paragraph" w:styleId="FootnoteText">
    <w:name w:val="footnote text"/>
    <w:basedOn w:val="Normal"/>
    <w:semiHidden/>
    <w:rsid w:val="00B61400"/>
    <w:pPr>
      <w:tabs>
        <w:tab w:val="left" w:pos="851"/>
      </w:tabs>
      <w:ind w:left="851" w:hanging="851"/>
    </w:pPr>
    <w:rPr>
      <w:sz w:val="20"/>
    </w:rPr>
  </w:style>
  <w:style w:type="character" w:styleId="PageNumber">
    <w:name w:val="page number"/>
    <w:rsid w:val="00AA3700"/>
    <w:rPr>
      <w:rFonts w:ascii="Montserrat Semi Bold" w:hAnsi="Montserrat Semi Bold"/>
      <w:b/>
      <w:color w:val="8D7248"/>
      <w:sz w:val="17"/>
      <w:vertAlign w:val="baseline"/>
    </w:rPr>
  </w:style>
  <w:style w:type="character" w:styleId="Hyperlink">
    <w:name w:val="Hyperlink"/>
    <w:rsid w:val="00AA3700"/>
    <w:rPr>
      <w:color w:val="auto"/>
      <w:u w:val="single"/>
    </w:rPr>
  </w:style>
  <w:style w:type="table" w:styleId="TableGrid">
    <w:name w:val="Table Grid"/>
    <w:basedOn w:val="TableNormal"/>
    <w:rsid w:val="00B6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61760"/>
    <w:rPr>
      <w:sz w:val="16"/>
      <w:szCs w:val="16"/>
    </w:rPr>
  </w:style>
  <w:style w:type="paragraph" w:styleId="CommentText">
    <w:name w:val="annotation text"/>
    <w:basedOn w:val="Normal"/>
    <w:semiHidden/>
    <w:rsid w:val="002617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760"/>
    <w:rPr>
      <w:b/>
      <w:bCs/>
    </w:rPr>
  </w:style>
  <w:style w:type="paragraph" w:styleId="BalloonText">
    <w:name w:val="Balloon Text"/>
    <w:basedOn w:val="Normal"/>
    <w:semiHidden/>
    <w:rsid w:val="00261760"/>
    <w:rPr>
      <w:rFonts w:ascii="Tahoma" w:hAnsi="Tahoma" w:cs="Tahoma"/>
      <w:sz w:val="16"/>
      <w:szCs w:val="16"/>
    </w:rPr>
  </w:style>
  <w:style w:type="paragraph" w:customStyle="1" w:styleId="DeptHeading">
    <w:name w:val="Dept Heading"/>
    <w:basedOn w:val="Normal"/>
    <w:rsid w:val="008E5555"/>
    <w:pPr>
      <w:keepNext/>
      <w:pBdr>
        <w:top w:val="single" w:sz="4" w:space="6" w:color="DDDDDD"/>
        <w:left w:val="single" w:sz="4" w:space="4" w:color="DDDDDD"/>
        <w:bottom w:val="single" w:sz="4" w:space="6" w:color="DDDDDD"/>
        <w:right w:val="single" w:sz="4" w:space="4" w:color="DDDDDD"/>
      </w:pBdr>
      <w:shd w:val="clear" w:color="auto" w:fill="DDDDDD"/>
      <w:spacing w:before="360" w:after="40"/>
      <w:ind w:left="101" w:right="-144"/>
    </w:pPr>
    <w:rPr>
      <w:rFonts w:cs="Arial"/>
      <w:b/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3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h.gov.au/About_Parliament/Senate/Powers_practice_n_procedures/Brief_Guides_to_Senate_Procedure/No_16" TargetMode="External"/><Relationship Id="rId18" Type="http://schemas.openxmlformats.org/officeDocument/2006/relationships/hyperlink" Target="http://www.aph.gov.au/Parliamentary_Business/Committees" TargetMode="External"/><Relationship Id="rId26" Type="http://schemas.openxmlformats.org/officeDocument/2006/relationships/hyperlink" Target="http://www.comlaw.gov.au/" TargetMode="External"/><Relationship Id="rId39" Type="http://schemas.openxmlformats.org/officeDocument/2006/relationships/hyperlink" Target="mailto:lodge@legislation.gov.au" TargetMode="External"/><Relationship Id="rId21" Type="http://schemas.openxmlformats.org/officeDocument/2006/relationships/hyperlink" Target="http://www.dpmc.gov.au/guidelines/index.cfm" TargetMode="External"/><Relationship Id="rId34" Type="http://schemas.openxmlformats.org/officeDocument/2006/relationships/hyperlink" Target="mailto:helpdesk-obpr@opbr.gov.au" TargetMode="External"/><Relationship Id="rId42" Type="http://schemas.openxmlformats.org/officeDocument/2006/relationships/hyperlink" Target="mailto:table.legislation.sen@aph.gov.au" TargetMode="External"/><Relationship Id="rId47" Type="http://schemas.openxmlformats.org/officeDocument/2006/relationships/hyperlink" Target="mailto:ctjpb.scrutiny@ag.gov.au" TargetMode="External"/><Relationship Id="rId50" Type="http://schemas.openxmlformats.org/officeDocument/2006/relationships/hyperlink" Target="mailto:ajdalb@ag.gov.au" TargetMode="External"/><Relationship Id="rId55" Type="http://schemas.openxmlformats.org/officeDocument/2006/relationships/hyperlink" Target="mailto:humanrights@ag.gov.au" TargetMode="External"/><Relationship Id="rId63" Type="http://schemas.openxmlformats.org/officeDocument/2006/relationships/hyperlink" Target="mailto:ag1@anao.gov.au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ph.gov.au/About_Parliament/House_of_Representatives/Powers_practice_and_procedure" TargetMode="External"/><Relationship Id="rId29" Type="http://schemas.openxmlformats.org/officeDocument/2006/relationships/hyperlink" Target="mailto:GovtSection@pmc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About_Parliament/Senate/Powers_practice_n_procedures/aso" TargetMode="External"/><Relationship Id="rId24" Type="http://schemas.openxmlformats.org/officeDocument/2006/relationships/hyperlink" Target="http://www.opc.gov.au/about/documents.htm" TargetMode="External"/><Relationship Id="rId32" Type="http://schemas.openxmlformats.org/officeDocument/2006/relationships/hyperlink" Target="mailto:SenatePLO@pmc.gov.au" TargetMode="External"/><Relationship Id="rId37" Type="http://schemas.openxmlformats.org/officeDocument/2006/relationships/hyperlink" Target="mailto:bill.instructions@opc.gov.au" TargetMode="External"/><Relationship Id="rId40" Type="http://schemas.openxmlformats.org/officeDocument/2006/relationships/hyperlink" Target="mailto:Dir.Programming.Reps@aph.gov.au" TargetMode="External"/><Relationship Id="rId45" Type="http://schemas.openxmlformats.org/officeDocument/2006/relationships/hyperlink" Target="mailto:human.rights@aph.gov.au" TargetMode="External"/><Relationship Id="rId53" Type="http://schemas.openxmlformats.org/officeDocument/2006/relationships/hyperlink" Target="mailto:Foi.draftlegislation@ag.gov.au" TargetMode="External"/><Relationship Id="rId58" Type="http://schemas.openxmlformats.org/officeDocument/2006/relationships/hyperlink" Target="mailto:ags@ags.gov.au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aph.gov.au/About_Parliament/House_of_Representatives/Powers_practice_and_procedure" TargetMode="External"/><Relationship Id="rId23" Type="http://schemas.openxmlformats.org/officeDocument/2006/relationships/hyperlink" Target="http://www.dpmc.gov.au/deregulation/obpr/" TargetMode="External"/><Relationship Id="rId28" Type="http://schemas.openxmlformats.org/officeDocument/2006/relationships/hyperlink" Target="mailto:Lodgement@pmc.gov.au" TargetMode="External"/><Relationship Id="rId36" Type="http://schemas.openxmlformats.org/officeDocument/2006/relationships/hyperlink" Target="mailto:fpc@opc.gov.au" TargetMode="External"/><Relationship Id="rId49" Type="http://schemas.openxmlformats.org/officeDocument/2006/relationships/hyperlink" Target="mailto:finass@ag.gov.au" TargetMode="External"/><Relationship Id="rId57" Type="http://schemas.openxmlformats.org/officeDocument/2006/relationships/hyperlink" Target="mailto:OCL@ag.gov.au" TargetMode="External"/><Relationship Id="rId61" Type="http://schemas.openxmlformats.org/officeDocument/2006/relationships/hyperlink" Target="mailto:Governance@finance.gov.au" TargetMode="External"/><Relationship Id="rId10" Type="http://schemas.openxmlformats.org/officeDocument/2006/relationships/hyperlink" Target="http://www.aph.gov.au/About_Parliament/Senate/Powers_practice_n_procedures/aso" TargetMode="External"/><Relationship Id="rId19" Type="http://schemas.openxmlformats.org/officeDocument/2006/relationships/hyperlink" Target="http://www.dpmc.gov.au/" TargetMode="External"/><Relationship Id="rId31" Type="http://schemas.openxmlformats.org/officeDocument/2006/relationships/hyperlink" Target="mailto:RepsPLO@pmc.gov.au" TargetMode="External"/><Relationship Id="rId44" Type="http://schemas.openxmlformats.org/officeDocument/2006/relationships/hyperlink" Target="mailto:RegOrds.sen@aph.gov.au" TargetMode="External"/><Relationship Id="rId52" Type="http://schemas.openxmlformats.org/officeDocument/2006/relationships/hyperlink" Target="mailto:privacy.draftlegislation@ag.gov.au" TargetMode="External"/><Relationship Id="rId60" Type="http://schemas.openxmlformats.org/officeDocument/2006/relationships/hyperlink" Target="mailto:LegislativeReview@finance.gov.au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aph.gov.au/" TargetMode="External"/><Relationship Id="rId14" Type="http://schemas.openxmlformats.org/officeDocument/2006/relationships/hyperlink" Target="http://www.aph.gov.au/About_Parliament/Senate/Powers_practice_n_procedures/Senate_Briefs/Brief08" TargetMode="External"/><Relationship Id="rId22" Type="http://schemas.openxmlformats.org/officeDocument/2006/relationships/hyperlink" Target="http://www.dpmc.gov.au/parliamentary/index.cfm" TargetMode="External"/><Relationship Id="rId27" Type="http://schemas.openxmlformats.org/officeDocument/2006/relationships/hyperlink" Target="mailto:LegislationPMC@pmc.gov.au" TargetMode="External"/><Relationship Id="rId30" Type="http://schemas.openxmlformats.org/officeDocument/2006/relationships/hyperlink" Target="mailto:AAO@pmc.gov.au" TargetMode="External"/><Relationship Id="rId35" Type="http://schemas.openxmlformats.org/officeDocument/2006/relationships/hyperlink" Target="mailto:regulatoryreform@pmc.gov.au" TargetMode="External"/><Relationship Id="rId43" Type="http://schemas.openxmlformats.org/officeDocument/2006/relationships/hyperlink" Target="mailto:scrutiny.sen@aph.gov.au" TargetMode="External"/><Relationship Id="rId48" Type="http://schemas.openxmlformats.org/officeDocument/2006/relationships/hyperlink" Target="mailto:adr@ag.gov.au" TargetMode="External"/><Relationship Id="rId56" Type="http://schemas.openxmlformats.org/officeDocument/2006/relationships/hyperlink" Target="mailto:SLBDraftbills@ag.gov.au" TargetMode="External"/><Relationship Id="rId64" Type="http://schemas.openxmlformats.org/officeDocument/2006/relationships/hyperlink" Target="mailto:legislation@apsc.gov.au" TargetMode="External"/><Relationship Id="rId69" Type="http://schemas.microsoft.com/office/2011/relationships/commentsExtended" Target="commentsExtended.xml"/><Relationship Id="rId8" Type="http://schemas.openxmlformats.org/officeDocument/2006/relationships/endnotes" Target="endnotes.xml"/><Relationship Id="rId51" Type="http://schemas.openxmlformats.org/officeDocument/2006/relationships/hyperlink" Target="mailto:native.title@ag.gov.au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ph.gov.au/About_Parliament/Senate/Powers_practice_n_procedures/aso" TargetMode="External"/><Relationship Id="rId17" Type="http://schemas.openxmlformats.org/officeDocument/2006/relationships/hyperlink" Target="http://www.aph.gov.au/Parliamentary_Business/Bills_Legislation" TargetMode="External"/><Relationship Id="rId25" Type="http://schemas.openxmlformats.org/officeDocument/2006/relationships/hyperlink" Target="https://www.ag.gov.au/Pages/default.aspx" TargetMode="External"/><Relationship Id="rId33" Type="http://schemas.openxmlformats.org/officeDocument/2006/relationships/hyperlink" Target="mailto:exco@pmc.gov.au" TargetMode="External"/><Relationship Id="rId38" Type="http://schemas.openxmlformats.org/officeDocument/2006/relationships/hyperlink" Target="mailto:instrument.instructions@opc.gov.au" TargetMode="External"/><Relationship Id="rId46" Type="http://schemas.openxmlformats.org/officeDocument/2006/relationships/hyperlink" Target="http://www.opc.gov.au/about/draft_directions.htm" TargetMode="External"/><Relationship Id="rId59" Type="http://schemas.openxmlformats.org/officeDocument/2006/relationships/hyperlink" Target="mailto:LRB@finance.gov.au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dpmc.gov.au/guidelines/index.cfm" TargetMode="External"/><Relationship Id="rId41" Type="http://schemas.openxmlformats.org/officeDocument/2006/relationships/hyperlink" Target="mailto:Bills.Manager.Reps@aph.gov.au" TargetMode="External"/><Relationship Id="rId54" Type="http://schemas.openxmlformats.org/officeDocument/2006/relationships/hyperlink" Target="mailto:crjd.draftbills@ag.gov.au" TargetMode="External"/><Relationship Id="rId62" Type="http://schemas.openxmlformats.org/officeDocument/2006/relationships/hyperlink" Target="mailto:territories@regional.gov.au" TargetMode="External"/><Relationship Id="rId70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C12FC-C516-4B13-B6CE-EE8CB519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1493</Words>
  <Characters>8514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9988</CharactersWithSpaces>
  <SharedDoc>false</SharedDoc>
  <HLinks>
    <vt:vector size="36" baseType="variant">
      <vt:variant>
        <vt:i4>5308449</vt:i4>
      </vt:variant>
      <vt:variant>
        <vt:i4>15</vt:i4>
      </vt:variant>
      <vt:variant>
        <vt:i4>0</vt:i4>
      </vt:variant>
      <vt:variant>
        <vt:i4>5</vt:i4>
      </vt:variant>
      <vt:variant>
        <vt:lpwstr>mailto:helpdesk@obpr.gov.au</vt:lpwstr>
      </vt:variant>
      <vt:variant>
        <vt:lpwstr/>
      </vt:variant>
      <vt:variant>
        <vt:i4>7012358</vt:i4>
      </vt:variant>
      <vt:variant>
        <vt:i4>12</vt:i4>
      </vt:variant>
      <vt:variant>
        <vt:i4>0</vt:i4>
      </vt:variant>
      <vt:variant>
        <vt:i4>5</vt:i4>
      </vt:variant>
      <vt:variant>
        <vt:lpwstr>mailto:table.legislation.sen@aph.gov.au</vt:lpwstr>
      </vt:variant>
      <vt:variant>
        <vt:lpwstr/>
      </vt:variant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mailto:Bills.Manager.Reps@aph.gov.au</vt:lpwstr>
      </vt:variant>
      <vt:variant>
        <vt:lpwstr/>
      </vt:variant>
      <vt:variant>
        <vt:i4>4456497</vt:i4>
      </vt:variant>
      <vt:variant>
        <vt:i4>6</vt:i4>
      </vt:variant>
      <vt:variant>
        <vt:i4>0</vt:i4>
      </vt:variant>
      <vt:variant>
        <vt:i4>5</vt:i4>
      </vt:variant>
      <vt:variant>
        <vt:lpwstr>mailto:instructions@opc.gov.au</vt:lpwstr>
      </vt:variant>
      <vt:variant>
        <vt:lpwstr/>
      </vt:variant>
      <vt:variant>
        <vt:i4>2490433</vt:i4>
      </vt:variant>
      <vt:variant>
        <vt:i4>3</vt:i4>
      </vt:variant>
      <vt:variant>
        <vt:i4>0</vt:i4>
      </vt:variant>
      <vt:variant>
        <vt:i4>5</vt:i4>
      </vt:variant>
      <vt:variant>
        <vt:lpwstr>mailto:LegislationPMC@pmc.gov.au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mailto:exco@pmc.gov.au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O'Connor</dc:creator>
  <cp:lastModifiedBy>Debbie_OFFICE</cp:lastModifiedBy>
  <cp:revision>10</cp:revision>
  <cp:lastPrinted>2016-12-19T04:43:00Z</cp:lastPrinted>
  <dcterms:created xsi:type="dcterms:W3CDTF">2017-02-01T22:11:00Z</dcterms:created>
  <dcterms:modified xsi:type="dcterms:W3CDTF">2017-02-02T03:41:00Z</dcterms:modified>
</cp:coreProperties>
</file>