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EF3" w:rsidRDefault="00B86190" w:rsidP="00A62EF3">
      <w:pPr>
        <w:pStyle w:val="Title"/>
      </w:pPr>
      <w:bookmarkStart w:id="0" w:name="_Toc96326909"/>
      <w:r w:rsidRPr="00B86190">
        <w:t>Factsheet on the MoP(S) Act Review</w:t>
      </w:r>
    </w:p>
    <w:p w:rsidR="00B86190" w:rsidRPr="00B86190" w:rsidRDefault="00B86190" w:rsidP="00522EBD">
      <w:pPr>
        <w:pStyle w:val="Heading2"/>
      </w:pPr>
      <w:r w:rsidRPr="00B86190">
        <w:t>Establishment</w:t>
      </w:r>
    </w:p>
    <w:p w:rsidR="00D30CA9" w:rsidRDefault="00B86190" w:rsidP="00B86190">
      <w:pPr>
        <w:pStyle w:val="BodyText"/>
        <w:rPr>
          <w:rFonts w:eastAsiaTheme="minorEastAsia"/>
          <w:color w:val="auto"/>
          <w:sz w:val="22"/>
          <w:szCs w:val="21"/>
        </w:rPr>
      </w:pPr>
      <w:r w:rsidRPr="00B86190">
        <w:rPr>
          <w:rFonts w:eastAsiaTheme="minorEastAsia"/>
          <w:color w:val="auto"/>
          <w:sz w:val="22"/>
          <w:szCs w:val="21"/>
        </w:rPr>
        <w:t xml:space="preserve">The </w:t>
      </w:r>
      <w:r w:rsidR="00D147B4">
        <w:rPr>
          <w:rFonts w:eastAsiaTheme="minorEastAsia"/>
          <w:color w:val="auto"/>
          <w:sz w:val="22"/>
          <w:szCs w:val="21"/>
        </w:rPr>
        <w:t>Review</w:t>
      </w:r>
      <w:r w:rsidRPr="00B86190">
        <w:rPr>
          <w:rFonts w:eastAsiaTheme="minorEastAsia"/>
          <w:color w:val="auto"/>
          <w:sz w:val="22"/>
          <w:szCs w:val="21"/>
        </w:rPr>
        <w:t xml:space="preserve"> of the </w:t>
      </w:r>
      <w:r w:rsidRPr="00B86190">
        <w:rPr>
          <w:rFonts w:eastAsiaTheme="minorEastAsia"/>
          <w:i/>
          <w:color w:val="auto"/>
          <w:sz w:val="22"/>
          <w:szCs w:val="21"/>
        </w:rPr>
        <w:t>Members of Parliament (Staff) Act 1984</w:t>
      </w:r>
      <w:r w:rsidRPr="00B86190">
        <w:rPr>
          <w:rFonts w:eastAsiaTheme="minorEastAsia"/>
          <w:color w:val="auto"/>
          <w:sz w:val="22"/>
          <w:szCs w:val="21"/>
        </w:rPr>
        <w:t xml:space="preserve"> </w:t>
      </w:r>
      <w:r w:rsidR="00480D0B">
        <w:rPr>
          <w:rFonts w:eastAsiaTheme="minorEastAsia"/>
          <w:color w:val="auto"/>
          <w:sz w:val="22"/>
          <w:szCs w:val="21"/>
        </w:rPr>
        <w:t xml:space="preserve">(Cth) </w:t>
      </w:r>
      <w:r w:rsidRPr="00B86190">
        <w:rPr>
          <w:rFonts w:eastAsiaTheme="minorEastAsia"/>
          <w:color w:val="auto"/>
          <w:sz w:val="22"/>
          <w:szCs w:val="21"/>
        </w:rPr>
        <w:t>(MoP(S) Act) is the first comprehensive review of the Act since it came into force in 1984. The Terms of Reference for the Review can be found</w:t>
      </w:r>
      <w:r w:rsidR="00DB1A82">
        <w:rPr>
          <w:rFonts w:eastAsiaTheme="minorEastAsia"/>
          <w:color w:val="auto"/>
          <w:sz w:val="22"/>
          <w:szCs w:val="21"/>
        </w:rPr>
        <w:t xml:space="preserve"> </w:t>
      </w:r>
      <w:hyperlink r:id="rId8" w:history="1">
        <w:r w:rsidR="00DB1A82" w:rsidRPr="00DB1A82">
          <w:rPr>
            <w:rStyle w:val="Hyperlink"/>
            <w:sz w:val="22"/>
            <w:szCs w:val="22"/>
          </w:rPr>
          <w:t>here</w:t>
        </w:r>
      </w:hyperlink>
      <w:r w:rsidR="00DB1A82" w:rsidRPr="00DB1A82">
        <w:rPr>
          <w:sz w:val="22"/>
          <w:szCs w:val="22"/>
        </w:rPr>
        <w:t>.</w:t>
      </w:r>
      <w:r w:rsidR="00571982">
        <w:rPr>
          <w:sz w:val="22"/>
          <w:szCs w:val="22"/>
        </w:rPr>
        <w:t xml:space="preserve"> </w:t>
      </w:r>
      <w:r w:rsidR="00571982">
        <w:rPr>
          <w:rFonts w:eastAsiaTheme="minorEastAsia"/>
          <w:color w:val="auto"/>
          <w:sz w:val="22"/>
          <w:szCs w:val="21"/>
        </w:rPr>
        <w:t xml:space="preserve">The full report is available </w:t>
      </w:r>
      <w:hyperlink r:id="rId9" w:history="1">
        <w:r w:rsidR="00D30CA9">
          <w:rPr>
            <w:rStyle w:val="Hyperlink"/>
            <w:rFonts w:eastAsiaTheme="minorEastAsia"/>
            <w:sz w:val="22"/>
            <w:szCs w:val="21"/>
          </w:rPr>
          <w:t>here</w:t>
        </w:r>
      </w:hyperlink>
      <w:r w:rsidR="00D30CA9">
        <w:rPr>
          <w:rFonts w:eastAsiaTheme="minorEastAsia"/>
          <w:color w:val="auto"/>
          <w:sz w:val="22"/>
          <w:szCs w:val="21"/>
        </w:rPr>
        <w:t>.</w:t>
      </w:r>
    </w:p>
    <w:p w:rsidR="00B86190" w:rsidRPr="00B86190" w:rsidRDefault="00B86190" w:rsidP="00B86190">
      <w:pPr>
        <w:pStyle w:val="BodyText"/>
        <w:rPr>
          <w:rFonts w:eastAsiaTheme="minorEastAsia"/>
          <w:color w:val="auto"/>
          <w:sz w:val="22"/>
          <w:szCs w:val="21"/>
        </w:rPr>
      </w:pPr>
      <w:r w:rsidRPr="00B86190">
        <w:rPr>
          <w:rFonts w:eastAsiaTheme="minorEastAsia"/>
          <w:color w:val="auto"/>
          <w:sz w:val="22"/>
          <w:szCs w:val="21"/>
        </w:rPr>
        <w:t xml:space="preserve">The </w:t>
      </w:r>
      <w:r w:rsidR="00D147B4">
        <w:rPr>
          <w:rFonts w:eastAsiaTheme="minorEastAsia"/>
          <w:color w:val="auto"/>
          <w:sz w:val="22"/>
          <w:szCs w:val="21"/>
        </w:rPr>
        <w:t>R</w:t>
      </w:r>
      <w:r w:rsidRPr="00B86190">
        <w:rPr>
          <w:rFonts w:eastAsiaTheme="minorEastAsia"/>
          <w:color w:val="auto"/>
          <w:sz w:val="22"/>
          <w:szCs w:val="21"/>
        </w:rPr>
        <w:t xml:space="preserve">eview of the MoP(S) Act (the Review) was one of 28 recommendations made by Sex Discrimination Commissioner Kate Jenkins in </w:t>
      </w:r>
      <w:r w:rsidRPr="00B86190">
        <w:rPr>
          <w:rFonts w:eastAsiaTheme="minorEastAsia"/>
          <w:i/>
          <w:color w:val="auto"/>
          <w:sz w:val="22"/>
          <w:szCs w:val="21"/>
        </w:rPr>
        <w:t>Set the Standard: Report on the Independent Review into Commonwealth Parliamentary Workplaces</w:t>
      </w:r>
      <w:r w:rsidRPr="00B86190">
        <w:rPr>
          <w:rFonts w:eastAsiaTheme="minorEastAsia"/>
          <w:color w:val="auto"/>
          <w:sz w:val="22"/>
          <w:szCs w:val="21"/>
        </w:rPr>
        <w:t xml:space="preserve"> (Set the Standard) </w:t>
      </w:r>
      <w:hyperlink r:id="rId10" w:history="1">
        <w:r w:rsidR="00521D25">
          <w:rPr>
            <w:rStyle w:val="Hyperlink"/>
            <w:sz w:val="22"/>
          </w:rPr>
          <w:t>released</w:t>
        </w:r>
      </w:hyperlink>
      <w:r w:rsidRPr="00B86190">
        <w:rPr>
          <w:rFonts w:eastAsiaTheme="minorEastAsia"/>
          <w:color w:val="auto"/>
          <w:sz w:val="22"/>
          <w:szCs w:val="21"/>
        </w:rPr>
        <w:t xml:space="preserve"> in 2021</w:t>
      </w:r>
      <w:r w:rsidR="00521D25">
        <w:rPr>
          <w:rFonts w:eastAsiaTheme="minorEastAsia"/>
          <w:color w:val="auto"/>
          <w:sz w:val="22"/>
          <w:szCs w:val="21"/>
        </w:rPr>
        <w:t>.</w:t>
      </w:r>
    </w:p>
    <w:p w:rsidR="00B86190" w:rsidRPr="00EE13FB" w:rsidRDefault="00B86190" w:rsidP="00522EBD">
      <w:pPr>
        <w:pStyle w:val="Heading2"/>
      </w:pPr>
      <w:r w:rsidRPr="00EE13FB">
        <w:t xml:space="preserve">The MoP(S) </w:t>
      </w:r>
      <w:r w:rsidR="00D147B4">
        <w:t>employment framework</w:t>
      </w:r>
    </w:p>
    <w:p w:rsidR="00B86190" w:rsidRDefault="00B86190" w:rsidP="00B86190">
      <w:pPr>
        <w:pStyle w:val="BodyText"/>
        <w:rPr>
          <w:rFonts w:eastAsiaTheme="minorEastAsia"/>
          <w:color w:val="auto"/>
          <w:sz w:val="22"/>
          <w:szCs w:val="21"/>
        </w:rPr>
      </w:pPr>
      <w:r w:rsidRPr="00B86190">
        <w:rPr>
          <w:rFonts w:eastAsiaTheme="minorEastAsia"/>
          <w:color w:val="auto"/>
          <w:sz w:val="22"/>
          <w:szCs w:val="21"/>
        </w:rPr>
        <w:t xml:space="preserve">The MoP(S) Act </w:t>
      </w:r>
      <w:r w:rsidR="00D147B4">
        <w:rPr>
          <w:rFonts w:eastAsiaTheme="minorEastAsia"/>
          <w:color w:val="auto"/>
          <w:sz w:val="22"/>
          <w:szCs w:val="21"/>
        </w:rPr>
        <w:t>forms part of</w:t>
      </w:r>
      <w:r w:rsidRPr="00B86190">
        <w:rPr>
          <w:rFonts w:eastAsiaTheme="minorEastAsia"/>
          <w:color w:val="auto"/>
          <w:sz w:val="22"/>
          <w:szCs w:val="21"/>
        </w:rPr>
        <w:t xml:space="preserve"> the employment framework for the staff of parliamentarians, including both personal and electorate staff. The legislation is brief, at 35 pages, and has not been substantially amended since it commenced in 1984.</w:t>
      </w:r>
    </w:p>
    <w:p w:rsidR="00D147B4" w:rsidRPr="00B86190" w:rsidRDefault="00D147B4" w:rsidP="00B86190">
      <w:pPr>
        <w:pStyle w:val="BodyText"/>
        <w:rPr>
          <w:rFonts w:eastAsiaTheme="minorEastAsia"/>
          <w:color w:val="auto"/>
          <w:sz w:val="22"/>
          <w:szCs w:val="21"/>
        </w:rPr>
      </w:pPr>
      <w:r>
        <w:rPr>
          <w:rFonts w:eastAsiaTheme="minorEastAsia"/>
          <w:color w:val="auto"/>
          <w:sz w:val="22"/>
          <w:szCs w:val="21"/>
        </w:rPr>
        <w:t xml:space="preserve">Other parts of the MoP(S) </w:t>
      </w:r>
      <w:r w:rsidR="008E1A7D">
        <w:rPr>
          <w:rFonts w:eastAsiaTheme="minorEastAsia"/>
          <w:color w:val="auto"/>
          <w:sz w:val="22"/>
          <w:szCs w:val="21"/>
        </w:rPr>
        <w:t>employment framework include</w:t>
      </w:r>
      <w:r>
        <w:rPr>
          <w:rFonts w:eastAsiaTheme="minorEastAsia"/>
          <w:color w:val="auto"/>
          <w:sz w:val="22"/>
          <w:szCs w:val="21"/>
        </w:rPr>
        <w:t xml:space="preserve"> the d</w:t>
      </w:r>
      <w:r w:rsidR="008E1A7D">
        <w:rPr>
          <w:rFonts w:eastAsiaTheme="minorEastAsia"/>
          <w:color w:val="auto"/>
          <w:sz w:val="22"/>
          <w:szCs w:val="21"/>
        </w:rPr>
        <w:t xml:space="preserve">eterminations made by the </w:t>
      </w:r>
      <w:r w:rsidR="001F7EE8">
        <w:rPr>
          <w:rFonts w:eastAsiaTheme="minorEastAsia"/>
          <w:color w:val="auto"/>
          <w:sz w:val="22"/>
          <w:szCs w:val="21"/>
        </w:rPr>
        <w:t xml:space="preserve">responsible </w:t>
      </w:r>
      <w:r w:rsidR="008E1A7D">
        <w:rPr>
          <w:rFonts w:eastAsiaTheme="minorEastAsia"/>
          <w:color w:val="auto"/>
          <w:sz w:val="22"/>
          <w:szCs w:val="21"/>
        </w:rPr>
        <w:t>Minister under the Act, Commonwealth employment laws, an</w:t>
      </w:r>
      <w:r>
        <w:rPr>
          <w:rFonts w:eastAsiaTheme="minorEastAsia"/>
          <w:color w:val="auto"/>
          <w:sz w:val="22"/>
          <w:szCs w:val="21"/>
        </w:rPr>
        <w:t xml:space="preserve"> </w:t>
      </w:r>
      <w:r w:rsidR="008E1A7D">
        <w:rPr>
          <w:rFonts w:eastAsiaTheme="minorEastAsia"/>
          <w:color w:val="auto"/>
          <w:sz w:val="22"/>
          <w:szCs w:val="21"/>
        </w:rPr>
        <w:t>enterprise agreement and</w:t>
      </w:r>
      <w:r>
        <w:rPr>
          <w:rFonts w:eastAsiaTheme="minorEastAsia"/>
          <w:color w:val="auto"/>
          <w:sz w:val="22"/>
          <w:szCs w:val="21"/>
        </w:rPr>
        <w:t xml:space="preserve"> contracts of employment</w:t>
      </w:r>
      <w:r w:rsidR="008E1A7D">
        <w:rPr>
          <w:rFonts w:eastAsiaTheme="minorEastAsia"/>
          <w:color w:val="auto"/>
          <w:sz w:val="22"/>
          <w:szCs w:val="21"/>
        </w:rPr>
        <w:t xml:space="preserve"> with staff</w:t>
      </w:r>
      <w:r>
        <w:rPr>
          <w:rFonts w:eastAsiaTheme="minorEastAsia"/>
          <w:color w:val="auto"/>
          <w:sz w:val="22"/>
          <w:szCs w:val="21"/>
        </w:rPr>
        <w:t>.</w:t>
      </w:r>
      <w:r w:rsidR="00571982">
        <w:rPr>
          <w:rFonts w:eastAsiaTheme="minorEastAsia"/>
          <w:color w:val="auto"/>
          <w:sz w:val="22"/>
          <w:szCs w:val="21"/>
        </w:rPr>
        <w:t xml:space="preserve"> </w:t>
      </w:r>
    </w:p>
    <w:p w:rsidR="00B86190" w:rsidRPr="00EE13FB" w:rsidRDefault="00B86190" w:rsidP="00522EBD">
      <w:pPr>
        <w:pStyle w:val="Heading2"/>
      </w:pPr>
      <w:r w:rsidRPr="00EE13FB">
        <w:t>Consultation</w:t>
      </w:r>
    </w:p>
    <w:p w:rsidR="00B86190" w:rsidRPr="00B86190" w:rsidRDefault="00B86190" w:rsidP="00B86190">
      <w:pPr>
        <w:pStyle w:val="BodyText"/>
        <w:rPr>
          <w:rFonts w:eastAsiaTheme="minorEastAsia"/>
          <w:color w:val="auto"/>
          <w:sz w:val="22"/>
          <w:szCs w:val="21"/>
        </w:rPr>
      </w:pPr>
      <w:r w:rsidRPr="00B86190">
        <w:rPr>
          <w:rFonts w:eastAsiaTheme="minorEastAsia"/>
          <w:color w:val="auto"/>
          <w:sz w:val="22"/>
          <w:szCs w:val="21"/>
        </w:rPr>
        <w:t xml:space="preserve">The Review was informed by contributions from current and former MoP(S) Act employees, parliamentarians, academics, unions, parliamentary departments, </w:t>
      </w:r>
      <w:r w:rsidR="00453508">
        <w:rPr>
          <w:rFonts w:eastAsiaTheme="minorEastAsia"/>
          <w:color w:val="auto"/>
          <w:sz w:val="22"/>
          <w:szCs w:val="21"/>
        </w:rPr>
        <w:t xml:space="preserve">Commonwealth </w:t>
      </w:r>
      <w:r w:rsidRPr="00B86190">
        <w:rPr>
          <w:rFonts w:eastAsiaTheme="minorEastAsia"/>
          <w:color w:val="auto"/>
          <w:sz w:val="22"/>
          <w:szCs w:val="21"/>
        </w:rPr>
        <w:t>government agencie</w:t>
      </w:r>
      <w:r w:rsidR="00453508">
        <w:rPr>
          <w:rFonts w:eastAsiaTheme="minorEastAsia"/>
          <w:color w:val="auto"/>
          <w:sz w:val="22"/>
          <w:szCs w:val="21"/>
        </w:rPr>
        <w:t>s, and state and international jurisdictions</w:t>
      </w:r>
      <w:r w:rsidRPr="00B86190">
        <w:rPr>
          <w:rFonts w:eastAsiaTheme="minorEastAsia"/>
          <w:color w:val="auto"/>
          <w:sz w:val="22"/>
          <w:szCs w:val="21"/>
        </w:rPr>
        <w:t xml:space="preserve">. </w:t>
      </w:r>
      <w:r w:rsidR="00571982">
        <w:rPr>
          <w:rFonts w:eastAsiaTheme="minorEastAsia"/>
          <w:color w:val="auto"/>
          <w:sz w:val="22"/>
          <w:szCs w:val="21"/>
        </w:rPr>
        <w:t>The Review</w:t>
      </w:r>
      <w:r w:rsidRPr="00B86190">
        <w:rPr>
          <w:rFonts w:eastAsiaTheme="minorEastAsia"/>
          <w:color w:val="auto"/>
          <w:sz w:val="22"/>
          <w:szCs w:val="21"/>
        </w:rPr>
        <w:t xml:space="preserve"> received 47 written submissions, 388 survey responses and conducted more than 70 interviews</w:t>
      </w:r>
      <w:r w:rsidR="00AD2A06">
        <w:rPr>
          <w:rFonts w:eastAsiaTheme="minorEastAsia"/>
          <w:color w:val="auto"/>
          <w:sz w:val="22"/>
          <w:szCs w:val="21"/>
        </w:rPr>
        <w:t xml:space="preserve"> and stakeholder engagements</w:t>
      </w:r>
      <w:r w:rsidRPr="00B86190">
        <w:rPr>
          <w:rFonts w:eastAsiaTheme="minorEastAsia"/>
          <w:color w:val="auto"/>
          <w:sz w:val="22"/>
          <w:szCs w:val="21"/>
        </w:rPr>
        <w:t>.</w:t>
      </w:r>
    </w:p>
    <w:p w:rsidR="00B86190" w:rsidRPr="00EE13FB" w:rsidRDefault="00B86190" w:rsidP="00522EBD">
      <w:pPr>
        <w:pStyle w:val="Heading1"/>
      </w:pPr>
      <w:r w:rsidRPr="00EE13FB">
        <w:t>Findings of the Review</w:t>
      </w:r>
    </w:p>
    <w:p w:rsidR="00B86190" w:rsidRPr="00B86190" w:rsidRDefault="00B86190" w:rsidP="00522EBD">
      <w:pPr>
        <w:pStyle w:val="Heading2"/>
      </w:pPr>
      <w:r w:rsidRPr="00B86190">
        <w:t>Interactions with Set the Standard</w:t>
      </w:r>
    </w:p>
    <w:p w:rsidR="00B86190" w:rsidRPr="00B86190" w:rsidRDefault="008E1A7D" w:rsidP="00B86190">
      <w:pPr>
        <w:pStyle w:val="BodyText"/>
        <w:rPr>
          <w:rFonts w:eastAsiaTheme="minorEastAsia"/>
          <w:color w:val="auto"/>
          <w:sz w:val="22"/>
          <w:szCs w:val="21"/>
        </w:rPr>
      </w:pPr>
      <w:r>
        <w:rPr>
          <w:rFonts w:eastAsiaTheme="minorEastAsia"/>
          <w:color w:val="auto"/>
          <w:sz w:val="22"/>
          <w:szCs w:val="21"/>
        </w:rPr>
        <w:t xml:space="preserve">The Review recommends </w:t>
      </w:r>
      <w:r w:rsidR="00B86190" w:rsidRPr="00B86190">
        <w:rPr>
          <w:rFonts w:eastAsiaTheme="minorEastAsia"/>
          <w:color w:val="auto"/>
          <w:sz w:val="22"/>
          <w:szCs w:val="21"/>
        </w:rPr>
        <w:t>amendments to the MoP(S) Act framework</w:t>
      </w:r>
      <w:r>
        <w:rPr>
          <w:rFonts w:eastAsiaTheme="minorEastAsia"/>
          <w:color w:val="auto"/>
          <w:sz w:val="22"/>
          <w:szCs w:val="21"/>
        </w:rPr>
        <w:t xml:space="preserve"> that are</w:t>
      </w:r>
      <w:r w:rsidR="00B86190" w:rsidRPr="00B86190">
        <w:rPr>
          <w:rFonts w:eastAsiaTheme="minorEastAsia"/>
          <w:color w:val="auto"/>
          <w:sz w:val="22"/>
          <w:szCs w:val="21"/>
        </w:rPr>
        <w:t xml:space="preserve"> closely linked with the implementation of other recommendations in Set the Standard. In particular, many of the recommendations anticipate the establishment of the Office of Parliamentarian Staffing and Cul</w:t>
      </w:r>
      <w:r w:rsidR="00521D25">
        <w:rPr>
          <w:rFonts w:eastAsiaTheme="minorEastAsia"/>
          <w:color w:val="auto"/>
          <w:sz w:val="22"/>
          <w:szCs w:val="21"/>
        </w:rPr>
        <w:t>ture (</w:t>
      </w:r>
      <w:r w:rsidR="00B86190" w:rsidRPr="00B86190">
        <w:rPr>
          <w:rFonts w:eastAsiaTheme="minorEastAsia"/>
          <w:color w:val="auto"/>
          <w:sz w:val="22"/>
          <w:szCs w:val="21"/>
        </w:rPr>
        <w:t xml:space="preserve">OPSC), </w:t>
      </w:r>
      <w:r w:rsidR="00453508">
        <w:rPr>
          <w:rFonts w:eastAsiaTheme="minorEastAsia"/>
          <w:color w:val="auto"/>
          <w:sz w:val="22"/>
          <w:szCs w:val="21"/>
        </w:rPr>
        <w:t>which the Government is currently consulting with staff on to ensure it is fit for purpose</w:t>
      </w:r>
      <w:r w:rsidR="00B86190" w:rsidRPr="00B86190">
        <w:rPr>
          <w:rFonts w:eastAsiaTheme="minorEastAsia"/>
          <w:color w:val="auto"/>
          <w:sz w:val="22"/>
          <w:szCs w:val="21"/>
        </w:rPr>
        <w:t>. Set the Standard proposed that the OPSC should be established to provide centralised human resources support and advice to parliamentarians and their staff, and to drive cultural change within parliament.</w:t>
      </w:r>
    </w:p>
    <w:p w:rsidR="00B86190" w:rsidRPr="00B86190" w:rsidRDefault="008E1A7D" w:rsidP="00B86190">
      <w:pPr>
        <w:pStyle w:val="BodyText"/>
        <w:rPr>
          <w:rFonts w:eastAsiaTheme="minorEastAsia"/>
          <w:color w:val="auto"/>
          <w:sz w:val="22"/>
          <w:szCs w:val="21"/>
        </w:rPr>
      </w:pPr>
      <w:r>
        <w:rPr>
          <w:rFonts w:eastAsiaTheme="minorEastAsia"/>
          <w:color w:val="auto"/>
          <w:sz w:val="22"/>
          <w:szCs w:val="21"/>
        </w:rPr>
        <w:lastRenderedPageBreak/>
        <w:t>T</w:t>
      </w:r>
      <w:r w:rsidR="00B86190" w:rsidRPr="00B86190">
        <w:rPr>
          <w:rFonts w:eastAsiaTheme="minorEastAsia"/>
          <w:color w:val="auto"/>
          <w:sz w:val="22"/>
          <w:szCs w:val="21"/>
        </w:rPr>
        <w:t xml:space="preserve">he Joint Select Committee on Parliamentary Standards is </w:t>
      </w:r>
      <w:r w:rsidR="00571982">
        <w:rPr>
          <w:rFonts w:eastAsiaTheme="minorEastAsia"/>
          <w:color w:val="auto"/>
          <w:sz w:val="22"/>
          <w:szCs w:val="21"/>
        </w:rPr>
        <w:t xml:space="preserve">separately </w:t>
      </w:r>
      <w:r w:rsidR="00B86190" w:rsidRPr="00B86190">
        <w:rPr>
          <w:rFonts w:eastAsiaTheme="minorEastAsia"/>
          <w:color w:val="auto"/>
          <w:sz w:val="22"/>
          <w:szCs w:val="21"/>
        </w:rPr>
        <w:t xml:space="preserve">conducting an inquiry </w:t>
      </w:r>
      <w:r w:rsidR="00453508">
        <w:rPr>
          <w:rFonts w:eastAsiaTheme="minorEastAsia"/>
          <w:color w:val="auto"/>
          <w:sz w:val="22"/>
          <w:szCs w:val="21"/>
        </w:rPr>
        <w:t xml:space="preserve">to </w:t>
      </w:r>
      <w:r w:rsidR="00453508">
        <w:rPr>
          <w:sz w:val="22"/>
          <w:szCs w:val="22"/>
        </w:rPr>
        <w:t>develop codes of conduct for Commonwealth parliamentary workplaces and recommend options for enforcing these codes</w:t>
      </w:r>
      <w:r w:rsidR="00B86190" w:rsidRPr="00B86190">
        <w:rPr>
          <w:rFonts w:eastAsiaTheme="minorEastAsia"/>
          <w:color w:val="auto"/>
          <w:sz w:val="22"/>
          <w:szCs w:val="21"/>
        </w:rPr>
        <w:t xml:space="preserve">. </w:t>
      </w:r>
      <w:r w:rsidR="00453508">
        <w:rPr>
          <w:rFonts w:eastAsiaTheme="minorEastAsia"/>
          <w:color w:val="auto"/>
          <w:sz w:val="22"/>
          <w:szCs w:val="21"/>
        </w:rPr>
        <w:t>The committee is due to report by 1 December 2022.</w:t>
      </w:r>
    </w:p>
    <w:p w:rsidR="00B86190" w:rsidRPr="00EE13FB" w:rsidRDefault="00B86190" w:rsidP="00522EBD">
      <w:pPr>
        <w:pStyle w:val="Heading2"/>
      </w:pPr>
      <w:r>
        <w:t>Issues and recommendations</w:t>
      </w:r>
    </w:p>
    <w:p w:rsidR="00521D25" w:rsidRDefault="00521D25" w:rsidP="00B86190">
      <w:pPr>
        <w:pStyle w:val="BodyText"/>
        <w:rPr>
          <w:rFonts w:eastAsiaTheme="minorEastAsia"/>
          <w:color w:val="auto"/>
          <w:sz w:val="22"/>
          <w:szCs w:val="21"/>
        </w:rPr>
      </w:pPr>
      <w:r w:rsidRPr="00521D25">
        <w:rPr>
          <w:rFonts w:eastAsiaTheme="minorEastAsia"/>
          <w:color w:val="auto"/>
          <w:sz w:val="22"/>
          <w:szCs w:val="21"/>
        </w:rPr>
        <w:t>In the main, the Review concluded that the framework of the MoP(S) Act was broadly appropriate, but required some amendments to modernise it, provide greater clarity, and improve transparency. The biggest issues and gaps identified relate to human resource capability within offices, the HR advice and support available to parliamentarians and employees, and accountability mechanisms.</w:t>
      </w:r>
      <w:r w:rsidR="0011051B">
        <w:rPr>
          <w:rFonts w:eastAsiaTheme="minorEastAsia"/>
          <w:color w:val="auto"/>
          <w:sz w:val="22"/>
          <w:szCs w:val="21"/>
        </w:rPr>
        <w:t xml:space="preserve"> </w:t>
      </w:r>
      <w:r w:rsidR="0011051B" w:rsidRPr="0011051B">
        <w:rPr>
          <w:rFonts w:eastAsiaTheme="minorEastAsia"/>
          <w:color w:val="auto"/>
          <w:sz w:val="22"/>
          <w:szCs w:val="21"/>
        </w:rPr>
        <w:t>The provision of high quality and consistent human resources support to all of its clients will be the first order priority of the OPSC, enabling it to win trust and drive cultural reform over the mid to long term.</w:t>
      </w:r>
    </w:p>
    <w:p w:rsidR="00B86190" w:rsidRDefault="00B86190" w:rsidP="00B86190">
      <w:pPr>
        <w:pStyle w:val="BodyText"/>
        <w:rPr>
          <w:rFonts w:eastAsiaTheme="minorEastAsia"/>
          <w:color w:val="auto"/>
          <w:sz w:val="22"/>
          <w:szCs w:val="21"/>
        </w:rPr>
      </w:pPr>
      <w:r w:rsidRPr="00B86190">
        <w:rPr>
          <w:rFonts w:eastAsiaTheme="minorEastAsia"/>
          <w:color w:val="auto"/>
          <w:sz w:val="22"/>
          <w:szCs w:val="21"/>
        </w:rPr>
        <w:t xml:space="preserve">The </w:t>
      </w:r>
      <w:r w:rsidR="008E1A7D">
        <w:rPr>
          <w:rFonts w:eastAsiaTheme="minorEastAsia"/>
          <w:color w:val="auto"/>
          <w:sz w:val="22"/>
          <w:szCs w:val="21"/>
        </w:rPr>
        <w:t xml:space="preserve">Review </w:t>
      </w:r>
      <w:r w:rsidR="00521D25">
        <w:rPr>
          <w:rFonts w:eastAsiaTheme="minorEastAsia"/>
          <w:color w:val="auto"/>
          <w:sz w:val="22"/>
          <w:szCs w:val="21"/>
        </w:rPr>
        <w:t>makes</w:t>
      </w:r>
      <w:r w:rsidRPr="00B86190">
        <w:rPr>
          <w:rFonts w:eastAsiaTheme="minorEastAsia"/>
          <w:color w:val="auto"/>
          <w:sz w:val="22"/>
          <w:szCs w:val="21"/>
        </w:rPr>
        <w:t xml:space="preserve"> 15 recommendations to </w:t>
      </w:r>
      <w:r w:rsidR="008E1A7D">
        <w:rPr>
          <w:rFonts w:eastAsiaTheme="minorEastAsia"/>
          <w:color w:val="auto"/>
          <w:sz w:val="22"/>
          <w:szCs w:val="21"/>
        </w:rPr>
        <w:t>address</w:t>
      </w:r>
      <w:r w:rsidRPr="00B86190">
        <w:rPr>
          <w:rFonts w:eastAsiaTheme="minorEastAsia"/>
          <w:color w:val="auto"/>
          <w:sz w:val="22"/>
          <w:szCs w:val="21"/>
        </w:rPr>
        <w:t xml:space="preserve"> gaps in the MoP(S) Act framework</w:t>
      </w:r>
      <w:r w:rsidR="00521D25">
        <w:rPr>
          <w:rFonts w:eastAsiaTheme="minorEastAsia"/>
          <w:color w:val="auto"/>
          <w:sz w:val="22"/>
          <w:szCs w:val="21"/>
        </w:rPr>
        <w:t xml:space="preserve"> including:</w:t>
      </w:r>
    </w:p>
    <w:p w:rsidR="001F7EE8" w:rsidRDefault="001F7EE8" w:rsidP="001F7EE8">
      <w:pPr>
        <w:pStyle w:val="BodyText"/>
        <w:numPr>
          <w:ilvl w:val="0"/>
          <w:numId w:val="38"/>
        </w:numPr>
        <w:rPr>
          <w:rFonts w:eastAsiaTheme="minorEastAsia"/>
          <w:color w:val="auto"/>
          <w:sz w:val="22"/>
          <w:szCs w:val="21"/>
        </w:rPr>
      </w:pPr>
      <w:r>
        <w:rPr>
          <w:rFonts w:eastAsiaTheme="minorEastAsia"/>
          <w:color w:val="auto"/>
          <w:sz w:val="22"/>
          <w:szCs w:val="21"/>
        </w:rPr>
        <w:t xml:space="preserve">That the </w:t>
      </w:r>
      <w:r w:rsidRPr="00B86190">
        <w:rPr>
          <w:rFonts w:eastAsiaTheme="minorEastAsia"/>
          <w:color w:val="auto"/>
          <w:sz w:val="22"/>
          <w:szCs w:val="21"/>
        </w:rPr>
        <w:t>Act be updated to re-categorise MoP(S) employees in accordance with how they are grouped in practice (i.e., personal staff of Ministers and of other parliamentarians, and electorate staff</w:t>
      </w:r>
      <w:r>
        <w:rPr>
          <w:rFonts w:eastAsiaTheme="minorEastAsia"/>
          <w:color w:val="auto"/>
          <w:sz w:val="22"/>
          <w:szCs w:val="21"/>
        </w:rPr>
        <w:t>), to include an objects clause and</w:t>
      </w:r>
      <w:r w:rsidRPr="00B86190">
        <w:rPr>
          <w:rFonts w:eastAsiaTheme="minorEastAsia"/>
          <w:color w:val="auto"/>
          <w:sz w:val="22"/>
          <w:szCs w:val="21"/>
        </w:rPr>
        <w:t xml:space="preserve"> standard superannuation provisions. </w:t>
      </w:r>
      <w:r>
        <w:rPr>
          <w:rFonts w:eastAsiaTheme="minorEastAsia"/>
          <w:color w:val="auto"/>
          <w:sz w:val="22"/>
          <w:szCs w:val="21"/>
        </w:rPr>
        <w:t>T</w:t>
      </w:r>
      <w:r w:rsidRPr="00B86190">
        <w:rPr>
          <w:rFonts w:eastAsiaTheme="minorEastAsia"/>
          <w:color w:val="auto"/>
          <w:sz w:val="22"/>
          <w:szCs w:val="21"/>
        </w:rPr>
        <w:t xml:space="preserve">he adoption of overarching employment principles in the Act to articulate the desired organisational culture </w:t>
      </w:r>
      <w:r>
        <w:rPr>
          <w:rFonts w:eastAsiaTheme="minorEastAsia"/>
          <w:color w:val="auto"/>
          <w:sz w:val="22"/>
          <w:szCs w:val="21"/>
        </w:rPr>
        <w:t xml:space="preserve">for MoP(S) Act employment </w:t>
      </w:r>
      <w:r w:rsidRPr="00B86190">
        <w:rPr>
          <w:rFonts w:eastAsiaTheme="minorEastAsia"/>
          <w:color w:val="auto"/>
          <w:sz w:val="22"/>
          <w:szCs w:val="21"/>
        </w:rPr>
        <w:t xml:space="preserve">and </w:t>
      </w:r>
      <w:r>
        <w:rPr>
          <w:rFonts w:eastAsiaTheme="minorEastAsia"/>
          <w:color w:val="auto"/>
          <w:sz w:val="22"/>
          <w:szCs w:val="21"/>
        </w:rPr>
        <w:t>the inclusion of parliamentarian and employee obligations.</w:t>
      </w:r>
    </w:p>
    <w:p w:rsidR="001F7EE8" w:rsidRPr="006D23A2" w:rsidRDefault="001F7EE8" w:rsidP="001F7EE8">
      <w:pPr>
        <w:pStyle w:val="ListParagraph"/>
        <w:numPr>
          <w:ilvl w:val="0"/>
          <w:numId w:val="38"/>
        </w:numPr>
        <w:spacing w:after="120"/>
      </w:pPr>
      <w:r w:rsidRPr="006D23A2">
        <w:t>That the OPSC, as the centralised HR support body, undertake a review of the factors affecting workloads, particularly in electorate offices, including support systems and processes, and external factors</w:t>
      </w:r>
      <w:r w:rsidRPr="00605E32">
        <w:t xml:space="preserve"> such as the adequacy of government serv</w:t>
      </w:r>
      <w:r>
        <w:t>ices and electorate composition</w:t>
      </w:r>
      <w:r w:rsidRPr="006D23A2">
        <w:t xml:space="preserve">, to inform an evidence-based consideration of office and staffing resources.  </w:t>
      </w:r>
    </w:p>
    <w:p w:rsidR="001F7EE8" w:rsidRPr="00B86190" w:rsidRDefault="001F7EE8" w:rsidP="001F7EE8">
      <w:pPr>
        <w:pStyle w:val="BodyText"/>
        <w:numPr>
          <w:ilvl w:val="0"/>
          <w:numId w:val="38"/>
        </w:numPr>
        <w:rPr>
          <w:rFonts w:eastAsiaTheme="minorEastAsia"/>
          <w:color w:val="auto"/>
          <w:sz w:val="22"/>
          <w:szCs w:val="21"/>
        </w:rPr>
      </w:pPr>
      <w:r w:rsidRPr="00B86190">
        <w:rPr>
          <w:rFonts w:eastAsiaTheme="minorEastAsia"/>
          <w:color w:val="auto"/>
          <w:sz w:val="22"/>
          <w:szCs w:val="21"/>
        </w:rPr>
        <w:t xml:space="preserve">Requiring parliamentarians to recruit suitable candidates against position descriptions will also drive cultural change and greater professionalisation of the MoP(S) workplace. The OPSC </w:t>
      </w:r>
      <w:r>
        <w:rPr>
          <w:rFonts w:eastAsiaTheme="minorEastAsia"/>
          <w:color w:val="auto"/>
          <w:sz w:val="22"/>
          <w:szCs w:val="21"/>
        </w:rPr>
        <w:t>should</w:t>
      </w:r>
      <w:r w:rsidRPr="00B86190">
        <w:rPr>
          <w:rFonts w:eastAsiaTheme="minorEastAsia"/>
          <w:color w:val="auto"/>
          <w:sz w:val="22"/>
          <w:szCs w:val="21"/>
        </w:rPr>
        <w:t xml:space="preserve"> assist parliamentarians to </w:t>
      </w:r>
      <w:r>
        <w:rPr>
          <w:rFonts w:eastAsiaTheme="minorEastAsia"/>
          <w:color w:val="auto"/>
          <w:sz w:val="22"/>
          <w:szCs w:val="21"/>
        </w:rPr>
        <w:t>engage</w:t>
      </w:r>
      <w:r w:rsidRPr="00B86190">
        <w:rPr>
          <w:rFonts w:eastAsiaTheme="minorEastAsia"/>
          <w:color w:val="auto"/>
          <w:sz w:val="22"/>
          <w:szCs w:val="21"/>
        </w:rPr>
        <w:t xml:space="preserve"> candidates for pos</w:t>
      </w:r>
      <w:r>
        <w:rPr>
          <w:rFonts w:eastAsiaTheme="minorEastAsia"/>
          <w:color w:val="auto"/>
          <w:sz w:val="22"/>
          <w:szCs w:val="21"/>
        </w:rPr>
        <w:t>itions, advise on best practice</w:t>
      </w:r>
      <w:r w:rsidRPr="00B86190">
        <w:rPr>
          <w:rFonts w:eastAsiaTheme="minorEastAsia"/>
          <w:color w:val="auto"/>
          <w:sz w:val="22"/>
          <w:szCs w:val="21"/>
        </w:rPr>
        <w:t xml:space="preserve"> for setting up an office, oversee induction and training, and provide centralised HR support </w:t>
      </w:r>
      <w:r>
        <w:rPr>
          <w:rFonts w:eastAsiaTheme="minorEastAsia"/>
          <w:color w:val="auto"/>
          <w:sz w:val="22"/>
          <w:szCs w:val="21"/>
        </w:rPr>
        <w:t xml:space="preserve">to both parliamentarians and staff </w:t>
      </w:r>
      <w:r w:rsidRPr="00B86190">
        <w:rPr>
          <w:rFonts w:eastAsiaTheme="minorEastAsia"/>
          <w:color w:val="auto"/>
          <w:sz w:val="22"/>
          <w:szCs w:val="21"/>
        </w:rPr>
        <w:t>across the life-</w:t>
      </w:r>
      <w:r>
        <w:rPr>
          <w:rFonts w:eastAsiaTheme="minorEastAsia"/>
          <w:color w:val="auto"/>
          <w:sz w:val="22"/>
          <w:szCs w:val="21"/>
        </w:rPr>
        <w:t>cycle of MoP(S) Act employment.</w:t>
      </w:r>
    </w:p>
    <w:p w:rsidR="001F7EE8" w:rsidRDefault="001F7EE8" w:rsidP="001F7EE8">
      <w:pPr>
        <w:pStyle w:val="BodyText"/>
        <w:numPr>
          <w:ilvl w:val="0"/>
          <w:numId w:val="38"/>
        </w:numPr>
        <w:rPr>
          <w:rFonts w:eastAsiaTheme="minorEastAsia"/>
          <w:color w:val="auto"/>
          <w:sz w:val="22"/>
          <w:szCs w:val="21"/>
        </w:rPr>
      </w:pPr>
      <w:r>
        <w:rPr>
          <w:rFonts w:eastAsiaTheme="minorEastAsia"/>
          <w:color w:val="auto"/>
          <w:sz w:val="22"/>
          <w:szCs w:val="21"/>
        </w:rPr>
        <w:t>That p</w:t>
      </w:r>
      <w:r w:rsidRPr="00B86190">
        <w:rPr>
          <w:rFonts w:eastAsiaTheme="minorEastAsia"/>
          <w:color w:val="auto"/>
          <w:sz w:val="22"/>
          <w:szCs w:val="21"/>
        </w:rPr>
        <w:t xml:space="preserve">arliamentarians </w:t>
      </w:r>
      <w:r>
        <w:rPr>
          <w:rFonts w:eastAsiaTheme="minorEastAsia"/>
          <w:color w:val="auto"/>
          <w:sz w:val="22"/>
          <w:szCs w:val="21"/>
        </w:rPr>
        <w:t>seek best practice advice from t</w:t>
      </w:r>
      <w:r w:rsidRPr="00B86190">
        <w:rPr>
          <w:rFonts w:eastAsiaTheme="minorEastAsia"/>
          <w:color w:val="auto"/>
          <w:sz w:val="22"/>
          <w:szCs w:val="21"/>
        </w:rPr>
        <w:t xml:space="preserve">he OPSC prior to effecting </w:t>
      </w:r>
      <w:r>
        <w:rPr>
          <w:rFonts w:eastAsiaTheme="minorEastAsia"/>
          <w:color w:val="auto"/>
          <w:sz w:val="22"/>
          <w:szCs w:val="21"/>
        </w:rPr>
        <w:t xml:space="preserve">a </w:t>
      </w:r>
      <w:r w:rsidRPr="00B86190">
        <w:rPr>
          <w:rFonts w:eastAsiaTheme="minorEastAsia"/>
          <w:color w:val="auto"/>
          <w:sz w:val="22"/>
          <w:szCs w:val="21"/>
        </w:rPr>
        <w:t>termination</w:t>
      </w:r>
      <w:r>
        <w:rPr>
          <w:rFonts w:eastAsiaTheme="minorEastAsia"/>
          <w:color w:val="auto"/>
          <w:sz w:val="22"/>
          <w:szCs w:val="21"/>
        </w:rPr>
        <w:t xml:space="preserve"> of employment to help ensure that</w:t>
      </w:r>
      <w:r w:rsidRPr="00B86190">
        <w:rPr>
          <w:rFonts w:eastAsiaTheme="minorEastAsia"/>
          <w:color w:val="auto"/>
          <w:sz w:val="22"/>
          <w:szCs w:val="21"/>
        </w:rPr>
        <w:t xml:space="preserve"> fair </w:t>
      </w:r>
      <w:r>
        <w:rPr>
          <w:rFonts w:eastAsiaTheme="minorEastAsia"/>
          <w:color w:val="auto"/>
          <w:sz w:val="22"/>
          <w:szCs w:val="21"/>
        </w:rPr>
        <w:t xml:space="preserve">dismissal </w:t>
      </w:r>
      <w:r w:rsidRPr="00B86190">
        <w:rPr>
          <w:rFonts w:eastAsiaTheme="minorEastAsia"/>
          <w:color w:val="auto"/>
          <w:sz w:val="22"/>
          <w:szCs w:val="21"/>
        </w:rPr>
        <w:t>process</w:t>
      </w:r>
      <w:r>
        <w:rPr>
          <w:rFonts w:eastAsiaTheme="minorEastAsia"/>
          <w:color w:val="auto"/>
          <w:sz w:val="22"/>
          <w:szCs w:val="21"/>
        </w:rPr>
        <w:t>es apply</w:t>
      </w:r>
      <w:r w:rsidRPr="00B86190">
        <w:rPr>
          <w:rFonts w:eastAsiaTheme="minorEastAsia"/>
          <w:color w:val="auto"/>
          <w:sz w:val="22"/>
          <w:szCs w:val="21"/>
        </w:rPr>
        <w:t xml:space="preserve"> </w:t>
      </w:r>
      <w:r>
        <w:rPr>
          <w:rFonts w:eastAsiaTheme="minorEastAsia"/>
          <w:color w:val="auto"/>
          <w:sz w:val="22"/>
          <w:szCs w:val="21"/>
        </w:rPr>
        <w:t xml:space="preserve">and that </w:t>
      </w:r>
      <w:r w:rsidRPr="00B86190">
        <w:rPr>
          <w:rFonts w:eastAsiaTheme="minorEastAsia"/>
          <w:color w:val="auto"/>
          <w:sz w:val="22"/>
          <w:szCs w:val="21"/>
        </w:rPr>
        <w:t xml:space="preserve">both the employing parliamentarian and the OPSC </w:t>
      </w:r>
      <w:r>
        <w:rPr>
          <w:rFonts w:eastAsiaTheme="minorEastAsia"/>
          <w:color w:val="auto"/>
          <w:sz w:val="22"/>
          <w:szCs w:val="21"/>
        </w:rPr>
        <w:t>(where there is an immediate risk) have the authority to</w:t>
      </w:r>
      <w:r w:rsidRPr="00B86190">
        <w:rPr>
          <w:rFonts w:eastAsiaTheme="minorEastAsia"/>
          <w:color w:val="auto"/>
          <w:sz w:val="22"/>
          <w:szCs w:val="21"/>
        </w:rPr>
        <w:t xml:space="preserve"> suspend </w:t>
      </w:r>
      <w:r>
        <w:rPr>
          <w:rFonts w:eastAsiaTheme="minorEastAsia"/>
          <w:color w:val="auto"/>
          <w:sz w:val="22"/>
          <w:szCs w:val="21"/>
        </w:rPr>
        <w:t>an employee from the workplace where appropriate.</w:t>
      </w:r>
      <w:r w:rsidRPr="00B86190">
        <w:rPr>
          <w:rFonts w:eastAsiaTheme="minorEastAsia"/>
          <w:color w:val="auto"/>
          <w:sz w:val="22"/>
          <w:szCs w:val="21"/>
        </w:rPr>
        <w:t xml:space="preserve"> </w:t>
      </w:r>
    </w:p>
    <w:p w:rsidR="001F7EE8" w:rsidRPr="00FC3105" w:rsidRDefault="001F7EE8" w:rsidP="001F7EE8">
      <w:pPr>
        <w:pStyle w:val="BodyText"/>
        <w:numPr>
          <w:ilvl w:val="0"/>
          <w:numId w:val="38"/>
        </w:numPr>
        <w:rPr>
          <w:rFonts w:eastAsiaTheme="minorEastAsia"/>
          <w:color w:val="auto"/>
          <w:sz w:val="22"/>
          <w:szCs w:val="21"/>
        </w:rPr>
      </w:pPr>
      <w:r>
        <w:rPr>
          <w:rFonts w:eastAsiaTheme="minorEastAsia"/>
          <w:color w:val="auto"/>
          <w:sz w:val="22"/>
          <w:szCs w:val="21"/>
        </w:rPr>
        <w:t>Increasing</w:t>
      </w:r>
      <w:r w:rsidRPr="00B86190">
        <w:rPr>
          <w:rFonts w:eastAsiaTheme="minorEastAsia"/>
          <w:color w:val="auto"/>
          <w:sz w:val="22"/>
          <w:szCs w:val="21"/>
        </w:rPr>
        <w:t xml:space="preserve"> transparency and accountability, </w:t>
      </w:r>
      <w:r>
        <w:rPr>
          <w:rFonts w:eastAsiaTheme="minorEastAsia"/>
          <w:color w:val="auto"/>
          <w:sz w:val="22"/>
          <w:szCs w:val="21"/>
        </w:rPr>
        <w:t xml:space="preserve">by recommending that </w:t>
      </w:r>
      <w:r w:rsidRPr="00B86190">
        <w:rPr>
          <w:rFonts w:eastAsiaTheme="minorEastAsia"/>
          <w:color w:val="auto"/>
          <w:sz w:val="22"/>
          <w:szCs w:val="21"/>
        </w:rPr>
        <w:t xml:space="preserve">the terms and conditions that apply to MoP(S) employment </w:t>
      </w:r>
      <w:r>
        <w:rPr>
          <w:rFonts w:eastAsiaTheme="minorEastAsia"/>
          <w:color w:val="auto"/>
          <w:sz w:val="22"/>
          <w:szCs w:val="21"/>
        </w:rPr>
        <w:t xml:space="preserve">should be </w:t>
      </w:r>
      <w:r w:rsidRPr="00B86190">
        <w:rPr>
          <w:rFonts w:eastAsiaTheme="minorEastAsia"/>
          <w:color w:val="auto"/>
          <w:sz w:val="22"/>
          <w:szCs w:val="21"/>
        </w:rPr>
        <w:t>made publi</w:t>
      </w:r>
      <w:r>
        <w:rPr>
          <w:rFonts w:eastAsiaTheme="minorEastAsia"/>
          <w:color w:val="auto"/>
          <w:sz w:val="22"/>
          <w:szCs w:val="21"/>
        </w:rPr>
        <w:t>c, and that the OPSC should</w:t>
      </w:r>
      <w:r w:rsidRPr="00B86190">
        <w:rPr>
          <w:rFonts w:eastAsiaTheme="minorEastAsia"/>
          <w:color w:val="auto"/>
          <w:sz w:val="22"/>
          <w:szCs w:val="21"/>
        </w:rPr>
        <w:t xml:space="preserve"> report annually on the administration of the Act, </w:t>
      </w:r>
      <w:r>
        <w:rPr>
          <w:rFonts w:eastAsiaTheme="minorEastAsia"/>
          <w:color w:val="auto"/>
          <w:sz w:val="22"/>
          <w:szCs w:val="21"/>
        </w:rPr>
        <w:t>including on staffing allocations.</w:t>
      </w:r>
    </w:p>
    <w:p w:rsidR="00B86190" w:rsidRPr="00B86190" w:rsidRDefault="00B86190" w:rsidP="00522EBD">
      <w:pPr>
        <w:pStyle w:val="Heading1"/>
      </w:pPr>
      <w:r w:rsidRPr="00B86190">
        <w:lastRenderedPageBreak/>
        <w:t>Next steps</w:t>
      </w:r>
    </w:p>
    <w:p w:rsidR="00B86190" w:rsidRPr="00B86190" w:rsidRDefault="00FB09AA" w:rsidP="00B86190">
      <w:pPr>
        <w:pStyle w:val="BodyText"/>
        <w:rPr>
          <w:rFonts w:eastAsiaTheme="minorEastAsia"/>
          <w:color w:val="auto"/>
          <w:sz w:val="22"/>
          <w:szCs w:val="21"/>
        </w:rPr>
      </w:pPr>
      <w:r w:rsidRPr="00FB09AA">
        <w:rPr>
          <w:rFonts w:eastAsiaTheme="minorEastAsia"/>
          <w:color w:val="auto"/>
          <w:sz w:val="22"/>
          <w:szCs w:val="21"/>
        </w:rPr>
        <w:t>The Government has indicated that it supports all of the report recommendations in principle, and will work with the Parliamentary Leadership Taskforce and across the Parliament to drive the necessary reforms to ensure the employment framework and workplace embodies the high standards expected by staff and the Australian community</w:t>
      </w:r>
      <w:r>
        <w:rPr>
          <w:rFonts w:eastAsiaTheme="minorEastAsia"/>
          <w:color w:val="auto"/>
          <w:sz w:val="22"/>
          <w:szCs w:val="21"/>
        </w:rPr>
        <w:t>.</w:t>
      </w:r>
      <w:bookmarkEnd w:id="0"/>
    </w:p>
    <w:sectPr w:rsidR="00B86190" w:rsidRPr="00B86190" w:rsidSect="000C376D">
      <w:headerReference w:type="even" r:id="rId11"/>
      <w:headerReference w:type="default" r:id="rId12"/>
      <w:footerReference w:type="even" r:id="rId13"/>
      <w:footerReference w:type="default" r:id="rId14"/>
      <w:headerReference w:type="first" r:id="rId15"/>
      <w:footerReference w:type="first" r:id="rId16"/>
      <w:pgSz w:w="11906" w:h="16838"/>
      <w:pgMar w:top="2410" w:right="1134" w:bottom="1276"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D1" w:rsidRDefault="00F937D1" w:rsidP="00F957C6">
      <w:pPr>
        <w:spacing w:after="0" w:line="240" w:lineRule="auto"/>
      </w:pPr>
      <w:r>
        <w:separator/>
      </w:r>
    </w:p>
  </w:endnote>
  <w:endnote w:type="continuationSeparator" w:id="0">
    <w:p w:rsidR="00F937D1" w:rsidRDefault="00F937D1"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B4" w:rsidRDefault="00001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852F35" w:rsidRDefault="00037513" w:rsidP="00D10635">
    <w:pPr>
      <w:pStyle w:val="Header"/>
      <w:rPr>
        <w:rFonts w:ascii="Segoe UI" w:hAnsi="Segoe UI" w:cs="Segoe UI"/>
        <w:color w:val="6E6E6E"/>
        <w:sz w:val="18"/>
      </w:rPr>
    </w:pPr>
    <w:r w:rsidRPr="00852F35">
      <w:rPr>
        <w:color w:val="6E6E6E"/>
        <w:sz w:val="18"/>
        <w:szCs w:val="18"/>
      </w:rPr>
      <w:t xml:space="preserve">PM&amp;C | </w:t>
    </w:r>
    <w:r w:rsidR="00B86190">
      <w:rPr>
        <w:color w:val="6E6E6E"/>
        <w:sz w:val="18"/>
        <w:szCs w:val="18"/>
      </w:rPr>
      <w:t>Factsheet on the MoP(S) Act Review</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0012B4">
      <w:rPr>
        <w:rFonts w:ascii="Segoe UI" w:hAnsi="Segoe UI" w:cs="Segoe UI"/>
        <w:noProof/>
        <w:color w:val="6E6E6E"/>
        <w:sz w:val="18"/>
      </w:rPr>
      <w:t>3</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D89" w:rsidRDefault="00464D89" w:rsidP="00464D89">
    <w:pPr>
      <w:pStyle w:val="Header"/>
      <w:jc w:val="center"/>
    </w:pPr>
  </w:p>
  <w:p w:rsidR="00464D89" w:rsidRPr="00BB1526" w:rsidRDefault="00BB1526" w:rsidP="00BB1526">
    <w:pPr>
      <w:pStyle w:val="Header"/>
      <w:rPr>
        <w:rFonts w:ascii="Segoe UI" w:hAnsi="Segoe UI" w:cs="Segoe UI"/>
        <w:color w:val="6E6E6E"/>
        <w:sz w:val="18"/>
      </w:rPr>
    </w:pPr>
    <w:r w:rsidRPr="00852F35">
      <w:rPr>
        <w:color w:val="6E6E6E"/>
        <w:sz w:val="18"/>
        <w:szCs w:val="18"/>
      </w:rPr>
      <w:t xml:space="preserve">PM&amp;C | </w:t>
    </w:r>
    <w:r w:rsidR="00B86190">
      <w:rPr>
        <w:color w:val="6E6E6E"/>
        <w:sz w:val="18"/>
        <w:szCs w:val="18"/>
      </w:rPr>
      <w:t>Factsheet on the MoP(S) Act Review</w:t>
    </w:r>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0012B4">
      <w:rPr>
        <w:rFonts w:ascii="Segoe UI" w:hAnsi="Segoe UI" w:cs="Segoe UI"/>
        <w:noProof/>
        <w:color w:val="6E6E6E"/>
        <w:sz w:val="18"/>
      </w:rPr>
      <w:t>1</w:t>
    </w:r>
    <w:r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D1" w:rsidRDefault="00F937D1" w:rsidP="00F957C6">
      <w:pPr>
        <w:spacing w:after="0" w:line="240" w:lineRule="auto"/>
      </w:pPr>
      <w:r>
        <w:separator/>
      </w:r>
    </w:p>
  </w:footnote>
  <w:footnote w:type="continuationSeparator" w:id="0">
    <w:p w:rsidR="00F937D1" w:rsidRDefault="00F937D1"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2B4" w:rsidRDefault="0000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13" w:rsidRPr="00D10635" w:rsidRDefault="00D04E61" w:rsidP="00464D89">
    <w:pPr>
      <w:pStyle w:val="Header"/>
      <w:jc w:val="center"/>
    </w:pPr>
    <w:r>
      <w:rPr>
        <w:noProof/>
        <w:lang w:eastAsia="en-AU"/>
      </w:rPr>
      <mc:AlternateContent>
        <mc:Choice Requires="wps">
          <w:drawing>
            <wp:anchor distT="0" distB="0" distL="114300" distR="114300" simplePos="0" relativeHeight="251677696" behindDoc="1" locked="0" layoutInCell="1" allowOverlap="1" wp14:anchorId="6C3563F4" wp14:editId="574868BF">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1DDF7F"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EF3" w:rsidRDefault="00A62EF3" w:rsidP="00303C55">
    <w:pPr>
      <w:pStyle w:val="Header"/>
      <w:jc w:val="center"/>
      <w:rPr>
        <w:rStyle w:val="CLASSIFICATIONChar"/>
      </w:rPr>
    </w:pPr>
    <w:r>
      <w:rPr>
        <w:rFonts w:ascii="Segoe UI" w:hAnsi="Segoe UI"/>
        <w:caps/>
        <w:noProof/>
        <w:color w:val="C00000"/>
        <w:sz w:val="18"/>
        <w:lang w:eastAsia="en-AU"/>
      </w:rPr>
      <w:drawing>
        <wp:anchor distT="0" distB="0" distL="114300" distR="114300" simplePos="0" relativeHeight="251681792" behindDoc="1" locked="0" layoutInCell="1" allowOverlap="1" wp14:anchorId="0FE750D0" wp14:editId="381404D8">
          <wp:simplePos x="0" y="0"/>
          <wp:positionH relativeFrom="column">
            <wp:posOffset>4742815</wp:posOffset>
          </wp:positionH>
          <wp:positionV relativeFrom="paragraph">
            <wp:posOffset>-517525</wp:posOffset>
          </wp:positionV>
          <wp:extent cx="1473795" cy="1789544"/>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M&amp;C Template Acronym.jpg"/>
                  <pic:cNvPicPr/>
                </pic:nvPicPr>
                <pic:blipFill>
                  <a:blip r:embed="rId1">
                    <a:extLst>
                      <a:ext uri="{28A0092B-C50C-407E-A947-70E740481C1C}">
                        <a14:useLocalDpi xmlns:a14="http://schemas.microsoft.com/office/drawing/2010/main" val="0"/>
                      </a:ext>
                    </a:extLst>
                  </a:blip>
                  <a:stretch>
                    <a:fillRect/>
                  </a:stretch>
                </pic:blipFill>
                <pic:spPr>
                  <a:xfrm>
                    <a:off x="0" y="0"/>
                    <a:ext cx="1473795" cy="1789544"/>
                  </a:xfrm>
                  <a:prstGeom prst="rect">
                    <a:avLst/>
                  </a:prstGeom>
                </pic:spPr>
              </pic:pic>
            </a:graphicData>
          </a:graphic>
          <wp14:sizeRelH relativeFrom="margin">
            <wp14:pctWidth>0</wp14:pctWidth>
          </wp14:sizeRelH>
          <wp14:sizeRelV relativeFrom="margin">
            <wp14:pctHeight>0</wp14:pctHeight>
          </wp14:sizeRelV>
        </wp:anchor>
      </w:drawing>
    </w:r>
  </w:p>
  <w:p w:rsidR="00A62EF3" w:rsidRDefault="00A62EF3" w:rsidP="00303C55">
    <w:pPr>
      <w:pStyle w:val="Header"/>
      <w:jc w:val="center"/>
      <w:rPr>
        <w:rStyle w:val="CLASSIFICATIONChar"/>
      </w:rPr>
    </w:pPr>
  </w:p>
  <w:p w:rsidR="00A62EF3" w:rsidRDefault="00A62EF3" w:rsidP="00303C55">
    <w:pPr>
      <w:pStyle w:val="Header"/>
      <w:jc w:val="center"/>
      <w:rPr>
        <w:rStyle w:val="CLASSIFICATIONChar"/>
      </w:rPr>
    </w:pPr>
  </w:p>
  <w:p w:rsidR="00037513" w:rsidRDefault="00A62EF3" w:rsidP="00303C55">
    <w:pPr>
      <w:pStyle w:val="Header"/>
      <w:jc w:val="center"/>
    </w:pPr>
    <w:r w:rsidRPr="002160A7">
      <w:rPr>
        <w:noProof/>
        <w:lang w:eastAsia="en-AU"/>
      </w:rPr>
      <w:drawing>
        <wp:anchor distT="0" distB="0" distL="114300" distR="114300" simplePos="0" relativeHeight="251679744" behindDoc="1" locked="0" layoutInCell="1" allowOverlap="1" wp14:anchorId="730A9EAB" wp14:editId="7975FBE8">
          <wp:simplePos x="0" y="0"/>
          <wp:positionH relativeFrom="column">
            <wp:posOffset>-214540</wp:posOffset>
          </wp:positionH>
          <wp:positionV relativeFrom="page">
            <wp:posOffset>115570</wp:posOffset>
          </wp:positionV>
          <wp:extent cx="3600000" cy="806400"/>
          <wp:effectExtent l="0" t="0" r="0" b="0"/>
          <wp:wrapNone/>
          <wp:docPr id="13" name="Picture 13"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1" w:name="_GoBack"/>
    <w:r w:rsidR="00037513">
      <w:rPr>
        <w:noProof/>
        <w:lang w:eastAsia="en-AU"/>
      </w:rPr>
      <mc:AlternateContent>
        <mc:Choice Requires="wps">
          <w:drawing>
            <wp:anchor distT="0" distB="0" distL="114300" distR="114300" simplePos="0" relativeHeight="251675648" behindDoc="1" locked="0" layoutInCell="1" allowOverlap="1" wp14:anchorId="3E4DE1CD" wp14:editId="4CDC4C50">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F6EB2D"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F15E6B"/>
    <w:multiLevelType w:val="hybridMultilevel"/>
    <w:tmpl w:val="EF4A7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2"/>
  </w:num>
  <w:num w:numId="22">
    <w:abstractNumId w:val="19"/>
  </w:num>
  <w:num w:numId="23">
    <w:abstractNumId w:val="11"/>
    <w:lvlOverride w:ilvl="0">
      <w:startOverride w:val="1"/>
    </w:lvlOverride>
  </w:num>
  <w:num w:numId="24">
    <w:abstractNumId w:val="22"/>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ctiveWritingStyle w:appName="MSWord" w:lang="en-AU"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13"/>
    <w:rsid w:val="000012B4"/>
    <w:rsid w:val="00027038"/>
    <w:rsid w:val="0003154E"/>
    <w:rsid w:val="00037513"/>
    <w:rsid w:val="00042C41"/>
    <w:rsid w:val="0006627F"/>
    <w:rsid w:val="000B3417"/>
    <w:rsid w:val="000B6A28"/>
    <w:rsid w:val="000C376D"/>
    <w:rsid w:val="000D749D"/>
    <w:rsid w:val="0011051B"/>
    <w:rsid w:val="00115264"/>
    <w:rsid w:val="00117A77"/>
    <w:rsid w:val="00136C29"/>
    <w:rsid w:val="001611BF"/>
    <w:rsid w:val="00164F3B"/>
    <w:rsid w:val="0017436A"/>
    <w:rsid w:val="00195326"/>
    <w:rsid w:val="001954B4"/>
    <w:rsid w:val="001A0DB3"/>
    <w:rsid w:val="001A3013"/>
    <w:rsid w:val="001B2D56"/>
    <w:rsid w:val="001F7EE8"/>
    <w:rsid w:val="00212443"/>
    <w:rsid w:val="00220DDA"/>
    <w:rsid w:val="00227DB5"/>
    <w:rsid w:val="00266CCC"/>
    <w:rsid w:val="00274D42"/>
    <w:rsid w:val="00285CAF"/>
    <w:rsid w:val="002B0092"/>
    <w:rsid w:val="002B661A"/>
    <w:rsid w:val="002C7A05"/>
    <w:rsid w:val="002D6B3D"/>
    <w:rsid w:val="002E5916"/>
    <w:rsid w:val="00303C55"/>
    <w:rsid w:val="00311C2D"/>
    <w:rsid w:val="00317030"/>
    <w:rsid w:val="00346081"/>
    <w:rsid w:val="00353E5E"/>
    <w:rsid w:val="00361020"/>
    <w:rsid w:val="00374D2A"/>
    <w:rsid w:val="00376FE6"/>
    <w:rsid w:val="00385BD5"/>
    <w:rsid w:val="003C181D"/>
    <w:rsid w:val="003D676D"/>
    <w:rsid w:val="003F23E9"/>
    <w:rsid w:val="00426C26"/>
    <w:rsid w:val="00443F97"/>
    <w:rsid w:val="00453508"/>
    <w:rsid w:val="004553BA"/>
    <w:rsid w:val="00464D89"/>
    <w:rsid w:val="00473D0A"/>
    <w:rsid w:val="00480D0B"/>
    <w:rsid w:val="00490B90"/>
    <w:rsid w:val="004B2C90"/>
    <w:rsid w:val="004C17DE"/>
    <w:rsid w:val="004F4C4F"/>
    <w:rsid w:val="00521D25"/>
    <w:rsid w:val="005226B9"/>
    <w:rsid w:val="00522EBD"/>
    <w:rsid w:val="00553213"/>
    <w:rsid w:val="00555E75"/>
    <w:rsid w:val="00561FB9"/>
    <w:rsid w:val="00571982"/>
    <w:rsid w:val="00591288"/>
    <w:rsid w:val="005917FD"/>
    <w:rsid w:val="005A4AA1"/>
    <w:rsid w:val="005B3358"/>
    <w:rsid w:val="005C0F15"/>
    <w:rsid w:val="005C3C13"/>
    <w:rsid w:val="005D41B3"/>
    <w:rsid w:val="005D4706"/>
    <w:rsid w:val="005E5B36"/>
    <w:rsid w:val="00600D45"/>
    <w:rsid w:val="006147EB"/>
    <w:rsid w:val="006200EB"/>
    <w:rsid w:val="00621EA3"/>
    <w:rsid w:val="00640234"/>
    <w:rsid w:val="0064343A"/>
    <w:rsid w:val="00665FB6"/>
    <w:rsid w:val="006A008F"/>
    <w:rsid w:val="006A5AA6"/>
    <w:rsid w:val="006E170D"/>
    <w:rsid w:val="006E698B"/>
    <w:rsid w:val="0071548B"/>
    <w:rsid w:val="007203E4"/>
    <w:rsid w:val="007204A9"/>
    <w:rsid w:val="00756929"/>
    <w:rsid w:val="00767DBB"/>
    <w:rsid w:val="00774646"/>
    <w:rsid w:val="00781695"/>
    <w:rsid w:val="007A02A7"/>
    <w:rsid w:val="007A7DDE"/>
    <w:rsid w:val="007C0935"/>
    <w:rsid w:val="007F4E93"/>
    <w:rsid w:val="008046D4"/>
    <w:rsid w:val="00817263"/>
    <w:rsid w:val="00833792"/>
    <w:rsid w:val="00852F35"/>
    <w:rsid w:val="00857363"/>
    <w:rsid w:val="00872594"/>
    <w:rsid w:val="00880485"/>
    <w:rsid w:val="00883248"/>
    <w:rsid w:val="008A0614"/>
    <w:rsid w:val="008B44F5"/>
    <w:rsid w:val="008C47A1"/>
    <w:rsid w:val="008C738F"/>
    <w:rsid w:val="008D6B9E"/>
    <w:rsid w:val="008E1024"/>
    <w:rsid w:val="008E1A7D"/>
    <w:rsid w:val="00913ED0"/>
    <w:rsid w:val="00927650"/>
    <w:rsid w:val="00942CB6"/>
    <w:rsid w:val="00942CE9"/>
    <w:rsid w:val="00954FF2"/>
    <w:rsid w:val="009615D2"/>
    <w:rsid w:val="00962EE8"/>
    <w:rsid w:val="00976EE9"/>
    <w:rsid w:val="00984376"/>
    <w:rsid w:val="009A6D9C"/>
    <w:rsid w:val="009C60F6"/>
    <w:rsid w:val="009F0889"/>
    <w:rsid w:val="009F6A0F"/>
    <w:rsid w:val="00A008E6"/>
    <w:rsid w:val="00A03E2E"/>
    <w:rsid w:val="00A12C83"/>
    <w:rsid w:val="00A5540E"/>
    <w:rsid w:val="00A62EF3"/>
    <w:rsid w:val="00A918A7"/>
    <w:rsid w:val="00AA705F"/>
    <w:rsid w:val="00AC2CDC"/>
    <w:rsid w:val="00AD2A06"/>
    <w:rsid w:val="00AD7805"/>
    <w:rsid w:val="00B16D44"/>
    <w:rsid w:val="00B33E34"/>
    <w:rsid w:val="00B50882"/>
    <w:rsid w:val="00B56736"/>
    <w:rsid w:val="00B6596F"/>
    <w:rsid w:val="00B86190"/>
    <w:rsid w:val="00BB1526"/>
    <w:rsid w:val="00BD171D"/>
    <w:rsid w:val="00BD2ED6"/>
    <w:rsid w:val="00BD57F5"/>
    <w:rsid w:val="00BE48A4"/>
    <w:rsid w:val="00BE56F0"/>
    <w:rsid w:val="00BF792C"/>
    <w:rsid w:val="00C12D35"/>
    <w:rsid w:val="00C47620"/>
    <w:rsid w:val="00C70947"/>
    <w:rsid w:val="00CC0E35"/>
    <w:rsid w:val="00CC6110"/>
    <w:rsid w:val="00D03799"/>
    <w:rsid w:val="00D04E61"/>
    <w:rsid w:val="00D10635"/>
    <w:rsid w:val="00D147B4"/>
    <w:rsid w:val="00D30CA9"/>
    <w:rsid w:val="00D500C1"/>
    <w:rsid w:val="00D525B8"/>
    <w:rsid w:val="00DA18A2"/>
    <w:rsid w:val="00DB1A82"/>
    <w:rsid w:val="00DF2F8D"/>
    <w:rsid w:val="00E05FA4"/>
    <w:rsid w:val="00E224F4"/>
    <w:rsid w:val="00E2753F"/>
    <w:rsid w:val="00E84F06"/>
    <w:rsid w:val="00E92551"/>
    <w:rsid w:val="00EB147E"/>
    <w:rsid w:val="00ED0697"/>
    <w:rsid w:val="00F03073"/>
    <w:rsid w:val="00F66078"/>
    <w:rsid w:val="00F86700"/>
    <w:rsid w:val="00F87586"/>
    <w:rsid w:val="00F937D1"/>
    <w:rsid w:val="00F957C6"/>
    <w:rsid w:val="00FB09AA"/>
    <w:rsid w:val="00FD20A5"/>
    <w:rsid w:val="00FD2C22"/>
    <w:rsid w:val="00FE2C7F"/>
    <w:rsid w:val="00FF43C2"/>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092B57"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092B57" w:themeColor="accent1"/>
      <w:sz w:val="36"/>
      <w:szCs w:val="28"/>
    </w:rPr>
  </w:style>
  <w:style w:type="paragraph" w:styleId="Heading3">
    <w:name w:val="heading 3"/>
    <w:basedOn w:val="Heading4"/>
    <w:next w:val="Normal"/>
    <w:link w:val="Heading3Char"/>
    <w:uiPriority w:val="2"/>
    <w:qFormat/>
    <w:rsid w:val="006147EB"/>
    <w:pPr>
      <w:outlineLvl w:val="2"/>
    </w:pPr>
    <w:rPr>
      <w:color w:val="092B57"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092B57"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092B57"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092B57"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F86700"/>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F86700"/>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1D75E7" w:themeColor="accent1" w:themeTint="99"/>
        <w:left w:val="single" w:sz="4" w:space="0" w:color="1D75E7" w:themeColor="accent1" w:themeTint="99"/>
        <w:bottom w:val="single" w:sz="4" w:space="0" w:color="1D75E7" w:themeColor="accent1" w:themeTint="99"/>
        <w:right w:val="single" w:sz="4" w:space="0" w:color="1D75E7" w:themeColor="accent1" w:themeTint="99"/>
        <w:insideH w:val="single" w:sz="4" w:space="0" w:color="1D75E7" w:themeColor="accent1" w:themeTint="99"/>
      </w:tblBorders>
    </w:tblPr>
    <w:tblStylePr w:type="firstRow">
      <w:rPr>
        <w:b/>
        <w:bCs/>
        <w:color w:val="FFFFFF" w:themeColor="background1"/>
      </w:rPr>
      <w:tblPr/>
      <w:tcPr>
        <w:tcBorders>
          <w:top w:val="single" w:sz="4" w:space="0" w:color="092B57" w:themeColor="accent1"/>
          <w:left w:val="single" w:sz="4" w:space="0" w:color="092B57" w:themeColor="accent1"/>
          <w:bottom w:val="single" w:sz="4" w:space="0" w:color="092B57" w:themeColor="accent1"/>
          <w:right w:val="single" w:sz="4" w:space="0" w:color="092B57" w:themeColor="accent1"/>
          <w:insideH w:val="nil"/>
        </w:tcBorders>
        <w:shd w:val="clear" w:color="auto" w:fill="092B57" w:themeFill="accent1"/>
      </w:tcPr>
    </w:tblStylePr>
    <w:tblStylePr w:type="lastRow">
      <w:rPr>
        <w:b/>
        <w:bCs/>
      </w:rPr>
      <w:tblPr/>
      <w:tcPr>
        <w:tcBorders>
          <w:top w:val="double" w:sz="4" w:space="0" w:color="1D75E7" w:themeColor="accent1" w:themeTint="99"/>
        </w:tcBorders>
      </w:tcPr>
    </w:tblStylePr>
    <w:tblStylePr w:type="firstCol">
      <w:rPr>
        <w:b/>
        <w:bCs/>
      </w:rPr>
    </w:tblStylePr>
    <w:tblStylePr w:type="lastCol">
      <w:rPr>
        <w:b/>
        <w:bCs/>
      </w:rPr>
    </w:tblStylePr>
    <w:tblStylePr w:type="band1Vert">
      <w:tblPr/>
      <w:tcPr>
        <w:shd w:val="clear" w:color="auto" w:fill="B3D1F7" w:themeFill="accent1" w:themeFillTint="33"/>
      </w:tcPr>
    </w:tblStylePr>
    <w:tblStylePr w:type="band1Horz">
      <w:tblPr/>
      <w:tcPr>
        <w:shd w:val="clear" w:color="auto" w:fill="B3D1F7"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1B375C" w:themeColor="hyperlink"/>
      <w:u w:val="single"/>
    </w:rPr>
  </w:style>
  <w:style w:type="paragraph" w:customStyle="1" w:styleId="BoxDark-HeadingLevel3">
    <w:name w:val="Box Dark - Heading Level 3"/>
    <w:basedOn w:val="BOXHeading3"/>
    <w:uiPriority w:val="9"/>
    <w:rsid w:val="00311C2D"/>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color w:val="FFFFFF" w:themeColor="background1"/>
    </w:rPr>
  </w:style>
  <w:style w:type="paragraph" w:customStyle="1" w:styleId="BoxDark-Text">
    <w:name w:val="Box Dark - Text"/>
    <w:basedOn w:val="BOXText"/>
    <w:uiPriority w:val="7"/>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092B57" w:themeColor="accent1"/>
        <w:left w:val="single" w:sz="48" w:space="4" w:color="092B57" w:themeColor="accent1"/>
        <w:bottom w:val="single" w:sz="48" w:space="1" w:color="092B57" w:themeColor="accent1"/>
        <w:right w:val="single" w:sz="48" w:space="4" w:color="092B57" w:themeColor="accent1"/>
      </w:pBdr>
      <w:shd w:val="clear" w:color="auto" w:fill="092B57"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092B57" w:themeColor="accent1"/>
        <w:bottom w:val="single" w:sz="12" w:space="0" w:color="092B57" w:themeColor="accent1"/>
        <w:insideH w:val="single" w:sz="4" w:space="0" w:color="092B57" w:themeColor="accent1"/>
      </w:tblBorders>
      <w:tblCellMar>
        <w:top w:w="57" w:type="dxa"/>
        <w:bottom w:w="57" w:type="dxa"/>
      </w:tblCellMar>
    </w:tblPr>
    <w:tblStylePr w:type="firstRow">
      <w:rPr>
        <w:rFonts w:asciiTheme="minorHAnsi" w:hAnsiTheme="minorHAnsi"/>
        <w:b/>
        <w:sz w:val="18"/>
      </w:rPr>
      <w:tblPr/>
      <w:tcPr>
        <w:shd w:val="clear" w:color="auto" w:fill="092B57" w:themeFill="accent1"/>
      </w:tcPr>
    </w:tblStylePr>
    <w:tblStylePr w:type="band1Horz">
      <w:tblPr/>
      <w:tcPr>
        <w:shd w:val="clear" w:color="auto" w:fill="E0E8F2" w:themeFill="background2"/>
      </w:tcPr>
    </w:tblStylePr>
  </w:style>
  <w:style w:type="table" w:customStyle="1" w:styleId="Style1">
    <w:name w:val="Style1"/>
    <w:basedOn w:val="Custom1"/>
    <w:uiPriority w:val="99"/>
    <w:rsid w:val="00D500C1"/>
    <w:tblPr>
      <w:tblBorders>
        <w:top w:val="none" w:sz="0" w:space="0" w:color="auto"/>
        <w:left w:val="single" w:sz="4" w:space="0" w:color="092B57" w:themeColor="accent1"/>
        <w:bottom w:val="single" w:sz="4" w:space="0" w:color="092B57" w:themeColor="accent1"/>
        <w:right w:val="single" w:sz="4" w:space="0" w:color="092B57" w:themeColor="accent1"/>
        <w:insideH w:val="none" w:sz="0" w:space="0" w:color="auto"/>
        <w:insideV w:val="single" w:sz="4" w:space="0" w:color="092B57" w:themeColor="accent1"/>
      </w:tblBorders>
    </w:tblPr>
    <w:tblStylePr w:type="firstRow">
      <w:rPr>
        <w:rFonts w:asciiTheme="minorHAnsi" w:hAnsiTheme="minorHAnsi"/>
        <w:b/>
        <w:sz w:val="18"/>
      </w:rPr>
      <w:tblPr/>
      <w:tcPr>
        <w:shd w:val="clear" w:color="auto" w:fill="092B57" w:themeFill="accent1"/>
      </w:tcPr>
    </w:tblStylePr>
    <w:tblStylePr w:type="firstCol">
      <w:rPr>
        <w:b/>
      </w:rPr>
      <w:tblPr/>
      <w:tcPr>
        <w:shd w:val="clear" w:color="auto" w:fill="092B57" w:themeFill="accent1"/>
      </w:tcPr>
    </w:tblStylePr>
    <w:tblStylePr w:type="band1Horz">
      <w:tblPr/>
      <w:tcPr>
        <w:shd w:val="clear" w:color="auto" w:fill="E0E8F2" w:themeFill="background2"/>
      </w:tcPr>
    </w:tblStylePr>
  </w:style>
  <w:style w:type="paragraph" w:styleId="BodyText">
    <w:name w:val="Body Text"/>
    <w:basedOn w:val="Normal"/>
    <w:link w:val="BodyTextChar"/>
    <w:qFormat/>
    <w:rsid w:val="00B86190"/>
    <w:pPr>
      <w:spacing w:after="120"/>
    </w:pPr>
    <w:rPr>
      <w:rFonts w:eastAsiaTheme="minorHAnsi"/>
      <w:color w:val="262626" w:themeColor="text1" w:themeTint="D9"/>
      <w:sz w:val="20"/>
      <w:szCs w:val="20"/>
    </w:rPr>
  </w:style>
  <w:style w:type="character" w:customStyle="1" w:styleId="BodyTextChar">
    <w:name w:val="Body Text Char"/>
    <w:basedOn w:val="DefaultParagraphFont"/>
    <w:link w:val="BodyText"/>
    <w:rsid w:val="00B86190"/>
    <w:rPr>
      <w:rFonts w:eastAsiaTheme="minorHAnsi"/>
      <w:color w:val="262626" w:themeColor="text1" w:themeTint="D9"/>
      <w:sz w:val="20"/>
      <w:szCs w:val="20"/>
    </w:rPr>
  </w:style>
  <w:style w:type="character" w:styleId="CommentReference">
    <w:name w:val="annotation reference"/>
    <w:basedOn w:val="DefaultParagraphFont"/>
    <w:uiPriority w:val="99"/>
    <w:semiHidden/>
    <w:unhideWhenUsed/>
    <w:rsid w:val="00D147B4"/>
    <w:rPr>
      <w:sz w:val="16"/>
      <w:szCs w:val="16"/>
    </w:rPr>
  </w:style>
  <w:style w:type="paragraph" w:styleId="CommentText">
    <w:name w:val="annotation text"/>
    <w:basedOn w:val="Normal"/>
    <w:link w:val="CommentTextChar"/>
    <w:uiPriority w:val="99"/>
    <w:semiHidden/>
    <w:unhideWhenUsed/>
    <w:rsid w:val="00D147B4"/>
    <w:pPr>
      <w:spacing w:line="240" w:lineRule="auto"/>
    </w:pPr>
    <w:rPr>
      <w:sz w:val="20"/>
      <w:szCs w:val="20"/>
    </w:rPr>
  </w:style>
  <w:style w:type="character" w:customStyle="1" w:styleId="CommentTextChar">
    <w:name w:val="Comment Text Char"/>
    <w:basedOn w:val="DefaultParagraphFont"/>
    <w:link w:val="CommentText"/>
    <w:uiPriority w:val="99"/>
    <w:semiHidden/>
    <w:rsid w:val="00D147B4"/>
    <w:rPr>
      <w:sz w:val="20"/>
      <w:szCs w:val="20"/>
    </w:rPr>
  </w:style>
  <w:style w:type="paragraph" w:styleId="CommentSubject">
    <w:name w:val="annotation subject"/>
    <w:basedOn w:val="CommentText"/>
    <w:next w:val="CommentText"/>
    <w:link w:val="CommentSubjectChar"/>
    <w:uiPriority w:val="99"/>
    <w:semiHidden/>
    <w:unhideWhenUsed/>
    <w:rsid w:val="00D147B4"/>
    <w:rPr>
      <w:b/>
      <w:bCs/>
    </w:rPr>
  </w:style>
  <w:style w:type="character" w:customStyle="1" w:styleId="CommentSubjectChar">
    <w:name w:val="Comment Subject Char"/>
    <w:basedOn w:val="CommentTextChar"/>
    <w:link w:val="CommentSubject"/>
    <w:uiPriority w:val="99"/>
    <w:semiHidden/>
    <w:rsid w:val="00D147B4"/>
    <w:rPr>
      <w:b/>
      <w:bCs/>
      <w:sz w:val="20"/>
      <w:szCs w:val="20"/>
    </w:rPr>
  </w:style>
  <w:style w:type="character" w:styleId="FollowedHyperlink">
    <w:name w:val="FollowedHyperlink"/>
    <w:basedOn w:val="DefaultParagraphFont"/>
    <w:uiPriority w:val="99"/>
    <w:semiHidden/>
    <w:unhideWhenUsed/>
    <w:rsid w:val="00D30CA9"/>
    <w:rPr>
      <w:color w:val="1B375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mc.gov.au/sites/default/files/mops-act-review-tor.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humanrights.gov.au/set-standard-2021" TargetMode="External"/><Relationship Id="rId4" Type="http://schemas.openxmlformats.org/officeDocument/2006/relationships/settings" Target="settings.xml"/><Relationship Id="rId9" Type="http://schemas.openxmlformats.org/officeDocument/2006/relationships/hyperlink" Target="https://www.pmc.gov.au/government/review-members-parliament-staff-mops-act-1984"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M&amp;C 2022">
      <a:dk1>
        <a:srgbClr val="000000"/>
      </a:dk1>
      <a:lt1>
        <a:srgbClr val="FFFFFF"/>
      </a:lt1>
      <a:dk2>
        <a:srgbClr val="0F1F35"/>
      </a:dk2>
      <a:lt2>
        <a:srgbClr val="E0E8F2"/>
      </a:lt2>
      <a:accent1>
        <a:srgbClr val="092B57"/>
      </a:accent1>
      <a:accent2>
        <a:srgbClr val="778E61"/>
      </a:accent2>
      <a:accent3>
        <a:srgbClr val="F26337"/>
      </a:accent3>
      <a:accent4>
        <a:srgbClr val="4BADB0"/>
      </a:accent4>
      <a:accent5>
        <a:srgbClr val="B75B53"/>
      </a:accent5>
      <a:accent6>
        <a:srgbClr val="FCB76C"/>
      </a:accent6>
      <a:hlink>
        <a:srgbClr val="1B375C"/>
      </a:hlink>
      <a:folHlink>
        <a:srgbClr val="1B375C"/>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4C6E0-2845-4D1C-A1ED-41F927B8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2022-10-07T01:05:00Z</dcterms:created>
  <dcterms:modified xsi:type="dcterms:W3CDTF">2022-10-07T01:05:00Z</dcterms:modified>
  <cp:category/>
</cp:coreProperties>
</file>