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E1883B" w14:textId="54341779" w:rsidR="004F7C8A" w:rsidRPr="00DF5635" w:rsidRDefault="004F7C8A" w:rsidP="000D7957">
      <w:pPr>
        <w:pStyle w:val="Heading1"/>
      </w:pPr>
      <w:bookmarkStart w:id="0" w:name="_Toc418416290"/>
      <w:bookmarkStart w:id="1" w:name="_Toc420147209"/>
      <w:bookmarkStart w:id="2" w:name="_Toc420147582"/>
      <w:bookmarkStart w:id="3" w:name="_Toc460228680"/>
      <w:bookmarkStart w:id="4" w:name="_Toc461361374"/>
      <w:bookmarkStart w:id="5" w:name="_Toc361842885"/>
      <w:bookmarkStart w:id="6" w:name="_Toc364154360"/>
      <w:bookmarkStart w:id="7" w:name="_Toc364216976"/>
      <w:bookmarkStart w:id="8" w:name="_Toc373392354"/>
      <w:bookmarkStart w:id="9" w:name="_Toc420147295"/>
      <w:bookmarkStart w:id="10" w:name="_Toc420147667"/>
      <w:bookmarkStart w:id="11" w:name="_Toc460228766"/>
      <w:bookmarkStart w:id="12" w:name="_Toc461361460"/>
      <w:bookmarkStart w:id="13" w:name="_GoBack"/>
      <w:bookmarkEnd w:id="13"/>
      <w:r w:rsidRPr="00DF5635">
        <w:t xml:space="preserve">APPENDIX </w:t>
      </w:r>
      <w:r>
        <w:t>G</w:t>
      </w:r>
      <w:r w:rsidRPr="00DF5635">
        <w:tab/>
      </w:r>
      <w:r>
        <w:t>requirements for documentation</w:t>
      </w:r>
    </w:p>
    <w:p w14:paraId="7AD11546" w14:textId="3E5C9318" w:rsidR="007368A4" w:rsidRPr="002F2549" w:rsidRDefault="005F40E0" w:rsidP="00BC3D80">
      <w:pPr>
        <w:pStyle w:val="Heading2"/>
        <w:tabs>
          <w:tab w:val="left" w:pos="360"/>
        </w:tabs>
        <w:ind w:left="360" w:hanging="360"/>
      </w:pPr>
      <w:r>
        <w:t>1.</w:t>
      </w:r>
      <w:r>
        <w:tab/>
      </w:r>
      <w:r w:rsidR="007368A4" w:rsidRPr="002F2549">
        <w:t>DOCUMENT</w:t>
      </w:r>
      <w:r w:rsidR="00A35A40" w:rsidRPr="002F2549">
        <w:t>S</w:t>
      </w:r>
      <w:r w:rsidR="007368A4" w:rsidRPr="002F2549">
        <w:t xml:space="preserve"> TO BE </w:t>
      </w:r>
      <w:r w:rsidR="00D94519" w:rsidRPr="002F2549">
        <w:t xml:space="preserve">LODGED </w:t>
      </w:r>
      <w:r w:rsidR="00F15F53">
        <w:t xml:space="preserve">WITH LEGISLATION SECTION FOR </w:t>
      </w:r>
      <w:r w:rsidR="007368A4" w:rsidRPr="002F2549">
        <w:t>THE LEGISLATION APPROVAL PROCESS</w:t>
      </w:r>
    </w:p>
    <w:bookmarkEnd w:id="0"/>
    <w:bookmarkEnd w:id="1"/>
    <w:bookmarkEnd w:id="2"/>
    <w:bookmarkEnd w:id="3"/>
    <w:bookmarkEnd w:id="4"/>
    <w:bookmarkEnd w:id="5"/>
    <w:p w14:paraId="24E62E49" w14:textId="77777777" w:rsidR="00491B72" w:rsidRPr="008D6AAE" w:rsidRDefault="00491B72" w:rsidP="00491B72">
      <w:pPr>
        <w:tabs>
          <w:tab w:val="left" w:pos="2880"/>
        </w:tabs>
      </w:pPr>
      <w:r w:rsidRPr="007368A4">
        <w:t>Deadline:</w:t>
      </w:r>
      <w:r w:rsidRPr="007368A4">
        <w:tab/>
      </w:r>
      <w:r w:rsidRPr="00491B72">
        <w:rPr>
          <w:b/>
          <w:u w:val="single"/>
        </w:rPr>
        <w:t>11 am, Wednesday of the week before introduction</w:t>
      </w:r>
    </w:p>
    <w:p w14:paraId="2D8A5A5F" w14:textId="77777777" w:rsidR="00491B72" w:rsidRPr="007368A4" w:rsidRDefault="00491B72" w:rsidP="00491B72">
      <w:pPr>
        <w:tabs>
          <w:tab w:val="left" w:pos="2880"/>
        </w:tabs>
      </w:pPr>
      <w:r>
        <w:t>Electronic lodgement to</w:t>
      </w:r>
      <w:r w:rsidRPr="007368A4">
        <w:t>:</w:t>
      </w:r>
      <w:r w:rsidRPr="007368A4">
        <w:tab/>
      </w:r>
      <w:hyperlink r:id="rId9" w:history="1">
        <w:r w:rsidRPr="00491B72">
          <w:rPr>
            <w:rStyle w:val="Hyperlink"/>
          </w:rPr>
          <w:t>lodgement@pmc.gov.au</w:t>
        </w:r>
      </w:hyperlink>
      <w:r w:rsidRPr="00491B72">
        <w:rPr>
          <w:rStyle w:val="Hyperlink"/>
        </w:rPr>
        <w:t xml:space="preserve"> </w:t>
      </w:r>
    </w:p>
    <w:p w14:paraId="2FB9BCAA" w14:textId="77777777" w:rsidR="00491B72" w:rsidRPr="007368A4" w:rsidRDefault="00491B72" w:rsidP="00491B72">
      <w:pPr>
        <w:tabs>
          <w:tab w:val="left" w:pos="2880"/>
        </w:tabs>
      </w:pPr>
      <w:r>
        <w:t>Enquiries</w:t>
      </w:r>
      <w:r w:rsidRPr="007368A4">
        <w:t>:</w:t>
      </w:r>
      <w:r w:rsidRPr="007368A4">
        <w:tab/>
      </w:r>
      <w:r>
        <w:t>6271 5783; 6271 5762</w:t>
      </w:r>
    </w:p>
    <w:p w14:paraId="71F5CC0C" w14:textId="77777777" w:rsidR="00D94519" w:rsidRPr="00AE0C52" w:rsidRDefault="00F15F53" w:rsidP="00491B72">
      <w:pPr>
        <w:pStyle w:val="Heading3"/>
      </w:pPr>
      <w:r>
        <w:t>Documents required</w:t>
      </w:r>
      <w:r w:rsidR="00D94519" w:rsidRPr="00AE0C52">
        <w:t>:</w:t>
      </w:r>
    </w:p>
    <w:p w14:paraId="3B9FE911" w14:textId="77777777" w:rsidR="00532693" w:rsidRPr="00BE1634" w:rsidRDefault="00532693" w:rsidP="00532693">
      <w:pPr>
        <w:pStyle w:val="Bullet"/>
      </w:pPr>
      <w:r>
        <w:t>c</w:t>
      </w:r>
      <w:r w:rsidRPr="008D6AAE">
        <w:t xml:space="preserve">overing </w:t>
      </w:r>
      <w:r>
        <w:t>email</w:t>
      </w:r>
      <w:r w:rsidRPr="008D6AAE">
        <w:t xml:space="preserve"> evidencing a minister’s approval of</w:t>
      </w:r>
      <w:r>
        <w:t>:</w:t>
      </w:r>
    </w:p>
    <w:p w14:paraId="00BD08B2" w14:textId="77777777" w:rsidR="00532693" w:rsidRPr="00BE1634" w:rsidRDefault="00532693" w:rsidP="00532693">
      <w:pPr>
        <w:pStyle w:val="Dash"/>
      </w:pPr>
      <w:r w:rsidRPr="00C227CB">
        <w:t xml:space="preserve">the bill and explanatory memorandum; </w:t>
      </w:r>
      <w:r>
        <w:rPr>
          <w:b/>
        </w:rPr>
        <w:br/>
        <w:t>or</w:t>
      </w:r>
    </w:p>
    <w:p w14:paraId="6F034E22" w14:textId="77777777" w:rsidR="00532693" w:rsidRPr="00BE1634" w:rsidRDefault="00532693" w:rsidP="00532693">
      <w:pPr>
        <w:pStyle w:val="Dash"/>
      </w:pPr>
      <w:r>
        <w:t xml:space="preserve">the </w:t>
      </w:r>
      <w:r w:rsidRPr="008D6AAE">
        <w:t>government amendments</w:t>
      </w:r>
      <w:r>
        <w:t xml:space="preserve"> and s</w:t>
      </w:r>
      <w:r w:rsidRPr="008D6AAE">
        <w:t>upplementary explanatory</w:t>
      </w:r>
      <w:r>
        <w:t xml:space="preserve"> memorandum</w:t>
      </w:r>
    </w:p>
    <w:p w14:paraId="6CD95467" w14:textId="77777777" w:rsidR="00532693" w:rsidRPr="00BE1634" w:rsidRDefault="00532693" w:rsidP="00532693">
      <w:pPr>
        <w:pStyle w:val="Bullet"/>
      </w:pPr>
      <w:r w:rsidRPr="00E32376">
        <w:t xml:space="preserve">copies of letters or submissions evidencing approval </w:t>
      </w:r>
      <w:r>
        <w:t>provided by</w:t>
      </w:r>
      <w:r w:rsidRPr="00E32376">
        <w:t xml:space="preserve"> other ministers </w:t>
      </w:r>
      <w:r>
        <w:t xml:space="preserve">of </w:t>
      </w:r>
      <w:r w:rsidRPr="00E32376">
        <w:t>policy issues</w:t>
      </w:r>
      <w:r>
        <w:t xml:space="preserve"> or, if required, agreement by other ministers/departments to </w:t>
      </w:r>
      <w:r w:rsidRPr="00E32376">
        <w:t>the text of amendments to the</w:t>
      </w:r>
      <w:r>
        <w:t>ir legislation</w:t>
      </w:r>
    </w:p>
    <w:p w14:paraId="6887E7EE" w14:textId="77777777" w:rsidR="00532693" w:rsidRPr="00532693" w:rsidRDefault="00532693" w:rsidP="00532693">
      <w:pPr>
        <w:pStyle w:val="Bullet"/>
        <w:rPr>
          <w:b/>
        </w:rPr>
      </w:pPr>
      <w:r w:rsidRPr="00E32376">
        <w:t>explanatory memorand</w:t>
      </w:r>
      <w:r>
        <w:t>um or s</w:t>
      </w:r>
      <w:r w:rsidRPr="00E32376">
        <w:t>upplementary explanatory memorand</w:t>
      </w:r>
      <w:r>
        <w:t>um</w:t>
      </w:r>
    </w:p>
    <w:p w14:paraId="69E736F0" w14:textId="51618F7C" w:rsidR="00F15F53" w:rsidRDefault="00491B72" w:rsidP="00491B72">
      <w:pPr>
        <w:pStyle w:val="Heading3"/>
      </w:pPr>
      <w:r w:rsidRPr="00F15F53">
        <w:t>Naming conventions for subject heading of lodgement email:</w:t>
      </w:r>
    </w:p>
    <w:p w14:paraId="4D749F40" w14:textId="77777777" w:rsidR="00532693" w:rsidRPr="00F15F53" w:rsidRDefault="00532693" w:rsidP="00532693">
      <w:pPr>
        <w:pStyle w:val="Bullet"/>
      </w:pPr>
      <w:r w:rsidRPr="00F15F53">
        <w:t>EM – [Name of Bill] – Week of introduction</w:t>
      </w:r>
    </w:p>
    <w:p w14:paraId="0E0E3FDB" w14:textId="77777777" w:rsidR="00532693" w:rsidRDefault="00532693" w:rsidP="00532693">
      <w:pPr>
        <w:pStyle w:val="Bullet"/>
        <w:spacing w:after="240"/>
      </w:pPr>
      <w:r w:rsidRPr="00F15F53">
        <w:t>SuppEM – [Name of Bill] – Week of introduction</w:t>
      </w:r>
    </w:p>
    <w:p w14:paraId="53B473B9" w14:textId="77777777" w:rsidR="00532693" w:rsidRPr="00F15F53" w:rsidRDefault="00532693" w:rsidP="00532693">
      <w:pPr>
        <w:spacing w:before="120"/>
      </w:pPr>
      <w:r>
        <w:t>For example:</w:t>
      </w:r>
    </w:p>
    <w:p w14:paraId="4CC85EC4" w14:textId="77777777" w:rsidR="00532693" w:rsidRPr="00F15F53" w:rsidRDefault="00532693" w:rsidP="00532693">
      <w:pPr>
        <w:pStyle w:val="Bullet"/>
      </w:pPr>
      <w:r w:rsidRPr="00F15F53">
        <w:t xml:space="preserve">EM – Tax Laws Amendment Bill (No. 1) </w:t>
      </w:r>
      <w:r>
        <w:t xml:space="preserve">2016 </w:t>
      </w:r>
      <w:r w:rsidRPr="00F15F53">
        <w:t>– Week 1</w:t>
      </w:r>
    </w:p>
    <w:p w14:paraId="3DE867E2" w14:textId="77777777" w:rsidR="00532693" w:rsidRDefault="00532693" w:rsidP="00532693">
      <w:pPr>
        <w:pStyle w:val="Bullet"/>
        <w:spacing w:after="240"/>
      </w:pPr>
      <w:r w:rsidRPr="00F15F53">
        <w:t xml:space="preserve">SuppEM – Amendments to the Tax Laws Amendment Bill (No. </w:t>
      </w:r>
      <w:r>
        <w:t>1</w:t>
      </w:r>
      <w:r w:rsidRPr="00F15F53">
        <w:t>) 201</w:t>
      </w:r>
      <w:r>
        <w:t>6</w:t>
      </w:r>
      <w:r w:rsidRPr="00F15F53">
        <w:t xml:space="preserve"> – Week 3</w:t>
      </w:r>
    </w:p>
    <w:p w14:paraId="73547D1F" w14:textId="77777777" w:rsidR="00532693" w:rsidRDefault="00532693" w:rsidP="00532693">
      <w:r>
        <w:t>If changes are required after the documents have been lodged, the updated documents are to be re-lodged. The following naming conventions apply:</w:t>
      </w:r>
    </w:p>
    <w:p w14:paraId="0B510EB1" w14:textId="77777777" w:rsidR="00532693" w:rsidRPr="00B6648B" w:rsidRDefault="00532693" w:rsidP="00532693">
      <w:pPr>
        <w:pStyle w:val="Bullet"/>
        <w:spacing w:after="240"/>
      </w:pPr>
      <w:r w:rsidRPr="00B6648B">
        <w:t>UPDATED EM or UPDATED SuppEM – [Name of Bill] – Week of introduction</w:t>
      </w:r>
    </w:p>
    <w:p w14:paraId="3FAD5C84" w14:textId="77777777" w:rsidR="00532693" w:rsidRPr="00B6648B" w:rsidRDefault="00532693" w:rsidP="00532693">
      <w:r w:rsidRPr="00B6648B">
        <w:t>For example:</w:t>
      </w:r>
    </w:p>
    <w:p w14:paraId="78C300FA" w14:textId="77777777" w:rsidR="00532693" w:rsidRPr="00B6648B" w:rsidRDefault="00532693" w:rsidP="00532693">
      <w:pPr>
        <w:pStyle w:val="Bullet"/>
      </w:pPr>
      <w:r w:rsidRPr="00B6648B">
        <w:t xml:space="preserve">UPDATED EM – Tax Laws Amendment Bill (No. 1) </w:t>
      </w:r>
      <w:r>
        <w:t xml:space="preserve">2016 </w:t>
      </w:r>
      <w:r w:rsidRPr="00B6648B">
        <w:t>– Week 1</w:t>
      </w:r>
    </w:p>
    <w:p w14:paraId="6C096C88" w14:textId="77777777" w:rsidR="00532693" w:rsidRDefault="00532693" w:rsidP="00532693">
      <w:pPr>
        <w:pStyle w:val="Bullet"/>
        <w:spacing w:after="240"/>
      </w:pPr>
      <w:r w:rsidRPr="00B6648B">
        <w:t xml:space="preserve">UPDATED SuppEM – Amendments to the Tax Laws Amendment Bill (No. </w:t>
      </w:r>
      <w:r>
        <w:t>1)</w:t>
      </w:r>
      <w:r w:rsidRPr="00B6648B">
        <w:t xml:space="preserve"> 201</w:t>
      </w:r>
      <w:r>
        <w:t>6</w:t>
      </w:r>
      <w:r w:rsidRPr="00B6648B">
        <w:t xml:space="preserve"> – Week 3</w:t>
      </w:r>
    </w:p>
    <w:p w14:paraId="4347C4A5" w14:textId="7F9FB8A0" w:rsidR="002762DA" w:rsidRPr="00E32376" w:rsidRDefault="00B6648B" w:rsidP="00532693">
      <w:r>
        <w:t>The Office of Parliamentary Counsel will lodge the settled bill/amendments</w:t>
      </w:r>
      <w:r w:rsidRPr="00F15F53">
        <w:t xml:space="preserve"> </w:t>
      </w:r>
      <w:r>
        <w:t xml:space="preserve">with </w:t>
      </w:r>
      <w:r w:rsidR="00BE1634">
        <w:t xml:space="preserve">the </w:t>
      </w:r>
      <w:r>
        <w:t>Legislation Section separately via email.</w:t>
      </w:r>
      <w:bookmarkStart w:id="14" w:name="_Toc457983223"/>
    </w:p>
    <w:p w14:paraId="334FD1AC" w14:textId="5B892847" w:rsidR="00D94519" w:rsidRPr="002F2549" w:rsidRDefault="005F40E0" w:rsidP="00BC3D80">
      <w:pPr>
        <w:pStyle w:val="Heading2"/>
        <w:tabs>
          <w:tab w:val="left" w:pos="360"/>
        </w:tabs>
        <w:ind w:left="360" w:hanging="360"/>
      </w:pPr>
      <w:r>
        <w:lastRenderedPageBreak/>
        <w:t>2.</w:t>
      </w:r>
      <w:r>
        <w:tab/>
      </w:r>
      <w:r w:rsidR="00575F48" w:rsidRPr="002F2549">
        <w:t>DOCUMENT</w:t>
      </w:r>
      <w:r w:rsidR="00A35A40" w:rsidRPr="002F2549">
        <w:t>S</w:t>
      </w:r>
      <w:r w:rsidR="00575F48" w:rsidRPr="002F2549">
        <w:t xml:space="preserve"> TO BE LODGED </w:t>
      </w:r>
      <w:r w:rsidR="00422BEC">
        <w:t>WITH</w:t>
      </w:r>
      <w:r w:rsidR="0076768A">
        <w:t xml:space="preserve"> PARLIAMENT HOUSE</w:t>
      </w:r>
      <w:r w:rsidR="00575F48" w:rsidRPr="002F2549">
        <w:t xml:space="preserve"> </w:t>
      </w:r>
    </w:p>
    <w:p w14:paraId="2115F184" w14:textId="641D8A58" w:rsidR="00491B72" w:rsidRPr="008D34D6" w:rsidRDefault="00491B72" w:rsidP="00532693">
      <w:pPr>
        <w:tabs>
          <w:tab w:val="left" w:pos="1440"/>
        </w:tabs>
      </w:pPr>
      <w:r w:rsidRPr="007368A4">
        <w:t>Deadline:</w:t>
      </w:r>
      <w:r w:rsidRPr="007368A4">
        <w:tab/>
      </w:r>
      <w:r w:rsidRPr="00532693">
        <w:rPr>
          <w:b/>
        </w:rPr>
        <w:t xml:space="preserve">At least </w:t>
      </w:r>
      <w:r w:rsidRPr="00532693">
        <w:rPr>
          <w:b/>
          <w:u w:val="single"/>
        </w:rPr>
        <w:t>one sitting day before introduction</w:t>
      </w:r>
      <w:r w:rsidRPr="00532693">
        <w:rPr>
          <w:b/>
        </w:rPr>
        <w:t xml:space="preserve"> of the bill; </w:t>
      </w:r>
      <w:r w:rsidR="00532693" w:rsidRPr="00532693">
        <w:rPr>
          <w:b/>
        </w:rPr>
        <w:br/>
      </w:r>
      <w:r w:rsidR="00532693" w:rsidRPr="00532693">
        <w:rPr>
          <w:b/>
        </w:rPr>
        <w:tab/>
      </w:r>
      <w:r w:rsidRPr="00532693">
        <w:rPr>
          <w:b/>
        </w:rPr>
        <w:t xml:space="preserve">deliver to all recipients, including </w:t>
      </w:r>
      <w:r w:rsidRPr="00532693">
        <w:rPr>
          <w:b/>
          <w:u w:val="single"/>
        </w:rPr>
        <w:t>both</w:t>
      </w:r>
      <w:r w:rsidRPr="00532693">
        <w:rPr>
          <w:b/>
        </w:rPr>
        <w:t xml:space="preserve"> Table Offices</w:t>
      </w:r>
    </w:p>
    <w:p w14:paraId="465B7E3A" w14:textId="77777777" w:rsidR="00491B72" w:rsidRPr="00532693" w:rsidRDefault="00491B72" w:rsidP="00532693">
      <w:pPr>
        <w:tabs>
          <w:tab w:val="left" w:pos="1440"/>
        </w:tabs>
        <w:rPr>
          <w:b/>
        </w:rPr>
      </w:pPr>
      <w:r>
        <w:t>Deliver to:</w:t>
      </w:r>
      <w:r w:rsidRPr="007368A4">
        <w:tab/>
      </w:r>
      <w:r w:rsidRPr="00532693">
        <w:rPr>
          <w:b/>
        </w:rPr>
        <w:t>TABLE OFFICES</w:t>
      </w:r>
    </w:p>
    <w:p w14:paraId="1C18D8E9" w14:textId="3CCB7392" w:rsidR="00491B72" w:rsidRDefault="00491B72" w:rsidP="00532693">
      <w:pPr>
        <w:tabs>
          <w:tab w:val="left" w:pos="1440"/>
        </w:tabs>
        <w:ind w:left="1440"/>
      </w:pPr>
      <w:r w:rsidRPr="00532693">
        <w:rPr>
          <w:b/>
        </w:rPr>
        <w:t>House of Representatives</w:t>
      </w:r>
      <w:r w:rsidR="00532693" w:rsidRPr="00532693">
        <w:rPr>
          <w:b/>
        </w:rPr>
        <w:br/>
      </w:r>
      <w:r>
        <w:t>Bills Manager</w:t>
      </w:r>
      <w:r w:rsidR="00532693">
        <w:br/>
      </w:r>
      <w:r w:rsidRPr="00E32376">
        <w:t xml:space="preserve">House of Representatives </w:t>
      </w:r>
      <w:r>
        <w:t>Table Office</w:t>
      </w:r>
      <w:r w:rsidRPr="00E32376">
        <w:t xml:space="preserve"> (RG 89)</w:t>
      </w:r>
      <w:r w:rsidR="00532693">
        <w:br/>
      </w:r>
      <w:r>
        <w:t>Tel. 6277 4802</w:t>
      </w:r>
    </w:p>
    <w:p w14:paraId="6CA862D2" w14:textId="17A48C2A" w:rsidR="00491B72" w:rsidRDefault="00491B72" w:rsidP="00532693">
      <w:pPr>
        <w:tabs>
          <w:tab w:val="left" w:pos="1440"/>
        </w:tabs>
        <w:ind w:left="1440"/>
      </w:pPr>
      <w:r w:rsidRPr="00532693">
        <w:rPr>
          <w:b/>
        </w:rPr>
        <w:t>Senate</w:t>
      </w:r>
      <w:r w:rsidR="00532693">
        <w:rPr>
          <w:u w:val="single"/>
        </w:rPr>
        <w:br/>
      </w:r>
      <w:r w:rsidRPr="00E32376">
        <w:t>Legislation Offic</w:t>
      </w:r>
      <w:r>
        <w:t>er</w:t>
      </w:r>
      <w:r w:rsidR="00532693">
        <w:br/>
      </w:r>
      <w:r>
        <w:t>Senate Table Office (SG 25)</w:t>
      </w:r>
      <w:r w:rsidR="00532693">
        <w:br/>
      </w:r>
      <w:r>
        <w:t>Tel. 6277 3033</w:t>
      </w:r>
    </w:p>
    <w:p w14:paraId="4FC37EAE" w14:textId="77777777" w:rsidR="00491B72" w:rsidRPr="00532693" w:rsidRDefault="00491B72" w:rsidP="00532693">
      <w:pPr>
        <w:tabs>
          <w:tab w:val="left" w:pos="1440"/>
        </w:tabs>
        <w:ind w:left="1440"/>
        <w:rPr>
          <w:b/>
        </w:rPr>
      </w:pPr>
      <w:r w:rsidRPr="00532693">
        <w:rPr>
          <w:b/>
        </w:rPr>
        <w:t>PARLIAMENTARY LIAISON OFFICERS (PLOs)</w:t>
      </w:r>
    </w:p>
    <w:p w14:paraId="391070B3" w14:textId="15D75902" w:rsidR="00491B72" w:rsidRPr="00805785" w:rsidRDefault="00491B72" w:rsidP="00532693">
      <w:pPr>
        <w:tabs>
          <w:tab w:val="left" w:pos="1440"/>
        </w:tabs>
        <w:ind w:left="1440"/>
      </w:pPr>
      <w:r w:rsidRPr="00532693">
        <w:rPr>
          <w:b/>
        </w:rPr>
        <w:t>House of Representatives</w:t>
      </w:r>
      <w:r w:rsidR="00532693">
        <w:rPr>
          <w:u w:val="single"/>
        </w:rPr>
        <w:br/>
      </w:r>
      <w:r>
        <w:t>Parliamentary Liaison Officer</w:t>
      </w:r>
      <w:r w:rsidR="00532693">
        <w:br/>
      </w:r>
      <w:r>
        <w:t>(RG 98</w:t>
      </w:r>
      <w:r w:rsidRPr="00E32376">
        <w:t>)</w:t>
      </w:r>
      <w:r w:rsidR="00532693">
        <w:br/>
      </w:r>
      <w:r>
        <w:t>Tel. 6277 7377</w:t>
      </w:r>
    </w:p>
    <w:p w14:paraId="4C002003" w14:textId="3F7AA17E" w:rsidR="00491B72" w:rsidRPr="00805785" w:rsidRDefault="00491B72" w:rsidP="00532693">
      <w:pPr>
        <w:tabs>
          <w:tab w:val="left" w:pos="1440"/>
        </w:tabs>
        <w:ind w:left="1440"/>
      </w:pPr>
      <w:r w:rsidRPr="00532693">
        <w:rPr>
          <w:b/>
        </w:rPr>
        <w:t>Senate</w:t>
      </w:r>
      <w:r w:rsidR="00532693">
        <w:rPr>
          <w:u w:val="single"/>
        </w:rPr>
        <w:br/>
      </w:r>
      <w:r>
        <w:t>Parliamentary Liaison Officer</w:t>
      </w:r>
      <w:r w:rsidR="00532693">
        <w:br/>
      </w:r>
      <w:r>
        <w:t>(SG 119)</w:t>
      </w:r>
      <w:r w:rsidR="00532693">
        <w:br/>
      </w:r>
      <w:r>
        <w:t>Tel. 6277 7597</w:t>
      </w:r>
    </w:p>
    <w:p w14:paraId="5A00E655" w14:textId="396EB8DA" w:rsidR="00AE0C52" w:rsidRPr="00E32376" w:rsidRDefault="00AE0C52" w:rsidP="00491B72">
      <w:pPr>
        <w:pStyle w:val="Heading3"/>
      </w:pPr>
      <w:r>
        <w:t xml:space="preserve">Explanatory </w:t>
      </w:r>
      <w:r w:rsidR="00BE1634">
        <w:t>m</w:t>
      </w:r>
      <w:r>
        <w:t>emoranda</w:t>
      </w:r>
      <w:r w:rsidR="00BE1634">
        <w:t xml:space="preserve">—number of copies </w:t>
      </w:r>
      <w:r>
        <w:t>(on B5 paper)</w:t>
      </w:r>
      <w:r w:rsidR="00760265">
        <w:t>*</w:t>
      </w:r>
    </w:p>
    <w:tbl>
      <w:tblPr>
        <w:tblStyle w:val="TableGrid"/>
        <w:tblW w:w="5000" w:type="pct"/>
        <w:tblLayout w:type="fixed"/>
        <w:tblLook w:val="04A0" w:firstRow="1" w:lastRow="0" w:firstColumn="1" w:lastColumn="0" w:noHBand="0" w:noVBand="1"/>
      </w:tblPr>
      <w:tblGrid>
        <w:gridCol w:w="2829"/>
        <w:gridCol w:w="1239"/>
        <w:gridCol w:w="1260"/>
        <w:gridCol w:w="1271"/>
        <w:gridCol w:w="1187"/>
        <w:gridCol w:w="1169"/>
      </w:tblGrid>
      <w:tr w:rsidR="00D96552" w14:paraId="36AFAED7" w14:textId="77777777" w:rsidTr="009B38B4">
        <w:trPr>
          <w:trHeight w:val="312"/>
        </w:trPr>
        <w:tc>
          <w:tcPr>
            <w:tcW w:w="2829" w:type="dxa"/>
            <w:vMerge w:val="restart"/>
            <w:shd w:val="clear" w:color="auto" w:fill="DDDDDD"/>
            <w:vAlign w:val="center"/>
          </w:tcPr>
          <w:p w14:paraId="2EDE5125" w14:textId="77777777" w:rsidR="00D96552" w:rsidRPr="009B38B4" w:rsidRDefault="00D96552" w:rsidP="009B38B4">
            <w:pPr>
              <w:pStyle w:val="TableText"/>
              <w:rPr>
                <w:b/>
              </w:rPr>
            </w:pPr>
            <w:r w:rsidRPr="009B38B4">
              <w:rPr>
                <w:b/>
              </w:rPr>
              <w:t>Document</w:t>
            </w:r>
          </w:p>
        </w:tc>
        <w:tc>
          <w:tcPr>
            <w:tcW w:w="3770" w:type="dxa"/>
            <w:gridSpan w:val="3"/>
            <w:shd w:val="clear" w:color="auto" w:fill="DDDDDD"/>
            <w:vAlign w:val="center"/>
          </w:tcPr>
          <w:p w14:paraId="21DBCD30" w14:textId="77777777" w:rsidR="00D96552" w:rsidRPr="009B38B4" w:rsidRDefault="00D96552" w:rsidP="009B38B4">
            <w:pPr>
              <w:pStyle w:val="TableText"/>
              <w:jc w:val="center"/>
              <w:rPr>
                <w:b/>
              </w:rPr>
            </w:pPr>
            <w:r w:rsidRPr="009B38B4">
              <w:rPr>
                <w:b/>
              </w:rPr>
              <w:t>Table Offices</w:t>
            </w:r>
          </w:p>
        </w:tc>
        <w:tc>
          <w:tcPr>
            <w:tcW w:w="2356" w:type="dxa"/>
            <w:gridSpan w:val="2"/>
            <w:shd w:val="clear" w:color="auto" w:fill="DDDDDD"/>
          </w:tcPr>
          <w:p w14:paraId="085B6EA0" w14:textId="77777777" w:rsidR="00D96552" w:rsidRPr="009B38B4" w:rsidRDefault="00D96552" w:rsidP="009B38B4">
            <w:pPr>
              <w:pStyle w:val="TableText"/>
              <w:jc w:val="center"/>
              <w:rPr>
                <w:b/>
              </w:rPr>
            </w:pPr>
            <w:r w:rsidRPr="009B38B4">
              <w:rPr>
                <w:b/>
              </w:rPr>
              <w:t>PLOs</w:t>
            </w:r>
          </w:p>
        </w:tc>
      </w:tr>
      <w:tr w:rsidR="00D40284" w14:paraId="0D11B975" w14:textId="77777777" w:rsidTr="009B38B4">
        <w:trPr>
          <w:trHeight w:val="168"/>
        </w:trPr>
        <w:tc>
          <w:tcPr>
            <w:tcW w:w="2829" w:type="dxa"/>
            <w:vMerge/>
            <w:shd w:val="clear" w:color="auto" w:fill="DDDDDD"/>
            <w:vAlign w:val="center"/>
          </w:tcPr>
          <w:p w14:paraId="0CD34939" w14:textId="77777777" w:rsidR="00D40284" w:rsidRDefault="00D40284" w:rsidP="00AE0C52">
            <w:pPr>
              <w:spacing w:before="40" w:after="40"/>
              <w:jc w:val="center"/>
              <w:rPr>
                <w:rFonts w:ascii="Arial" w:eastAsia="Calibri" w:hAnsi="Arial" w:cs="Arial"/>
                <w:sz w:val="22"/>
                <w:szCs w:val="22"/>
              </w:rPr>
            </w:pPr>
          </w:p>
        </w:tc>
        <w:tc>
          <w:tcPr>
            <w:tcW w:w="2499" w:type="dxa"/>
            <w:gridSpan w:val="2"/>
            <w:tcBorders>
              <w:bottom w:val="single" w:sz="4" w:space="0" w:color="auto"/>
            </w:tcBorders>
            <w:shd w:val="clear" w:color="auto" w:fill="DDDDDD"/>
            <w:vAlign w:val="center"/>
          </w:tcPr>
          <w:p w14:paraId="20ACBE64" w14:textId="77777777" w:rsidR="00D40284" w:rsidRDefault="00D40284" w:rsidP="009B38B4">
            <w:pPr>
              <w:pStyle w:val="TableText"/>
              <w:jc w:val="center"/>
            </w:pPr>
            <w:r>
              <w:t>House</w:t>
            </w:r>
          </w:p>
        </w:tc>
        <w:tc>
          <w:tcPr>
            <w:tcW w:w="1271" w:type="dxa"/>
            <w:vMerge w:val="restart"/>
            <w:shd w:val="clear" w:color="auto" w:fill="DDDDDD"/>
            <w:vAlign w:val="center"/>
          </w:tcPr>
          <w:p w14:paraId="1E10BC06" w14:textId="77777777" w:rsidR="00D40284" w:rsidRDefault="00D40284" w:rsidP="009B38B4">
            <w:pPr>
              <w:pStyle w:val="TableText"/>
              <w:jc w:val="center"/>
            </w:pPr>
            <w:r>
              <w:t>Senate</w:t>
            </w:r>
          </w:p>
        </w:tc>
        <w:tc>
          <w:tcPr>
            <w:tcW w:w="1187" w:type="dxa"/>
            <w:vMerge w:val="restart"/>
            <w:shd w:val="clear" w:color="auto" w:fill="DDDDDD"/>
            <w:vAlign w:val="center"/>
          </w:tcPr>
          <w:p w14:paraId="030A06C7" w14:textId="77777777" w:rsidR="00D40284" w:rsidRDefault="00D40284" w:rsidP="009B38B4">
            <w:pPr>
              <w:pStyle w:val="TableText"/>
              <w:jc w:val="center"/>
            </w:pPr>
            <w:r>
              <w:t>House</w:t>
            </w:r>
          </w:p>
        </w:tc>
        <w:tc>
          <w:tcPr>
            <w:tcW w:w="1169" w:type="dxa"/>
            <w:vMerge w:val="restart"/>
            <w:shd w:val="clear" w:color="auto" w:fill="DDDDDD"/>
            <w:vAlign w:val="center"/>
          </w:tcPr>
          <w:p w14:paraId="32B2B68B" w14:textId="77777777" w:rsidR="00D40284" w:rsidRDefault="00D40284" w:rsidP="009B38B4">
            <w:pPr>
              <w:pStyle w:val="TableText"/>
              <w:jc w:val="center"/>
            </w:pPr>
            <w:r>
              <w:t>Senate</w:t>
            </w:r>
          </w:p>
        </w:tc>
      </w:tr>
      <w:tr w:rsidR="00D40284" w14:paraId="6E75852F" w14:textId="77777777" w:rsidTr="009B38B4">
        <w:trPr>
          <w:trHeight w:val="168"/>
        </w:trPr>
        <w:tc>
          <w:tcPr>
            <w:tcW w:w="2829" w:type="dxa"/>
            <w:vMerge/>
            <w:vAlign w:val="center"/>
          </w:tcPr>
          <w:p w14:paraId="7C048881" w14:textId="77777777" w:rsidR="00D40284" w:rsidRDefault="00D40284" w:rsidP="00AE0C52">
            <w:pPr>
              <w:spacing w:before="40" w:after="40"/>
              <w:jc w:val="center"/>
              <w:rPr>
                <w:rFonts w:ascii="Arial" w:eastAsia="Calibri" w:hAnsi="Arial" w:cs="Arial"/>
                <w:sz w:val="22"/>
                <w:szCs w:val="22"/>
              </w:rPr>
            </w:pPr>
          </w:p>
        </w:tc>
        <w:tc>
          <w:tcPr>
            <w:tcW w:w="1239" w:type="dxa"/>
            <w:shd w:val="clear" w:color="auto" w:fill="DDDDDD"/>
            <w:vAlign w:val="center"/>
          </w:tcPr>
          <w:p w14:paraId="54F5B63F" w14:textId="67B64880" w:rsidR="00D40284" w:rsidRDefault="00D40284" w:rsidP="009B38B4">
            <w:pPr>
              <w:pStyle w:val="TableText"/>
              <w:jc w:val="center"/>
            </w:pPr>
            <w:r>
              <w:t>House</w:t>
            </w:r>
            <w:r w:rsidR="00BE1634">
              <w:t>-</w:t>
            </w:r>
            <w:r>
              <w:t>initiated bills</w:t>
            </w:r>
          </w:p>
        </w:tc>
        <w:tc>
          <w:tcPr>
            <w:tcW w:w="1260" w:type="dxa"/>
            <w:shd w:val="clear" w:color="auto" w:fill="DDDDDD"/>
            <w:vAlign w:val="center"/>
          </w:tcPr>
          <w:p w14:paraId="715D729D" w14:textId="57085760" w:rsidR="00D40284" w:rsidRDefault="00D40284" w:rsidP="009B38B4">
            <w:pPr>
              <w:pStyle w:val="TableText"/>
              <w:jc w:val="center"/>
            </w:pPr>
            <w:r>
              <w:t>Senate</w:t>
            </w:r>
            <w:r w:rsidR="00BE1634">
              <w:t>-</w:t>
            </w:r>
            <w:r>
              <w:t>initiated bills</w:t>
            </w:r>
          </w:p>
        </w:tc>
        <w:tc>
          <w:tcPr>
            <w:tcW w:w="1271" w:type="dxa"/>
            <w:vMerge/>
            <w:vAlign w:val="center"/>
          </w:tcPr>
          <w:p w14:paraId="2902E82C" w14:textId="77777777" w:rsidR="00D40284" w:rsidRDefault="00D40284" w:rsidP="00AE0C52">
            <w:pPr>
              <w:spacing w:before="40" w:after="40"/>
              <w:jc w:val="center"/>
              <w:rPr>
                <w:rFonts w:ascii="Arial" w:eastAsia="Calibri" w:hAnsi="Arial" w:cs="Arial"/>
                <w:sz w:val="22"/>
                <w:szCs w:val="22"/>
              </w:rPr>
            </w:pPr>
          </w:p>
        </w:tc>
        <w:tc>
          <w:tcPr>
            <w:tcW w:w="1187" w:type="dxa"/>
            <w:vMerge/>
          </w:tcPr>
          <w:p w14:paraId="6F91B2A1" w14:textId="77777777" w:rsidR="00D40284" w:rsidRDefault="00D40284" w:rsidP="00AE0C52">
            <w:pPr>
              <w:spacing w:before="40" w:after="40"/>
              <w:jc w:val="center"/>
              <w:rPr>
                <w:rFonts w:ascii="Arial" w:eastAsia="Calibri" w:hAnsi="Arial" w:cs="Arial"/>
                <w:sz w:val="22"/>
                <w:szCs w:val="22"/>
              </w:rPr>
            </w:pPr>
          </w:p>
        </w:tc>
        <w:tc>
          <w:tcPr>
            <w:tcW w:w="1169" w:type="dxa"/>
            <w:vMerge/>
          </w:tcPr>
          <w:p w14:paraId="437EB1BD" w14:textId="77777777" w:rsidR="00D40284" w:rsidRDefault="00D40284" w:rsidP="00AE0C52">
            <w:pPr>
              <w:spacing w:before="40" w:after="40"/>
              <w:jc w:val="center"/>
              <w:rPr>
                <w:rFonts w:ascii="Arial" w:eastAsia="Calibri" w:hAnsi="Arial" w:cs="Arial"/>
                <w:sz w:val="22"/>
                <w:szCs w:val="22"/>
              </w:rPr>
            </w:pPr>
          </w:p>
        </w:tc>
      </w:tr>
      <w:tr w:rsidR="00D40284" w14:paraId="26B1F49E" w14:textId="77777777" w:rsidTr="009B38B4">
        <w:tc>
          <w:tcPr>
            <w:tcW w:w="2829" w:type="dxa"/>
          </w:tcPr>
          <w:p w14:paraId="2D836100" w14:textId="760CE7E5" w:rsidR="00D40284" w:rsidRPr="00AF38FB" w:rsidRDefault="00D40284" w:rsidP="009B38B4">
            <w:pPr>
              <w:pStyle w:val="TableText"/>
            </w:pPr>
            <w:r w:rsidRPr="00AF38FB">
              <w:t>Explanatory memorand</w:t>
            </w:r>
            <w:r w:rsidR="00BE1634">
              <w:t>um</w:t>
            </w:r>
          </w:p>
        </w:tc>
        <w:tc>
          <w:tcPr>
            <w:tcW w:w="1239" w:type="dxa"/>
            <w:vAlign w:val="center"/>
          </w:tcPr>
          <w:p w14:paraId="242CF978" w14:textId="77777777" w:rsidR="00D40284" w:rsidRPr="00AF38FB" w:rsidRDefault="00D40284" w:rsidP="009B38B4">
            <w:pPr>
              <w:pStyle w:val="TableText"/>
              <w:jc w:val="center"/>
            </w:pPr>
            <w:r>
              <w:t>60</w:t>
            </w:r>
          </w:p>
        </w:tc>
        <w:tc>
          <w:tcPr>
            <w:tcW w:w="1260" w:type="dxa"/>
            <w:vAlign w:val="center"/>
          </w:tcPr>
          <w:p w14:paraId="6C6B3A78" w14:textId="77777777" w:rsidR="00D40284" w:rsidRPr="00AF38FB" w:rsidRDefault="00D40284" w:rsidP="009B38B4">
            <w:pPr>
              <w:pStyle w:val="TableText"/>
              <w:jc w:val="center"/>
            </w:pPr>
            <w:r>
              <w:t>40</w:t>
            </w:r>
          </w:p>
        </w:tc>
        <w:tc>
          <w:tcPr>
            <w:tcW w:w="1271" w:type="dxa"/>
            <w:vAlign w:val="center"/>
          </w:tcPr>
          <w:p w14:paraId="68AF118A" w14:textId="77777777" w:rsidR="00D40284" w:rsidRPr="00AF38FB" w:rsidRDefault="00D828B5" w:rsidP="009B38B4">
            <w:pPr>
              <w:pStyle w:val="TableText"/>
              <w:jc w:val="center"/>
            </w:pPr>
            <w:r>
              <w:t>5</w:t>
            </w:r>
            <w:r w:rsidR="00D40284">
              <w:t>0</w:t>
            </w:r>
          </w:p>
        </w:tc>
        <w:tc>
          <w:tcPr>
            <w:tcW w:w="1187" w:type="dxa"/>
            <w:vAlign w:val="center"/>
          </w:tcPr>
          <w:p w14:paraId="1F40D664" w14:textId="77777777" w:rsidR="00D40284" w:rsidRPr="00AF38FB" w:rsidRDefault="00D40284" w:rsidP="009B38B4">
            <w:pPr>
              <w:pStyle w:val="TableText"/>
              <w:jc w:val="center"/>
            </w:pPr>
            <w:r>
              <w:t>2</w:t>
            </w:r>
          </w:p>
        </w:tc>
        <w:tc>
          <w:tcPr>
            <w:tcW w:w="1169" w:type="dxa"/>
            <w:vAlign w:val="center"/>
          </w:tcPr>
          <w:p w14:paraId="156D8C74" w14:textId="77777777" w:rsidR="00D40284" w:rsidRPr="00AF38FB" w:rsidRDefault="00D40284" w:rsidP="009B38B4">
            <w:pPr>
              <w:pStyle w:val="TableText"/>
              <w:jc w:val="center"/>
            </w:pPr>
            <w:r>
              <w:t>1</w:t>
            </w:r>
          </w:p>
        </w:tc>
      </w:tr>
      <w:tr w:rsidR="00D828B5" w14:paraId="478BC64A" w14:textId="77777777" w:rsidTr="009B38B4">
        <w:tc>
          <w:tcPr>
            <w:tcW w:w="2829" w:type="dxa"/>
          </w:tcPr>
          <w:p w14:paraId="140206E6" w14:textId="5532D5B6" w:rsidR="00D828B5" w:rsidRPr="00AF38FB" w:rsidRDefault="00D828B5" w:rsidP="009B38B4">
            <w:pPr>
              <w:pStyle w:val="TableText"/>
            </w:pPr>
            <w:r w:rsidRPr="00AF38FB">
              <w:t>Correction/addend</w:t>
            </w:r>
            <w:r w:rsidR="00BE1634">
              <w:t>um</w:t>
            </w:r>
            <w:r w:rsidRPr="00AF38FB">
              <w:t xml:space="preserve"> to </w:t>
            </w:r>
            <w:r w:rsidR="00BE1634">
              <w:t>explanatory memorandum</w:t>
            </w:r>
          </w:p>
        </w:tc>
        <w:tc>
          <w:tcPr>
            <w:tcW w:w="1239" w:type="dxa"/>
            <w:vAlign w:val="center"/>
          </w:tcPr>
          <w:p w14:paraId="2CCF738E" w14:textId="77777777" w:rsidR="00D828B5" w:rsidRPr="00AF38FB" w:rsidRDefault="00D828B5" w:rsidP="009B38B4">
            <w:pPr>
              <w:pStyle w:val="TableText"/>
              <w:jc w:val="center"/>
            </w:pPr>
            <w:r>
              <w:t>30</w:t>
            </w:r>
          </w:p>
        </w:tc>
        <w:tc>
          <w:tcPr>
            <w:tcW w:w="1260" w:type="dxa"/>
            <w:vAlign w:val="center"/>
          </w:tcPr>
          <w:p w14:paraId="2D90EBCC" w14:textId="77777777" w:rsidR="00D828B5" w:rsidRPr="00AF38FB" w:rsidRDefault="00D828B5" w:rsidP="009B38B4">
            <w:pPr>
              <w:pStyle w:val="TableText"/>
              <w:jc w:val="center"/>
            </w:pPr>
            <w:r>
              <w:t>30</w:t>
            </w:r>
          </w:p>
        </w:tc>
        <w:tc>
          <w:tcPr>
            <w:tcW w:w="1271" w:type="dxa"/>
            <w:vAlign w:val="center"/>
          </w:tcPr>
          <w:p w14:paraId="2BB2C974" w14:textId="77777777" w:rsidR="00D828B5" w:rsidRDefault="00D828B5" w:rsidP="009B38B4">
            <w:pPr>
              <w:pStyle w:val="TableText"/>
              <w:jc w:val="center"/>
            </w:pPr>
            <w:r w:rsidRPr="00163668">
              <w:t>50</w:t>
            </w:r>
          </w:p>
        </w:tc>
        <w:tc>
          <w:tcPr>
            <w:tcW w:w="1187" w:type="dxa"/>
            <w:vAlign w:val="center"/>
          </w:tcPr>
          <w:p w14:paraId="04E7208A" w14:textId="77777777" w:rsidR="00D828B5" w:rsidRPr="00AF38FB" w:rsidRDefault="00D828B5" w:rsidP="009B38B4">
            <w:pPr>
              <w:pStyle w:val="TableText"/>
              <w:jc w:val="center"/>
            </w:pPr>
            <w:r>
              <w:t>2</w:t>
            </w:r>
          </w:p>
        </w:tc>
        <w:tc>
          <w:tcPr>
            <w:tcW w:w="1169" w:type="dxa"/>
            <w:vAlign w:val="center"/>
          </w:tcPr>
          <w:p w14:paraId="31D806DB" w14:textId="77777777" w:rsidR="00D828B5" w:rsidRPr="00AF38FB" w:rsidRDefault="00D828B5" w:rsidP="009B38B4">
            <w:pPr>
              <w:pStyle w:val="TableText"/>
              <w:jc w:val="center"/>
            </w:pPr>
            <w:r>
              <w:t>1</w:t>
            </w:r>
          </w:p>
        </w:tc>
      </w:tr>
      <w:tr w:rsidR="00D828B5" w14:paraId="24E23D62" w14:textId="77777777" w:rsidTr="009B38B4">
        <w:tc>
          <w:tcPr>
            <w:tcW w:w="2829" w:type="dxa"/>
          </w:tcPr>
          <w:p w14:paraId="5842F0B4" w14:textId="1A3D9796" w:rsidR="00D828B5" w:rsidRPr="00AF38FB" w:rsidRDefault="00D828B5" w:rsidP="009B38B4">
            <w:pPr>
              <w:pStyle w:val="TableText"/>
            </w:pPr>
            <w:r w:rsidRPr="00AF38FB">
              <w:t xml:space="preserve">Replacement </w:t>
            </w:r>
            <w:r w:rsidR="00BE1634">
              <w:t>explanatory memorandum</w:t>
            </w:r>
          </w:p>
        </w:tc>
        <w:tc>
          <w:tcPr>
            <w:tcW w:w="1239" w:type="dxa"/>
            <w:vAlign w:val="center"/>
          </w:tcPr>
          <w:p w14:paraId="1B1911D8" w14:textId="77777777" w:rsidR="00D828B5" w:rsidRPr="00AF38FB" w:rsidRDefault="00D828B5" w:rsidP="009B38B4">
            <w:pPr>
              <w:pStyle w:val="TableText"/>
              <w:jc w:val="center"/>
            </w:pPr>
            <w:r>
              <w:t>30</w:t>
            </w:r>
          </w:p>
        </w:tc>
        <w:tc>
          <w:tcPr>
            <w:tcW w:w="1260" w:type="dxa"/>
            <w:vAlign w:val="center"/>
          </w:tcPr>
          <w:p w14:paraId="2BCE46E3" w14:textId="77777777" w:rsidR="00D828B5" w:rsidRPr="00AF38FB" w:rsidRDefault="00D828B5" w:rsidP="009B38B4">
            <w:pPr>
              <w:pStyle w:val="TableText"/>
              <w:jc w:val="center"/>
            </w:pPr>
            <w:r>
              <w:t>30</w:t>
            </w:r>
          </w:p>
        </w:tc>
        <w:tc>
          <w:tcPr>
            <w:tcW w:w="1271" w:type="dxa"/>
            <w:vAlign w:val="center"/>
          </w:tcPr>
          <w:p w14:paraId="23824DE1" w14:textId="77777777" w:rsidR="00D828B5" w:rsidRDefault="00D828B5" w:rsidP="009B38B4">
            <w:pPr>
              <w:pStyle w:val="TableText"/>
              <w:jc w:val="center"/>
            </w:pPr>
            <w:r w:rsidRPr="00163668">
              <w:t>50</w:t>
            </w:r>
          </w:p>
        </w:tc>
        <w:tc>
          <w:tcPr>
            <w:tcW w:w="1187" w:type="dxa"/>
            <w:vAlign w:val="center"/>
          </w:tcPr>
          <w:p w14:paraId="58F27B4A" w14:textId="77777777" w:rsidR="00D828B5" w:rsidRPr="00AF38FB" w:rsidRDefault="00D828B5" w:rsidP="009B38B4">
            <w:pPr>
              <w:pStyle w:val="TableText"/>
              <w:jc w:val="center"/>
            </w:pPr>
            <w:r>
              <w:t>2</w:t>
            </w:r>
          </w:p>
        </w:tc>
        <w:tc>
          <w:tcPr>
            <w:tcW w:w="1169" w:type="dxa"/>
            <w:vAlign w:val="center"/>
          </w:tcPr>
          <w:p w14:paraId="6970BBD1" w14:textId="77777777" w:rsidR="00D828B5" w:rsidRPr="00AF38FB" w:rsidRDefault="00D828B5" w:rsidP="009B38B4">
            <w:pPr>
              <w:pStyle w:val="TableText"/>
              <w:jc w:val="center"/>
            </w:pPr>
            <w:r>
              <w:t>1</w:t>
            </w:r>
          </w:p>
        </w:tc>
      </w:tr>
      <w:tr w:rsidR="00D40284" w14:paraId="6308EDF5" w14:textId="77777777" w:rsidTr="009B38B4">
        <w:tc>
          <w:tcPr>
            <w:tcW w:w="2829" w:type="dxa"/>
          </w:tcPr>
          <w:p w14:paraId="1659A721" w14:textId="47ED219F" w:rsidR="00D40284" w:rsidRPr="00AF38FB" w:rsidRDefault="00D40284" w:rsidP="009B38B4">
            <w:pPr>
              <w:pStyle w:val="TableText"/>
            </w:pPr>
            <w:r w:rsidRPr="00AF38FB">
              <w:t xml:space="preserve">Supplementary </w:t>
            </w:r>
            <w:r w:rsidR="00BE1634">
              <w:t>explanatory memorandum</w:t>
            </w:r>
          </w:p>
        </w:tc>
        <w:tc>
          <w:tcPr>
            <w:tcW w:w="1239" w:type="dxa"/>
            <w:vAlign w:val="center"/>
          </w:tcPr>
          <w:p w14:paraId="086D5E41" w14:textId="77777777" w:rsidR="00D40284" w:rsidRPr="00AF38FB" w:rsidRDefault="00D40284" w:rsidP="009B38B4">
            <w:pPr>
              <w:pStyle w:val="TableText"/>
              <w:jc w:val="center"/>
            </w:pPr>
            <w:r>
              <w:t>30</w:t>
            </w:r>
          </w:p>
        </w:tc>
        <w:tc>
          <w:tcPr>
            <w:tcW w:w="1260" w:type="dxa"/>
            <w:vAlign w:val="center"/>
          </w:tcPr>
          <w:p w14:paraId="66C59F1B" w14:textId="77777777" w:rsidR="00D40284" w:rsidRPr="00AF38FB" w:rsidRDefault="00D40284" w:rsidP="009B38B4">
            <w:pPr>
              <w:pStyle w:val="TableText"/>
              <w:jc w:val="center"/>
            </w:pPr>
            <w:r>
              <w:t>15</w:t>
            </w:r>
          </w:p>
        </w:tc>
        <w:tc>
          <w:tcPr>
            <w:tcW w:w="1271" w:type="dxa"/>
            <w:vAlign w:val="center"/>
          </w:tcPr>
          <w:p w14:paraId="4675B130" w14:textId="77777777" w:rsidR="00D40284" w:rsidRPr="00AF38FB" w:rsidRDefault="00D828B5" w:rsidP="009B38B4">
            <w:pPr>
              <w:pStyle w:val="TableText"/>
              <w:jc w:val="center"/>
            </w:pPr>
            <w:r>
              <w:t>6</w:t>
            </w:r>
            <w:r w:rsidR="00D40284" w:rsidRPr="00AF38FB">
              <w:t>0</w:t>
            </w:r>
          </w:p>
        </w:tc>
        <w:tc>
          <w:tcPr>
            <w:tcW w:w="1187" w:type="dxa"/>
            <w:vAlign w:val="center"/>
          </w:tcPr>
          <w:p w14:paraId="2C1B6B3C" w14:textId="77777777" w:rsidR="00D40284" w:rsidRPr="00AF38FB" w:rsidRDefault="00D40284" w:rsidP="009B38B4">
            <w:pPr>
              <w:pStyle w:val="TableText"/>
              <w:jc w:val="center"/>
            </w:pPr>
            <w:r>
              <w:t>2</w:t>
            </w:r>
          </w:p>
        </w:tc>
        <w:tc>
          <w:tcPr>
            <w:tcW w:w="1169" w:type="dxa"/>
            <w:vAlign w:val="center"/>
          </w:tcPr>
          <w:p w14:paraId="32EDACBF" w14:textId="77777777" w:rsidR="00D40284" w:rsidRPr="00AF38FB" w:rsidRDefault="00D40284" w:rsidP="009B38B4">
            <w:pPr>
              <w:pStyle w:val="TableText"/>
              <w:jc w:val="center"/>
            </w:pPr>
            <w:r>
              <w:t>1</w:t>
            </w:r>
          </w:p>
        </w:tc>
      </w:tr>
      <w:tr w:rsidR="00D40284" w14:paraId="3368ABA0" w14:textId="77777777" w:rsidTr="009B38B4">
        <w:tc>
          <w:tcPr>
            <w:tcW w:w="2829" w:type="dxa"/>
          </w:tcPr>
          <w:p w14:paraId="689DB049" w14:textId="1015C5A0" w:rsidR="00D40284" w:rsidRPr="00AF38FB" w:rsidRDefault="00D40284" w:rsidP="009B38B4">
            <w:pPr>
              <w:pStyle w:val="TableText"/>
            </w:pPr>
            <w:r w:rsidRPr="00AF38FB">
              <w:t xml:space="preserve">Correction to supplementary </w:t>
            </w:r>
            <w:r w:rsidR="00BE1634">
              <w:t>explanatory memorandum</w:t>
            </w:r>
          </w:p>
        </w:tc>
        <w:tc>
          <w:tcPr>
            <w:tcW w:w="1239" w:type="dxa"/>
            <w:vAlign w:val="center"/>
          </w:tcPr>
          <w:p w14:paraId="0480CA06" w14:textId="77777777" w:rsidR="00D40284" w:rsidRPr="00AF38FB" w:rsidRDefault="00D40284" w:rsidP="009B38B4">
            <w:pPr>
              <w:pStyle w:val="TableText"/>
              <w:jc w:val="center"/>
            </w:pPr>
            <w:r>
              <w:t>30</w:t>
            </w:r>
          </w:p>
        </w:tc>
        <w:tc>
          <w:tcPr>
            <w:tcW w:w="1260" w:type="dxa"/>
            <w:vAlign w:val="center"/>
          </w:tcPr>
          <w:p w14:paraId="5BD2F210" w14:textId="77777777" w:rsidR="00D40284" w:rsidRPr="00AF38FB" w:rsidRDefault="00D40284" w:rsidP="009B38B4">
            <w:pPr>
              <w:pStyle w:val="TableText"/>
              <w:jc w:val="center"/>
            </w:pPr>
            <w:r>
              <w:t>15</w:t>
            </w:r>
          </w:p>
        </w:tc>
        <w:tc>
          <w:tcPr>
            <w:tcW w:w="1271" w:type="dxa"/>
            <w:vAlign w:val="center"/>
          </w:tcPr>
          <w:p w14:paraId="469D3E42" w14:textId="77777777" w:rsidR="00D40284" w:rsidRPr="00AF38FB" w:rsidRDefault="00D828B5" w:rsidP="009B38B4">
            <w:pPr>
              <w:pStyle w:val="TableText"/>
              <w:jc w:val="center"/>
            </w:pPr>
            <w:r>
              <w:t>6</w:t>
            </w:r>
            <w:r w:rsidR="00585D15">
              <w:t>0</w:t>
            </w:r>
          </w:p>
        </w:tc>
        <w:tc>
          <w:tcPr>
            <w:tcW w:w="1187" w:type="dxa"/>
            <w:vAlign w:val="center"/>
          </w:tcPr>
          <w:p w14:paraId="196A39C7" w14:textId="77777777" w:rsidR="00D40284" w:rsidRPr="00AF38FB" w:rsidRDefault="00D40284" w:rsidP="009B38B4">
            <w:pPr>
              <w:pStyle w:val="TableText"/>
              <w:jc w:val="center"/>
            </w:pPr>
            <w:r>
              <w:t>2</w:t>
            </w:r>
          </w:p>
        </w:tc>
        <w:tc>
          <w:tcPr>
            <w:tcW w:w="1169" w:type="dxa"/>
            <w:vAlign w:val="center"/>
          </w:tcPr>
          <w:p w14:paraId="1B374BEE" w14:textId="77777777" w:rsidR="00D40284" w:rsidRPr="00AF38FB" w:rsidRDefault="00D40284" w:rsidP="009B38B4">
            <w:pPr>
              <w:pStyle w:val="TableText"/>
              <w:jc w:val="center"/>
            </w:pPr>
            <w:r>
              <w:t>1</w:t>
            </w:r>
          </w:p>
        </w:tc>
      </w:tr>
      <w:tr w:rsidR="00D40284" w:rsidRPr="009B38B4" w14:paraId="39F38206" w14:textId="77777777" w:rsidTr="009B38B4">
        <w:tc>
          <w:tcPr>
            <w:tcW w:w="2829" w:type="dxa"/>
          </w:tcPr>
          <w:p w14:paraId="518CDB83" w14:textId="7EEC3298" w:rsidR="00D40284" w:rsidRPr="009B38B4" w:rsidRDefault="00D40284" w:rsidP="009B38B4">
            <w:pPr>
              <w:pStyle w:val="TableText"/>
            </w:pPr>
            <w:r w:rsidRPr="009B38B4">
              <w:t xml:space="preserve">Revised </w:t>
            </w:r>
            <w:r w:rsidR="00BE1634" w:rsidRPr="009B38B4">
              <w:t>explanatory memorandum</w:t>
            </w:r>
          </w:p>
        </w:tc>
        <w:tc>
          <w:tcPr>
            <w:tcW w:w="1239" w:type="dxa"/>
            <w:vAlign w:val="center"/>
          </w:tcPr>
          <w:p w14:paraId="23CE07E2" w14:textId="77777777" w:rsidR="00D40284" w:rsidRPr="009B38B4" w:rsidRDefault="00D40284" w:rsidP="00D96552">
            <w:pPr>
              <w:spacing w:before="40" w:after="40"/>
              <w:jc w:val="center"/>
              <w:rPr>
                <w:rFonts w:eastAsia="Calibri" w:cs="Arial"/>
                <w:szCs w:val="18"/>
              </w:rPr>
            </w:pPr>
            <w:r w:rsidRPr="009B38B4">
              <w:rPr>
                <w:rFonts w:eastAsia="Calibri" w:cs="Arial"/>
                <w:szCs w:val="18"/>
              </w:rPr>
              <w:t>30</w:t>
            </w:r>
          </w:p>
        </w:tc>
        <w:tc>
          <w:tcPr>
            <w:tcW w:w="1260" w:type="dxa"/>
            <w:vAlign w:val="center"/>
          </w:tcPr>
          <w:p w14:paraId="32113408" w14:textId="77777777" w:rsidR="00D40284" w:rsidRPr="009B38B4" w:rsidRDefault="00D40284" w:rsidP="00D96552">
            <w:pPr>
              <w:spacing w:before="40" w:after="40"/>
              <w:jc w:val="center"/>
              <w:rPr>
                <w:rFonts w:eastAsia="Calibri" w:cs="Arial"/>
                <w:szCs w:val="18"/>
              </w:rPr>
            </w:pPr>
            <w:r w:rsidRPr="009B38B4">
              <w:rPr>
                <w:rFonts w:eastAsia="Calibri" w:cs="Arial"/>
                <w:szCs w:val="18"/>
              </w:rPr>
              <w:t>15</w:t>
            </w:r>
          </w:p>
        </w:tc>
        <w:tc>
          <w:tcPr>
            <w:tcW w:w="1271" w:type="dxa"/>
            <w:vAlign w:val="center"/>
          </w:tcPr>
          <w:p w14:paraId="5905E2F5" w14:textId="77777777" w:rsidR="00D40284" w:rsidRPr="009B38B4" w:rsidRDefault="00D828B5" w:rsidP="00D96552">
            <w:pPr>
              <w:spacing w:before="40" w:after="40"/>
              <w:jc w:val="center"/>
              <w:rPr>
                <w:rFonts w:eastAsia="Calibri" w:cs="Arial"/>
                <w:szCs w:val="18"/>
              </w:rPr>
            </w:pPr>
            <w:r w:rsidRPr="009B38B4">
              <w:rPr>
                <w:rFonts w:eastAsia="Calibri" w:cs="Arial"/>
                <w:szCs w:val="18"/>
              </w:rPr>
              <w:t>50</w:t>
            </w:r>
          </w:p>
        </w:tc>
        <w:tc>
          <w:tcPr>
            <w:tcW w:w="1187" w:type="dxa"/>
            <w:vAlign w:val="center"/>
          </w:tcPr>
          <w:p w14:paraId="51E0B8DB" w14:textId="77777777" w:rsidR="00D40284" w:rsidRPr="009B38B4" w:rsidRDefault="00D40284" w:rsidP="00D96552">
            <w:pPr>
              <w:spacing w:before="40" w:after="40"/>
              <w:jc w:val="center"/>
              <w:rPr>
                <w:rFonts w:eastAsia="Calibri" w:cs="Arial"/>
                <w:szCs w:val="18"/>
              </w:rPr>
            </w:pPr>
            <w:r w:rsidRPr="009B38B4">
              <w:rPr>
                <w:rFonts w:eastAsia="Calibri" w:cs="Arial"/>
                <w:szCs w:val="18"/>
              </w:rPr>
              <w:t>2</w:t>
            </w:r>
          </w:p>
        </w:tc>
        <w:tc>
          <w:tcPr>
            <w:tcW w:w="1169" w:type="dxa"/>
            <w:vAlign w:val="center"/>
          </w:tcPr>
          <w:p w14:paraId="352079F5" w14:textId="77777777" w:rsidR="00D40284" w:rsidRPr="009B38B4" w:rsidRDefault="00D40284" w:rsidP="00D96552">
            <w:pPr>
              <w:spacing w:before="40" w:after="40"/>
              <w:jc w:val="center"/>
              <w:rPr>
                <w:rFonts w:eastAsia="Calibri" w:cs="Arial"/>
                <w:szCs w:val="18"/>
              </w:rPr>
            </w:pPr>
            <w:r w:rsidRPr="009B38B4">
              <w:rPr>
                <w:rFonts w:eastAsia="Calibri" w:cs="Arial"/>
                <w:szCs w:val="18"/>
              </w:rPr>
              <w:t>1</w:t>
            </w:r>
          </w:p>
        </w:tc>
      </w:tr>
    </w:tbl>
    <w:p w14:paraId="3BFA030B" w14:textId="465DFBB0" w:rsidR="00D40284" w:rsidRPr="00CE504E" w:rsidRDefault="00760265" w:rsidP="00532693">
      <w:r w:rsidRPr="00797D64">
        <w:t xml:space="preserve">* </w:t>
      </w:r>
      <w:r w:rsidR="00BE1634">
        <w:t>T</w:t>
      </w:r>
      <w:r w:rsidRPr="00797D64">
        <w:t xml:space="preserve">o be prepared by CanPrint, or </w:t>
      </w:r>
      <w:r w:rsidR="00CD2BF6" w:rsidRPr="00797D64">
        <w:t>other</w:t>
      </w:r>
      <w:r w:rsidRPr="00CE504E">
        <w:t xml:space="preserve"> chosen </w:t>
      </w:r>
      <w:r w:rsidR="00CD2BF6">
        <w:t>print provid</w:t>
      </w:r>
      <w:r w:rsidRPr="00CE504E">
        <w:t>er.</w:t>
      </w:r>
      <w:r w:rsidR="00CE504E" w:rsidRPr="00CE504E">
        <w:t xml:space="preserve"> It is recommended that at least 10 additional copies be ordered for departmental use and for </w:t>
      </w:r>
      <w:r w:rsidR="00CD2BF6">
        <w:t>the</w:t>
      </w:r>
      <w:r w:rsidR="00CE504E">
        <w:t xml:space="preserve"> minister’s office</w:t>
      </w:r>
      <w:r w:rsidR="00BE1634">
        <w:t>.</w:t>
      </w:r>
    </w:p>
    <w:p w14:paraId="01539E7B" w14:textId="1E8D5C31" w:rsidR="00E9068D" w:rsidRDefault="00E9068D" w:rsidP="00491B72">
      <w:pPr>
        <w:pStyle w:val="Heading3"/>
      </w:pPr>
      <w:r w:rsidRPr="00E87C58">
        <w:lastRenderedPageBreak/>
        <w:t xml:space="preserve">Second </w:t>
      </w:r>
      <w:r w:rsidR="00BE1634" w:rsidRPr="00E87C58">
        <w:t>r</w:t>
      </w:r>
      <w:r w:rsidRPr="00E87C58">
        <w:t xml:space="preserve">eading </w:t>
      </w:r>
      <w:r w:rsidR="00BE1634" w:rsidRPr="00E87C58">
        <w:t>s</w:t>
      </w:r>
      <w:r w:rsidRPr="00E87C58">
        <w:t>peeches</w:t>
      </w:r>
      <w:r w:rsidR="00BE1634">
        <w:t xml:space="preserve">—number of copies </w:t>
      </w:r>
      <w:r w:rsidRPr="00E87C58">
        <w:t xml:space="preserve">(on </w:t>
      </w:r>
      <w:r w:rsidR="00E87C58" w:rsidRPr="00E87C58">
        <w:t xml:space="preserve">B5 </w:t>
      </w:r>
      <w:r w:rsidR="00BE1634" w:rsidRPr="00E87C58">
        <w:t>or</w:t>
      </w:r>
      <w:r w:rsidR="00E87C58" w:rsidRPr="00E87C58">
        <w:t xml:space="preserve"> </w:t>
      </w:r>
      <w:r w:rsidRPr="00E87C58">
        <w:t>A4 paper</w:t>
      </w:r>
      <w:r>
        <w:t>)</w:t>
      </w:r>
      <w:r w:rsidR="00760265">
        <w:t>*</w:t>
      </w:r>
    </w:p>
    <w:tbl>
      <w:tblPr>
        <w:tblStyle w:val="TableGrid"/>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8"/>
        <w:gridCol w:w="1727"/>
        <w:gridCol w:w="1572"/>
        <w:gridCol w:w="1414"/>
        <w:gridCol w:w="1414"/>
      </w:tblGrid>
      <w:tr w:rsidR="00E9068D" w14:paraId="735886A1" w14:textId="77777777" w:rsidTr="009B38B4">
        <w:trPr>
          <w:cantSplit/>
        </w:trPr>
        <w:tc>
          <w:tcPr>
            <w:tcW w:w="2552" w:type="dxa"/>
            <w:vMerge w:val="restart"/>
            <w:shd w:val="clear" w:color="auto" w:fill="DDDDDD"/>
            <w:vAlign w:val="center"/>
          </w:tcPr>
          <w:p w14:paraId="3E8A29BF" w14:textId="77777777" w:rsidR="00E9068D" w:rsidRPr="009B38B4" w:rsidRDefault="00E9068D" w:rsidP="009B38B4">
            <w:pPr>
              <w:pStyle w:val="TableText"/>
              <w:rPr>
                <w:b/>
              </w:rPr>
            </w:pPr>
            <w:r w:rsidRPr="009B38B4">
              <w:rPr>
                <w:b/>
              </w:rPr>
              <w:t>Document</w:t>
            </w:r>
          </w:p>
        </w:tc>
        <w:tc>
          <w:tcPr>
            <w:tcW w:w="2976" w:type="dxa"/>
            <w:gridSpan w:val="2"/>
            <w:shd w:val="clear" w:color="auto" w:fill="DDDDDD"/>
            <w:vAlign w:val="center"/>
          </w:tcPr>
          <w:p w14:paraId="55705E13" w14:textId="77777777" w:rsidR="00E9068D" w:rsidRPr="009B38B4" w:rsidRDefault="00E9068D" w:rsidP="009B38B4">
            <w:pPr>
              <w:pStyle w:val="TableText"/>
              <w:jc w:val="center"/>
              <w:rPr>
                <w:b/>
              </w:rPr>
            </w:pPr>
            <w:r w:rsidRPr="009B38B4">
              <w:rPr>
                <w:b/>
              </w:rPr>
              <w:t>Table Offices</w:t>
            </w:r>
          </w:p>
        </w:tc>
        <w:tc>
          <w:tcPr>
            <w:tcW w:w="2552" w:type="dxa"/>
            <w:gridSpan w:val="2"/>
            <w:shd w:val="clear" w:color="auto" w:fill="DDDDDD"/>
          </w:tcPr>
          <w:p w14:paraId="52D5E900" w14:textId="77777777" w:rsidR="00E9068D" w:rsidRPr="009B38B4" w:rsidRDefault="00E9068D" w:rsidP="009B38B4">
            <w:pPr>
              <w:pStyle w:val="TableText"/>
              <w:jc w:val="center"/>
              <w:rPr>
                <w:b/>
              </w:rPr>
            </w:pPr>
            <w:r w:rsidRPr="009B38B4">
              <w:rPr>
                <w:b/>
              </w:rPr>
              <w:t>PLOs</w:t>
            </w:r>
          </w:p>
        </w:tc>
      </w:tr>
      <w:tr w:rsidR="00E9068D" w14:paraId="1DE8DA0C" w14:textId="77777777" w:rsidTr="009B38B4">
        <w:trPr>
          <w:cantSplit/>
        </w:trPr>
        <w:tc>
          <w:tcPr>
            <w:tcW w:w="2552" w:type="dxa"/>
            <w:vMerge/>
            <w:shd w:val="clear" w:color="auto" w:fill="DDDDDD"/>
            <w:vAlign w:val="center"/>
          </w:tcPr>
          <w:p w14:paraId="2631C254" w14:textId="77777777" w:rsidR="00E9068D" w:rsidRDefault="00E9068D" w:rsidP="00E9068D">
            <w:pPr>
              <w:spacing w:before="40" w:after="40"/>
              <w:jc w:val="center"/>
              <w:rPr>
                <w:rFonts w:ascii="Arial" w:eastAsia="Calibri" w:hAnsi="Arial" w:cs="Arial"/>
                <w:sz w:val="22"/>
                <w:szCs w:val="22"/>
              </w:rPr>
            </w:pPr>
          </w:p>
        </w:tc>
        <w:tc>
          <w:tcPr>
            <w:tcW w:w="1558" w:type="dxa"/>
            <w:shd w:val="clear" w:color="auto" w:fill="DDDDDD"/>
            <w:vAlign w:val="center"/>
          </w:tcPr>
          <w:p w14:paraId="5DF8E376" w14:textId="77777777" w:rsidR="00E9068D" w:rsidRDefault="00E9068D" w:rsidP="009B38B4">
            <w:pPr>
              <w:pStyle w:val="TableText"/>
              <w:jc w:val="center"/>
            </w:pPr>
            <w:r>
              <w:t>House</w:t>
            </w:r>
          </w:p>
        </w:tc>
        <w:tc>
          <w:tcPr>
            <w:tcW w:w="1418" w:type="dxa"/>
            <w:shd w:val="clear" w:color="auto" w:fill="DDDDDD"/>
            <w:vAlign w:val="center"/>
          </w:tcPr>
          <w:p w14:paraId="303B02A1" w14:textId="77777777" w:rsidR="00E9068D" w:rsidRDefault="00E9068D" w:rsidP="009B38B4">
            <w:pPr>
              <w:pStyle w:val="TableText"/>
              <w:jc w:val="center"/>
            </w:pPr>
            <w:r>
              <w:t>Senate</w:t>
            </w:r>
          </w:p>
        </w:tc>
        <w:tc>
          <w:tcPr>
            <w:tcW w:w="1276" w:type="dxa"/>
            <w:shd w:val="clear" w:color="auto" w:fill="DDDDDD"/>
          </w:tcPr>
          <w:p w14:paraId="62E0AF61" w14:textId="77777777" w:rsidR="00E9068D" w:rsidRDefault="00E9068D" w:rsidP="009B38B4">
            <w:pPr>
              <w:pStyle w:val="TableText"/>
              <w:jc w:val="center"/>
            </w:pPr>
            <w:r>
              <w:t>House</w:t>
            </w:r>
          </w:p>
        </w:tc>
        <w:tc>
          <w:tcPr>
            <w:tcW w:w="1276" w:type="dxa"/>
            <w:shd w:val="clear" w:color="auto" w:fill="DDDDDD"/>
          </w:tcPr>
          <w:p w14:paraId="60B514B9" w14:textId="77777777" w:rsidR="00E9068D" w:rsidRDefault="00E9068D" w:rsidP="009B38B4">
            <w:pPr>
              <w:pStyle w:val="TableText"/>
              <w:jc w:val="center"/>
            </w:pPr>
            <w:r>
              <w:t>Senate</w:t>
            </w:r>
          </w:p>
        </w:tc>
      </w:tr>
      <w:tr w:rsidR="00E9068D" w14:paraId="4AC3CE98" w14:textId="77777777" w:rsidTr="009B38B4">
        <w:trPr>
          <w:cantSplit/>
        </w:trPr>
        <w:tc>
          <w:tcPr>
            <w:tcW w:w="2552" w:type="dxa"/>
          </w:tcPr>
          <w:p w14:paraId="0901B3DD" w14:textId="77777777" w:rsidR="00E9068D" w:rsidRPr="00AF38FB" w:rsidRDefault="00E9068D" w:rsidP="009B38B4">
            <w:pPr>
              <w:pStyle w:val="TableText"/>
            </w:pPr>
            <w:r>
              <w:t>Second reading speeches</w:t>
            </w:r>
          </w:p>
        </w:tc>
        <w:tc>
          <w:tcPr>
            <w:tcW w:w="1558" w:type="dxa"/>
            <w:vAlign w:val="center"/>
          </w:tcPr>
          <w:p w14:paraId="215DCCED" w14:textId="77777777" w:rsidR="00E9068D" w:rsidRPr="00AF38FB" w:rsidRDefault="00D40284" w:rsidP="009B38B4">
            <w:pPr>
              <w:pStyle w:val="TableText"/>
              <w:jc w:val="center"/>
            </w:pPr>
            <w:r>
              <w:t>30</w:t>
            </w:r>
          </w:p>
        </w:tc>
        <w:tc>
          <w:tcPr>
            <w:tcW w:w="1418" w:type="dxa"/>
            <w:vAlign w:val="center"/>
          </w:tcPr>
          <w:p w14:paraId="268B56F2" w14:textId="77777777" w:rsidR="00E9068D" w:rsidRPr="00AF38FB" w:rsidRDefault="00D828B5" w:rsidP="009B38B4">
            <w:pPr>
              <w:pStyle w:val="TableText"/>
              <w:jc w:val="center"/>
            </w:pPr>
            <w:r>
              <w:t>5</w:t>
            </w:r>
            <w:r w:rsidR="00E9068D" w:rsidRPr="00AF38FB">
              <w:t>0</w:t>
            </w:r>
          </w:p>
        </w:tc>
        <w:tc>
          <w:tcPr>
            <w:tcW w:w="1276" w:type="dxa"/>
            <w:vAlign w:val="center"/>
          </w:tcPr>
          <w:p w14:paraId="4A935A41" w14:textId="77777777" w:rsidR="00E9068D" w:rsidRPr="00AF38FB" w:rsidRDefault="00E9068D" w:rsidP="009B38B4">
            <w:pPr>
              <w:pStyle w:val="TableText"/>
              <w:jc w:val="center"/>
            </w:pPr>
            <w:r>
              <w:t>2</w:t>
            </w:r>
          </w:p>
        </w:tc>
        <w:tc>
          <w:tcPr>
            <w:tcW w:w="1276" w:type="dxa"/>
            <w:vAlign w:val="center"/>
          </w:tcPr>
          <w:p w14:paraId="11FA4F60" w14:textId="77777777" w:rsidR="00E9068D" w:rsidRPr="00AF38FB" w:rsidRDefault="008D3DFB" w:rsidP="009B38B4">
            <w:pPr>
              <w:pStyle w:val="TableText"/>
              <w:jc w:val="center"/>
            </w:pPr>
            <w:r>
              <w:t>1</w:t>
            </w:r>
          </w:p>
        </w:tc>
      </w:tr>
    </w:tbl>
    <w:p w14:paraId="389C0AE3" w14:textId="301681B1" w:rsidR="00760265" w:rsidRDefault="00760265" w:rsidP="00491B72">
      <w:r>
        <w:t xml:space="preserve">* </w:t>
      </w:r>
      <w:r w:rsidR="00BE1634">
        <w:t>C</w:t>
      </w:r>
      <w:r>
        <w:t xml:space="preserve">an be </w:t>
      </w:r>
      <w:r w:rsidR="00CE504E">
        <w:t>copied</w:t>
      </w:r>
      <w:r w:rsidR="00BE1634">
        <w:t xml:space="preserve"> ‘in house’</w:t>
      </w:r>
      <w:r>
        <w:t xml:space="preserve"> if preferred</w:t>
      </w:r>
      <w:r w:rsidR="00E72A10">
        <w:t xml:space="preserve"> (A4</w:t>
      </w:r>
      <w:r w:rsidR="00C67BF7">
        <w:t xml:space="preserve"> paper</w:t>
      </w:r>
      <w:r w:rsidR="00E72A10">
        <w:t>, stapled, single or double</w:t>
      </w:r>
      <w:r w:rsidR="00CE504E">
        <w:t>-sided)</w:t>
      </w:r>
      <w:r w:rsidR="00BE1634">
        <w:t>.</w:t>
      </w:r>
    </w:p>
    <w:p w14:paraId="0869CB02" w14:textId="77777777" w:rsidR="00F76AE3" w:rsidRDefault="00760265" w:rsidP="00491B72">
      <w:r>
        <w:t xml:space="preserve">At the same time as </w:t>
      </w:r>
      <w:r w:rsidR="00CE504E">
        <w:t>the documents are delivered to Parliament House,</w:t>
      </w:r>
      <w:r w:rsidR="00090EDF">
        <w:t xml:space="preserve"> d</w:t>
      </w:r>
      <w:r w:rsidR="00090EDF" w:rsidRPr="00E32376">
        <w:t xml:space="preserve">epartments must provide a </w:t>
      </w:r>
      <w:r w:rsidR="00090EDF" w:rsidRPr="00BC3DC9">
        <w:t xml:space="preserve">Microsoft Word file of explanatory memoranda </w:t>
      </w:r>
      <w:r w:rsidR="00E9068D">
        <w:t xml:space="preserve">and second reading speeches </w:t>
      </w:r>
      <w:r w:rsidR="00090EDF" w:rsidRPr="00BC3DC9">
        <w:t xml:space="preserve">to the relevant Table Office </w:t>
      </w:r>
      <w:r w:rsidR="00033D76">
        <w:t xml:space="preserve">and PLO </w:t>
      </w:r>
      <w:r w:rsidR="00090EDF" w:rsidRPr="00BC3DC9">
        <w:t>via email</w:t>
      </w:r>
      <w:r w:rsidR="00BE1634">
        <w:t>—</w:t>
      </w:r>
      <w:r w:rsidR="008D34D6">
        <w:t xml:space="preserve">see </w:t>
      </w:r>
      <w:r w:rsidR="00E9068D">
        <w:t>email addresses below</w:t>
      </w:r>
      <w:r w:rsidR="00F76AE3" w:rsidRPr="00BC3DC9">
        <w:t>:</w:t>
      </w:r>
    </w:p>
    <w:p w14:paraId="5D9DC0C6" w14:textId="6A7A3E7C" w:rsidR="00F76AE3" w:rsidRPr="00E32376" w:rsidRDefault="00592A95" w:rsidP="00491B72">
      <w:pPr>
        <w:ind w:left="360"/>
      </w:pPr>
      <w:hyperlink r:id="rId10" w:history="1">
        <w:r w:rsidR="00F76AE3" w:rsidRPr="00491B72">
          <w:rPr>
            <w:rStyle w:val="Hyperlink"/>
          </w:rPr>
          <w:t>Bills.Manager.Reps@aph.gov.au</w:t>
        </w:r>
      </w:hyperlink>
      <w:r w:rsidR="00F76AE3" w:rsidRPr="00E32376">
        <w:br/>
        <w:t>(if House</w:t>
      </w:r>
      <w:r w:rsidR="00BE1634">
        <w:t>-</w:t>
      </w:r>
      <w:r w:rsidR="00F76AE3" w:rsidRPr="00E32376">
        <w:t>initiated bill or House explanatory memorandum)</w:t>
      </w:r>
    </w:p>
    <w:p w14:paraId="07F95CDA" w14:textId="6EBC1D6B" w:rsidR="00F76AE3" w:rsidRDefault="00592A95" w:rsidP="00491B72">
      <w:pPr>
        <w:ind w:left="360"/>
      </w:pPr>
      <w:hyperlink r:id="rId11" w:history="1">
        <w:r w:rsidR="00F76AE3" w:rsidRPr="00491B72">
          <w:rPr>
            <w:rStyle w:val="Hyperlink"/>
          </w:rPr>
          <w:t>table.legislation.sen@aph.gov.au</w:t>
        </w:r>
      </w:hyperlink>
      <w:r w:rsidR="00F76AE3" w:rsidRPr="00E32376">
        <w:br/>
        <w:t>(if Senate</w:t>
      </w:r>
      <w:r w:rsidR="00BE1634">
        <w:t>-</w:t>
      </w:r>
      <w:r w:rsidR="00F76AE3" w:rsidRPr="00E32376">
        <w:t>initiated bill or Senate explanatory memorandum)</w:t>
      </w:r>
    </w:p>
    <w:p w14:paraId="046BC069" w14:textId="41C1942C" w:rsidR="00033D76" w:rsidRPr="00E32376" w:rsidRDefault="00592A95" w:rsidP="00491B72">
      <w:pPr>
        <w:ind w:left="360"/>
      </w:pPr>
      <w:hyperlink r:id="rId12" w:history="1">
        <w:r w:rsidR="00BE00D1" w:rsidRPr="00491B72">
          <w:rPr>
            <w:rStyle w:val="Hyperlink"/>
          </w:rPr>
          <w:t>HousePLO@pmc.gov.au</w:t>
        </w:r>
      </w:hyperlink>
      <w:r w:rsidR="00033D76" w:rsidRPr="00491B72">
        <w:rPr>
          <w:rStyle w:val="Hyperlink"/>
        </w:rPr>
        <w:t xml:space="preserve"> </w:t>
      </w:r>
      <w:r w:rsidR="00033D76" w:rsidRPr="00E32376">
        <w:br/>
        <w:t>(if House</w:t>
      </w:r>
      <w:r w:rsidR="00BE1634">
        <w:t>-</w:t>
      </w:r>
      <w:r w:rsidR="00033D76" w:rsidRPr="00E32376">
        <w:t>initiated bill or House explanatory memorandum)</w:t>
      </w:r>
    </w:p>
    <w:p w14:paraId="71BCFEE6" w14:textId="285A5512" w:rsidR="00033D76" w:rsidRDefault="00592A95" w:rsidP="00491B72">
      <w:pPr>
        <w:ind w:left="360"/>
      </w:pPr>
      <w:hyperlink r:id="rId13" w:history="1">
        <w:r w:rsidR="00033D76" w:rsidRPr="00491B72">
          <w:rPr>
            <w:rStyle w:val="Hyperlink"/>
          </w:rPr>
          <w:t>SenatePLO@pmc.gov.au</w:t>
        </w:r>
      </w:hyperlink>
      <w:r w:rsidR="00491B72">
        <w:br/>
      </w:r>
      <w:r w:rsidR="00033D76" w:rsidRPr="00E32376">
        <w:t>(if Senate</w:t>
      </w:r>
      <w:r w:rsidR="00BE1634">
        <w:t>-</w:t>
      </w:r>
      <w:r w:rsidR="00033D76" w:rsidRPr="00E32376">
        <w:t>initiated bill or Senate explanatory memorandum)</w:t>
      </w:r>
    </w:p>
    <w:p w14:paraId="5A4CB7A4" w14:textId="77777777" w:rsidR="00033D76" w:rsidRDefault="00E9068D" w:rsidP="00491B72">
      <w:r w:rsidRPr="00E32376">
        <w:t xml:space="preserve">The email forwarding the </w:t>
      </w:r>
      <w:r>
        <w:t>documents</w:t>
      </w:r>
      <w:r w:rsidRPr="00E32376">
        <w:t xml:space="preserve"> must include the name of the bill to which the explanatory memorandum </w:t>
      </w:r>
      <w:r w:rsidR="00CE504E">
        <w:t xml:space="preserve">and second reading speech </w:t>
      </w:r>
      <w:r w:rsidRPr="00E32376">
        <w:t>relate and a departmental contact.</w:t>
      </w:r>
    </w:p>
    <w:p w14:paraId="1A9007A5" w14:textId="77777777" w:rsidR="00090EDF" w:rsidRDefault="00090EDF" w:rsidP="00491B72">
      <w:r w:rsidRPr="00E32376">
        <w:t xml:space="preserve">Departments and agencies </w:t>
      </w:r>
      <w:r w:rsidR="00243760">
        <w:t>are</w:t>
      </w:r>
      <w:r w:rsidRPr="00E32376">
        <w:t xml:space="preserve"> responsible for ensuring that the text of the Word file of an explanatory memorandum is identical to the text of the hard copy as printed (apart fr</w:t>
      </w:r>
      <w:r>
        <w:t xml:space="preserve">om differences in formatting). </w:t>
      </w:r>
      <w:r w:rsidRPr="00E32376">
        <w:t>The Table Offices will check the title page but will not accept responsibility for any discrepancies between the electronic text and the printed copy.</w:t>
      </w:r>
    </w:p>
    <w:p w14:paraId="72D887DD" w14:textId="77777777" w:rsidR="00805785" w:rsidRDefault="008D6AAE" w:rsidP="00491B72">
      <w:r>
        <w:t>S</w:t>
      </w:r>
      <w:r w:rsidR="00805785" w:rsidRPr="00E32376">
        <w:t xml:space="preserve">econd reading speeches </w:t>
      </w:r>
      <w:r>
        <w:t>are to</w:t>
      </w:r>
      <w:r w:rsidR="00805785" w:rsidRPr="00E32376">
        <w:t xml:space="preserve"> be written in a way that makes them suitable for both the House and the Senate. If a different speech is required for the Senate</w:t>
      </w:r>
      <w:r w:rsidR="00BE1634">
        <w:t>,</w:t>
      </w:r>
      <w:r w:rsidR="00805785" w:rsidRPr="00E32376">
        <w:t xml:space="preserve"> it must not contain references appropr</w:t>
      </w:r>
      <w:r w:rsidR="00805785">
        <w:t xml:space="preserve">iate to a speech to the House. </w:t>
      </w:r>
    </w:p>
    <w:p w14:paraId="6D9BAAC4" w14:textId="37DB11C6" w:rsidR="0027651D" w:rsidRPr="00CC54EB" w:rsidRDefault="005F40E0" w:rsidP="00BC3D80">
      <w:pPr>
        <w:pStyle w:val="Heading2"/>
        <w:tabs>
          <w:tab w:val="left" w:pos="360"/>
        </w:tabs>
        <w:ind w:left="360" w:hanging="360"/>
      </w:pPr>
      <w:r>
        <w:t>3.</w:t>
      </w:r>
      <w:r>
        <w:tab/>
      </w:r>
      <w:r w:rsidR="0027651D" w:rsidRPr="00CC54EB">
        <w:t>DOCUMENTS TO BE LODGED WITH MINISTERS</w:t>
      </w:r>
    </w:p>
    <w:p w14:paraId="1244A7E9" w14:textId="4A8BB99A" w:rsidR="00CC54EB" w:rsidRDefault="00CC54EB" w:rsidP="00532693">
      <w:pPr>
        <w:keepLines/>
      </w:pPr>
      <w:r w:rsidRPr="00CC54EB">
        <w:t xml:space="preserve">Sufficient copies of the documents </w:t>
      </w:r>
      <w:r w:rsidR="008D6AAE">
        <w:t>are to</w:t>
      </w:r>
      <w:r w:rsidRPr="00CC54EB">
        <w:t xml:space="preserve"> be provided to the minister’s office to meet</w:t>
      </w:r>
      <w:r>
        <w:t xml:space="preserve"> their requirements. In addition, for House</w:t>
      </w:r>
      <w:r w:rsidR="00BE1634">
        <w:t>-</w:t>
      </w:r>
      <w:r>
        <w:t xml:space="preserve">initiated bills only, one copy of an explanatory memorandum </w:t>
      </w:r>
      <w:r w:rsidR="008D6AAE">
        <w:t>must</w:t>
      </w:r>
      <w:r>
        <w:t xml:space="preserve"> be provided to the minister, for presentation to the House at the time of introduction or moving. Two copies of the second reading</w:t>
      </w:r>
      <w:r w:rsidR="00674869">
        <w:t xml:space="preserve"> speech </w:t>
      </w:r>
      <w:r w:rsidR="008D6AAE">
        <w:t>are</w:t>
      </w:r>
      <w:r w:rsidR="00674869">
        <w:t xml:space="preserve"> </w:t>
      </w:r>
      <w:r w:rsidR="005949EE">
        <w:t xml:space="preserve">also </w:t>
      </w:r>
      <w:r w:rsidR="008D6AAE">
        <w:t xml:space="preserve">to </w:t>
      </w:r>
      <w:r w:rsidR="005949EE">
        <w:t xml:space="preserve">be provided: </w:t>
      </w:r>
      <w:r w:rsidR="00674869">
        <w:t>one for</w:t>
      </w:r>
      <w:r>
        <w:t xml:space="preserve"> the minister for use in the House and, if required</w:t>
      </w:r>
      <w:r w:rsidR="00674869">
        <w:t xml:space="preserve"> by the minister</w:t>
      </w:r>
      <w:r>
        <w:t xml:space="preserve">, </w:t>
      </w:r>
      <w:r w:rsidR="00674869">
        <w:t xml:space="preserve">one </w:t>
      </w:r>
      <w:r>
        <w:t>for the Opposition.</w:t>
      </w:r>
    </w:p>
    <w:bookmarkEnd w:id="14"/>
    <w:p w14:paraId="3AE17770" w14:textId="6A45A009" w:rsidR="002762DA" w:rsidRPr="0027651D" w:rsidRDefault="005F40E0" w:rsidP="00BC3D80">
      <w:pPr>
        <w:pStyle w:val="Heading2"/>
        <w:tabs>
          <w:tab w:val="left" w:pos="360"/>
        </w:tabs>
        <w:ind w:left="360" w:hanging="360"/>
      </w:pPr>
      <w:r>
        <w:t>4.</w:t>
      </w:r>
      <w:r>
        <w:tab/>
      </w:r>
      <w:r w:rsidR="0027651D">
        <w:t>OTHER ISSUES RELATING TO EXPLANATORY MEMORANDA</w:t>
      </w:r>
    </w:p>
    <w:p w14:paraId="76AFD0F0" w14:textId="77777777" w:rsidR="002762DA" w:rsidRPr="00E32376" w:rsidRDefault="002762DA" w:rsidP="00491B72">
      <w:pPr>
        <w:pStyle w:val="Heading3"/>
      </w:pPr>
      <w:bookmarkStart w:id="15" w:name="_Toc481462863"/>
      <w:r w:rsidRPr="00E32376">
        <w:t>Security</w:t>
      </w:r>
      <w:bookmarkEnd w:id="15"/>
    </w:p>
    <w:p w14:paraId="51EF6B71" w14:textId="484244BB" w:rsidR="002762DA" w:rsidRPr="00E32376" w:rsidRDefault="002762DA" w:rsidP="00491B72">
      <w:r w:rsidRPr="00E32376">
        <w:t xml:space="preserve">As bills and explanatory memoranda are confidential to the government until tabled, </w:t>
      </w:r>
      <w:r w:rsidR="00736B8C">
        <w:t>email transmissions of these documents</w:t>
      </w:r>
      <w:r w:rsidR="008D6AAE">
        <w:t xml:space="preserve"> are to</w:t>
      </w:r>
      <w:r w:rsidR="00736B8C">
        <w:t xml:space="preserve"> be classified </w:t>
      </w:r>
      <w:r w:rsidR="00736BE9">
        <w:t>‘</w:t>
      </w:r>
      <w:r w:rsidR="00736B8C">
        <w:t>UNCL</w:t>
      </w:r>
      <w:r w:rsidR="00736BE9">
        <w:t>ASSIFIED: For Official Use Only’</w:t>
      </w:r>
      <w:r w:rsidR="00736B8C">
        <w:t xml:space="preserve">. </w:t>
      </w:r>
      <w:r w:rsidRPr="00E32376">
        <w:t>If Senate amendments are cleared by the minister for circulation and the supplementary explanatory memorandum is available and cleared, that supplementary explanatory memorandum is circulated with the amendments and therefore remains confidential only until the time of circulation.</w:t>
      </w:r>
    </w:p>
    <w:p w14:paraId="68F9A963" w14:textId="77777777" w:rsidR="002762DA" w:rsidRPr="00E32376" w:rsidRDefault="002762DA" w:rsidP="00491B72">
      <w:pPr>
        <w:pStyle w:val="Heading3"/>
      </w:pPr>
      <w:bookmarkStart w:id="16" w:name="_Toc481462864"/>
      <w:r w:rsidRPr="00E32376">
        <w:lastRenderedPageBreak/>
        <w:t>International Standard Book Numbers</w:t>
      </w:r>
      <w:bookmarkEnd w:id="16"/>
    </w:p>
    <w:p w14:paraId="4CE424EA" w14:textId="6C8627E6" w:rsidR="002762DA" w:rsidRPr="00E32376" w:rsidRDefault="002762DA" w:rsidP="00491B72">
      <w:r w:rsidRPr="00E32376">
        <w:t>Departments, as publishers of explanatory memoranda, are responsible for giving each e</w:t>
      </w:r>
      <w:r w:rsidR="00736B8C">
        <w:t xml:space="preserve">xplanatory memorandum an </w:t>
      </w:r>
      <w:r w:rsidR="00736BE9">
        <w:t>International Standard Book Number (</w:t>
      </w:r>
      <w:r w:rsidR="00736B8C">
        <w:t>ISBN</w:t>
      </w:r>
      <w:r w:rsidR="00736BE9">
        <w:t>)</w:t>
      </w:r>
      <w:r w:rsidR="00736B8C">
        <w:t xml:space="preserve">. </w:t>
      </w:r>
      <w:r w:rsidRPr="00E32376">
        <w:t>A barcode created from the ISBN is a feature that must be included if departments/print</w:t>
      </w:r>
      <w:r w:rsidR="00736B8C">
        <w:t>ers have the required software.</w:t>
      </w:r>
      <w:r w:rsidRPr="00E32376">
        <w:t xml:space="preserve"> CanPrint will give the documents </w:t>
      </w:r>
      <w:r w:rsidR="00736B8C">
        <w:t>an ISBN as a matter of routine.</w:t>
      </w:r>
      <w:r w:rsidRPr="00E32376">
        <w:t xml:space="preserve"> </w:t>
      </w:r>
      <w:r w:rsidR="009150E0" w:rsidRPr="00E32376">
        <w:t>Departments using another printer are resp</w:t>
      </w:r>
      <w:r w:rsidR="005949EE">
        <w:t>onsible for obtaining an ISBN.</w:t>
      </w:r>
    </w:p>
    <w:p w14:paraId="6768F8B3" w14:textId="5CC7E589" w:rsidR="002762DA" w:rsidRPr="00E32376" w:rsidRDefault="002762DA" w:rsidP="00491B72">
      <w:pPr>
        <w:pStyle w:val="Heading3"/>
      </w:pPr>
      <w:bookmarkStart w:id="17" w:name="_Toc481462865"/>
      <w:r w:rsidRPr="00E32376">
        <w:t xml:space="preserve">Embargo </w:t>
      </w:r>
      <w:r w:rsidR="00736BE9" w:rsidRPr="00E32376">
        <w:t>c</w:t>
      </w:r>
      <w:r w:rsidRPr="00E32376">
        <w:t>opies</w:t>
      </w:r>
      <w:bookmarkEnd w:id="17"/>
    </w:p>
    <w:p w14:paraId="4119E71C" w14:textId="77777777" w:rsidR="009150E0" w:rsidRPr="008D34D6" w:rsidRDefault="00D54B16" w:rsidP="00491B72">
      <w:r>
        <w:t>T</w:t>
      </w:r>
      <w:r w:rsidR="002762DA" w:rsidRPr="00E32376">
        <w:t>he embargo copies (for sale, subscription and free distribution purposes) will be printed and distributed</w:t>
      </w:r>
      <w:r>
        <w:t xml:space="preserve"> by CanPrint</w:t>
      </w:r>
      <w:r w:rsidR="002762DA" w:rsidRPr="00E32376">
        <w:t xml:space="preserve"> as a ma</w:t>
      </w:r>
      <w:r w:rsidR="00090EDF">
        <w:t xml:space="preserve">tter </w:t>
      </w:r>
      <w:r w:rsidR="00090EDF" w:rsidRPr="008D34D6">
        <w:t>of routine.</w:t>
      </w:r>
      <w:r w:rsidR="002762DA" w:rsidRPr="008D34D6">
        <w:t xml:space="preserve"> CanPrint will issue separate invoices t</w:t>
      </w:r>
      <w:r w:rsidR="002F2549" w:rsidRPr="008D34D6">
        <w:t xml:space="preserve">o the department. </w:t>
      </w:r>
      <w:r w:rsidR="009150E0" w:rsidRPr="008D34D6">
        <w:t>The copy requirements are set out below:</w:t>
      </w:r>
    </w:p>
    <w:p w14:paraId="0CBD0D37" w14:textId="315384CA" w:rsidR="001E4928" w:rsidRPr="008D34D6" w:rsidRDefault="001E4928" w:rsidP="00491B72">
      <w:pPr>
        <w:pStyle w:val="Bullet"/>
      </w:pPr>
      <w:r w:rsidRPr="008D34D6">
        <w:t>15</w:t>
      </w:r>
      <w:r w:rsidR="00736BE9">
        <w:t>–</w:t>
      </w:r>
      <w:r w:rsidR="00E9068D" w:rsidRPr="008D34D6">
        <w:t>20</w:t>
      </w:r>
      <w:r w:rsidRPr="008D34D6">
        <w:t xml:space="preserve"> sale copies</w:t>
      </w:r>
    </w:p>
    <w:p w14:paraId="4BB0B09A" w14:textId="6C19FE77" w:rsidR="009150E0" w:rsidRPr="008D34D6" w:rsidRDefault="009150E0" w:rsidP="00491B72">
      <w:pPr>
        <w:pStyle w:val="Bullet"/>
      </w:pPr>
      <w:r w:rsidRPr="008D34D6">
        <w:t>45 subscription copies</w:t>
      </w:r>
    </w:p>
    <w:p w14:paraId="5473D192" w14:textId="3C440734" w:rsidR="009150E0" w:rsidRPr="008D34D6" w:rsidRDefault="009150E0" w:rsidP="00491B72">
      <w:pPr>
        <w:pStyle w:val="Bullet"/>
      </w:pPr>
      <w:r w:rsidRPr="008D34D6">
        <w:t>50 free distributions (e.g. to libraries)</w:t>
      </w:r>
    </w:p>
    <w:p w14:paraId="5EACA883" w14:textId="7D374FE9" w:rsidR="009150E0" w:rsidRPr="00E32376" w:rsidRDefault="009150E0" w:rsidP="00491B72">
      <w:r w:rsidRPr="00E32376">
        <w:t xml:space="preserve">When using another printer, departments must ensure that these </w:t>
      </w:r>
      <w:r>
        <w:t xml:space="preserve">embargo </w:t>
      </w:r>
      <w:r w:rsidRPr="00E32376">
        <w:t xml:space="preserve">copies are part of the print job and that they are delivered </w:t>
      </w:r>
      <w:r>
        <w:t>to CanPrint</w:t>
      </w:r>
      <w:r w:rsidRPr="00E32376">
        <w:t>, after authority for release is received from the Legislation Officer in the relevant Table Office</w:t>
      </w:r>
      <w:r>
        <w:t xml:space="preserve"> (i.e. after the </w:t>
      </w:r>
      <w:r w:rsidR="00736BE9">
        <w:t>explanatory memorandum</w:t>
      </w:r>
      <w:r>
        <w:t xml:space="preserve"> has been tabled). </w:t>
      </w:r>
      <w:r w:rsidRPr="00E32376">
        <w:t>When the department/printer delivers the sale, subscription and free distribution copies to CanPrint</w:t>
      </w:r>
      <w:r w:rsidR="00736BE9">
        <w:t>,</w:t>
      </w:r>
      <w:r w:rsidRPr="00E32376">
        <w:t xml:space="preserve"> they must </w:t>
      </w:r>
      <w:r w:rsidR="004E715F">
        <w:t>provide a confirmation from the relevant Table Office (e.g. an email or copy of the release slip) that the explanatory memorandum has been tabled</w:t>
      </w:r>
      <w:r w:rsidRPr="00E32376">
        <w:t>. If the release slip is not supplied</w:t>
      </w:r>
      <w:r w:rsidR="00736BE9">
        <w:t>,</w:t>
      </w:r>
      <w:r w:rsidRPr="00E32376">
        <w:t xml:space="preserve"> CanPrint will not accept the delivery.</w:t>
      </w:r>
      <w:r>
        <w:t xml:space="preserve"> </w:t>
      </w:r>
    </w:p>
    <w:p w14:paraId="20C987A1" w14:textId="4E0187E4" w:rsidR="002762DA" w:rsidRPr="00E32376" w:rsidRDefault="002762DA" w:rsidP="00491B72">
      <w:r w:rsidRPr="00E32376">
        <w:t>The number of explanatory memoranda required for sale varies according to the level of i</w:t>
      </w:r>
      <w:r w:rsidR="004B0D2F">
        <w:t>nterest in the subject matter</w:t>
      </w:r>
      <w:r w:rsidR="00736BE9">
        <w:t>,</w:t>
      </w:r>
      <w:r w:rsidR="003A548D">
        <w:t xml:space="preserve"> but generally </w:t>
      </w:r>
      <w:r w:rsidR="00736BE9">
        <w:t>15–</w:t>
      </w:r>
      <w:r w:rsidR="002F2549">
        <w:t>20 copies</w:t>
      </w:r>
      <w:r w:rsidR="003A548D">
        <w:t xml:space="preserve"> is considered acceptable</w:t>
      </w:r>
      <w:r w:rsidRPr="00E32376">
        <w:t>.</w:t>
      </w:r>
    </w:p>
    <w:p w14:paraId="6E64DD63" w14:textId="77777777" w:rsidR="002762DA" w:rsidRPr="00E32376" w:rsidRDefault="002762DA" w:rsidP="00491B72">
      <w:pPr>
        <w:pStyle w:val="Heading3"/>
      </w:pPr>
      <w:bookmarkStart w:id="18" w:name="_Toc481462866"/>
      <w:r w:rsidRPr="00E32376">
        <w:t>Insufficient time to print an explanatory memorandum</w:t>
      </w:r>
      <w:bookmarkEnd w:id="18"/>
    </w:p>
    <w:p w14:paraId="2E8E1E1F" w14:textId="79FF757A" w:rsidR="00EA439B" w:rsidRDefault="002762DA" w:rsidP="00532693">
      <w:pPr>
        <w:keepLines/>
      </w:pPr>
      <w:r w:rsidRPr="00E32376">
        <w:t>When a department has an extremely tight timeframe in which to print an explanatory memorandum</w:t>
      </w:r>
      <w:r w:rsidR="00736BE9">
        <w:t>,</w:t>
      </w:r>
      <w:r w:rsidRPr="00E32376">
        <w:t xml:space="preserve"> it can, </w:t>
      </w:r>
      <w:r w:rsidRPr="0073486A">
        <w:rPr>
          <w:b/>
        </w:rPr>
        <w:t>with the agreement of the relevant Table Office</w:t>
      </w:r>
      <w:r w:rsidRPr="00E32376">
        <w:t xml:space="preserve">, provide A4 photocopies </w:t>
      </w:r>
      <w:r w:rsidR="004B0D2F">
        <w:t xml:space="preserve">of the explanatory memorandum. </w:t>
      </w:r>
      <w:r w:rsidRPr="00E32376">
        <w:t xml:space="preserve">The printed B5 copies </w:t>
      </w:r>
      <w:r w:rsidR="00D828B5">
        <w:t>must</w:t>
      </w:r>
      <w:r w:rsidRPr="00E32376">
        <w:t xml:space="preserve"> be provided to the Table Offices at a later date.</w:t>
      </w:r>
      <w:r w:rsidR="004B0D2F">
        <w:t xml:space="preserve"> </w:t>
      </w:r>
      <w:r w:rsidRPr="00E32376">
        <w:t xml:space="preserve">Departments </w:t>
      </w:r>
      <w:r w:rsidRPr="0073486A">
        <w:rPr>
          <w:b/>
        </w:rPr>
        <w:t>must</w:t>
      </w:r>
      <w:r w:rsidRPr="00E32376">
        <w:t xml:space="preserve"> discuss the requirements for documentation in these circumstances with the relevant Table Office.</w:t>
      </w:r>
    </w:p>
    <w:p w14:paraId="60ABDA09" w14:textId="77777777" w:rsidR="0027651D" w:rsidRPr="00E32376" w:rsidRDefault="0027651D" w:rsidP="00491B72">
      <w:pPr>
        <w:pStyle w:val="Heading3"/>
      </w:pPr>
      <w:r>
        <w:t>CanPrint requirements</w:t>
      </w:r>
    </w:p>
    <w:p w14:paraId="3BD8767E" w14:textId="0695F48F" w:rsidR="00EA439B" w:rsidRPr="00736BE9" w:rsidRDefault="00EA439B" w:rsidP="00491B72">
      <w:r>
        <w:t xml:space="preserve">An explanatory memorandum to be printed by </w:t>
      </w:r>
      <w:hyperlink r:id="rId14" w:history="1">
        <w:r w:rsidRPr="00491B72">
          <w:rPr>
            <w:rStyle w:val="Hyperlink"/>
          </w:rPr>
          <w:t>CanPrint</w:t>
        </w:r>
      </w:hyperlink>
      <w:r w:rsidR="00B6648B">
        <w:t xml:space="preserve"> </w:t>
      </w:r>
      <w:r w:rsidR="009B2C4B">
        <w:t>can</w:t>
      </w:r>
      <w:r w:rsidR="00B6648B">
        <w:t xml:space="preserve"> be supplied </w:t>
      </w:r>
      <w:r w:rsidR="009B2C4B">
        <w:t xml:space="preserve">by email or </w:t>
      </w:r>
      <w:r w:rsidR="00B6648B">
        <w:t xml:space="preserve">on </w:t>
      </w:r>
      <w:r>
        <w:t>a USB</w:t>
      </w:r>
      <w:r w:rsidR="009B2C4B">
        <w:t>. In either case, the document must be provided</w:t>
      </w:r>
      <w:r>
        <w:t xml:space="preserve"> as a print</w:t>
      </w:r>
      <w:r>
        <w:noBreakHyphen/>
        <w:t xml:space="preserve">ready PDF </w:t>
      </w:r>
      <w:r w:rsidR="00D54B16">
        <w:t xml:space="preserve">file, with all fonts embedded. </w:t>
      </w:r>
      <w:hyperlink r:id="rId15" w:history="1">
        <w:r w:rsidR="002907AB" w:rsidRPr="00491B72">
          <w:rPr>
            <w:rStyle w:val="Hyperlink"/>
          </w:rPr>
          <w:t>CanPrint</w:t>
        </w:r>
      </w:hyperlink>
      <w:r w:rsidR="002907AB">
        <w:t xml:space="preserve"> can be contacted to make the necessary arrangements.</w:t>
      </w:r>
    </w:p>
    <w:p w14:paraId="755CDCF6" w14:textId="5126544F" w:rsidR="00491B72" w:rsidRPr="00E32376" w:rsidRDefault="00491B72" w:rsidP="00491B72">
      <w:pPr>
        <w:ind w:left="360"/>
      </w:pPr>
      <w:r w:rsidRPr="00E32376">
        <w:t>CanPrint Publications Warehouse</w:t>
      </w:r>
      <w:r w:rsidRPr="00E32376">
        <w:br/>
        <w:t>16 Nyrang Street</w:t>
      </w:r>
      <w:r>
        <w:br/>
      </w:r>
      <w:r w:rsidRPr="00E32376">
        <w:t>Fyshwick</w:t>
      </w:r>
      <w:r>
        <w:br/>
        <w:t xml:space="preserve">Tel. </w:t>
      </w:r>
      <w:r w:rsidRPr="00E32376">
        <w:t xml:space="preserve">6295 </w:t>
      </w:r>
      <w:r>
        <w:t>4422</w:t>
      </w:r>
    </w:p>
    <w:bookmarkEnd w:id="6"/>
    <w:bookmarkEnd w:id="7"/>
    <w:bookmarkEnd w:id="8"/>
    <w:bookmarkEnd w:id="9"/>
    <w:bookmarkEnd w:id="10"/>
    <w:bookmarkEnd w:id="11"/>
    <w:bookmarkEnd w:id="12"/>
    <w:p w14:paraId="7F29CB1A" w14:textId="77777777" w:rsidR="008D3DFB" w:rsidRDefault="008D3DFB" w:rsidP="00491B72"/>
    <w:sectPr w:rsidR="008D3DFB" w:rsidSect="004F7C8A">
      <w:headerReference w:type="even" r:id="rId16"/>
      <w:headerReference w:type="default" r:id="rId17"/>
      <w:footerReference w:type="even" r:id="rId18"/>
      <w:footerReference w:type="default" r:id="rId19"/>
      <w:headerReference w:type="first" r:id="rId20"/>
      <w:footerReference w:type="first" r:id="rId21"/>
      <w:pgSz w:w="11907" w:h="16840" w:code="9"/>
      <w:pgMar w:top="1526" w:right="1584" w:bottom="1526" w:left="1584" w:header="720"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E8AC1E" w14:textId="77777777" w:rsidR="00410AE9" w:rsidRDefault="00410AE9" w:rsidP="007F7032">
      <w:r>
        <w:separator/>
      </w:r>
    </w:p>
  </w:endnote>
  <w:endnote w:type="continuationSeparator" w:id="0">
    <w:p w14:paraId="376231A5" w14:textId="77777777" w:rsidR="00410AE9" w:rsidRDefault="00410AE9" w:rsidP="007F7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ontserrat Light">
    <w:altName w:val="Montserrat Light"/>
    <w:panose1 w:val="00000000000000000000"/>
    <w:charset w:val="00"/>
    <w:family w:val="modern"/>
    <w:notTrueType/>
    <w:pitch w:val="variable"/>
    <w:sig w:usb0="00000007" w:usb1="00000000" w:usb2="00000000" w:usb3="00000000" w:csb0="00000093" w:csb1="00000000"/>
  </w:font>
  <w:font w:name="Montserrat">
    <w:altName w:val="Montserrat"/>
    <w:panose1 w:val="00000000000000000000"/>
    <w:charset w:val="00"/>
    <w:family w:val="modern"/>
    <w:notTrueType/>
    <w:pitch w:val="variable"/>
    <w:sig w:usb0="00000007" w:usb1="00000000" w:usb2="00000000" w:usb3="00000000" w:csb0="00000093" w:csb1="00000000"/>
  </w:font>
  <w:font w:name="Montserrat Semi Bold">
    <w:altName w:val="Montserrat Semi Bold"/>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8E69F" w14:textId="77777777" w:rsidR="004D0937" w:rsidRDefault="004D0937" w:rsidP="004D0937">
    <w:pPr>
      <w:pStyle w:val="Footer"/>
    </w:pPr>
    <w:r w:rsidRPr="001E6407">
      <w:rPr>
        <w:rStyle w:val="PageNumber"/>
      </w:rPr>
      <w:fldChar w:fldCharType="begin"/>
    </w:r>
    <w:r w:rsidRPr="001E6407">
      <w:rPr>
        <w:rStyle w:val="PageNumber"/>
      </w:rPr>
      <w:instrText xml:space="preserve"> PAGE   \* MERGEFORMAT </w:instrText>
    </w:r>
    <w:r w:rsidRPr="001E6407">
      <w:rPr>
        <w:rStyle w:val="PageNumber"/>
      </w:rPr>
      <w:fldChar w:fldCharType="separate"/>
    </w:r>
    <w:r w:rsidR="00592A95">
      <w:rPr>
        <w:rStyle w:val="PageNumber"/>
        <w:noProof/>
      </w:rPr>
      <w:t>2</w:t>
    </w:r>
    <w:r w:rsidRPr="001E6407">
      <w:rPr>
        <w:rStyle w:val="PageNumber"/>
      </w:rPr>
      <w:fldChar w:fldCharType="end"/>
    </w:r>
    <w:r>
      <w:t xml:space="preserve">   |   LEGISLATION HANDBOOK APPENDIXES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983F17" w14:textId="1DEF44D6" w:rsidR="004D0937" w:rsidRDefault="004D0937" w:rsidP="004D0937">
    <w:pPr>
      <w:pStyle w:val="Footer"/>
      <w:jc w:val="right"/>
    </w:pPr>
    <w:r>
      <w:t xml:space="preserve">APPENDIX G   |   </w:t>
    </w:r>
    <w:r w:rsidRPr="001E6407">
      <w:rPr>
        <w:rStyle w:val="PageNumber"/>
      </w:rPr>
      <w:fldChar w:fldCharType="begin"/>
    </w:r>
    <w:r w:rsidRPr="001E6407">
      <w:rPr>
        <w:rStyle w:val="PageNumber"/>
      </w:rPr>
      <w:instrText xml:space="preserve"> PAGE   \* MERGEFORMAT </w:instrText>
    </w:r>
    <w:r w:rsidRPr="001E6407">
      <w:rPr>
        <w:rStyle w:val="PageNumber"/>
      </w:rPr>
      <w:fldChar w:fldCharType="separate"/>
    </w:r>
    <w:r w:rsidR="00592A95">
      <w:rPr>
        <w:rStyle w:val="PageNumber"/>
        <w:noProof/>
      </w:rPr>
      <w:t>1</w:t>
    </w:r>
    <w:r w:rsidRPr="001E6407">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78065" w14:textId="77777777" w:rsidR="00592A95" w:rsidRDefault="00592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EF7E6" w14:textId="77777777" w:rsidR="00410AE9" w:rsidRDefault="00410AE9" w:rsidP="007F7032">
      <w:r>
        <w:separator/>
      </w:r>
    </w:p>
  </w:footnote>
  <w:footnote w:type="continuationSeparator" w:id="0">
    <w:p w14:paraId="22E2C9A4" w14:textId="77777777" w:rsidR="00410AE9" w:rsidRDefault="00410AE9" w:rsidP="007F70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39627" w14:textId="77777777" w:rsidR="00592A95" w:rsidRDefault="00592A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EB06D5" w14:textId="77777777" w:rsidR="00592A95" w:rsidRDefault="00592A9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5B5DD" w14:textId="77777777" w:rsidR="00592A95" w:rsidRDefault="00592A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8AF5DED"/>
    <w:multiLevelType w:val="singleLevel"/>
    <w:tmpl w:val="41B298D6"/>
    <w:lvl w:ilvl="0">
      <w:start w:val="1"/>
      <w:numFmt w:val="lowerLetter"/>
      <w:lvlText w:val="(%1)"/>
      <w:lvlJc w:val="left"/>
      <w:pPr>
        <w:tabs>
          <w:tab w:val="num" w:pos="855"/>
        </w:tabs>
        <w:ind w:left="855" w:hanging="855"/>
      </w:pPr>
      <w:rPr>
        <w:rFonts w:hint="default"/>
      </w:rPr>
    </w:lvl>
  </w:abstractNum>
  <w:abstractNum w:abstractNumId="2">
    <w:nsid w:val="2026790D"/>
    <w:multiLevelType w:val="hybridMultilevel"/>
    <w:tmpl w:val="CED0A4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21CC537F"/>
    <w:multiLevelType w:val="hybridMultilevel"/>
    <w:tmpl w:val="BD804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9875BC0"/>
    <w:multiLevelType w:val="hybridMultilevel"/>
    <w:tmpl w:val="E102892E"/>
    <w:lvl w:ilvl="0" w:tplc="50CC079A">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E4A0343"/>
    <w:multiLevelType w:val="singleLevel"/>
    <w:tmpl w:val="8BE09C66"/>
    <w:lvl w:ilvl="0">
      <w:numFmt w:val="bullet"/>
      <w:lvlText w:val="-"/>
      <w:lvlJc w:val="left"/>
      <w:pPr>
        <w:tabs>
          <w:tab w:val="num" w:pos="360"/>
        </w:tabs>
        <w:ind w:left="360" w:hanging="360"/>
      </w:pPr>
      <w:rPr>
        <w:rFonts w:hint="default"/>
      </w:rPr>
    </w:lvl>
  </w:abstractNum>
  <w:abstractNum w:abstractNumId="6">
    <w:nsid w:val="3A65678A"/>
    <w:multiLevelType w:val="hybridMultilevel"/>
    <w:tmpl w:val="CED0A4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47B35D8C"/>
    <w:multiLevelType w:val="hybridMultilevel"/>
    <w:tmpl w:val="15141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3621D10"/>
    <w:multiLevelType w:val="hybridMultilevel"/>
    <w:tmpl w:val="327870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575941D5"/>
    <w:multiLevelType w:val="hybridMultilevel"/>
    <w:tmpl w:val="0E80A4B2"/>
    <w:lvl w:ilvl="0" w:tplc="637C09C2">
      <w:start w:val="1"/>
      <w:numFmt w:val="bullet"/>
      <w:pStyle w:val="Bullet"/>
      <w:lvlText w:val=""/>
      <w:lvlJc w:val="left"/>
      <w:pPr>
        <w:ind w:left="720" w:hanging="360"/>
      </w:pPr>
      <w:rPr>
        <w:rFonts w:ascii="Symbol" w:hAnsi="Symbol" w:hint="default"/>
      </w:rPr>
    </w:lvl>
    <w:lvl w:ilvl="1" w:tplc="D5AE18C6">
      <w:start w:val="1"/>
      <w:numFmt w:val="bullet"/>
      <w:pStyle w:val="Dash"/>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86A218D"/>
    <w:multiLevelType w:val="hybridMultilevel"/>
    <w:tmpl w:val="A4B8B8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5C5F6CBA"/>
    <w:multiLevelType w:val="hybridMultilevel"/>
    <w:tmpl w:val="E56C2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76270F50"/>
    <w:multiLevelType w:val="hybridMultilevel"/>
    <w:tmpl w:val="6A7CA1B0"/>
    <w:lvl w:ilvl="0" w:tplc="3D02015C">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BE70E54"/>
    <w:multiLevelType w:val="hybridMultilevel"/>
    <w:tmpl w:val="EBD60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567"/>
        <w:lvlJc w:val="left"/>
        <w:pPr>
          <w:ind w:left="567" w:hanging="567"/>
        </w:pPr>
        <w:rPr>
          <w:rFonts w:ascii="Symbol" w:hAnsi="Symbol" w:hint="default"/>
          <w:sz w:val="16"/>
        </w:rPr>
      </w:lvl>
    </w:lvlOverride>
  </w:num>
  <w:num w:numId="2">
    <w:abstractNumId w:val="1"/>
  </w:num>
  <w:num w:numId="3">
    <w:abstractNumId w:val="5"/>
  </w:num>
  <w:num w:numId="4">
    <w:abstractNumId w:val="11"/>
  </w:num>
  <w:num w:numId="5">
    <w:abstractNumId w:val="3"/>
  </w:num>
  <w:num w:numId="6">
    <w:abstractNumId w:val="6"/>
  </w:num>
  <w:num w:numId="7">
    <w:abstractNumId w:val="2"/>
  </w:num>
  <w:num w:numId="8">
    <w:abstractNumId w:val="7"/>
  </w:num>
  <w:num w:numId="9">
    <w:abstractNumId w:val="12"/>
  </w:num>
  <w:num w:numId="10">
    <w:abstractNumId w:val="4"/>
  </w:num>
  <w:num w:numId="11">
    <w:abstractNumId w:val="10"/>
  </w:num>
  <w:num w:numId="12">
    <w:abstractNumId w:val="13"/>
  </w:num>
  <w:num w:numId="13">
    <w:abstractNumId w:val="8"/>
  </w:num>
  <w:num w:numId="14">
    <w:abstractNumId w:val="9"/>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032"/>
    <w:rsid w:val="00000E6C"/>
    <w:rsid w:val="0000323F"/>
    <w:rsid w:val="00033D76"/>
    <w:rsid w:val="00033E7B"/>
    <w:rsid w:val="00055BD1"/>
    <w:rsid w:val="000823D9"/>
    <w:rsid w:val="00090EDF"/>
    <w:rsid w:val="00097B7D"/>
    <w:rsid w:val="000C4D78"/>
    <w:rsid w:val="000D66E7"/>
    <w:rsid w:val="000D7957"/>
    <w:rsid w:val="00116324"/>
    <w:rsid w:val="0014553B"/>
    <w:rsid w:val="0016439E"/>
    <w:rsid w:val="00167437"/>
    <w:rsid w:val="0017610E"/>
    <w:rsid w:val="00177AAB"/>
    <w:rsid w:val="001856B5"/>
    <w:rsid w:val="001C61E1"/>
    <w:rsid w:val="001C7A44"/>
    <w:rsid w:val="001D43CD"/>
    <w:rsid w:val="001E4928"/>
    <w:rsid w:val="001F7BE8"/>
    <w:rsid w:val="00202291"/>
    <w:rsid w:val="00243760"/>
    <w:rsid w:val="00253F13"/>
    <w:rsid w:val="002762DA"/>
    <w:rsid w:val="0027651D"/>
    <w:rsid w:val="00282F0E"/>
    <w:rsid w:val="002907AB"/>
    <w:rsid w:val="00292927"/>
    <w:rsid w:val="002B3CF9"/>
    <w:rsid w:val="002F0ED7"/>
    <w:rsid w:val="002F2549"/>
    <w:rsid w:val="00305C0D"/>
    <w:rsid w:val="00377113"/>
    <w:rsid w:val="003A5048"/>
    <w:rsid w:val="003A548D"/>
    <w:rsid w:val="003B6885"/>
    <w:rsid w:val="003C0C5F"/>
    <w:rsid w:val="004031F7"/>
    <w:rsid w:val="00407BAD"/>
    <w:rsid w:val="00410AE9"/>
    <w:rsid w:val="00422BEC"/>
    <w:rsid w:val="00451094"/>
    <w:rsid w:val="0046359B"/>
    <w:rsid w:val="00484C05"/>
    <w:rsid w:val="00491B72"/>
    <w:rsid w:val="0049492C"/>
    <w:rsid w:val="004B0D2F"/>
    <w:rsid w:val="004D0937"/>
    <w:rsid w:val="004E715F"/>
    <w:rsid w:val="004F7C8A"/>
    <w:rsid w:val="00513BC8"/>
    <w:rsid w:val="00517E4C"/>
    <w:rsid w:val="00532693"/>
    <w:rsid w:val="00575F48"/>
    <w:rsid w:val="00585D15"/>
    <w:rsid w:val="00592A95"/>
    <w:rsid w:val="005949EE"/>
    <w:rsid w:val="005A438E"/>
    <w:rsid w:val="005E2C79"/>
    <w:rsid w:val="005F40E0"/>
    <w:rsid w:val="00643442"/>
    <w:rsid w:val="00663676"/>
    <w:rsid w:val="0066419B"/>
    <w:rsid w:val="00672752"/>
    <w:rsid w:val="00674869"/>
    <w:rsid w:val="006808AF"/>
    <w:rsid w:val="00682CFB"/>
    <w:rsid w:val="006A4A63"/>
    <w:rsid w:val="006D3EB1"/>
    <w:rsid w:val="0071017B"/>
    <w:rsid w:val="00720288"/>
    <w:rsid w:val="00723196"/>
    <w:rsid w:val="00733BCC"/>
    <w:rsid w:val="0073486A"/>
    <w:rsid w:val="007368A4"/>
    <w:rsid w:val="00736B8C"/>
    <w:rsid w:val="00736BE9"/>
    <w:rsid w:val="007458F8"/>
    <w:rsid w:val="0075482D"/>
    <w:rsid w:val="00760265"/>
    <w:rsid w:val="0076768A"/>
    <w:rsid w:val="00776ADD"/>
    <w:rsid w:val="00797D64"/>
    <w:rsid w:val="007A55A6"/>
    <w:rsid w:val="007B038F"/>
    <w:rsid w:val="007E174F"/>
    <w:rsid w:val="007F7032"/>
    <w:rsid w:val="00805785"/>
    <w:rsid w:val="0081356D"/>
    <w:rsid w:val="00817E04"/>
    <w:rsid w:val="00832F6D"/>
    <w:rsid w:val="00834844"/>
    <w:rsid w:val="008367B4"/>
    <w:rsid w:val="008575A7"/>
    <w:rsid w:val="00872411"/>
    <w:rsid w:val="008C66EA"/>
    <w:rsid w:val="008D34D6"/>
    <w:rsid w:val="008D3DFB"/>
    <w:rsid w:val="008D6AAE"/>
    <w:rsid w:val="0090134E"/>
    <w:rsid w:val="00914E07"/>
    <w:rsid w:val="009150E0"/>
    <w:rsid w:val="00945D80"/>
    <w:rsid w:val="0096268F"/>
    <w:rsid w:val="00991F4E"/>
    <w:rsid w:val="009B2C4B"/>
    <w:rsid w:val="009B38B4"/>
    <w:rsid w:val="009E7B84"/>
    <w:rsid w:val="009F7F3C"/>
    <w:rsid w:val="00A003C8"/>
    <w:rsid w:val="00A03E40"/>
    <w:rsid w:val="00A07962"/>
    <w:rsid w:val="00A35A40"/>
    <w:rsid w:val="00A373C0"/>
    <w:rsid w:val="00A45331"/>
    <w:rsid w:val="00A72C52"/>
    <w:rsid w:val="00A836AD"/>
    <w:rsid w:val="00A960FF"/>
    <w:rsid w:val="00AC5A5D"/>
    <w:rsid w:val="00AC7E87"/>
    <w:rsid w:val="00AE0C52"/>
    <w:rsid w:val="00AE5A85"/>
    <w:rsid w:val="00AF38FB"/>
    <w:rsid w:val="00B32D2C"/>
    <w:rsid w:val="00B34DC3"/>
    <w:rsid w:val="00B42CE4"/>
    <w:rsid w:val="00B5480E"/>
    <w:rsid w:val="00B6648B"/>
    <w:rsid w:val="00B931D9"/>
    <w:rsid w:val="00BC3D80"/>
    <w:rsid w:val="00BC3DC9"/>
    <w:rsid w:val="00BE00D1"/>
    <w:rsid w:val="00BE1634"/>
    <w:rsid w:val="00C227CB"/>
    <w:rsid w:val="00C32FDA"/>
    <w:rsid w:val="00C67BF7"/>
    <w:rsid w:val="00C83FC9"/>
    <w:rsid w:val="00CC54EB"/>
    <w:rsid w:val="00CD2BF6"/>
    <w:rsid w:val="00CD3686"/>
    <w:rsid w:val="00CE504E"/>
    <w:rsid w:val="00D02721"/>
    <w:rsid w:val="00D26369"/>
    <w:rsid w:val="00D40284"/>
    <w:rsid w:val="00D54B16"/>
    <w:rsid w:val="00D70AF8"/>
    <w:rsid w:val="00D754E2"/>
    <w:rsid w:val="00D828B5"/>
    <w:rsid w:val="00D94519"/>
    <w:rsid w:val="00D96552"/>
    <w:rsid w:val="00DB1DED"/>
    <w:rsid w:val="00DD1607"/>
    <w:rsid w:val="00DF4C67"/>
    <w:rsid w:val="00DF5635"/>
    <w:rsid w:val="00E00766"/>
    <w:rsid w:val="00E32376"/>
    <w:rsid w:val="00E47797"/>
    <w:rsid w:val="00E72A10"/>
    <w:rsid w:val="00E734E9"/>
    <w:rsid w:val="00E74394"/>
    <w:rsid w:val="00E8118E"/>
    <w:rsid w:val="00E87C58"/>
    <w:rsid w:val="00E9068D"/>
    <w:rsid w:val="00E92642"/>
    <w:rsid w:val="00EA439B"/>
    <w:rsid w:val="00F00A75"/>
    <w:rsid w:val="00F15F53"/>
    <w:rsid w:val="00F40BB6"/>
    <w:rsid w:val="00F40DC0"/>
    <w:rsid w:val="00F71A24"/>
    <w:rsid w:val="00F76AE3"/>
    <w:rsid w:val="00FA3981"/>
    <w:rsid w:val="00FC5069"/>
    <w:rsid w:val="00FE02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C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Body Text Indent" w:uiPriority="0"/>
    <w:lsdException w:name="Subtitle" w:semiHidden="0" w:uiPriority="11" w:unhideWhenUsed="0"/>
    <w:lsdException w:name="Block Text" w:uiPriority="0"/>
    <w:lsdException w:name="Hyperlink" w:uiPriority="0" w:qFormat="1"/>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3D80"/>
    <w:pPr>
      <w:spacing w:after="176" w:line="240" w:lineRule="atLeast"/>
    </w:pPr>
    <w:rPr>
      <w:rFonts w:ascii="Montserrat Light" w:eastAsia="Times New Roman" w:hAnsi="Montserrat Light"/>
      <w:color w:val="000000"/>
      <w:sz w:val="18"/>
    </w:rPr>
  </w:style>
  <w:style w:type="paragraph" w:styleId="Heading1">
    <w:name w:val="heading 1"/>
    <w:basedOn w:val="Normal"/>
    <w:next w:val="Normal"/>
    <w:link w:val="Heading1Char"/>
    <w:qFormat/>
    <w:rsid w:val="00BC3D80"/>
    <w:pPr>
      <w:keepNext/>
      <w:pBdr>
        <w:bottom w:val="single" w:sz="12" w:space="12" w:color="8D7248"/>
      </w:pBdr>
      <w:spacing w:after="120"/>
      <w:outlineLvl w:val="0"/>
    </w:pPr>
    <w:rPr>
      <w:rFonts w:ascii="Montserrat" w:hAnsi="Montserrat"/>
      <w:b/>
      <w:caps/>
      <w:color w:val="8D7248"/>
      <w:kern w:val="28"/>
      <w:sz w:val="36"/>
    </w:rPr>
  </w:style>
  <w:style w:type="paragraph" w:styleId="Heading2">
    <w:name w:val="heading 2"/>
    <w:basedOn w:val="Normal"/>
    <w:next w:val="Normal"/>
    <w:link w:val="Heading2Char"/>
    <w:qFormat/>
    <w:rsid w:val="00491B72"/>
    <w:pPr>
      <w:keepNext/>
      <w:spacing w:before="480" w:after="200" w:line="241" w:lineRule="atLeast"/>
      <w:outlineLvl w:val="1"/>
    </w:pPr>
    <w:rPr>
      <w:rFonts w:ascii="Montserrat" w:hAnsi="Montserrat"/>
      <w:b/>
      <w:caps/>
      <w:color w:val="1B2A38"/>
      <w:sz w:val="23"/>
    </w:rPr>
  </w:style>
  <w:style w:type="paragraph" w:styleId="Heading3">
    <w:name w:val="heading 3"/>
    <w:basedOn w:val="Normal"/>
    <w:next w:val="Normal"/>
    <w:link w:val="Heading3Char"/>
    <w:qFormat/>
    <w:rsid w:val="00491B72"/>
    <w:pPr>
      <w:keepNext/>
      <w:spacing w:before="480" w:after="120"/>
      <w:outlineLvl w:val="2"/>
    </w:pPr>
    <w:rPr>
      <w:rFonts w:ascii="Montserrat" w:hAnsi="Montserrat"/>
      <w:b/>
      <w:sz w:val="23"/>
    </w:rPr>
  </w:style>
  <w:style w:type="paragraph" w:styleId="Heading4">
    <w:name w:val="heading 4"/>
    <w:basedOn w:val="Normal"/>
    <w:next w:val="Normal"/>
    <w:link w:val="Heading4Char"/>
    <w:qFormat/>
    <w:rsid w:val="007F7032"/>
    <w:pPr>
      <w:keepNext/>
      <w:spacing w:before="360" w:after="120"/>
      <w:outlineLvl w:val="3"/>
    </w:pPr>
    <w:rPr>
      <w:smallCaps/>
      <w:sz w:val="26"/>
    </w:rPr>
  </w:style>
  <w:style w:type="paragraph" w:styleId="Heading8">
    <w:name w:val="heading 8"/>
    <w:basedOn w:val="Normal"/>
    <w:next w:val="Normal"/>
    <w:link w:val="Heading8Char"/>
    <w:semiHidden/>
    <w:qFormat/>
    <w:rsid w:val="007F7032"/>
    <w:pPr>
      <w:keepNext/>
      <w:spacing w:before="120" w:after="120"/>
      <w:ind w:right="-113"/>
      <w:outlineLvl w:val="7"/>
    </w:pPr>
    <w:rPr>
      <w:sz w:val="22"/>
      <w:u w:val="single"/>
    </w:rPr>
  </w:style>
  <w:style w:type="paragraph" w:styleId="Heading9">
    <w:name w:val="heading 9"/>
    <w:basedOn w:val="Normal"/>
    <w:next w:val="Normal"/>
    <w:link w:val="Heading9Char"/>
    <w:semiHidden/>
    <w:qFormat/>
    <w:rsid w:val="007F703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3D80"/>
    <w:rPr>
      <w:rFonts w:ascii="Montserrat" w:eastAsia="Times New Roman" w:hAnsi="Montserrat"/>
      <w:b/>
      <w:caps/>
      <w:color w:val="8D7248"/>
      <w:kern w:val="28"/>
      <w:sz w:val="36"/>
    </w:rPr>
  </w:style>
  <w:style w:type="character" w:customStyle="1" w:styleId="Heading2Char">
    <w:name w:val="Heading 2 Char"/>
    <w:link w:val="Heading2"/>
    <w:rsid w:val="00491B72"/>
    <w:rPr>
      <w:rFonts w:ascii="Montserrat" w:eastAsia="Times New Roman" w:hAnsi="Montserrat"/>
      <w:b/>
      <w:caps/>
      <w:color w:val="1B2A38"/>
      <w:sz w:val="23"/>
    </w:rPr>
  </w:style>
  <w:style w:type="character" w:customStyle="1" w:styleId="Heading3Char">
    <w:name w:val="Heading 3 Char"/>
    <w:link w:val="Heading3"/>
    <w:rsid w:val="00491B72"/>
    <w:rPr>
      <w:rFonts w:ascii="Montserrat" w:eastAsia="Times New Roman" w:hAnsi="Montserrat"/>
      <w:b/>
      <w:color w:val="000000"/>
      <w:sz w:val="23"/>
    </w:rPr>
  </w:style>
  <w:style w:type="character" w:customStyle="1" w:styleId="Heading4Char">
    <w:name w:val="Heading 4 Char"/>
    <w:link w:val="Heading4"/>
    <w:rsid w:val="007F7032"/>
    <w:rPr>
      <w:rFonts w:ascii="Times New Roman" w:eastAsia="Times New Roman" w:hAnsi="Times New Roman" w:cs="Times New Roman"/>
      <w:smallCaps/>
      <w:sz w:val="26"/>
      <w:szCs w:val="20"/>
      <w:lang w:eastAsia="en-AU"/>
    </w:rPr>
  </w:style>
  <w:style w:type="character" w:customStyle="1" w:styleId="Heading8Char">
    <w:name w:val="Heading 8 Char"/>
    <w:link w:val="Heading8"/>
    <w:semiHidden/>
    <w:rsid w:val="004F7C8A"/>
    <w:rPr>
      <w:rFonts w:ascii="Times New Roman" w:eastAsia="Times New Roman" w:hAnsi="Times New Roman"/>
      <w:sz w:val="22"/>
      <w:u w:val="single"/>
    </w:rPr>
  </w:style>
  <w:style w:type="character" w:customStyle="1" w:styleId="Heading9Char">
    <w:name w:val="Heading 9 Char"/>
    <w:link w:val="Heading9"/>
    <w:semiHidden/>
    <w:rsid w:val="004F7C8A"/>
    <w:rPr>
      <w:rFonts w:ascii="Times New Roman" w:eastAsia="Times New Roman" w:hAnsi="Times New Roman"/>
      <w:b/>
      <w:sz w:val="24"/>
    </w:rPr>
  </w:style>
  <w:style w:type="paragraph" w:customStyle="1" w:styleId="Bullet">
    <w:name w:val="Bullet"/>
    <w:basedOn w:val="Normal"/>
    <w:qFormat/>
    <w:rsid w:val="00491B72"/>
    <w:pPr>
      <w:numPr>
        <w:numId w:val="15"/>
      </w:numPr>
      <w:spacing w:after="120"/>
      <w:ind w:left="360"/>
    </w:pPr>
    <w:rPr>
      <w:rFonts w:cs="Arial"/>
      <w:szCs w:val="22"/>
    </w:rPr>
  </w:style>
  <w:style w:type="paragraph" w:customStyle="1" w:styleId="Dash">
    <w:name w:val="Dash"/>
    <w:basedOn w:val="Normal"/>
    <w:qFormat/>
    <w:rsid w:val="00532693"/>
    <w:pPr>
      <w:numPr>
        <w:ilvl w:val="1"/>
        <w:numId w:val="15"/>
      </w:numPr>
      <w:spacing w:after="120"/>
      <w:ind w:left="720"/>
    </w:pPr>
    <w:rPr>
      <w:rFonts w:cs="Arial"/>
      <w:szCs w:val="22"/>
    </w:rPr>
  </w:style>
  <w:style w:type="character" w:styleId="PageNumber">
    <w:name w:val="page number"/>
    <w:rsid w:val="00BC3D80"/>
    <w:rPr>
      <w:rFonts w:ascii="Montserrat Semi Bold" w:hAnsi="Montserrat Semi Bold"/>
      <w:b/>
      <w:color w:val="8D7248"/>
      <w:sz w:val="17"/>
      <w:vertAlign w:val="baseline"/>
    </w:rPr>
  </w:style>
  <w:style w:type="paragraph" w:styleId="Header">
    <w:name w:val="header"/>
    <w:basedOn w:val="Normal"/>
    <w:link w:val="HeaderChar"/>
    <w:rsid w:val="007F7032"/>
    <w:pPr>
      <w:tabs>
        <w:tab w:val="center" w:pos="4320"/>
        <w:tab w:val="right" w:pos="8640"/>
      </w:tabs>
    </w:pPr>
  </w:style>
  <w:style w:type="character" w:customStyle="1" w:styleId="HeaderChar">
    <w:name w:val="Header Char"/>
    <w:link w:val="Header"/>
    <w:rsid w:val="007F7032"/>
    <w:rPr>
      <w:rFonts w:ascii="Times New Roman" w:eastAsia="Times New Roman" w:hAnsi="Times New Roman" w:cs="Times New Roman"/>
      <w:sz w:val="24"/>
      <w:szCs w:val="20"/>
      <w:lang w:eastAsia="en-AU"/>
    </w:rPr>
  </w:style>
  <w:style w:type="paragraph" w:customStyle="1" w:styleId="TableText">
    <w:name w:val="TableText"/>
    <w:basedOn w:val="Normal"/>
    <w:qFormat/>
    <w:rsid w:val="009B38B4"/>
    <w:pPr>
      <w:spacing w:before="80" w:after="80"/>
    </w:pPr>
    <w:rPr>
      <w:rFonts w:eastAsia="Calibri" w:cs="Arial"/>
      <w:szCs w:val="18"/>
    </w:rPr>
  </w:style>
  <w:style w:type="character" w:styleId="Hyperlink">
    <w:name w:val="Hyperlink"/>
    <w:qFormat/>
    <w:rsid w:val="00491B72"/>
    <w:rPr>
      <w:color w:val="000000"/>
      <w:u w:val="single"/>
    </w:rPr>
  </w:style>
  <w:style w:type="paragraph" w:styleId="Footer">
    <w:name w:val="footer"/>
    <w:basedOn w:val="Normal"/>
    <w:link w:val="FooterChar"/>
    <w:uiPriority w:val="99"/>
    <w:unhideWhenUsed/>
    <w:rsid w:val="00BC3D80"/>
    <w:pPr>
      <w:tabs>
        <w:tab w:val="center" w:pos="4513"/>
        <w:tab w:val="right" w:pos="9026"/>
      </w:tabs>
      <w:spacing w:after="120"/>
    </w:pPr>
    <w:rPr>
      <w:sz w:val="17"/>
    </w:rPr>
  </w:style>
  <w:style w:type="character" w:customStyle="1" w:styleId="FooterChar">
    <w:name w:val="Footer Char"/>
    <w:link w:val="Footer"/>
    <w:uiPriority w:val="99"/>
    <w:rsid w:val="00BC3D80"/>
    <w:rPr>
      <w:rFonts w:ascii="Montserrat Light" w:eastAsia="Times New Roman" w:hAnsi="Montserrat Light"/>
      <w:color w:val="000000"/>
      <w:sz w:val="17"/>
    </w:rPr>
  </w:style>
  <w:style w:type="character" w:styleId="CommentReference">
    <w:name w:val="annotation reference"/>
    <w:uiPriority w:val="99"/>
    <w:semiHidden/>
    <w:unhideWhenUsed/>
    <w:rsid w:val="0016439E"/>
    <w:rPr>
      <w:sz w:val="16"/>
      <w:szCs w:val="16"/>
    </w:rPr>
  </w:style>
  <w:style w:type="paragraph" w:styleId="CommentText">
    <w:name w:val="annotation text"/>
    <w:basedOn w:val="Normal"/>
    <w:link w:val="CommentTextChar"/>
    <w:uiPriority w:val="99"/>
    <w:semiHidden/>
    <w:unhideWhenUsed/>
    <w:rsid w:val="0016439E"/>
    <w:rPr>
      <w:sz w:val="20"/>
    </w:rPr>
  </w:style>
  <w:style w:type="character" w:customStyle="1" w:styleId="CommentTextChar">
    <w:name w:val="Comment Text Char"/>
    <w:link w:val="CommentText"/>
    <w:uiPriority w:val="99"/>
    <w:semiHidden/>
    <w:rsid w:val="0016439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439E"/>
    <w:rPr>
      <w:b/>
      <w:bCs/>
    </w:rPr>
  </w:style>
  <w:style w:type="character" w:customStyle="1" w:styleId="CommentSubjectChar">
    <w:name w:val="Comment Subject Char"/>
    <w:link w:val="CommentSubject"/>
    <w:uiPriority w:val="99"/>
    <w:semiHidden/>
    <w:rsid w:val="0016439E"/>
    <w:rPr>
      <w:rFonts w:ascii="Times New Roman" w:eastAsia="Times New Roman" w:hAnsi="Times New Roman"/>
      <w:b/>
      <w:bCs/>
    </w:rPr>
  </w:style>
  <w:style w:type="table" w:styleId="TableGrid">
    <w:name w:val="Table Grid"/>
    <w:basedOn w:val="TableNormal"/>
    <w:uiPriority w:val="59"/>
    <w:rsid w:val="0073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F4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lsdException w:name="Default Paragraph Font" w:uiPriority="1"/>
    <w:lsdException w:name="Body Text Indent" w:uiPriority="0"/>
    <w:lsdException w:name="Subtitle" w:semiHidden="0" w:uiPriority="11" w:unhideWhenUsed="0"/>
    <w:lsdException w:name="Block Text" w:uiPriority="0"/>
    <w:lsdException w:name="Hyperlink" w:uiPriority="0" w:qFormat="1"/>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C3D80"/>
    <w:pPr>
      <w:spacing w:after="176" w:line="240" w:lineRule="atLeast"/>
    </w:pPr>
    <w:rPr>
      <w:rFonts w:ascii="Montserrat Light" w:eastAsia="Times New Roman" w:hAnsi="Montserrat Light"/>
      <w:color w:val="000000"/>
      <w:sz w:val="18"/>
    </w:rPr>
  </w:style>
  <w:style w:type="paragraph" w:styleId="Heading1">
    <w:name w:val="heading 1"/>
    <w:basedOn w:val="Normal"/>
    <w:next w:val="Normal"/>
    <w:link w:val="Heading1Char"/>
    <w:qFormat/>
    <w:rsid w:val="00BC3D80"/>
    <w:pPr>
      <w:keepNext/>
      <w:pBdr>
        <w:bottom w:val="single" w:sz="12" w:space="12" w:color="8D7248"/>
      </w:pBdr>
      <w:spacing w:after="120"/>
      <w:outlineLvl w:val="0"/>
    </w:pPr>
    <w:rPr>
      <w:rFonts w:ascii="Montserrat" w:hAnsi="Montserrat"/>
      <w:b/>
      <w:caps/>
      <w:color w:val="8D7248"/>
      <w:kern w:val="28"/>
      <w:sz w:val="36"/>
    </w:rPr>
  </w:style>
  <w:style w:type="paragraph" w:styleId="Heading2">
    <w:name w:val="heading 2"/>
    <w:basedOn w:val="Normal"/>
    <w:next w:val="Normal"/>
    <w:link w:val="Heading2Char"/>
    <w:qFormat/>
    <w:rsid w:val="00491B72"/>
    <w:pPr>
      <w:keepNext/>
      <w:spacing w:before="480" w:after="200" w:line="241" w:lineRule="atLeast"/>
      <w:outlineLvl w:val="1"/>
    </w:pPr>
    <w:rPr>
      <w:rFonts w:ascii="Montserrat" w:hAnsi="Montserrat"/>
      <w:b/>
      <w:caps/>
      <w:color w:val="1B2A38"/>
      <w:sz w:val="23"/>
    </w:rPr>
  </w:style>
  <w:style w:type="paragraph" w:styleId="Heading3">
    <w:name w:val="heading 3"/>
    <w:basedOn w:val="Normal"/>
    <w:next w:val="Normal"/>
    <w:link w:val="Heading3Char"/>
    <w:qFormat/>
    <w:rsid w:val="00491B72"/>
    <w:pPr>
      <w:keepNext/>
      <w:spacing w:before="480" w:after="120"/>
      <w:outlineLvl w:val="2"/>
    </w:pPr>
    <w:rPr>
      <w:rFonts w:ascii="Montserrat" w:hAnsi="Montserrat"/>
      <w:b/>
      <w:sz w:val="23"/>
    </w:rPr>
  </w:style>
  <w:style w:type="paragraph" w:styleId="Heading4">
    <w:name w:val="heading 4"/>
    <w:basedOn w:val="Normal"/>
    <w:next w:val="Normal"/>
    <w:link w:val="Heading4Char"/>
    <w:qFormat/>
    <w:rsid w:val="007F7032"/>
    <w:pPr>
      <w:keepNext/>
      <w:spacing w:before="360" w:after="120"/>
      <w:outlineLvl w:val="3"/>
    </w:pPr>
    <w:rPr>
      <w:smallCaps/>
      <w:sz w:val="26"/>
    </w:rPr>
  </w:style>
  <w:style w:type="paragraph" w:styleId="Heading8">
    <w:name w:val="heading 8"/>
    <w:basedOn w:val="Normal"/>
    <w:next w:val="Normal"/>
    <w:link w:val="Heading8Char"/>
    <w:semiHidden/>
    <w:qFormat/>
    <w:rsid w:val="007F7032"/>
    <w:pPr>
      <w:keepNext/>
      <w:spacing w:before="120" w:after="120"/>
      <w:ind w:right="-113"/>
      <w:outlineLvl w:val="7"/>
    </w:pPr>
    <w:rPr>
      <w:sz w:val="22"/>
      <w:u w:val="single"/>
    </w:rPr>
  </w:style>
  <w:style w:type="paragraph" w:styleId="Heading9">
    <w:name w:val="heading 9"/>
    <w:basedOn w:val="Normal"/>
    <w:next w:val="Normal"/>
    <w:link w:val="Heading9Char"/>
    <w:semiHidden/>
    <w:qFormat/>
    <w:rsid w:val="007F7032"/>
    <w:pPr>
      <w:keepNext/>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C3D80"/>
    <w:rPr>
      <w:rFonts w:ascii="Montserrat" w:eastAsia="Times New Roman" w:hAnsi="Montserrat"/>
      <w:b/>
      <w:caps/>
      <w:color w:val="8D7248"/>
      <w:kern w:val="28"/>
      <w:sz w:val="36"/>
    </w:rPr>
  </w:style>
  <w:style w:type="character" w:customStyle="1" w:styleId="Heading2Char">
    <w:name w:val="Heading 2 Char"/>
    <w:link w:val="Heading2"/>
    <w:rsid w:val="00491B72"/>
    <w:rPr>
      <w:rFonts w:ascii="Montserrat" w:eastAsia="Times New Roman" w:hAnsi="Montserrat"/>
      <w:b/>
      <w:caps/>
      <w:color w:val="1B2A38"/>
      <w:sz w:val="23"/>
    </w:rPr>
  </w:style>
  <w:style w:type="character" w:customStyle="1" w:styleId="Heading3Char">
    <w:name w:val="Heading 3 Char"/>
    <w:link w:val="Heading3"/>
    <w:rsid w:val="00491B72"/>
    <w:rPr>
      <w:rFonts w:ascii="Montserrat" w:eastAsia="Times New Roman" w:hAnsi="Montserrat"/>
      <w:b/>
      <w:color w:val="000000"/>
      <w:sz w:val="23"/>
    </w:rPr>
  </w:style>
  <w:style w:type="character" w:customStyle="1" w:styleId="Heading4Char">
    <w:name w:val="Heading 4 Char"/>
    <w:link w:val="Heading4"/>
    <w:rsid w:val="007F7032"/>
    <w:rPr>
      <w:rFonts w:ascii="Times New Roman" w:eastAsia="Times New Roman" w:hAnsi="Times New Roman" w:cs="Times New Roman"/>
      <w:smallCaps/>
      <w:sz w:val="26"/>
      <w:szCs w:val="20"/>
      <w:lang w:eastAsia="en-AU"/>
    </w:rPr>
  </w:style>
  <w:style w:type="character" w:customStyle="1" w:styleId="Heading8Char">
    <w:name w:val="Heading 8 Char"/>
    <w:link w:val="Heading8"/>
    <w:semiHidden/>
    <w:rsid w:val="004F7C8A"/>
    <w:rPr>
      <w:rFonts w:ascii="Times New Roman" w:eastAsia="Times New Roman" w:hAnsi="Times New Roman"/>
      <w:sz w:val="22"/>
      <w:u w:val="single"/>
    </w:rPr>
  </w:style>
  <w:style w:type="character" w:customStyle="1" w:styleId="Heading9Char">
    <w:name w:val="Heading 9 Char"/>
    <w:link w:val="Heading9"/>
    <w:semiHidden/>
    <w:rsid w:val="004F7C8A"/>
    <w:rPr>
      <w:rFonts w:ascii="Times New Roman" w:eastAsia="Times New Roman" w:hAnsi="Times New Roman"/>
      <w:b/>
      <w:sz w:val="24"/>
    </w:rPr>
  </w:style>
  <w:style w:type="paragraph" w:customStyle="1" w:styleId="Bullet">
    <w:name w:val="Bullet"/>
    <w:basedOn w:val="Normal"/>
    <w:qFormat/>
    <w:rsid w:val="00491B72"/>
    <w:pPr>
      <w:numPr>
        <w:numId w:val="15"/>
      </w:numPr>
      <w:spacing w:after="120"/>
      <w:ind w:left="360"/>
    </w:pPr>
    <w:rPr>
      <w:rFonts w:cs="Arial"/>
      <w:szCs w:val="22"/>
    </w:rPr>
  </w:style>
  <w:style w:type="paragraph" w:customStyle="1" w:styleId="Dash">
    <w:name w:val="Dash"/>
    <w:basedOn w:val="Normal"/>
    <w:qFormat/>
    <w:rsid w:val="00532693"/>
    <w:pPr>
      <w:numPr>
        <w:ilvl w:val="1"/>
        <w:numId w:val="15"/>
      </w:numPr>
      <w:spacing w:after="120"/>
      <w:ind w:left="720"/>
    </w:pPr>
    <w:rPr>
      <w:rFonts w:cs="Arial"/>
      <w:szCs w:val="22"/>
    </w:rPr>
  </w:style>
  <w:style w:type="character" w:styleId="PageNumber">
    <w:name w:val="page number"/>
    <w:rsid w:val="00BC3D80"/>
    <w:rPr>
      <w:rFonts w:ascii="Montserrat Semi Bold" w:hAnsi="Montserrat Semi Bold"/>
      <w:b/>
      <w:color w:val="8D7248"/>
      <w:sz w:val="17"/>
      <w:vertAlign w:val="baseline"/>
    </w:rPr>
  </w:style>
  <w:style w:type="paragraph" w:styleId="Header">
    <w:name w:val="header"/>
    <w:basedOn w:val="Normal"/>
    <w:link w:val="HeaderChar"/>
    <w:rsid w:val="007F7032"/>
    <w:pPr>
      <w:tabs>
        <w:tab w:val="center" w:pos="4320"/>
        <w:tab w:val="right" w:pos="8640"/>
      </w:tabs>
    </w:pPr>
  </w:style>
  <w:style w:type="character" w:customStyle="1" w:styleId="HeaderChar">
    <w:name w:val="Header Char"/>
    <w:link w:val="Header"/>
    <w:rsid w:val="007F7032"/>
    <w:rPr>
      <w:rFonts w:ascii="Times New Roman" w:eastAsia="Times New Roman" w:hAnsi="Times New Roman" w:cs="Times New Roman"/>
      <w:sz w:val="24"/>
      <w:szCs w:val="20"/>
      <w:lang w:eastAsia="en-AU"/>
    </w:rPr>
  </w:style>
  <w:style w:type="paragraph" w:customStyle="1" w:styleId="TableText">
    <w:name w:val="TableText"/>
    <w:basedOn w:val="Normal"/>
    <w:qFormat/>
    <w:rsid w:val="009B38B4"/>
    <w:pPr>
      <w:spacing w:before="80" w:after="80"/>
    </w:pPr>
    <w:rPr>
      <w:rFonts w:eastAsia="Calibri" w:cs="Arial"/>
      <w:szCs w:val="18"/>
    </w:rPr>
  </w:style>
  <w:style w:type="character" w:styleId="Hyperlink">
    <w:name w:val="Hyperlink"/>
    <w:qFormat/>
    <w:rsid w:val="00491B72"/>
    <w:rPr>
      <w:color w:val="000000"/>
      <w:u w:val="single"/>
    </w:rPr>
  </w:style>
  <w:style w:type="paragraph" w:styleId="Footer">
    <w:name w:val="footer"/>
    <w:basedOn w:val="Normal"/>
    <w:link w:val="FooterChar"/>
    <w:uiPriority w:val="99"/>
    <w:unhideWhenUsed/>
    <w:rsid w:val="00BC3D80"/>
    <w:pPr>
      <w:tabs>
        <w:tab w:val="center" w:pos="4513"/>
        <w:tab w:val="right" w:pos="9026"/>
      </w:tabs>
      <w:spacing w:after="120"/>
    </w:pPr>
    <w:rPr>
      <w:sz w:val="17"/>
    </w:rPr>
  </w:style>
  <w:style w:type="character" w:customStyle="1" w:styleId="FooterChar">
    <w:name w:val="Footer Char"/>
    <w:link w:val="Footer"/>
    <w:uiPriority w:val="99"/>
    <w:rsid w:val="00BC3D80"/>
    <w:rPr>
      <w:rFonts w:ascii="Montserrat Light" w:eastAsia="Times New Roman" w:hAnsi="Montserrat Light"/>
      <w:color w:val="000000"/>
      <w:sz w:val="17"/>
    </w:rPr>
  </w:style>
  <w:style w:type="character" w:styleId="CommentReference">
    <w:name w:val="annotation reference"/>
    <w:uiPriority w:val="99"/>
    <w:semiHidden/>
    <w:unhideWhenUsed/>
    <w:rsid w:val="0016439E"/>
    <w:rPr>
      <w:sz w:val="16"/>
      <w:szCs w:val="16"/>
    </w:rPr>
  </w:style>
  <w:style w:type="paragraph" w:styleId="CommentText">
    <w:name w:val="annotation text"/>
    <w:basedOn w:val="Normal"/>
    <w:link w:val="CommentTextChar"/>
    <w:uiPriority w:val="99"/>
    <w:semiHidden/>
    <w:unhideWhenUsed/>
    <w:rsid w:val="0016439E"/>
    <w:rPr>
      <w:sz w:val="20"/>
    </w:rPr>
  </w:style>
  <w:style w:type="character" w:customStyle="1" w:styleId="CommentTextChar">
    <w:name w:val="Comment Text Char"/>
    <w:link w:val="CommentText"/>
    <w:uiPriority w:val="99"/>
    <w:semiHidden/>
    <w:rsid w:val="0016439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6439E"/>
    <w:rPr>
      <w:b/>
      <w:bCs/>
    </w:rPr>
  </w:style>
  <w:style w:type="character" w:customStyle="1" w:styleId="CommentSubjectChar">
    <w:name w:val="Comment Subject Char"/>
    <w:link w:val="CommentSubject"/>
    <w:uiPriority w:val="99"/>
    <w:semiHidden/>
    <w:rsid w:val="0016439E"/>
    <w:rPr>
      <w:rFonts w:ascii="Times New Roman" w:eastAsia="Times New Roman" w:hAnsi="Times New Roman"/>
      <w:b/>
      <w:bCs/>
    </w:rPr>
  </w:style>
  <w:style w:type="table" w:styleId="TableGrid">
    <w:name w:val="Table Grid"/>
    <w:basedOn w:val="TableNormal"/>
    <w:uiPriority w:val="59"/>
    <w:rsid w:val="00736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F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natePLO@pmc.gov.a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mailto:HousePLO@pmc.gov.a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able.legislation.sen@aph.gov.au" TargetMode="External"/><Relationship Id="rId5" Type="http://schemas.openxmlformats.org/officeDocument/2006/relationships/settings" Target="settings.xml"/><Relationship Id="rId15" Type="http://schemas.openxmlformats.org/officeDocument/2006/relationships/hyperlink" Target="http://canprint.com.au/" TargetMode="External"/><Relationship Id="rId23" Type="http://schemas.openxmlformats.org/officeDocument/2006/relationships/theme" Target="theme/theme1.xml"/><Relationship Id="rId10" Type="http://schemas.openxmlformats.org/officeDocument/2006/relationships/hyperlink" Target="mailto:Bills.Manager.Reps@aph.gov.a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lodgement@pmc.gov.au" TargetMode="External"/><Relationship Id="rId14" Type="http://schemas.openxmlformats.org/officeDocument/2006/relationships/hyperlink" Target="http://canprint.com.a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D31B8-91A7-4F28-9D58-EC177DC6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899CCFF2.dotm</Template>
  <TotalTime>0</TotalTime>
  <Pages>4</Pages>
  <Words>1194</Words>
  <Characters>6807</Characters>
  <Application>Microsoft Office Word</Application>
  <DocSecurity>0</DocSecurity>
  <Lines>56</Lines>
  <Paragraphs>15</Paragraphs>
  <ScaleCrop>false</ScaleCrop>
  <Company/>
  <LinksUpToDate>false</LinksUpToDate>
  <CharactersWithSpaces>7986</CharactersWithSpaces>
  <SharedDoc>false</SharedDoc>
  <HLinks>
    <vt:vector size="24" baseType="variant">
      <vt:variant>
        <vt:i4>3735635</vt:i4>
      </vt:variant>
      <vt:variant>
        <vt:i4>9</vt:i4>
      </vt:variant>
      <vt:variant>
        <vt:i4>0</vt:i4>
      </vt:variant>
      <vt:variant>
        <vt:i4>5</vt:i4>
      </vt:variant>
      <vt:variant>
        <vt:lpwstr>mailto:isbn@thorpe.com.au</vt:lpwstr>
      </vt:variant>
      <vt:variant>
        <vt:lpwstr/>
      </vt:variant>
      <vt:variant>
        <vt:i4>6881294</vt:i4>
      </vt:variant>
      <vt:variant>
        <vt:i4>6</vt:i4>
      </vt:variant>
      <vt:variant>
        <vt:i4>0</vt:i4>
      </vt:variant>
      <vt:variant>
        <vt:i4>5</vt:i4>
      </vt:variant>
      <vt:variant>
        <vt:lpwstr>mailto:ausinfo@dofa.gov.au</vt:lpwstr>
      </vt:variant>
      <vt:variant>
        <vt:lpwstr/>
      </vt:variant>
      <vt:variant>
        <vt:i4>7012358</vt:i4>
      </vt:variant>
      <vt:variant>
        <vt:i4>3</vt:i4>
      </vt:variant>
      <vt:variant>
        <vt:i4>0</vt:i4>
      </vt:variant>
      <vt:variant>
        <vt:i4>5</vt:i4>
      </vt:variant>
      <vt:variant>
        <vt:lpwstr>mailto:table.legislation.sen@aph.gov.au</vt:lpwstr>
      </vt:variant>
      <vt:variant>
        <vt:lpwstr/>
      </vt:variant>
      <vt:variant>
        <vt:i4>2162757</vt:i4>
      </vt:variant>
      <vt:variant>
        <vt:i4>0</vt:i4>
      </vt:variant>
      <vt:variant>
        <vt:i4>0</vt:i4>
      </vt:variant>
      <vt:variant>
        <vt:i4>5</vt:i4>
      </vt:variant>
      <vt:variant>
        <vt:lpwstr>mailto:Bills.Manager.Reps@aph.gov.au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Legislation Handbook - Appendix G</dc:title>
  <dc:creator/>
  <cp:lastModifiedBy/>
  <cp:revision>1</cp:revision>
  <dcterms:created xsi:type="dcterms:W3CDTF">2017-02-07T01:16:00Z</dcterms:created>
  <dcterms:modified xsi:type="dcterms:W3CDTF">2017-02-07T01:16:00Z</dcterms:modified>
</cp:coreProperties>
</file>